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6"/>
        </w:rPr>
      </w:pPr>
    </w:p>
    <w:p>
      <w:pPr>
        <w:pStyle w:val="BodyText"/>
        <w:spacing w:before="69"/>
        <w:ind w:left="2698" w:right="2838"/>
        <w:jc w:val="center"/>
      </w:pPr>
      <w:r>
        <w:rPr/>
        <w:drawing>
          <wp:anchor distT="0" distB="0" distL="0" distR="0" allowOverlap="1" layoutInCell="1" locked="0" behindDoc="0" simplePos="0" relativeHeight="0">
            <wp:simplePos x="0" y="0"/>
            <wp:positionH relativeFrom="page">
              <wp:posOffset>45719</wp:posOffset>
            </wp:positionH>
            <wp:positionV relativeFrom="paragraph">
              <wp:posOffset>-2168069</wp:posOffset>
            </wp:positionV>
            <wp:extent cx="7726680" cy="173431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726680" cy="1734312"/>
                    </a:xfrm>
                    <a:prstGeom prst="rect">
                      <a:avLst/>
                    </a:prstGeom>
                  </pic:spPr>
                </pic:pic>
              </a:graphicData>
            </a:graphic>
          </wp:anchor>
        </w:drawing>
      </w:r>
      <w:r>
        <w:rPr/>
        <w:t>Facultad de Odontología</w:t>
      </w:r>
    </w:p>
    <w:p>
      <w:pPr>
        <w:pStyle w:val="BodyText"/>
        <w:spacing w:before="10"/>
        <w:rPr>
          <w:sz w:val="20"/>
        </w:rPr>
      </w:pPr>
    </w:p>
    <w:p>
      <w:pPr>
        <w:pStyle w:val="BodyText"/>
        <w:spacing w:line="451" w:lineRule="auto"/>
        <w:ind w:left="2698" w:right="2845"/>
        <w:jc w:val="center"/>
      </w:pPr>
      <w:r>
        <w:rPr/>
        <w:t>Centro de Investigación y Estudios Avanzados en Odontología “Dr. Keisaburo Miyata”</w:t>
      </w:r>
    </w:p>
    <w:p>
      <w:pPr>
        <w:pStyle w:val="BodyText"/>
      </w:pPr>
    </w:p>
    <w:p>
      <w:pPr>
        <w:pStyle w:val="BodyText"/>
        <w:spacing w:before="5"/>
        <w:rPr>
          <w:sz w:val="21"/>
        </w:rPr>
      </w:pPr>
    </w:p>
    <w:p>
      <w:pPr>
        <w:pStyle w:val="Heading1"/>
        <w:spacing w:line="448" w:lineRule="auto"/>
        <w:ind w:left="1654" w:right="1790"/>
        <w:jc w:val="center"/>
      </w:pPr>
      <w:r>
        <w:rPr/>
        <w:t>Modelo Predictivo de Caries en Preescolares Mazahuas del Municipio de San José del Rincón, Estado de México</w:t>
      </w:r>
    </w:p>
    <w:p>
      <w:pPr>
        <w:pStyle w:val="BodyText"/>
        <w:rPr>
          <w:b/>
        </w:rPr>
      </w:pPr>
    </w:p>
    <w:p>
      <w:pPr>
        <w:pStyle w:val="BodyText"/>
        <w:spacing w:before="10"/>
        <w:rPr>
          <w:b/>
          <w:sz w:val="21"/>
        </w:rPr>
      </w:pPr>
    </w:p>
    <w:p>
      <w:pPr>
        <w:spacing w:before="0"/>
        <w:ind w:left="2698" w:right="2834" w:firstLine="0"/>
        <w:jc w:val="center"/>
        <w:rPr>
          <w:b/>
          <w:sz w:val="24"/>
        </w:rPr>
      </w:pPr>
      <w:r>
        <w:rPr>
          <w:b/>
          <w:sz w:val="24"/>
        </w:rPr>
        <w:t>TESIS</w:t>
      </w:r>
    </w:p>
    <w:p>
      <w:pPr>
        <w:pStyle w:val="BodyText"/>
        <w:spacing w:before="10"/>
        <w:rPr>
          <w:b/>
          <w:sz w:val="20"/>
        </w:rPr>
      </w:pPr>
    </w:p>
    <w:p>
      <w:pPr>
        <w:spacing w:line="451" w:lineRule="auto" w:before="0"/>
        <w:ind w:left="3989" w:right="4128" w:firstLine="0"/>
        <w:jc w:val="center"/>
        <w:rPr>
          <w:b/>
          <w:sz w:val="24"/>
        </w:rPr>
      </w:pPr>
      <w:r>
        <w:rPr>
          <w:b/>
          <w:sz w:val="24"/>
        </w:rPr>
        <w:t>Maestría en Ciencias Odontológicas Presenta</w:t>
      </w:r>
    </w:p>
    <w:p>
      <w:pPr>
        <w:pStyle w:val="BodyText"/>
        <w:spacing w:before="4"/>
        <w:ind w:left="2698" w:right="2836"/>
        <w:jc w:val="center"/>
      </w:pPr>
      <w:r>
        <w:rPr/>
        <w:t>C.D. Mercedes Maldonado Sánchez</w:t>
      </w:r>
    </w:p>
    <w:p>
      <w:pPr>
        <w:pStyle w:val="BodyText"/>
        <w:rPr>
          <w:sz w:val="21"/>
        </w:rPr>
      </w:pPr>
    </w:p>
    <w:p>
      <w:pPr>
        <w:pStyle w:val="Heading1"/>
        <w:spacing w:before="1"/>
        <w:ind w:left="2698" w:right="2836"/>
        <w:jc w:val="center"/>
      </w:pPr>
      <w:r>
        <w:rPr/>
        <w:t>Tutor Académico</w:t>
      </w:r>
    </w:p>
    <w:p>
      <w:pPr>
        <w:pStyle w:val="BodyText"/>
        <w:spacing w:before="10"/>
        <w:rPr>
          <w:b/>
          <w:sz w:val="20"/>
        </w:rPr>
      </w:pPr>
    </w:p>
    <w:p>
      <w:pPr>
        <w:pStyle w:val="BodyText"/>
        <w:ind w:left="2698" w:right="2843"/>
        <w:jc w:val="center"/>
      </w:pPr>
      <w:r>
        <w:rPr/>
        <w:t>Dra. en C.S.  Laura Emma Rodríguez Vilchis</w:t>
      </w:r>
    </w:p>
    <w:p>
      <w:pPr>
        <w:pStyle w:val="BodyText"/>
        <w:rPr>
          <w:sz w:val="21"/>
        </w:rPr>
      </w:pPr>
    </w:p>
    <w:p>
      <w:pPr>
        <w:pStyle w:val="Heading1"/>
        <w:spacing w:before="1"/>
        <w:ind w:left="2698" w:right="2838"/>
        <w:jc w:val="center"/>
      </w:pPr>
      <w:r>
        <w:rPr/>
        <w:t>Tutor Adjunto</w:t>
      </w:r>
    </w:p>
    <w:p>
      <w:pPr>
        <w:pStyle w:val="BodyText"/>
        <w:rPr>
          <w:b/>
          <w:sz w:val="21"/>
        </w:rPr>
      </w:pPr>
    </w:p>
    <w:p>
      <w:pPr>
        <w:pStyle w:val="BodyText"/>
        <w:spacing w:before="1"/>
        <w:ind w:left="2698" w:right="2836"/>
        <w:jc w:val="center"/>
      </w:pPr>
      <w:r>
        <w:rPr/>
        <w:t>Dra. en O. Rosalía Contreras Bulnes</w:t>
      </w:r>
    </w:p>
    <w:p>
      <w:pPr>
        <w:pStyle w:val="BodyText"/>
        <w:spacing w:before="10"/>
        <w:rPr>
          <w:sz w:val="20"/>
        </w:rPr>
      </w:pPr>
    </w:p>
    <w:p>
      <w:pPr>
        <w:tabs>
          <w:tab w:pos="7797" w:val="left" w:leader="none"/>
        </w:tabs>
        <w:spacing w:before="0"/>
        <w:ind w:left="55" w:right="0" w:firstLine="0"/>
        <w:jc w:val="center"/>
        <w:rPr>
          <w:sz w:val="24"/>
        </w:rPr>
      </w:pPr>
      <w:r>
        <w:rPr/>
        <w:drawing>
          <wp:inline distT="0" distB="0" distL="0" distR="0">
            <wp:extent cx="463295" cy="502919"/>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63295" cy="502919"/>
                    </a:xfrm>
                    <a:prstGeom prst="rect">
                      <a:avLst/>
                    </a:prstGeom>
                  </pic:spPr>
                </pic:pic>
              </a:graphicData>
            </a:graphic>
          </wp:inline>
        </w:drawing>
      </w:r>
      <w:r>
        <w:rPr/>
      </w:r>
      <w:r>
        <w:rPr>
          <w:rFonts w:ascii="Times New Roman" w:hAnsi="Times New Roman"/>
          <w:sz w:val="20"/>
        </w:rPr>
        <w:t>                           </w:t>
      </w:r>
      <w:r>
        <w:rPr>
          <w:sz w:val="24"/>
        </w:rPr>
        <w:t>Toluca, Estado de México,</w:t>
      </w:r>
      <w:r>
        <w:rPr>
          <w:spacing w:val="-11"/>
          <w:sz w:val="24"/>
        </w:rPr>
        <w:t> </w:t>
      </w:r>
      <w:r>
        <w:rPr>
          <w:sz w:val="24"/>
        </w:rPr>
        <w:t>Febrero</w:t>
      </w:r>
      <w:r>
        <w:rPr>
          <w:spacing w:val="-3"/>
          <w:sz w:val="24"/>
        </w:rPr>
        <w:t> </w:t>
      </w:r>
      <w:r>
        <w:rPr>
          <w:sz w:val="24"/>
        </w:rPr>
        <w:t>2016</w:t>
        <w:tab/>
      </w:r>
      <w:r>
        <w:rPr>
          <w:sz w:val="24"/>
        </w:rPr>
        <w:drawing>
          <wp:inline distT="0" distB="0" distL="0" distR="0">
            <wp:extent cx="416052" cy="53949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416052" cy="539495"/>
                    </a:xfrm>
                    <a:prstGeom prst="rect">
                      <a:avLst/>
                    </a:prstGeom>
                  </pic:spPr>
                </pic:pic>
              </a:graphicData>
            </a:graphic>
          </wp:inline>
        </w:drawing>
      </w:r>
      <w:r>
        <w:rPr>
          <w:sz w:val="24"/>
        </w:rPr>
      </w:r>
    </w:p>
    <w:p>
      <w:pPr>
        <w:spacing w:after="0"/>
        <w:jc w:val="center"/>
        <w:rPr>
          <w:sz w:val="24"/>
        </w:rPr>
        <w:sectPr>
          <w:type w:val="continuous"/>
          <w:pgSz w:w="12240" w:h="15840"/>
          <w:pgMar w:top="28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spacing w:before="72"/>
        <w:ind w:left="4493" w:right="4290" w:firstLine="0"/>
        <w:jc w:val="center"/>
        <w:rPr>
          <w:b/>
          <w:sz w:val="22"/>
        </w:rPr>
      </w:pPr>
      <w:r>
        <w:rPr>
          <w:b/>
          <w:sz w:val="22"/>
        </w:rPr>
        <w:t>Índice</w:t>
      </w:r>
    </w:p>
    <w:p>
      <w:pPr>
        <w:tabs>
          <w:tab w:pos="8962" w:val="left" w:leader="dot"/>
        </w:tabs>
        <w:spacing w:before="239"/>
        <w:ind w:left="198" w:right="0" w:firstLine="0"/>
        <w:jc w:val="left"/>
        <w:rPr>
          <w:sz w:val="22"/>
        </w:rPr>
      </w:pPr>
      <w:r>
        <w:rPr>
          <w:sz w:val="22"/>
        </w:rPr>
        <w:t>Resumen</w:t>
      </w:r>
      <w:r>
        <w:rPr>
          <w:rFonts w:ascii="Times New Roman"/>
          <w:sz w:val="22"/>
        </w:rPr>
        <w:tab/>
      </w:r>
      <w:r>
        <w:rPr>
          <w:sz w:val="22"/>
        </w:rPr>
        <w:t>x</w:t>
      </w:r>
    </w:p>
    <w:p>
      <w:pPr>
        <w:tabs>
          <w:tab w:pos="8720" w:val="left" w:leader="dot"/>
        </w:tabs>
        <w:spacing w:before="236"/>
        <w:ind w:left="198" w:right="0" w:firstLine="0"/>
        <w:jc w:val="left"/>
        <w:rPr>
          <w:b/>
          <w:sz w:val="22"/>
        </w:rPr>
      </w:pPr>
      <w:r>
        <w:rPr>
          <w:sz w:val="22"/>
        </w:rPr>
        <w:t>Introducción</w:t>
      </w:r>
      <w:r>
        <w:rPr>
          <w:b/>
          <w:sz w:val="22"/>
        </w:rPr>
        <w:tab/>
        <w:t>x</w:t>
      </w:r>
    </w:p>
    <w:p>
      <w:pPr>
        <w:pStyle w:val="BodyText"/>
        <w:spacing w:before="4"/>
        <w:rPr>
          <w:b/>
          <w:sz w:val="20"/>
        </w:rPr>
      </w:pPr>
    </w:p>
    <w:p>
      <w:pPr>
        <w:tabs>
          <w:tab w:pos="638" w:val="left" w:leader="none"/>
        </w:tabs>
        <w:spacing w:before="0"/>
        <w:ind w:left="198" w:right="0" w:firstLine="0"/>
        <w:jc w:val="left"/>
        <w:rPr>
          <w:b/>
          <w:sz w:val="22"/>
        </w:rPr>
      </w:pPr>
      <w:r>
        <w:rPr>
          <w:sz w:val="22"/>
          <w:u w:val="single"/>
        </w:rPr>
        <w:t>1.</w:t>
      </w:r>
      <w:r>
        <w:rPr>
          <w:sz w:val="22"/>
        </w:rPr>
        <w:tab/>
      </w:r>
      <w:r>
        <w:rPr>
          <w:sz w:val="22"/>
          <w:u w:val="single"/>
        </w:rPr>
        <w:t>Antecedentes </w:t>
      </w:r>
      <w:r>
        <w:rPr>
          <w:sz w:val="22"/>
        </w:rPr>
        <w:t>................................................................... </w:t>
      </w:r>
      <w:r>
        <w:rPr>
          <w:b/>
          <w:sz w:val="22"/>
        </w:rPr>
        <w:t>¡Error! Marcador no</w:t>
      </w:r>
      <w:r>
        <w:rPr>
          <w:b/>
          <w:spacing w:val="51"/>
          <w:sz w:val="22"/>
        </w:rPr>
        <w:t> </w:t>
      </w:r>
      <w:r>
        <w:rPr>
          <w:b/>
          <w:sz w:val="22"/>
        </w:rPr>
        <w:t>definido.</w:t>
      </w:r>
    </w:p>
    <w:p>
      <w:pPr>
        <w:tabs>
          <w:tab w:pos="1079" w:val="left" w:leader="none"/>
        </w:tabs>
        <w:spacing w:before="138"/>
        <w:ind w:left="419" w:right="0" w:firstLine="0"/>
        <w:jc w:val="left"/>
        <w:rPr>
          <w:b/>
          <w:sz w:val="22"/>
        </w:rPr>
      </w:pPr>
      <w:r>
        <w:rPr>
          <w:sz w:val="22"/>
          <w:u w:val="single"/>
        </w:rPr>
        <w:t>1.1.</w:t>
      </w:r>
      <w:r>
        <w:rPr>
          <w:sz w:val="22"/>
        </w:rPr>
        <w:tab/>
      </w:r>
      <w:r>
        <w:rPr>
          <w:sz w:val="22"/>
          <w:u w:val="single"/>
        </w:rPr>
        <w:t>Generalidades</w:t>
      </w:r>
      <w:r>
        <w:rPr>
          <w:sz w:val="22"/>
        </w:rPr>
        <w:t>........................................................... </w:t>
      </w:r>
      <w:r>
        <w:rPr>
          <w:b/>
          <w:sz w:val="22"/>
        </w:rPr>
        <w:t>¡Error! Marcador no </w:t>
      </w:r>
      <w:r>
        <w:rPr>
          <w:b/>
          <w:spacing w:val="12"/>
          <w:sz w:val="22"/>
        </w:rPr>
        <w:t> </w:t>
      </w:r>
      <w:r>
        <w:rPr>
          <w:b/>
          <w:sz w:val="22"/>
        </w:rPr>
        <w:t>definido.</w:t>
      </w:r>
    </w:p>
    <w:p>
      <w:pPr>
        <w:pStyle w:val="ListParagraph"/>
        <w:numPr>
          <w:ilvl w:val="1"/>
          <w:numId w:val="1"/>
        </w:numPr>
        <w:tabs>
          <w:tab w:pos="1079" w:val="left" w:leader="none"/>
          <w:tab w:pos="1080" w:val="left" w:leader="none"/>
        </w:tabs>
        <w:spacing w:line="240" w:lineRule="auto" w:before="139" w:after="0"/>
        <w:ind w:left="419" w:right="0" w:firstLine="0"/>
        <w:jc w:val="left"/>
        <w:rPr>
          <w:rFonts w:ascii="Arial" w:hAnsi="Arial"/>
          <w:b/>
          <w:sz w:val="22"/>
        </w:rPr>
      </w:pPr>
      <w:r>
        <w:rPr>
          <w:rFonts w:ascii="Arial" w:hAnsi="Arial"/>
          <w:sz w:val="22"/>
          <w:u w:val="single"/>
        </w:rPr>
        <w:t>Cambios en la Prevalencia de Caries</w:t>
      </w:r>
      <w:r>
        <w:rPr>
          <w:rFonts w:ascii="Arial" w:hAnsi="Arial"/>
          <w:sz w:val="22"/>
        </w:rPr>
        <w:t>........................ </w:t>
      </w:r>
      <w:r>
        <w:rPr>
          <w:rFonts w:ascii="Arial" w:hAnsi="Arial"/>
          <w:b/>
          <w:sz w:val="22"/>
        </w:rPr>
        <w:t>¡Error! Marcador no</w:t>
      </w:r>
      <w:r>
        <w:rPr>
          <w:rFonts w:ascii="Arial" w:hAnsi="Arial"/>
          <w:b/>
          <w:spacing w:val="20"/>
          <w:sz w:val="22"/>
        </w:rPr>
        <w:t> </w:t>
      </w:r>
      <w:r>
        <w:rPr>
          <w:rFonts w:ascii="Arial" w:hAnsi="Arial"/>
          <w:b/>
          <w:sz w:val="22"/>
        </w:rPr>
        <w:t>definido.</w:t>
      </w:r>
    </w:p>
    <w:p>
      <w:pPr>
        <w:pStyle w:val="ListParagraph"/>
        <w:numPr>
          <w:ilvl w:val="1"/>
          <w:numId w:val="1"/>
        </w:numPr>
        <w:tabs>
          <w:tab w:pos="1079" w:val="left" w:leader="none"/>
          <w:tab w:pos="1080" w:val="left" w:leader="none"/>
        </w:tabs>
        <w:spacing w:line="240" w:lineRule="auto" w:before="138" w:after="0"/>
        <w:ind w:left="1079" w:right="0" w:hanging="660"/>
        <w:jc w:val="left"/>
        <w:rPr>
          <w:rFonts w:ascii="Arial" w:hAnsi="Arial"/>
          <w:b/>
          <w:sz w:val="22"/>
        </w:rPr>
      </w:pPr>
      <w:r>
        <w:rPr>
          <w:rFonts w:ascii="Arial" w:hAnsi="Arial"/>
          <w:sz w:val="22"/>
          <w:u w:val="single"/>
        </w:rPr>
        <w:t>Prevalencia de Caries en México </w:t>
      </w:r>
      <w:r>
        <w:rPr>
          <w:rFonts w:ascii="Arial" w:hAnsi="Arial"/>
          <w:sz w:val="22"/>
        </w:rPr>
        <w:t>.............................. </w:t>
      </w:r>
      <w:r>
        <w:rPr>
          <w:rFonts w:ascii="Arial" w:hAnsi="Arial"/>
          <w:b/>
          <w:sz w:val="22"/>
        </w:rPr>
        <w:t>¡Error! Marcador no</w:t>
      </w:r>
      <w:r>
        <w:rPr>
          <w:rFonts w:ascii="Arial" w:hAnsi="Arial"/>
          <w:b/>
          <w:spacing w:val="-4"/>
          <w:sz w:val="22"/>
        </w:rPr>
        <w:t> </w:t>
      </w:r>
      <w:r>
        <w:rPr>
          <w:rFonts w:ascii="Arial" w:hAnsi="Arial"/>
          <w:b/>
          <w:sz w:val="22"/>
        </w:rPr>
        <w:t>definido.</w:t>
      </w:r>
    </w:p>
    <w:p>
      <w:pPr>
        <w:pStyle w:val="ListParagraph"/>
        <w:numPr>
          <w:ilvl w:val="1"/>
          <w:numId w:val="1"/>
        </w:numPr>
        <w:tabs>
          <w:tab w:pos="1079" w:val="left" w:leader="none"/>
          <w:tab w:pos="1080" w:val="left" w:leader="none"/>
        </w:tabs>
        <w:spacing w:line="240" w:lineRule="auto" w:before="138" w:after="0"/>
        <w:ind w:left="1079" w:right="0" w:hanging="660"/>
        <w:jc w:val="left"/>
        <w:rPr>
          <w:rFonts w:ascii="Arial" w:hAnsi="Arial"/>
          <w:b/>
          <w:sz w:val="22"/>
        </w:rPr>
      </w:pPr>
      <w:r>
        <w:rPr>
          <w:rFonts w:ascii="Arial" w:hAnsi="Arial"/>
          <w:sz w:val="22"/>
          <w:u w:val="single"/>
        </w:rPr>
        <w:t>Experiencia a Caries Dental con ICDAS II</w:t>
      </w:r>
      <w:r>
        <w:rPr>
          <w:rFonts w:ascii="Arial" w:hAnsi="Arial"/>
          <w:sz w:val="22"/>
        </w:rPr>
        <w:t>................. </w:t>
      </w:r>
      <w:r>
        <w:rPr>
          <w:rFonts w:ascii="Arial" w:hAnsi="Arial"/>
          <w:b/>
          <w:sz w:val="22"/>
        </w:rPr>
        <w:t>¡Error! Marcador no</w:t>
      </w:r>
      <w:r>
        <w:rPr>
          <w:rFonts w:ascii="Arial" w:hAnsi="Arial"/>
          <w:b/>
          <w:spacing w:val="5"/>
          <w:sz w:val="22"/>
        </w:rPr>
        <w:t> </w:t>
      </w:r>
      <w:r>
        <w:rPr>
          <w:rFonts w:ascii="Arial" w:hAnsi="Arial"/>
          <w:b/>
          <w:sz w:val="22"/>
        </w:rPr>
        <w:t>definido.</w:t>
      </w:r>
    </w:p>
    <w:p>
      <w:pPr>
        <w:pStyle w:val="ListParagraph"/>
        <w:numPr>
          <w:ilvl w:val="1"/>
          <w:numId w:val="1"/>
        </w:numPr>
        <w:tabs>
          <w:tab w:pos="1079" w:val="left" w:leader="none"/>
          <w:tab w:pos="1080" w:val="left" w:leader="none"/>
        </w:tabs>
        <w:spacing w:line="273" w:lineRule="auto" w:before="140" w:after="0"/>
        <w:ind w:left="419" w:right="143" w:firstLine="0"/>
        <w:jc w:val="left"/>
        <w:rPr>
          <w:rFonts w:ascii="Arial" w:hAnsi="Arial"/>
          <w:b/>
          <w:sz w:val="22"/>
        </w:rPr>
      </w:pPr>
      <w:r>
        <w:rPr>
          <w:rFonts w:ascii="Arial" w:hAnsi="Arial"/>
          <w:sz w:val="22"/>
          <w:u w:val="single"/>
        </w:rPr>
        <w:t>Sistema Internacional para la Detección y Evaluación de Caries ICDAS </w:t>
      </w:r>
      <w:r>
        <w:rPr>
          <w:rFonts w:ascii="Arial" w:hAnsi="Arial"/>
          <w:sz w:val="22"/>
        </w:rPr>
        <w:t>........ </w:t>
      </w:r>
      <w:r>
        <w:rPr>
          <w:rFonts w:ascii="Arial" w:hAnsi="Arial"/>
          <w:b/>
          <w:sz w:val="22"/>
        </w:rPr>
        <w:t>¡Error! Marcador no</w:t>
      </w:r>
      <w:r>
        <w:rPr>
          <w:rFonts w:ascii="Arial" w:hAnsi="Arial"/>
          <w:b/>
          <w:spacing w:val="-6"/>
          <w:sz w:val="22"/>
        </w:rPr>
        <w:t> </w:t>
      </w:r>
      <w:r>
        <w:rPr>
          <w:rFonts w:ascii="Arial" w:hAnsi="Arial"/>
          <w:b/>
          <w:sz w:val="22"/>
        </w:rPr>
        <w:t>definido.</w:t>
      </w:r>
    </w:p>
    <w:p>
      <w:pPr>
        <w:tabs>
          <w:tab w:pos="638" w:val="left" w:leader="none"/>
        </w:tabs>
        <w:spacing w:before="104"/>
        <w:ind w:left="198" w:right="0" w:firstLine="0"/>
        <w:jc w:val="left"/>
        <w:rPr>
          <w:b/>
          <w:sz w:val="22"/>
        </w:rPr>
      </w:pPr>
      <w:r>
        <w:rPr>
          <w:sz w:val="22"/>
          <w:u w:val="single"/>
        </w:rPr>
        <w:t>2.</w:t>
      </w:r>
      <w:r>
        <w:rPr>
          <w:sz w:val="22"/>
        </w:rPr>
        <w:tab/>
      </w:r>
      <w:r>
        <w:rPr>
          <w:sz w:val="22"/>
          <w:u w:val="single"/>
        </w:rPr>
        <w:t>Planteamiento del problema </w:t>
      </w:r>
      <w:r>
        <w:rPr>
          <w:sz w:val="22"/>
        </w:rPr>
        <w:t>............................................. </w:t>
      </w:r>
      <w:r>
        <w:rPr>
          <w:b/>
          <w:sz w:val="22"/>
        </w:rPr>
        <w:t>¡Error! Marcador no</w:t>
      </w:r>
      <w:r>
        <w:rPr>
          <w:b/>
          <w:spacing w:val="-1"/>
          <w:sz w:val="22"/>
        </w:rPr>
        <w:t> </w:t>
      </w:r>
      <w:r>
        <w:rPr>
          <w:b/>
          <w:sz w:val="22"/>
        </w:rPr>
        <w:t>definido.</w:t>
      </w:r>
    </w:p>
    <w:p>
      <w:pPr>
        <w:tabs>
          <w:tab w:pos="638" w:val="left" w:leader="none"/>
        </w:tabs>
        <w:spacing w:before="138"/>
        <w:ind w:left="198" w:right="0" w:firstLine="0"/>
        <w:jc w:val="left"/>
        <w:rPr>
          <w:b/>
          <w:sz w:val="22"/>
        </w:rPr>
      </w:pPr>
      <w:r>
        <w:rPr>
          <w:sz w:val="22"/>
          <w:u w:val="single"/>
        </w:rPr>
        <w:t>3.</w:t>
      </w:r>
      <w:r>
        <w:rPr>
          <w:sz w:val="22"/>
        </w:rPr>
        <w:tab/>
      </w:r>
      <w:r>
        <w:rPr>
          <w:sz w:val="22"/>
          <w:u w:val="single"/>
        </w:rPr>
        <w:t>Justificación</w:t>
      </w:r>
      <w:r>
        <w:rPr>
          <w:sz w:val="22"/>
        </w:rPr>
        <w:t>...................................................................... </w:t>
      </w:r>
      <w:r>
        <w:rPr>
          <w:b/>
          <w:sz w:val="22"/>
        </w:rPr>
        <w:t>¡Error! Marcador no </w:t>
      </w:r>
      <w:r>
        <w:rPr>
          <w:b/>
          <w:spacing w:val="14"/>
          <w:sz w:val="22"/>
        </w:rPr>
        <w:t> </w:t>
      </w:r>
      <w:r>
        <w:rPr>
          <w:b/>
          <w:sz w:val="22"/>
        </w:rPr>
        <w:t>definido.</w:t>
      </w:r>
    </w:p>
    <w:p>
      <w:pPr>
        <w:tabs>
          <w:tab w:pos="638" w:val="left" w:leader="none"/>
        </w:tabs>
        <w:spacing w:before="138"/>
        <w:ind w:left="198" w:right="0" w:firstLine="0"/>
        <w:jc w:val="left"/>
        <w:rPr>
          <w:b/>
          <w:sz w:val="22"/>
        </w:rPr>
      </w:pPr>
      <w:r>
        <w:rPr>
          <w:sz w:val="22"/>
          <w:u w:val="single"/>
        </w:rPr>
        <w:t>4.</w:t>
      </w:r>
      <w:r>
        <w:rPr>
          <w:sz w:val="22"/>
        </w:rPr>
        <w:tab/>
      </w:r>
      <w:r>
        <w:rPr>
          <w:sz w:val="22"/>
          <w:u w:val="single"/>
        </w:rPr>
        <w:t>Hipótesis </w:t>
      </w:r>
      <w:r>
        <w:rPr>
          <w:sz w:val="22"/>
        </w:rPr>
        <w:t>.......................................................................... </w:t>
      </w:r>
      <w:r>
        <w:rPr>
          <w:b/>
          <w:sz w:val="22"/>
        </w:rPr>
        <w:t>¡Error! Marcador no </w:t>
      </w:r>
      <w:r>
        <w:rPr>
          <w:b/>
          <w:spacing w:val="1"/>
          <w:sz w:val="22"/>
        </w:rPr>
        <w:t> </w:t>
      </w:r>
      <w:r>
        <w:rPr>
          <w:b/>
          <w:sz w:val="22"/>
        </w:rPr>
        <w:t>definido.</w:t>
      </w:r>
    </w:p>
    <w:p>
      <w:pPr>
        <w:tabs>
          <w:tab w:pos="638" w:val="left" w:leader="none"/>
        </w:tabs>
        <w:spacing w:before="138"/>
        <w:ind w:left="198" w:right="0" w:firstLine="0"/>
        <w:jc w:val="left"/>
        <w:rPr>
          <w:b/>
          <w:sz w:val="22"/>
        </w:rPr>
      </w:pPr>
      <w:r>
        <w:rPr>
          <w:sz w:val="22"/>
          <w:u w:val="single"/>
        </w:rPr>
        <w:t>5.</w:t>
      </w:r>
      <w:r>
        <w:rPr>
          <w:sz w:val="22"/>
        </w:rPr>
        <w:tab/>
      </w:r>
      <w:r>
        <w:rPr>
          <w:sz w:val="22"/>
          <w:u w:val="single"/>
        </w:rPr>
        <w:t>Objetivos </w:t>
      </w:r>
      <w:r>
        <w:rPr>
          <w:sz w:val="22"/>
        </w:rPr>
        <w:t>.......................................................................... </w:t>
      </w:r>
      <w:r>
        <w:rPr>
          <w:b/>
          <w:sz w:val="22"/>
        </w:rPr>
        <w:t>¡Error! Marcador no</w:t>
      </w:r>
      <w:r>
        <w:rPr>
          <w:b/>
          <w:spacing w:val="49"/>
          <w:sz w:val="22"/>
        </w:rPr>
        <w:t> </w:t>
      </w:r>
      <w:r>
        <w:rPr>
          <w:b/>
          <w:sz w:val="22"/>
        </w:rPr>
        <w:t>definido.</w:t>
      </w:r>
    </w:p>
    <w:p>
      <w:pPr>
        <w:tabs>
          <w:tab w:pos="638" w:val="left" w:leader="none"/>
        </w:tabs>
        <w:spacing w:before="136"/>
        <w:ind w:left="198" w:right="0" w:firstLine="0"/>
        <w:jc w:val="left"/>
        <w:rPr>
          <w:b/>
          <w:sz w:val="22"/>
        </w:rPr>
      </w:pPr>
      <w:r>
        <w:rPr>
          <w:sz w:val="22"/>
          <w:u w:val="single"/>
        </w:rPr>
        <w:t>6.</w:t>
      </w:r>
      <w:r>
        <w:rPr>
          <w:sz w:val="22"/>
        </w:rPr>
        <w:tab/>
      </w:r>
      <w:r>
        <w:rPr>
          <w:sz w:val="22"/>
          <w:u w:val="single"/>
        </w:rPr>
        <w:t>Materiales y Métodos </w:t>
      </w:r>
      <w:r>
        <w:rPr>
          <w:sz w:val="22"/>
        </w:rPr>
        <w:t>....................................................... </w:t>
      </w:r>
      <w:r>
        <w:rPr>
          <w:b/>
          <w:sz w:val="22"/>
        </w:rPr>
        <w:t>¡Error! Marcador no</w:t>
      </w:r>
      <w:r>
        <w:rPr>
          <w:b/>
          <w:spacing w:val="38"/>
          <w:sz w:val="22"/>
        </w:rPr>
        <w:t> </w:t>
      </w:r>
      <w:r>
        <w:rPr>
          <w:b/>
          <w:sz w:val="22"/>
        </w:rPr>
        <w:t>definido.</w:t>
      </w:r>
    </w:p>
    <w:p>
      <w:pPr>
        <w:tabs>
          <w:tab w:pos="1079" w:val="left" w:leader="none"/>
        </w:tabs>
        <w:spacing w:before="138"/>
        <w:ind w:left="419" w:right="0" w:firstLine="0"/>
        <w:jc w:val="left"/>
        <w:rPr>
          <w:b/>
          <w:sz w:val="22"/>
        </w:rPr>
      </w:pPr>
      <w:r>
        <w:rPr>
          <w:sz w:val="22"/>
          <w:u w:val="single"/>
        </w:rPr>
        <w:t>6.1.</w:t>
      </w:r>
      <w:r>
        <w:rPr>
          <w:sz w:val="22"/>
        </w:rPr>
        <w:tab/>
      </w:r>
      <w:r>
        <w:rPr>
          <w:sz w:val="22"/>
          <w:u w:val="single"/>
        </w:rPr>
        <w:t>Diseño de Estudio </w:t>
      </w:r>
      <w:r>
        <w:rPr>
          <w:sz w:val="22"/>
        </w:rPr>
        <w:t>..................................................... </w:t>
      </w:r>
      <w:r>
        <w:rPr>
          <w:b/>
          <w:sz w:val="22"/>
        </w:rPr>
        <w:t>¡Error! Marcador no</w:t>
      </w:r>
      <w:r>
        <w:rPr>
          <w:b/>
          <w:spacing w:val="22"/>
          <w:sz w:val="22"/>
        </w:rPr>
        <w:t> </w:t>
      </w:r>
      <w:r>
        <w:rPr>
          <w:b/>
          <w:sz w:val="22"/>
        </w:rPr>
        <w:t>definido.</w:t>
      </w:r>
    </w:p>
    <w:p>
      <w:pPr>
        <w:tabs>
          <w:tab w:pos="638" w:val="left" w:leader="none"/>
          <w:tab w:pos="858" w:val="left" w:leader="none"/>
          <w:tab w:pos="1079" w:val="left" w:leader="none"/>
        </w:tabs>
        <w:spacing w:line="372" w:lineRule="auto" w:before="138" w:after="35"/>
        <w:ind w:left="198" w:right="147" w:firstLine="220"/>
        <w:jc w:val="right"/>
        <w:rPr>
          <w:b/>
          <w:sz w:val="22"/>
        </w:rPr>
      </w:pPr>
      <w:r>
        <w:rPr>
          <w:sz w:val="22"/>
          <w:u w:val="single"/>
        </w:rPr>
        <w:t>6.2.</w:t>
      </w:r>
      <w:r>
        <w:rPr>
          <w:sz w:val="22"/>
        </w:rPr>
        <w:tab/>
        <w:tab/>
      </w:r>
      <w:r>
        <w:rPr>
          <w:sz w:val="22"/>
          <w:u w:val="single"/>
        </w:rPr>
        <w:t>Criterios de inclusión, exclusión y eliminación</w:t>
      </w:r>
      <w:r>
        <w:rPr>
          <w:spacing w:val="-43"/>
          <w:sz w:val="22"/>
          <w:u w:val="single"/>
        </w:rPr>
        <w:t> </w:t>
      </w:r>
      <w:r>
        <w:rPr>
          <w:sz w:val="22"/>
        </w:rPr>
        <w:t>........... </w:t>
      </w:r>
      <w:r>
        <w:rPr>
          <w:b/>
          <w:sz w:val="22"/>
        </w:rPr>
        <w:t>¡Error! Marcador no</w:t>
      </w:r>
      <w:r>
        <w:rPr>
          <w:b/>
          <w:spacing w:val="-4"/>
          <w:sz w:val="22"/>
        </w:rPr>
        <w:t> </w:t>
      </w:r>
      <w:r>
        <w:rPr>
          <w:b/>
          <w:sz w:val="22"/>
        </w:rPr>
        <w:t>definido.</w:t>
      </w:r>
      <w:r>
        <w:rPr>
          <w:b/>
          <w:w w:val="100"/>
          <w:sz w:val="22"/>
        </w:rPr>
        <w:t> </w:t>
      </w:r>
      <w:r>
        <w:rPr>
          <w:sz w:val="22"/>
          <w:u w:val="single"/>
        </w:rPr>
        <w:t>6.3.</w:t>
      </w:r>
      <w:r>
        <w:rPr>
          <w:sz w:val="22"/>
        </w:rPr>
        <w:tab/>
        <w:tab/>
      </w:r>
      <w:r>
        <w:rPr>
          <w:sz w:val="22"/>
          <w:u w:val="single"/>
        </w:rPr>
        <w:t>Procedimiento </w:t>
      </w:r>
      <w:r>
        <w:rPr>
          <w:sz w:val="22"/>
        </w:rPr>
        <w:t>........................................................... </w:t>
      </w:r>
      <w:r>
        <w:rPr>
          <w:b/>
          <w:sz w:val="22"/>
        </w:rPr>
        <w:t>¡Error! Marcador</w:t>
      </w:r>
      <w:r>
        <w:rPr>
          <w:b/>
          <w:spacing w:val="23"/>
          <w:sz w:val="22"/>
        </w:rPr>
        <w:t> </w:t>
      </w:r>
      <w:r>
        <w:rPr>
          <w:b/>
          <w:sz w:val="22"/>
        </w:rPr>
        <w:t>no</w:t>
      </w:r>
      <w:r>
        <w:rPr>
          <w:b/>
          <w:spacing w:val="11"/>
          <w:sz w:val="22"/>
        </w:rPr>
        <w:t> </w:t>
      </w:r>
      <w:r>
        <w:rPr>
          <w:b/>
          <w:sz w:val="22"/>
        </w:rPr>
        <w:t>definido.</w:t>
      </w:r>
      <w:r>
        <w:rPr>
          <w:b/>
          <w:w w:val="100"/>
          <w:sz w:val="22"/>
        </w:rPr>
        <w:t> </w:t>
      </w:r>
      <w:r>
        <w:rPr>
          <w:sz w:val="22"/>
          <w:u w:val="single"/>
        </w:rPr>
        <w:t>6.4.</w:t>
      </w:r>
      <w:r>
        <w:rPr>
          <w:sz w:val="22"/>
        </w:rPr>
        <w:tab/>
        <w:tab/>
      </w:r>
      <w:r>
        <w:rPr>
          <w:sz w:val="22"/>
          <w:u w:val="single"/>
        </w:rPr>
        <w:t>Variables de Estudio </w:t>
      </w:r>
      <w:r>
        <w:rPr>
          <w:sz w:val="22"/>
        </w:rPr>
        <w:t>................................................. </w:t>
      </w:r>
      <w:r>
        <w:rPr>
          <w:b/>
          <w:sz w:val="22"/>
        </w:rPr>
        <w:t>¡Error! Marcador</w:t>
      </w:r>
      <w:r>
        <w:rPr>
          <w:b/>
          <w:spacing w:val="31"/>
          <w:sz w:val="22"/>
        </w:rPr>
        <w:t> </w:t>
      </w:r>
      <w:r>
        <w:rPr>
          <w:b/>
          <w:sz w:val="22"/>
        </w:rPr>
        <w:t>no</w:t>
      </w:r>
      <w:r>
        <w:rPr>
          <w:b/>
          <w:spacing w:val="4"/>
          <w:sz w:val="22"/>
        </w:rPr>
        <w:t> </w:t>
      </w:r>
      <w:r>
        <w:rPr>
          <w:b/>
          <w:sz w:val="22"/>
        </w:rPr>
        <w:t>definido.</w:t>
      </w:r>
      <w:r>
        <w:rPr>
          <w:b/>
          <w:w w:val="100"/>
          <w:sz w:val="22"/>
        </w:rPr>
        <w:t> </w:t>
      </w:r>
      <w:r>
        <w:rPr>
          <w:sz w:val="22"/>
          <w:u w:val="single"/>
        </w:rPr>
        <w:t>6.5.</w:t>
      </w:r>
      <w:r>
        <w:rPr>
          <w:sz w:val="22"/>
        </w:rPr>
        <w:tab/>
        <w:tab/>
      </w:r>
      <w:r>
        <w:rPr>
          <w:sz w:val="22"/>
          <w:u w:val="single"/>
        </w:rPr>
        <w:t>Implicaciones Bioéticas </w:t>
      </w:r>
      <w:r>
        <w:rPr>
          <w:sz w:val="22"/>
        </w:rPr>
        <w:t>............................................. </w:t>
      </w:r>
      <w:r>
        <w:rPr>
          <w:b/>
          <w:sz w:val="22"/>
        </w:rPr>
        <w:t>¡Error! Marcador</w:t>
      </w:r>
      <w:r>
        <w:rPr>
          <w:b/>
          <w:spacing w:val="4"/>
          <w:sz w:val="22"/>
        </w:rPr>
        <w:t> </w:t>
      </w:r>
      <w:r>
        <w:rPr>
          <w:b/>
          <w:sz w:val="22"/>
        </w:rPr>
        <w:t>no</w:t>
      </w:r>
      <w:r>
        <w:rPr>
          <w:b/>
          <w:spacing w:val="6"/>
          <w:sz w:val="22"/>
        </w:rPr>
        <w:t> </w:t>
      </w:r>
      <w:r>
        <w:rPr>
          <w:b/>
          <w:sz w:val="22"/>
        </w:rPr>
        <w:t>definido.</w:t>
      </w:r>
      <w:r>
        <w:rPr>
          <w:b/>
          <w:w w:val="100"/>
          <w:sz w:val="22"/>
        </w:rPr>
        <w:t> </w:t>
      </w:r>
      <w:r>
        <w:rPr>
          <w:sz w:val="22"/>
          <w:u w:val="single"/>
        </w:rPr>
        <w:t>6.6.</w:t>
      </w:r>
      <w:r>
        <w:rPr>
          <w:sz w:val="22"/>
        </w:rPr>
        <w:tab/>
        <w:tab/>
      </w:r>
      <w:r>
        <w:rPr>
          <w:sz w:val="22"/>
          <w:u w:val="single"/>
        </w:rPr>
        <w:t>Recolección de Datos </w:t>
      </w:r>
      <w:r>
        <w:rPr>
          <w:sz w:val="22"/>
        </w:rPr>
        <w:t>............................................... </w:t>
      </w:r>
      <w:r>
        <w:rPr>
          <w:b/>
          <w:sz w:val="22"/>
        </w:rPr>
        <w:t>¡Error! Marcador</w:t>
      </w:r>
      <w:r>
        <w:rPr>
          <w:b/>
          <w:spacing w:val="31"/>
          <w:sz w:val="22"/>
        </w:rPr>
        <w:t> </w:t>
      </w:r>
      <w:r>
        <w:rPr>
          <w:b/>
          <w:sz w:val="22"/>
        </w:rPr>
        <w:t>no</w:t>
      </w:r>
      <w:r>
        <w:rPr>
          <w:b/>
          <w:spacing w:val="4"/>
          <w:sz w:val="22"/>
        </w:rPr>
        <w:t> </w:t>
      </w:r>
      <w:r>
        <w:rPr>
          <w:b/>
          <w:sz w:val="22"/>
        </w:rPr>
        <w:t>definido.</w:t>
      </w:r>
      <w:r>
        <w:rPr>
          <w:b/>
          <w:w w:val="100"/>
          <w:sz w:val="22"/>
        </w:rPr>
        <w:t> </w:t>
      </w:r>
      <w:r>
        <w:rPr>
          <w:sz w:val="22"/>
          <w:u w:val="single"/>
        </w:rPr>
        <w:t>6.7.</w:t>
      </w:r>
      <w:r>
        <w:rPr>
          <w:sz w:val="22"/>
        </w:rPr>
        <w:tab/>
        <w:tab/>
      </w:r>
      <w:r>
        <w:rPr>
          <w:sz w:val="22"/>
          <w:u w:val="single"/>
        </w:rPr>
        <w:t>Análisis Estadístico </w:t>
      </w:r>
      <w:r>
        <w:rPr>
          <w:sz w:val="22"/>
        </w:rPr>
        <w:t>................................................... </w:t>
      </w:r>
      <w:r>
        <w:rPr>
          <w:b/>
          <w:sz w:val="22"/>
        </w:rPr>
        <w:t>¡Error! Marcador</w:t>
      </w:r>
      <w:r>
        <w:rPr>
          <w:b/>
          <w:spacing w:val="29"/>
          <w:sz w:val="22"/>
        </w:rPr>
        <w:t> </w:t>
      </w:r>
      <w:r>
        <w:rPr>
          <w:b/>
          <w:sz w:val="22"/>
        </w:rPr>
        <w:t>no</w:t>
      </w:r>
      <w:r>
        <w:rPr>
          <w:b/>
          <w:spacing w:val="5"/>
          <w:sz w:val="22"/>
        </w:rPr>
        <w:t> </w:t>
      </w:r>
      <w:r>
        <w:rPr>
          <w:b/>
          <w:sz w:val="22"/>
        </w:rPr>
        <w:t>definido.</w:t>
      </w:r>
      <w:r>
        <w:rPr>
          <w:b/>
          <w:w w:val="100"/>
          <w:sz w:val="22"/>
        </w:rPr>
        <w:t> </w:t>
      </w:r>
      <w:r>
        <w:rPr>
          <w:sz w:val="22"/>
          <w:u w:val="single"/>
        </w:rPr>
        <w:t>6.1.</w:t>
      </w:r>
      <w:r>
        <w:rPr>
          <w:sz w:val="22"/>
        </w:rPr>
        <w:tab/>
        <w:tab/>
      </w:r>
      <w:r>
        <w:rPr>
          <w:sz w:val="22"/>
          <w:u w:val="single"/>
        </w:rPr>
        <w:t>Análisis de Riesgo</w:t>
      </w:r>
      <w:r>
        <w:rPr>
          <w:sz w:val="22"/>
        </w:rPr>
        <w:t>..................................................... </w:t>
      </w:r>
      <w:r>
        <w:rPr>
          <w:b/>
          <w:sz w:val="22"/>
        </w:rPr>
        <w:t>¡Error! Marcador</w:t>
      </w:r>
      <w:r>
        <w:rPr>
          <w:b/>
          <w:spacing w:val="52"/>
          <w:sz w:val="22"/>
        </w:rPr>
        <w:t> </w:t>
      </w:r>
      <w:r>
        <w:rPr>
          <w:b/>
          <w:sz w:val="22"/>
        </w:rPr>
        <w:t>no</w:t>
      </w:r>
      <w:r>
        <w:rPr>
          <w:b/>
          <w:spacing w:val="7"/>
          <w:sz w:val="22"/>
        </w:rPr>
        <w:t> </w:t>
      </w:r>
      <w:r>
        <w:rPr>
          <w:b/>
          <w:sz w:val="22"/>
        </w:rPr>
        <w:t>definido.</w:t>
      </w:r>
      <w:r>
        <w:rPr>
          <w:b/>
          <w:w w:val="100"/>
          <w:sz w:val="22"/>
        </w:rPr>
        <w:t> </w:t>
      </w:r>
      <w:r>
        <w:rPr>
          <w:sz w:val="22"/>
          <w:u w:val="single"/>
        </w:rPr>
        <w:t>6.2.</w:t>
      </w:r>
      <w:r>
        <w:rPr>
          <w:sz w:val="22"/>
        </w:rPr>
        <w:tab/>
        <w:tab/>
      </w:r>
      <w:r>
        <w:rPr>
          <w:sz w:val="22"/>
          <w:u w:val="single"/>
        </w:rPr>
        <w:t>Formulación del modelo </w:t>
      </w:r>
      <w:r>
        <w:rPr>
          <w:sz w:val="22"/>
        </w:rPr>
        <w:t>............................................ </w:t>
      </w:r>
      <w:r>
        <w:rPr>
          <w:b/>
          <w:sz w:val="22"/>
        </w:rPr>
        <w:t>¡Error! Marcador</w:t>
      </w:r>
      <w:r>
        <w:rPr>
          <w:b/>
          <w:spacing w:val="5"/>
          <w:sz w:val="22"/>
        </w:rPr>
        <w:t> </w:t>
      </w:r>
      <w:r>
        <w:rPr>
          <w:b/>
          <w:sz w:val="22"/>
        </w:rPr>
        <w:t>no</w:t>
      </w:r>
      <w:r>
        <w:rPr>
          <w:b/>
          <w:spacing w:val="4"/>
          <w:sz w:val="22"/>
        </w:rPr>
        <w:t> </w:t>
      </w:r>
      <w:r>
        <w:rPr>
          <w:b/>
          <w:sz w:val="22"/>
        </w:rPr>
        <w:t>definido.</w:t>
      </w:r>
      <w:r>
        <w:rPr>
          <w:b/>
          <w:w w:val="100"/>
          <w:sz w:val="22"/>
        </w:rPr>
        <w:t> </w:t>
      </w:r>
      <w:r>
        <w:rPr>
          <w:sz w:val="22"/>
          <w:u w:val="single"/>
        </w:rPr>
        <w:t>7.</w:t>
      </w:r>
      <w:r>
        <w:rPr>
          <w:sz w:val="22"/>
        </w:rPr>
        <w:tab/>
      </w:r>
      <w:r>
        <w:rPr>
          <w:sz w:val="22"/>
          <w:u w:val="single"/>
        </w:rPr>
        <w:t>Resultados  </w:t>
      </w:r>
      <w:r>
        <w:rPr>
          <w:sz w:val="22"/>
        </w:rPr>
        <w:t>...................................................................... </w:t>
      </w:r>
      <w:r>
        <w:rPr>
          <w:b/>
          <w:sz w:val="22"/>
        </w:rPr>
        <w:t>¡Error! Marcador no</w:t>
      </w:r>
      <w:r>
        <w:rPr>
          <w:b/>
          <w:spacing w:val="48"/>
          <w:sz w:val="22"/>
        </w:rPr>
        <w:t> </w:t>
      </w:r>
      <w:r>
        <w:rPr>
          <w:b/>
          <w:sz w:val="22"/>
        </w:rPr>
        <w:t>definido.</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79"/>
      </w:tblGrid>
      <w:tr>
        <w:trPr>
          <w:trHeight w:val="266" w:hRule="exact"/>
        </w:trPr>
        <w:tc>
          <w:tcPr>
            <w:tcW w:w="9179" w:type="dxa"/>
          </w:tcPr>
          <w:p>
            <w:pPr>
              <w:pStyle w:val="TableParagraph"/>
              <w:tabs>
                <w:tab w:pos="8601" w:val="right" w:leader="dot"/>
              </w:tabs>
              <w:spacing w:line="226" w:lineRule="exact"/>
              <w:ind w:left="200"/>
              <w:rPr>
                <w:rFonts w:ascii="Arial" w:hAnsi="Arial"/>
                <w:sz w:val="22"/>
              </w:rPr>
            </w:pPr>
            <w:r>
              <w:rPr>
                <w:rFonts w:ascii="Arial" w:hAnsi="Arial"/>
                <w:sz w:val="22"/>
              </w:rPr>
              <w:t>7.1 Carta de envío de</w:t>
            </w:r>
            <w:r>
              <w:rPr>
                <w:rFonts w:ascii="Arial" w:hAnsi="Arial"/>
                <w:spacing w:val="-2"/>
                <w:sz w:val="22"/>
              </w:rPr>
              <w:t> </w:t>
            </w:r>
            <w:r>
              <w:rPr>
                <w:rFonts w:ascii="Arial" w:hAnsi="Arial"/>
                <w:sz w:val="22"/>
              </w:rPr>
              <w:t>artículo</w:t>
            </w:r>
            <w:r>
              <w:rPr>
                <w:rFonts w:ascii="Arial" w:hAnsi="Arial"/>
                <w:spacing w:val="1"/>
                <w:sz w:val="22"/>
              </w:rPr>
              <w:t> </w:t>
            </w:r>
            <w:r>
              <w:rPr>
                <w:rFonts w:ascii="Arial" w:hAnsi="Arial"/>
                <w:sz w:val="22"/>
              </w:rPr>
              <w:t>científico…</w:t>
            </w:r>
            <w:r>
              <w:rPr>
                <w:rFonts w:ascii="Times New Roman" w:hAnsi="Times New Roman"/>
                <w:sz w:val="22"/>
              </w:rPr>
              <w:tab/>
            </w:r>
            <w:r>
              <w:rPr>
                <w:rFonts w:ascii="Arial" w:hAnsi="Arial"/>
                <w:sz w:val="22"/>
              </w:rPr>
              <w:t>x</w:t>
            </w:r>
          </w:p>
        </w:tc>
      </w:tr>
      <w:tr>
        <w:trPr>
          <w:trHeight w:val="518" w:hRule="exact"/>
        </w:trPr>
        <w:tc>
          <w:tcPr>
            <w:tcW w:w="9179" w:type="dxa"/>
          </w:tcPr>
          <w:p>
            <w:pPr>
              <w:pStyle w:val="TableParagraph"/>
              <w:numPr>
                <w:ilvl w:val="1"/>
                <w:numId w:val="2"/>
              </w:numPr>
              <w:tabs>
                <w:tab w:pos="570" w:val="left" w:leader="none"/>
                <w:tab w:pos="8868" w:val="left" w:leader="dot"/>
              </w:tabs>
              <w:spacing w:line="252" w:lineRule="exact" w:before="18" w:after="0"/>
              <w:ind w:left="569" w:right="0" w:hanging="369"/>
              <w:jc w:val="left"/>
              <w:rPr>
                <w:rFonts w:ascii="Arial" w:hAnsi="Arial"/>
                <w:sz w:val="22"/>
              </w:rPr>
            </w:pPr>
            <w:r>
              <w:rPr>
                <w:rFonts w:ascii="Arial" w:hAnsi="Arial"/>
                <w:sz w:val="22"/>
              </w:rPr>
              <w:t>Artículo</w:t>
            </w:r>
            <w:r>
              <w:rPr>
                <w:rFonts w:ascii="Arial" w:hAnsi="Arial"/>
                <w:spacing w:val="-3"/>
                <w:sz w:val="22"/>
              </w:rPr>
              <w:t> </w:t>
            </w:r>
            <w:r>
              <w:rPr>
                <w:rFonts w:ascii="Arial" w:hAnsi="Arial"/>
                <w:sz w:val="22"/>
              </w:rPr>
              <w:t>enviado…</w:t>
            </w:r>
            <w:r>
              <w:rPr>
                <w:rFonts w:ascii="Times New Roman" w:hAnsi="Times New Roman"/>
                <w:sz w:val="22"/>
              </w:rPr>
              <w:tab/>
            </w:r>
            <w:r>
              <w:rPr>
                <w:rFonts w:ascii="Arial" w:hAnsi="Arial"/>
                <w:sz w:val="22"/>
              </w:rPr>
              <w:t>x</w:t>
            </w:r>
          </w:p>
          <w:p>
            <w:pPr>
              <w:pStyle w:val="TableParagraph"/>
              <w:numPr>
                <w:ilvl w:val="1"/>
                <w:numId w:val="2"/>
              </w:numPr>
              <w:tabs>
                <w:tab w:pos="570" w:val="left" w:leader="none"/>
                <w:tab w:pos="8576" w:val="left" w:leader="dot"/>
              </w:tabs>
              <w:spacing w:line="252" w:lineRule="exact" w:before="0" w:after="0"/>
              <w:ind w:left="569" w:right="0" w:hanging="369"/>
              <w:jc w:val="left"/>
              <w:rPr>
                <w:rFonts w:ascii="Arial"/>
                <w:sz w:val="22"/>
              </w:rPr>
            </w:pPr>
            <w:r>
              <w:rPr>
                <w:rFonts w:ascii="Arial"/>
                <w:sz w:val="22"/>
              </w:rPr>
              <w:t>Resultados</w:t>
            </w:r>
            <w:r>
              <w:rPr>
                <w:rFonts w:ascii="Arial"/>
                <w:spacing w:val="-4"/>
                <w:sz w:val="22"/>
              </w:rPr>
              <w:t> </w:t>
            </w:r>
            <w:r>
              <w:rPr>
                <w:rFonts w:ascii="Arial"/>
                <w:sz w:val="22"/>
              </w:rPr>
              <w:t>Adicionales</w:t>
            </w:r>
            <w:r>
              <w:rPr>
                <w:rFonts w:ascii="Times New Roman"/>
                <w:sz w:val="22"/>
              </w:rPr>
              <w:tab/>
            </w:r>
            <w:r>
              <w:rPr>
                <w:rFonts w:ascii="Arial"/>
                <w:sz w:val="22"/>
              </w:rPr>
              <w:t>x</w:t>
            </w:r>
          </w:p>
        </w:tc>
      </w:tr>
    </w:tbl>
    <w:p>
      <w:pPr>
        <w:tabs>
          <w:tab w:pos="638" w:val="left" w:leader="none"/>
        </w:tabs>
        <w:spacing w:before="3"/>
        <w:ind w:left="198" w:right="0" w:firstLine="0"/>
        <w:jc w:val="left"/>
        <w:rPr>
          <w:b/>
          <w:sz w:val="22"/>
        </w:rPr>
      </w:pPr>
      <w:r>
        <w:rPr>
          <w:sz w:val="22"/>
          <w:u w:val="single"/>
        </w:rPr>
        <w:t>8.</w:t>
      </w:r>
      <w:r>
        <w:rPr>
          <w:sz w:val="22"/>
        </w:rPr>
        <w:tab/>
      </w:r>
      <w:r>
        <w:rPr>
          <w:sz w:val="22"/>
          <w:u w:val="single"/>
        </w:rPr>
        <w:t>Discusión </w:t>
      </w:r>
      <w:r>
        <w:rPr>
          <w:sz w:val="22"/>
        </w:rPr>
        <w:t>......................................................................... </w:t>
      </w:r>
      <w:r>
        <w:rPr>
          <w:b/>
          <w:sz w:val="22"/>
        </w:rPr>
        <w:t>¡Error! Marcador no </w:t>
      </w:r>
      <w:r>
        <w:rPr>
          <w:b/>
          <w:spacing w:val="13"/>
          <w:sz w:val="22"/>
        </w:rPr>
        <w:t> </w:t>
      </w:r>
      <w:r>
        <w:rPr>
          <w:b/>
          <w:sz w:val="22"/>
        </w:rPr>
        <w:t>definido.</w:t>
      </w:r>
    </w:p>
    <w:p>
      <w:pPr>
        <w:tabs>
          <w:tab w:pos="638" w:val="left" w:leader="none"/>
        </w:tabs>
        <w:spacing w:before="138"/>
        <w:ind w:left="198" w:right="0" w:firstLine="0"/>
        <w:jc w:val="left"/>
        <w:rPr>
          <w:b/>
          <w:sz w:val="22"/>
        </w:rPr>
      </w:pPr>
      <w:r>
        <w:rPr>
          <w:sz w:val="22"/>
          <w:u w:val="single"/>
        </w:rPr>
        <w:t>9.</w:t>
      </w:r>
      <w:r>
        <w:rPr>
          <w:sz w:val="22"/>
        </w:rPr>
        <w:tab/>
      </w:r>
      <w:r>
        <w:rPr>
          <w:sz w:val="22"/>
          <w:u w:val="single"/>
        </w:rPr>
        <w:t>Conclusiones</w:t>
      </w:r>
      <w:r>
        <w:rPr>
          <w:sz w:val="22"/>
        </w:rPr>
        <w:t>.................................................................... </w:t>
      </w:r>
      <w:r>
        <w:rPr>
          <w:b/>
          <w:sz w:val="22"/>
        </w:rPr>
        <w:t>¡Error! Marcador no </w:t>
      </w:r>
      <w:r>
        <w:rPr>
          <w:b/>
          <w:spacing w:val="12"/>
          <w:sz w:val="22"/>
        </w:rPr>
        <w:t> </w:t>
      </w:r>
      <w:r>
        <w:rPr>
          <w:b/>
          <w:sz w:val="22"/>
        </w:rPr>
        <w:t>definido.</w:t>
      </w:r>
    </w:p>
    <w:p>
      <w:pPr>
        <w:spacing w:after="0"/>
        <w:jc w:val="left"/>
        <w:rPr>
          <w:sz w:val="22"/>
        </w:rPr>
        <w:sectPr>
          <w:headerReference w:type="default" r:id="rId8"/>
          <w:footerReference w:type="default" r:id="rId9"/>
          <w:pgSz w:w="12240" w:h="15840"/>
          <w:pgMar w:header="686" w:footer="964" w:top="1080" w:bottom="1160" w:left="1220" w:right="1560"/>
          <w:pgNumType w:start="2"/>
        </w:sectPr>
      </w:pPr>
    </w:p>
    <w:p>
      <w:pPr>
        <w:pStyle w:val="BodyText"/>
        <w:rPr>
          <w:b/>
          <w:sz w:val="20"/>
        </w:rPr>
      </w:pPr>
    </w:p>
    <w:p>
      <w:pPr>
        <w:pStyle w:val="BodyText"/>
        <w:spacing w:before="8"/>
        <w:rPr>
          <w:b/>
          <w:sz w:val="26"/>
        </w:rPr>
      </w:pPr>
    </w:p>
    <w:p>
      <w:pPr>
        <w:pStyle w:val="ListParagraph"/>
        <w:numPr>
          <w:ilvl w:val="0"/>
          <w:numId w:val="3"/>
        </w:numPr>
        <w:tabs>
          <w:tab w:pos="798" w:val="left" w:leader="none"/>
          <w:tab w:pos="799" w:val="left" w:leader="none"/>
        </w:tabs>
        <w:spacing w:line="372" w:lineRule="auto" w:before="73" w:after="0"/>
        <w:ind w:left="138" w:right="147" w:firstLine="0"/>
        <w:jc w:val="right"/>
        <w:rPr>
          <w:rFonts w:ascii="Arial" w:hAnsi="Arial"/>
          <w:b/>
          <w:sz w:val="22"/>
        </w:rPr>
      </w:pPr>
      <w:r>
        <w:rPr>
          <w:rFonts w:ascii="Arial" w:hAnsi="Arial"/>
          <w:sz w:val="22"/>
          <w:u w:val="single"/>
        </w:rPr>
        <w:t>Referencias Bibliográficas </w:t>
      </w:r>
      <w:r>
        <w:rPr>
          <w:rFonts w:ascii="Arial" w:hAnsi="Arial"/>
          <w:sz w:val="22"/>
        </w:rPr>
        <w:t>............................................ </w:t>
      </w:r>
      <w:r>
        <w:rPr>
          <w:rFonts w:ascii="Arial" w:hAnsi="Arial"/>
          <w:b/>
          <w:sz w:val="22"/>
        </w:rPr>
        <w:t>¡Error! Marcador</w:t>
      </w:r>
      <w:r>
        <w:rPr>
          <w:rFonts w:ascii="Arial" w:hAnsi="Arial"/>
          <w:b/>
          <w:spacing w:val="29"/>
          <w:sz w:val="22"/>
        </w:rPr>
        <w:t> </w:t>
      </w:r>
      <w:r>
        <w:rPr>
          <w:rFonts w:ascii="Arial" w:hAnsi="Arial"/>
          <w:b/>
          <w:sz w:val="22"/>
        </w:rPr>
        <w:t>no</w:t>
      </w:r>
      <w:r>
        <w:rPr>
          <w:rFonts w:ascii="Arial" w:hAnsi="Arial"/>
          <w:b/>
          <w:spacing w:val="3"/>
          <w:sz w:val="22"/>
        </w:rPr>
        <w:t> </w:t>
      </w:r>
      <w:r>
        <w:rPr>
          <w:rFonts w:ascii="Arial" w:hAnsi="Arial"/>
          <w:b/>
          <w:sz w:val="22"/>
        </w:rPr>
        <w:t>definido.</w:t>
      </w:r>
      <w:r>
        <w:rPr>
          <w:rFonts w:ascii="Arial" w:hAnsi="Arial"/>
          <w:b/>
          <w:w w:val="100"/>
          <w:sz w:val="22"/>
        </w:rPr>
        <w:t> </w:t>
      </w:r>
      <w:r>
        <w:rPr>
          <w:rFonts w:ascii="Arial" w:hAnsi="Arial"/>
          <w:sz w:val="22"/>
          <w:u w:val="single"/>
        </w:rPr>
        <w:t>11.</w:t>
      </w:r>
      <w:r>
        <w:rPr>
          <w:rFonts w:ascii="Arial" w:hAnsi="Arial"/>
          <w:sz w:val="22"/>
        </w:rPr>
        <w:tab/>
      </w:r>
      <w:r>
        <w:rPr>
          <w:rFonts w:ascii="Arial" w:hAnsi="Arial"/>
          <w:sz w:val="22"/>
          <w:u w:val="single"/>
        </w:rPr>
        <w:t>Anexos </w:t>
      </w:r>
      <w:r>
        <w:rPr>
          <w:rFonts w:ascii="Arial" w:hAnsi="Arial"/>
          <w:sz w:val="22"/>
        </w:rPr>
        <w:t>......................................................................... </w:t>
      </w:r>
      <w:r>
        <w:rPr>
          <w:rFonts w:ascii="Arial" w:hAnsi="Arial"/>
          <w:b/>
          <w:sz w:val="22"/>
        </w:rPr>
        <w:t>¡Error! Marcador </w:t>
      </w:r>
      <w:r>
        <w:rPr>
          <w:rFonts w:ascii="Arial" w:hAnsi="Arial"/>
          <w:b/>
          <w:spacing w:val="1"/>
          <w:sz w:val="22"/>
        </w:rPr>
        <w:t> </w:t>
      </w:r>
      <w:r>
        <w:rPr>
          <w:rFonts w:ascii="Arial" w:hAnsi="Arial"/>
          <w:b/>
          <w:sz w:val="22"/>
        </w:rPr>
        <w:t>no</w:t>
      </w:r>
      <w:r>
        <w:rPr>
          <w:rFonts w:ascii="Arial" w:hAnsi="Arial"/>
          <w:b/>
          <w:spacing w:val="13"/>
          <w:sz w:val="22"/>
        </w:rPr>
        <w:t> </w:t>
      </w:r>
      <w:r>
        <w:rPr>
          <w:rFonts w:ascii="Arial" w:hAnsi="Arial"/>
          <w:b/>
          <w:sz w:val="22"/>
        </w:rPr>
        <w:t>definido.</w:t>
      </w:r>
      <w:r>
        <w:rPr>
          <w:rFonts w:ascii="Arial" w:hAnsi="Arial"/>
          <w:b/>
          <w:w w:val="100"/>
          <w:sz w:val="22"/>
        </w:rPr>
        <w:t> </w:t>
      </w:r>
      <w:r>
        <w:rPr>
          <w:rFonts w:ascii="Arial" w:hAnsi="Arial"/>
          <w:sz w:val="22"/>
          <w:u w:val="single"/>
        </w:rPr>
        <w:t>Anexo I </w:t>
      </w:r>
      <w:r>
        <w:rPr>
          <w:rFonts w:ascii="Arial" w:hAnsi="Arial"/>
          <w:sz w:val="22"/>
        </w:rPr>
        <w:t>................................................................................ </w:t>
      </w:r>
      <w:r>
        <w:rPr>
          <w:rFonts w:ascii="Arial" w:hAnsi="Arial"/>
          <w:b/>
          <w:sz w:val="22"/>
        </w:rPr>
        <w:t>¡Error! Marcador no </w:t>
      </w:r>
      <w:r>
        <w:rPr>
          <w:rFonts w:ascii="Arial" w:hAnsi="Arial"/>
          <w:b/>
          <w:spacing w:val="13"/>
          <w:sz w:val="22"/>
        </w:rPr>
        <w:t> </w:t>
      </w:r>
      <w:r>
        <w:rPr>
          <w:rFonts w:ascii="Arial" w:hAnsi="Arial"/>
          <w:b/>
          <w:sz w:val="22"/>
        </w:rPr>
        <w:t>definido.</w:t>
      </w:r>
    </w:p>
    <w:p>
      <w:pPr>
        <w:tabs>
          <w:tab w:pos="4213" w:val="left" w:leader="dot"/>
        </w:tabs>
        <w:spacing w:line="465" w:lineRule="auto" w:before="5"/>
        <w:ind w:left="138" w:right="630" w:firstLine="0"/>
        <w:jc w:val="left"/>
        <w:rPr>
          <w:sz w:val="22"/>
        </w:rPr>
      </w:pPr>
      <w:r>
        <w:rPr>
          <w:sz w:val="22"/>
        </w:rPr>
        <w:t>Anexo II…………………………………………………………………………………………….. Anexo</w:t>
      </w:r>
      <w:r>
        <w:rPr>
          <w:spacing w:val="-1"/>
          <w:sz w:val="22"/>
        </w:rPr>
        <w:t> </w:t>
      </w:r>
      <w:r>
        <w:rPr>
          <w:sz w:val="22"/>
        </w:rPr>
        <w:t>III</w:t>
      </w:r>
      <w:r>
        <w:rPr>
          <w:rFonts w:ascii="Times New Roman" w:hAnsi="Times New Roman"/>
          <w:sz w:val="22"/>
        </w:rPr>
        <w:tab/>
      </w:r>
      <w:r>
        <w:rPr>
          <w:sz w:val="22"/>
        </w:rPr>
        <w:t>x</w:t>
      </w:r>
    </w:p>
    <w:p>
      <w:pPr>
        <w:tabs>
          <w:tab w:pos="4396" w:val="left" w:leader="dot"/>
        </w:tabs>
        <w:spacing w:before="8"/>
        <w:ind w:left="138" w:right="630" w:firstLine="0"/>
        <w:jc w:val="left"/>
        <w:rPr>
          <w:sz w:val="22"/>
        </w:rPr>
      </w:pPr>
      <w:r>
        <w:rPr>
          <w:sz w:val="22"/>
        </w:rPr>
        <w:t>Anexo</w:t>
      </w:r>
      <w:r>
        <w:rPr>
          <w:spacing w:val="-1"/>
          <w:sz w:val="22"/>
        </w:rPr>
        <w:t> </w:t>
      </w:r>
      <w:r>
        <w:rPr>
          <w:sz w:val="22"/>
        </w:rPr>
        <w:t>IV</w:t>
      </w:r>
      <w:r>
        <w:rPr>
          <w:rFonts w:ascii="Times New Roman"/>
          <w:sz w:val="22"/>
        </w:rPr>
        <w:tab/>
      </w:r>
      <w:r>
        <w:rPr>
          <w:sz w:val="22"/>
        </w:rPr>
        <w:t>x</w:t>
      </w:r>
    </w:p>
    <w:p>
      <w:pPr>
        <w:tabs>
          <w:tab w:pos="4554" w:val="left" w:leader="dot"/>
        </w:tabs>
        <w:spacing w:line="465" w:lineRule="auto" w:before="236"/>
        <w:ind w:left="138" w:right="4684" w:firstLine="0"/>
        <w:jc w:val="left"/>
        <w:rPr>
          <w:sz w:val="22"/>
        </w:rPr>
      </w:pPr>
      <w:r>
        <w:rPr>
          <w:sz w:val="22"/>
        </w:rPr>
        <w:t>Anexo V…………………………………………… Anexo</w:t>
      </w:r>
      <w:r>
        <w:rPr>
          <w:spacing w:val="-1"/>
          <w:sz w:val="22"/>
        </w:rPr>
        <w:t> </w:t>
      </w:r>
      <w:r>
        <w:rPr>
          <w:sz w:val="22"/>
        </w:rPr>
        <w:t>VI</w:t>
      </w:r>
      <w:r>
        <w:rPr>
          <w:rFonts w:ascii="Times New Roman" w:hAnsi="Times New Roman"/>
          <w:sz w:val="22"/>
        </w:rPr>
        <w:tab/>
      </w:r>
      <w:r>
        <w:rPr>
          <w:sz w:val="22"/>
        </w:rPr>
        <w:t>x</w:t>
      </w:r>
    </w:p>
    <w:p>
      <w:pPr>
        <w:spacing w:after="0" w:line="465" w:lineRule="auto"/>
        <w:jc w:val="left"/>
        <w:rPr>
          <w:sz w:val="22"/>
        </w:rPr>
        <w:sectPr>
          <w:pgSz w:w="12240" w:h="15840"/>
          <w:pgMar w:header="686" w:footer="964" w:top="1080" w:bottom="1160" w:left="1280" w:right="1560"/>
        </w:sectPr>
      </w:pPr>
    </w:p>
    <w:p>
      <w:pPr>
        <w:pStyle w:val="BodyText"/>
      </w:pPr>
    </w:p>
    <w:p>
      <w:pPr>
        <w:pStyle w:val="BodyText"/>
      </w:pPr>
    </w:p>
    <w:p>
      <w:pPr>
        <w:pStyle w:val="BodyText"/>
      </w:pPr>
    </w:p>
    <w:p>
      <w:pPr>
        <w:pStyle w:val="BodyText"/>
        <w:spacing w:before="10"/>
        <w:rPr>
          <w:sz w:val="23"/>
        </w:rPr>
      </w:pPr>
    </w:p>
    <w:p>
      <w:pPr>
        <w:pStyle w:val="Heading1"/>
        <w:ind w:left="280" w:right="630"/>
        <w:jc w:val="left"/>
      </w:pPr>
      <w:r>
        <w:rPr/>
        <w:t>Resumen</w:t>
      </w:r>
    </w:p>
    <w:p>
      <w:pPr>
        <w:pStyle w:val="BodyText"/>
        <w:rPr>
          <w:b/>
        </w:rPr>
      </w:pPr>
    </w:p>
    <w:p>
      <w:pPr>
        <w:pStyle w:val="BodyText"/>
        <w:rPr>
          <w:b/>
        </w:rPr>
      </w:pPr>
    </w:p>
    <w:p>
      <w:pPr>
        <w:pStyle w:val="BodyText"/>
        <w:rPr>
          <w:b/>
        </w:rPr>
      </w:pPr>
    </w:p>
    <w:p>
      <w:pPr>
        <w:pStyle w:val="BodyText"/>
        <w:tabs>
          <w:tab w:pos="5819" w:val="left" w:leader="none"/>
        </w:tabs>
        <w:spacing w:line="480" w:lineRule="auto"/>
        <w:ind w:left="138" w:right="135"/>
      </w:pPr>
      <w:r>
        <w:rPr>
          <w:b/>
        </w:rPr>
        <w:t>Objetivo: </w:t>
      </w:r>
      <w:r>
        <w:rPr/>
        <w:t>Construir un modelo predictivo de caries en preescolares Mazahuas del Municipio de San José del Rincón, Estado de México. </w:t>
      </w:r>
      <w:r>
        <w:rPr>
          <w:b/>
        </w:rPr>
        <w:t>Métodos: </w:t>
      </w:r>
      <w:r>
        <w:rPr/>
        <w:t>La muestra fue seleccionada por el método de muestreo no-probabilistico por conveniencia, que incluyó</w:t>
      </w:r>
      <w:r>
        <w:rPr>
          <w:spacing w:val="-4"/>
        </w:rPr>
        <w:t> </w:t>
      </w:r>
      <w:r>
        <w:rPr/>
        <w:t>131</w:t>
      </w:r>
      <w:r>
        <w:rPr>
          <w:spacing w:val="-4"/>
        </w:rPr>
        <w:t> </w:t>
      </w:r>
      <w:r>
        <w:rPr/>
        <w:t>niños</w:t>
      </w:r>
      <w:r>
        <w:rPr>
          <w:spacing w:val="-4"/>
        </w:rPr>
        <w:t> </w:t>
      </w:r>
      <w:r>
        <w:rPr/>
        <w:t>de</w:t>
      </w:r>
      <w:r>
        <w:rPr>
          <w:spacing w:val="-4"/>
        </w:rPr>
        <w:t> </w:t>
      </w:r>
      <w:r>
        <w:rPr/>
        <w:t>3</w:t>
      </w:r>
      <w:r>
        <w:rPr>
          <w:spacing w:val="-6"/>
        </w:rPr>
        <w:t> </w:t>
      </w:r>
      <w:r>
        <w:rPr/>
        <w:t>a</w:t>
      </w:r>
      <w:r>
        <w:rPr>
          <w:spacing w:val="-4"/>
        </w:rPr>
        <w:t> </w:t>
      </w:r>
      <w:r>
        <w:rPr/>
        <w:t>5</w:t>
      </w:r>
      <w:r>
        <w:rPr>
          <w:spacing w:val="-4"/>
        </w:rPr>
        <w:t> </w:t>
      </w:r>
      <w:r>
        <w:rPr/>
        <w:t>años</w:t>
      </w:r>
      <w:r>
        <w:rPr>
          <w:spacing w:val="-7"/>
        </w:rPr>
        <w:t> </w:t>
      </w:r>
      <w:r>
        <w:rPr/>
        <w:t>de</w:t>
      </w:r>
      <w:r>
        <w:rPr>
          <w:spacing w:val="-4"/>
        </w:rPr>
        <w:t> </w:t>
      </w:r>
      <w:r>
        <w:rPr/>
        <w:t>ascendencia</w:t>
      </w:r>
      <w:r>
        <w:rPr>
          <w:spacing w:val="-4"/>
        </w:rPr>
        <w:t> </w:t>
      </w:r>
      <w:r>
        <w:rPr/>
        <w:t>Mazahua</w:t>
      </w:r>
      <w:r>
        <w:rPr>
          <w:color w:val="FF0000"/>
        </w:rPr>
        <w:t>.</w:t>
      </w:r>
      <w:r>
        <w:rPr>
          <w:color w:val="FF0000"/>
          <w:spacing w:val="-4"/>
        </w:rPr>
        <w:t> </w:t>
      </w:r>
      <w:r>
        <w:rPr/>
        <w:t>La</w:t>
      </w:r>
      <w:r>
        <w:rPr>
          <w:spacing w:val="-4"/>
        </w:rPr>
        <w:t> </w:t>
      </w:r>
      <w:r>
        <w:rPr/>
        <w:t>examinación</w:t>
      </w:r>
      <w:r>
        <w:rPr>
          <w:spacing w:val="-3"/>
        </w:rPr>
        <w:t> </w:t>
      </w:r>
      <w:r>
        <w:rPr/>
        <w:t>clínica</w:t>
      </w:r>
      <w:r>
        <w:rPr>
          <w:spacing w:val="-4"/>
        </w:rPr>
        <w:t> </w:t>
      </w:r>
      <w:r>
        <w:rPr/>
        <w:t>fue realizada usando el Sistema Internacional para la Detección y Evaluación de Caries (ICDAS). La información de las variables sociodemográficas, de hábitos dietéticos, y de higiene oral se obtuvieron a través de una entrevista con los padres o cuidadores principales de los niños. Se construyó un modelo lineal automatizado para identificar los predictores. </w:t>
      </w:r>
      <w:r>
        <w:rPr>
          <w:b/>
        </w:rPr>
        <w:t>Resultados: La </w:t>
      </w:r>
      <w:r>
        <w:rPr/>
        <w:t>prevalencia de caries fue de 86.3% donde el 63.4% de</w:t>
      </w:r>
      <w:r>
        <w:rPr>
          <w:spacing w:val="-16"/>
        </w:rPr>
        <w:t> </w:t>
      </w:r>
      <w:r>
        <w:rPr/>
        <w:t>los</w:t>
      </w:r>
      <w:r>
        <w:rPr>
          <w:spacing w:val="-19"/>
        </w:rPr>
        <w:t> </w:t>
      </w:r>
      <w:r>
        <w:rPr/>
        <w:t>niños</w:t>
      </w:r>
      <w:r>
        <w:rPr>
          <w:spacing w:val="-19"/>
        </w:rPr>
        <w:t> </w:t>
      </w:r>
      <w:r>
        <w:rPr/>
        <w:t>presento</w:t>
      </w:r>
      <w:r>
        <w:rPr>
          <w:spacing w:val="-16"/>
        </w:rPr>
        <w:t> </w:t>
      </w:r>
      <w:r>
        <w:rPr/>
        <w:t>Caries</w:t>
      </w:r>
      <w:r>
        <w:rPr>
          <w:spacing w:val="-19"/>
        </w:rPr>
        <w:t> </w:t>
      </w:r>
      <w:r>
        <w:rPr/>
        <w:t>Temprana</w:t>
      </w:r>
      <w:r>
        <w:rPr>
          <w:spacing w:val="-18"/>
        </w:rPr>
        <w:t> </w:t>
      </w:r>
      <w:r>
        <w:rPr/>
        <w:t>de</w:t>
      </w:r>
      <w:r>
        <w:rPr>
          <w:spacing w:val="-18"/>
        </w:rPr>
        <w:t> </w:t>
      </w:r>
      <w:r>
        <w:rPr/>
        <w:t>la</w:t>
      </w:r>
      <w:r>
        <w:rPr>
          <w:spacing w:val="-21"/>
        </w:rPr>
        <w:t> </w:t>
      </w:r>
      <w:r>
        <w:rPr/>
        <w:t>Infancia</w:t>
      </w:r>
      <w:r>
        <w:rPr>
          <w:spacing w:val="-16"/>
        </w:rPr>
        <w:t> </w:t>
      </w:r>
      <w:r>
        <w:rPr/>
        <w:t>(CTI),</w:t>
      </w:r>
      <w:r>
        <w:rPr>
          <w:spacing w:val="-15"/>
        </w:rPr>
        <w:t> </w:t>
      </w:r>
      <w:r>
        <w:rPr/>
        <w:t>mientras</w:t>
      </w:r>
      <w:r>
        <w:rPr>
          <w:spacing w:val="-16"/>
        </w:rPr>
        <w:t> </w:t>
      </w:r>
      <w:r>
        <w:rPr/>
        <w:t>que</w:t>
      </w:r>
      <w:r>
        <w:rPr>
          <w:spacing w:val="-16"/>
        </w:rPr>
        <w:t> </w:t>
      </w:r>
      <w:r>
        <w:rPr/>
        <w:t>sólo</w:t>
      </w:r>
      <w:r>
        <w:rPr>
          <w:spacing w:val="-18"/>
        </w:rPr>
        <w:t> </w:t>
      </w:r>
      <w:r>
        <w:rPr/>
        <w:t>el</w:t>
      </w:r>
      <w:r>
        <w:rPr>
          <w:spacing w:val="-19"/>
        </w:rPr>
        <w:t> </w:t>
      </w:r>
      <w:r>
        <w:rPr/>
        <w:t>22.9% Caries  Temprana  de  la  Infancia</w:t>
      </w:r>
      <w:r>
        <w:rPr>
          <w:spacing w:val="6"/>
        </w:rPr>
        <w:t> </w:t>
      </w:r>
      <w:r>
        <w:rPr/>
        <w:t>Severa</w:t>
      </w:r>
      <w:r>
        <w:rPr>
          <w:spacing w:val="54"/>
        </w:rPr>
        <w:t> </w:t>
      </w:r>
      <w:r>
        <w:rPr/>
        <w:t>(CTI-S).</w:t>
        <w:tab/>
        <w:t>El  modelo  mostró  que</w:t>
      </w:r>
      <w:r>
        <w:rPr>
          <w:spacing w:val="13"/>
        </w:rPr>
        <w:t> </w:t>
      </w:r>
      <w:r>
        <w:rPr/>
        <w:t>el</w:t>
      </w:r>
      <w:r>
        <w:rPr>
          <w:spacing w:val="53"/>
        </w:rPr>
        <w:t> </w:t>
      </w:r>
      <w:r>
        <w:rPr/>
        <w:t>cpos depende de: número de veces que el niño está expuesto a alimentos con azúcares durante</w:t>
      </w:r>
      <w:r>
        <w:rPr>
          <w:spacing w:val="-6"/>
        </w:rPr>
        <w:t> </w:t>
      </w:r>
      <w:r>
        <w:rPr/>
        <w:t>las</w:t>
      </w:r>
      <w:r>
        <w:rPr>
          <w:spacing w:val="-6"/>
        </w:rPr>
        <w:t> </w:t>
      </w:r>
      <w:r>
        <w:rPr/>
        <w:t>comidas,</w:t>
      </w:r>
      <w:r>
        <w:rPr>
          <w:spacing w:val="-6"/>
        </w:rPr>
        <w:t> </w:t>
      </w:r>
      <w:r>
        <w:rPr/>
        <w:t>nivel</w:t>
      </w:r>
      <w:r>
        <w:rPr>
          <w:spacing w:val="-7"/>
        </w:rPr>
        <w:t> </w:t>
      </w:r>
      <w:r>
        <w:rPr/>
        <w:t>educativo</w:t>
      </w:r>
      <w:r>
        <w:rPr>
          <w:spacing w:val="-6"/>
        </w:rPr>
        <w:t> </w:t>
      </w:r>
      <w:r>
        <w:rPr/>
        <w:t>del</w:t>
      </w:r>
      <w:r>
        <w:rPr>
          <w:spacing w:val="-7"/>
        </w:rPr>
        <w:t> </w:t>
      </w:r>
      <w:r>
        <w:rPr/>
        <w:t>cuidador</w:t>
      </w:r>
      <w:r>
        <w:rPr>
          <w:spacing w:val="-7"/>
        </w:rPr>
        <w:t> </w:t>
      </w:r>
      <w:r>
        <w:rPr/>
        <w:t>principal,</w:t>
      </w:r>
      <w:r>
        <w:rPr>
          <w:spacing w:val="-7"/>
        </w:rPr>
        <w:t> </w:t>
      </w:r>
      <w:r>
        <w:rPr/>
        <w:t>presencia</w:t>
      </w:r>
      <w:r>
        <w:rPr>
          <w:spacing w:val="-6"/>
        </w:rPr>
        <w:t> </w:t>
      </w:r>
      <w:r>
        <w:rPr/>
        <w:t>de</w:t>
      </w:r>
      <w:r>
        <w:rPr>
          <w:spacing w:val="-8"/>
        </w:rPr>
        <w:t> </w:t>
      </w:r>
      <w:r>
        <w:rPr/>
        <w:t>materia</w:t>
      </w:r>
      <w:r>
        <w:rPr>
          <w:spacing w:val="-6"/>
        </w:rPr>
        <w:t> </w:t>
      </w:r>
      <w:r>
        <w:rPr/>
        <w:t>alba, uso de azúcar o miel en el biberón para alimentar al niño. </w:t>
      </w:r>
      <w:r>
        <w:rPr>
          <w:b/>
        </w:rPr>
        <w:t>Conclusiones: </w:t>
      </w:r>
      <w:r>
        <w:rPr/>
        <w:t>Alta prevalencia</w:t>
      </w:r>
      <w:r>
        <w:rPr>
          <w:spacing w:val="-5"/>
        </w:rPr>
        <w:t> </w:t>
      </w:r>
      <w:r>
        <w:rPr/>
        <w:t>de</w:t>
      </w:r>
      <w:r>
        <w:rPr>
          <w:spacing w:val="-5"/>
        </w:rPr>
        <w:t> </w:t>
      </w:r>
      <w:r>
        <w:rPr/>
        <w:t>caries</w:t>
      </w:r>
      <w:r>
        <w:rPr>
          <w:spacing w:val="-8"/>
        </w:rPr>
        <w:t> </w:t>
      </w:r>
      <w:r>
        <w:rPr/>
        <w:t>no</w:t>
      </w:r>
      <w:r>
        <w:rPr>
          <w:spacing w:val="-7"/>
        </w:rPr>
        <w:t> </w:t>
      </w:r>
      <w:r>
        <w:rPr/>
        <w:t>tratada,</w:t>
      </w:r>
      <w:r>
        <w:rPr>
          <w:spacing w:val="-7"/>
        </w:rPr>
        <w:t> </w:t>
      </w:r>
      <w:r>
        <w:rPr/>
        <w:t>el</w:t>
      </w:r>
      <w:r>
        <w:rPr>
          <w:spacing w:val="-6"/>
        </w:rPr>
        <w:t> </w:t>
      </w:r>
      <w:r>
        <w:rPr/>
        <w:t>incremento</w:t>
      </w:r>
      <w:r>
        <w:rPr>
          <w:spacing w:val="-7"/>
        </w:rPr>
        <w:t> </w:t>
      </w:r>
      <w:r>
        <w:rPr/>
        <w:t>de</w:t>
      </w:r>
      <w:r>
        <w:rPr>
          <w:spacing w:val="-5"/>
        </w:rPr>
        <w:t> </w:t>
      </w:r>
      <w:r>
        <w:rPr/>
        <w:t>cpos</w:t>
      </w:r>
      <w:r>
        <w:rPr>
          <w:spacing w:val="-8"/>
        </w:rPr>
        <w:t> </w:t>
      </w:r>
      <w:r>
        <w:rPr/>
        <w:t>en</w:t>
      </w:r>
      <w:r>
        <w:rPr>
          <w:spacing w:val="-5"/>
        </w:rPr>
        <w:t> </w:t>
      </w:r>
      <w:r>
        <w:rPr/>
        <w:t>niños</w:t>
      </w:r>
      <w:r>
        <w:rPr>
          <w:spacing w:val="-2"/>
        </w:rPr>
        <w:t> </w:t>
      </w:r>
      <w:r>
        <w:rPr/>
        <w:t>que</w:t>
      </w:r>
      <w:r>
        <w:rPr>
          <w:spacing w:val="-4"/>
        </w:rPr>
        <w:t> </w:t>
      </w:r>
      <w:r>
        <w:rPr/>
        <w:t>se</w:t>
      </w:r>
      <w:r>
        <w:rPr>
          <w:spacing w:val="-7"/>
        </w:rPr>
        <w:t> </w:t>
      </w:r>
      <w:r>
        <w:rPr/>
        <w:t>exponen</w:t>
      </w:r>
      <w:r>
        <w:rPr>
          <w:spacing w:val="-7"/>
        </w:rPr>
        <w:t> </w:t>
      </w:r>
      <w:r>
        <w:rPr/>
        <w:t>más veces a azúcares durante las comidas con presencia de </w:t>
      </w:r>
      <w:r>
        <w:rPr>
          <w:i/>
        </w:rPr>
        <w:t>materia alba </w:t>
      </w:r>
      <w:r>
        <w:rPr/>
        <w:t>y aquellos a quienes les dieron biberón y le agregaron azúcar o miel. El cpos fue menor entre los cuidadores principales con mayor nivel</w:t>
      </w:r>
      <w:r>
        <w:rPr>
          <w:spacing w:val="-20"/>
        </w:rPr>
        <w:t> </w:t>
      </w:r>
      <w:r>
        <w:rPr/>
        <w:t>educativo.</w:t>
      </w:r>
    </w:p>
    <w:p>
      <w:pPr>
        <w:spacing w:after="0" w:line="480" w:lineRule="auto"/>
        <w:sectPr>
          <w:pgSz w:w="12240" w:h="15840"/>
          <w:pgMar w:header="686" w:footer="964" w:top="1080" w:bottom="1160" w:left="128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1"/>
        <w:ind w:left="3419" w:right="3282"/>
        <w:jc w:val="center"/>
      </w:pPr>
      <w:r>
        <w:rPr/>
        <w:t>Introducción</w:t>
      </w:r>
    </w:p>
    <w:p>
      <w:pPr>
        <w:pStyle w:val="BodyText"/>
        <w:rPr>
          <w:b/>
        </w:rPr>
      </w:pPr>
    </w:p>
    <w:p>
      <w:pPr>
        <w:pStyle w:val="BodyText"/>
        <w:rPr>
          <w:b/>
        </w:rPr>
      </w:pPr>
    </w:p>
    <w:p>
      <w:pPr>
        <w:pStyle w:val="BodyText"/>
        <w:rPr>
          <w:b/>
        </w:rPr>
      </w:pPr>
    </w:p>
    <w:p>
      <w:pPr>
        <w:pStyle w:val="BodyText"/>
        <w:spacing w:line="480" w:lineRule="auto"/>
        <w:ind w:left="138" w:right="135"/>
        <w:jc w:val="both"/>
        <w:rPr>
          <w:sz w:val="16"/>
        </w:rPr>
      </w:pPr>
      <w:r>
        <w:rPr/>
        <w:t>En el desarrollo de las lesiones de caries dental, tres factores son indispensables: bacterias (placa dental) carbohidratos (dieta) y diente susceptible. El proceso esencialmente involucra la desmineralización del esmalte del diente debido a altas concentraciones de ácidos orgánicos producidos por bacterias de la placa dental al contacto con los carbohidratos.</w:t>
      </w:r>
      <w:r>
        <w:rPr>
          <w:position w:val="8"/>
          <w:sz w:val="16"/>
        </w:rPr>
        <w:t>1,6 </w:t>
      </w:r>
      <w:r>
        <w:rPr/>
        <w:t>Es ampliamente reconocido que la caries es una enfermedad que puede ser prevenida con la aplicación de diversas estrategias, como los fluoruros los cuales han sido ampliamente estudiados, uso de selladores, control de dieta  y control de placa. </w:t>
      </w:r>
      <w:r>
        <w:rPr>
          <w:position w:val="8"/>
          <w:sz w:val="16"/>
        </w:rPr>
        <w:t>7-11</w:t>
      </w:r>
    </w:p>
    <w:p>
      <w:pPr>
        <w:pStyle w:val="BodyText"/>
        <w:spacing w:line="477" w:lineRule="auto"/>
        <w:ind w:left="138" w:right="134"/>
        <w:jc w:val="both"/>
        <w:rPr>
          <w:sz w:val="16"/>
        </w:rPr>
      </w:pPr>
      <w:r>
        <w:rPr/>
        <w:t>A pesar de amplio conocimiento en la prevención de la caries dental, continúa siendo uno de los principales problemas de salud pública a nivel mundial, afectando a un 60- 90%</w:t>
      </w:r>
      <w:r>
        <w:rPr>
          <w:spacing w:val="-7"/>
        </w:rPr>
        <w:t> </w:t>
      </w:r>
      <w:r>
        <w:rPr/>
        <w:t>de</w:t>
      </w:r>
      <w:r>
        <w:rPr>
          <w:spacing w:val="-6"/>
        </w:rPr>
        <w:t> </w:t>
      </w:r>
      <w:r>
        <w:rPr/>
        <w:t>los</w:t>
      </w:r>
      <w:r>
        <w:rPr>
          <w:spacing w:val="-6"/>
        </w:rPr>
        <w:t> </w:t>
      </w:r>
      <w:r>
        <w:rPr/>
        <w:t>niños</w:t>
      </w:r>
      <w:r>
        <w:rPr>
          <w:spacing w:val="-9"/>
        </w:rPr>
        <w:t> </w:t>
      </w:r>
      <w:r>
        <w:rPr/>
        <w:t>en</w:t>
      </w:r>
      <w:r>
        <w:rPr>
          <w:spacing w:val="-6"/>
        </w:rPr>
        <w:t> </w:t>
      </w:r>
      <w:r>
        <w:rPr/>
        <w:t>edad</w:t>
      </w:r>
      <w:r>
        <w:rPr>
          <w:spacing w:val="-8"/>
        </w:rPr>
        <w:t> </w:t>
      </w:r>
      <w:r>
        <w:rPr/>
        <w:t>escolar</w:t>
      </w:r>
      <w:r>
        <w:rPr>
          <w:spacing w:val="-7"/>
        </w:rPr>
        <w:t> </w:t>
      </w:r>
      <w:r>
        <w:rPr/>
        <w:t>y</w:t>
      </w:r>
      <w:r>
        <w:rPr>
          <w:spacing w:val="-9"/>
        </w:rPr>
        <w:t> </w:t>
      </w:r>
      <w:r>
        <w:rPr/>
        <w:t>a</w:t>
      </w:r>
      <w:r>
        <w:rPr>
          <w:spacing w:val="-6"/>
        </w:rPr>
        <w:t> </w:t>
      </w:r>
      <w:r>
        <w:rPr/>
        <w:t>la</w:t>
      </w:r>
      <w:r>
        <w:rPr>
          <w:spacing w:val="-6"/>
        </w:rPr>
        <w:t> </w:t>
      </w:r>
      <w:r>
        <w:rPr/>
        <w:t>gran</w:t>
      </w:r>
      <w:r>
        <w:rPr>
          <w:spacing w:val="-8"/>
        </w:rPr>
        <w:t> </w:t>
      </w:r>
      <w:r>
        <w:rPr/>
        <w:t>mayoría</w:t>
      </w:r>
      <w:r>
        <w:rPr>
          <w:spacing w:val="-6"/>
        </w:rPr>
        <w:t> </w:t>
      </w:r>
      <w:r>
        <w:rPr/>
        <w:t>de</w:t>
      </w:r>
      <w:r>
        <w:rPr>
          <w:spacing w:val="-6"/>
        </w:rPr>
        <w:t> </w:t>
      </w:r>
      <w:r>
        <w:rPr/>
        <w:t>los</w:t>
      </w:r>
      <w:r>
        <w:rPr>
          <w:spacing w:val="-6"/>
        </w:rPr>
        <w:t> </w:t>
      </w:r>
      <w:r>
        <w:rPr/>
        <w:t>adultos,</w:t>
      </w:r>
      <w:r>
        <w:rPr>
          <w:spacing w:val="-20"/>
        </w:rPr>
        <w:t> </w:t>
      </w:r>
      <w:r>
        <w:rPr>
          <w:position w:val="8"/>
          <w:sz w:val="16"/>
        </w:rPr>
        <w:t>12</w:t>
      </w:r>
      <w:r>
        <w:rPr>
          <w:spacing w:val="15"/>
          <w:position w:val="8"/>
          <w:sz w:val="16"/>
        </w:rPr>
        <w:t> </w:t>
      </w:r>
      <w:r>
        <w:rPr/>
        <w:t>aun</w:t>
      </w:r>
      <w:r>
        <w:rPr>
          <w:spacing w:val="-6"/>
        </w:rPr>
        <w:t> </w:t>
      </w:r>
      <w:r>
        <w:rPr/>
        <w:t>cuando</w:t>
      </w:r>
      <w:r>
        <w:rPr>
          <w:spacing w:val="-6"/>
        </w:rPr>
        <w:t> </w:t>
      </w:r>
      <w:r>
        <w:rPr/>
        <w:t>se han reportado disminuciones en su prevalencia en diferentes países, </w:t>
      </w:r>
      <w:r>
        <w:rPr>
          <w:position w:val="8"/>
          <w:sz w:val="16"/>
        </w:rPr>
        <w:t>13-21 </w:t>
      </w:r>
      <w:r>
        <w:rPr/>
        <w:t>es una de las enfermedades bucales de mayor prevalencia en la infancia observándose que la edad de mayor riesgo para el desarrollo de lesiones en dentición temporal se encuentra entre el primer y segundo año de vida.</w:t>
      </w:r>
      <w:r>
        <w:rPr>
          <w:spacing w:val="-16"/>
        </w:rPr>
        <w:t> </w:t>
      </w:r>
      <w:r>
        <w:rPr>
          <w:position w:val="8"/>
          <w:sz w:val="16"/>
        </w:rPr>
        <w:t>3</w:t>
      </w:r>
    </w:p>
    <w:p>
      <w:pPr>
        <w:pStyle w:val="BodyText"/>
        <w:spacing w:line="475" w:lineRule="auto" w:before="3"/>
        <w:ind w:left="138" w:right="145"/>
        <w:jc w:val="both"/>
        <w:rPr>
          <w:sz w:val="16"/>
        </w:rPr>
      </w:pPr>
      <w:r>
        <w:rPr/>
        <w:t>Los reportes en la prevalencia de caries en México en niños de 1 a 6 años fue de 22.1%,</w:t>
      </w:r>
      <w:r>
        <w:rPr>
          <w:position w:val="8"/>
          <w:sz w:val="16"/>
        </w:rPr>
        <w:t>22 </w:t>
      </w:r>
      <w:r>
        <w:rPr/>
        <w:t>otro reporte, en Campeche, respecto a la severidad de caries indica que el 77.3% se ubica en el nivel de severidad I en niños de 3 a 6 años.</w:t>
      </w:r>
      <w:r>
        <w:rPr>
          <w:position w:val="8"/>
          <w:sz w:val="16"/>
        </w:rPr>
        <w:t>23</w:t>
      </w:r>
    </w:p>
    <w:p>
      <w:pPr>
        <w:spacing w:after="0" w:line="475" w:lineRule="auto"/>
        <w:jc w:val="both"/>
        <w:rPr>
          <w:sz w:val="16"/>
        </w:rPr>
        <w:sectPr>
          <w:pgSz w:w="12240" w:h="15840"/>
          <w:pgMar w:header="686" w:footer="964" w:top="1080" w:bottom="1160" w:left="128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spacing w:line="477" w:lineRule="auto" w:before="69"/>
        <w:ind w:left="138" w:right="135"/>
        <w:jc w:val="both"/>
        <w:rPr>
          <w:sz w:val="16"/>
        </w:rPr>
      </w:pPr>
      <w:r>
        <w:rPr/>
        <w:t>De acuerdo al Sistema Internacional para la Detección y Evaluación de Caries (The International Caries Detection and Assessment System, por sus siglas en inglés ICDAS). Se ha reportado una prevalencia en otros países del 95.6%,</w:t>
      </w:r>
      <w:r>
        <w:rPr>
          <w:position w:val="8"/>
          <w:sz w:val="16"/>
        </w:rPr>
        <w:t>24 </w:t>
      </w:r>
      <w:r>
        <w:rPr/>
        <w:t>en niños de 6 a</w:t>
      </w:r>
      <w:r>
        <w:rPr>
          <w:spacing w:val="-6"/>
        </w:rPr>
        <w:t> </w:t>
      </w:r>
      <w:r>
        <w:rPr/>
        <w:t>7</w:t>
      </w:r>
      <w:r>
        <w:rPr>
          <w:spacing w:val="-8"/>
        </w:rPr>
        <w:t> </w:t>
      </w:r>
      <w:r>
        <w:rPr/>
        <w:t>años,</w:t>
      </w:r>
      <w:r>
        <w:rPr>
          <w:spacing w:val="-9"/>
        </w:rPr>
        <w:t> </w:t>
      </w:r>
      <w:r>
        <w:rPr/>
        <w:t>por</w:t>
      </w:r>
      <w:r>
        <w:rPr>
          <w:spacing w:val="-10"/>
        </w:rPr>
        <w:t> </w:t>
      </w:r>
      <w:r>
        <w:rPr/>
        <w:t>otra</w:t>
      </w:r>
      <w:r>
        <w:rPr>
          <w:spacing w:val="-8"/>
        </w:rPr>
        <w:t> </w:t>
      </w:r>
      <w:r>
        <w:rPr/>
        <w:t>parte</w:t>
      </w:r>
      <w:r>
        <w:rPr>
          <w:spacing w:val="-6"/>
        </w:rPr>
        <w:t> </w:t>
      </w:r>
      <w:r>
        <w:rPr/>
        <w:t>en</w:t>
      </w:r>
      <w:r>
        <w:rPr>
          <w:spacing w:val="-8"/>
        </w:rPr>
        <w:t> </w:t>
      </w:r>
      <w:r>
        <w:rPr/>
        <w:t>niños</w:t>
      </w:r>
      <w:r>
        <w:rPr>
          <w:spacing w:val="-9"/>
        </w:rPr>
        <w:t> </w:t>
      </w:r>
      <w:r>
        <w:rPr/>
        <w:t>de</w:t>
      </w:r>
      <w:r>
        <w:rPr>
          <w:spacing w:val="-8"/>
        </w:rPr>
        <w:t> </w:t>
      </w:r>
      <w:r>
        <w:rPr/>
        <w:t>1</w:t>
      </w:r>
      <w:r>
        <w:rPr>
          <w:spacing w:val="-8"/>
        </w:rPr>
        <w:t> </w:t>
      </w:r>
      <w:r>
        <w:rPr/>
        <w:t>a</w:t>
      </w:r>
      <w:r>
        <w:rPr>
          <w:spacing w:val="-8"/>
        </w:rPr>
        <w:t> </w:t>
      </w:r>
      <w:r>
        <w:rPr/>
        <w:t>4.9</w:t>
      </w:r>
      <w:r>
        <w:rPr>
          <w:spacing w:val="-8"/>
        </w:rPr>
        <w:t> </w:t>
      </w:r>
      <w:r>
        <w:rPr/>
        <w:t>años</w:t>
      </w:r>
      <w:r>
        <w:rPr>
          <w:spacing w:val="-9"/>
        </w:rPr>
        <w:t> </w:t>
      </w:r>
      <w:r>
        <w:rPr/>
        <w:t>el</w:t>
      </w:r>
      <w:r>
        <w:rPr>
          <w:spacing w:val="-10"/>
        </w:rPr>
        <w:t> </w:t>
      </w:r>
      <w:r>
        <w:rPr/>
        <w:t>91%</w:t>
      </w:r>
      <w:r>
        <w:rPr>
          <w:spacing w:val="-9"/>
        </w:rPr>
        <w:t> </w:t>
      </w:r>
      <w:r>
        <w:rPr/>
        <w:t>de</w:t>
      </w:r>
      <w:r>
        <w:rPr>
          <w:spacing w:val="-6"/>
        </w:rPr>
        <w:t> </w:t>
      </w:r>
      <w:r>
        <w:rPr/>
        <w:t>las</w:t>
      </w:r>
      <w:r>
        <w:rPr>
          <w:spacing w:val="-9"/>
        </w:rPr>
        <w:t> </w:t>
      </w:r>
      <w:r>
        <w:rPr/>
        <w:t>superficies</w:t>
      </w:r>
      <w:r>
        <w:rPr>
          <w:spacing w:val="-9"/>
        </w:rPr>
        <w:t> </w:t>
      </w:r>
      <w:r>
        <w:rPr/>
        <w:t>se</w:t>
      </w:r>
      <w:r>
        <w:rPr>
          <w:spacing w:val="-8"/>
        </w:rPr>
        <w:t> </w:t>
      </w:r>
      <w:r>
        <w:rPr/>
        <w:t>encontró sanas</w:t>
      </w:r>
      <w:r>
        <w:rPr>
          <w:spacing w:val="-4"/>
        </w:rPr>
        <w:t> </w:t>
      </w:r>
      <w:r>
        <w:rPr/>
        <w:t>disminuyendo</w:t>
      </w:r>
      <w:r>
        <w:rPr>
          <w:spacing w:val="-4"/>
        </w:rPr>
        <w:t> </w:t>
      </w:r>
      <w:r>
        <w:rPr/>
        <w:t>a</w:t>
      </w:r>
      <w:r>
        <w:rPr>
          <w:spacing w:val="-6"/>
        </w:rPr>
        <w:t> </w:t>
      </w:r>
      <w:r>
        <w:rPr/>
        <w:t>medida</w:t>
      </w:r>
      <w:r>
        <w:rPr>
          <w:spacing w:val="-4"/>
        </w:rPr>
        <w:t> </w:t>
      </w:r>
      <w:r>
        <w:rPr/>
        <w:t>que</w:t>
      </w:r>
      <w:r>
        <w:rPr>
          <w:spacing w:val="-4"/>
        </w:rPr>
        <w:t> </w:t>
      </w:r>
      <w:r>
        <w:rPr/>
        <w:t>avanza</w:t>
      </w:r>
      <w:r>
        <w:rPr>
          <w:spacing w:val="-4"/>
        </w:rPr>
        <w:t> </w:t>
      </w:r>
      <w:r>
        <w:rPr/>
        <w:t>la</w:t>
      </w:r>
      <w:r>
        <w:rPr>
          <w:spacing w:val="-4"/>
        </w:rPr>
        <w:t> </w:t>
      </w:r>
      <w:r>
        <w:rPr/>
        <w:t>edad</w:t>
      </w:r>
      <w:r>
        <w:rPr>
          <w:spacing w:val="-4"/>
        </w:rPr>
        <w:t> </w:t>
      </w:r>
      <w:r>
        <w:rPr/>
        <w:t>hasta</w:t>
      </w:r>
      <w:r>
        <w:rPr>
          <w:spacing w:val="-4"/>
        </w:rPr>
        <w:t> </w:t>
      </w:r>
      <w:r>
        <w:rPr/>
        <w:t>un</w:t>
      </w:r>
      <w:r>
        <w:rPr>
          <w:spacing w:val="-4"/>
        </w:rPr>
        <w:t> </w:t>
      </w:r>
      <w:r>
        <w:rPr/>
        <w:t>87.7%</w:t>
      </w:r>
      <w:r>
        <w:rPr>
          <w:spacing w:val="-7"/>
        </w:rPr>
        <w:t> </w:t>
      </w:r>
      <w:r>
        <w:rPr/>
        <w:t>a</w:t>
      </w:r>
      <w:r>
        <w:rPr>
          <w:spacing w:val="-4"/>
        </w:rPr>
        <w:t> </w:t>
      </w:r>
      <w:r>
        <w:rPr/>
        <w:t>los</w:t>
      </w:r>
      <w:r>
        <w:rPr>
          <w:spacing w:val="-4"/>
        </w:rPr>
        <w:t> </w:t>
      </w:r>
      <w:r>
        <w:rPr/>
        <w:t>59</w:t>
      </w:r>
      <w:r>
        <w:rPr>
          <w:spacing w:val="-4"/>
        </w:rPr>
        <w:t> </w:t>
      </w:r>
      <w:r>
        <w:rPr/>
        <w:t>meses,</w:t>
      </w:r>
      <w:r>
        <w:rPr>
          <w:spacing w:val="-4"/>
        </w:rPr>
        <w:t> </w:t>
      </w:r>
      <w:r>
        <w:rPr/>
        <w:t>el código 6 (cavidad detectable extensa con dentina visible) fue del 15.65% , mientras que el 26.9 con código 1 (Primer cambio visual en el esmalte).</w:t>
      </w:r>
      <w:r>
        <w:rPr>
          <w:position w:val="8"/>
          <w:sz w:val="16"/>
        </w:rPr>
        <w:t>25 </w:t>
      </w:r>
      <w:r>
        <w:rPr/>
        <w:t>Otro reporte en niños de 5 años indica que el 86.0 % de los niños tenía lesiones de caries cavitadas y no cavitadas, con una prevalencia de lesiones en cavitadas dentinales del 48% y de lesiones no cavitadas en esmalte el 71%.</w:t>
      </w:r>
      <w:r>
        <w:rPr>
          <w:spacing w:val="-14"/>
        </w:rPr>
        <w:t> </w:t>
      </w:r>
      <w:r>
        <w:rPr>
          <w:position w:val="8"/>
          <w:sz w:val="16"/>
        </w:rPr>
        <w:t>26</w:t>
      </w:r>
    </w:p>
    <w:p>
      <w:pPr>
        <w:pStyle w:val="BodyText"/>
        <w:spacing w:line="477" w:lineRule="auto" w:before="3"/>
        <w:ind w:left="138" w:right="136"/>
        <w:jc w:val="both"/>
      </w:pPr>
      <w:r>
        <w:rPr/>
        <w:t>En México los estudios epidemiológicos se ha centrado en evaluar la prevalencia de caries en escolares de 6 a 12 años, </w:t>
      </w:r>
      <w:r>
        <w:rPr>
          <w:position w:val="8"/>
          <w:sz w:val="16"/>
        </w:rPr>
        <w:t>20,21 </w:t>
      </w:r>
      <w:r>
        <w:rPr/>
        <w:t>sin embargo no existe suficiente información respecto a los niños de 3 a 5 años </w:t>
      </w:r>
      <w:r>
        <w:rPr>
          <w:position w:val="8"/>
          <w:sz w:val="16"/>
        </w:rPr>
        <w:t>22,23 </w:t>
      </w:r>
      <w:r>
        <w:rPr/>
        <w:t>y menos aún respecto a los predictores de caries en una comunidad Mazahua. Por lo que el objetivo del presente estudio fue construir un modelo predictivo de caries en preescolares Mazahuas del Municipio de San José del Rincón, Estado de México.</w:t>
      </w:r>
    </w:p>
    <w:p>
      <w:pPr>
        <w:pStyle w:val="BodyText"/>
        <w:spacing w:line="480" w:lineRule="auto" w:before="10"/>
        <w:ind w:left="138" w:right="134"/>
        <w:jc w:val="both"/>
      </w:pPr>
      <w:r>
        <w:rPr/>
        <w:t>La muestra fue seleccionada por el método de muestreo no-probabilistico por conveniencia, que incluyó 131 niños de 3 a 5 años de ascendencia Mazahua</w:t>
      </w:r>
      <w:r>
        <w:rPr>
          <w:color w:val="FF0000"/>
        </w:rPr>
        <w:t>. </w:t>
      </w:r>
      <w:r>
        <w:rPr/>
        <w:t>La examinación clínica fue realizada usando el Sistema Internacional para la</w:t>
      </w:r>
      <w:r>
        <w:rPr>
          <w:spacing w:val="-46"/>
        </w:rPr>
        <w:t> </w:t>
      </w:r>
      <w:r>
        <w:rPr/>
        <w:t>Detección y Evaluación de Caries (ICDAS).</w:t>
      </w:r>
      <w:r>
        <w:rPr>
          <w:position w:val="8"/>
          <w:sz w:val="16"/>
        </w:rPr>
        <w:t>27</w:t>
      </w:r>
      <w:r>
        <w:rPr/>
        <w:t>Los resultados mostraron una prevalencia de caries del</w:t>
      </w:r>
      <w:r>
        <w:rPr>
          <w:spacing w:val="-12"/>
        </w:rPr>
        <w:t> </w:t>
      </w:r>
      <w:r>
        <w:rPr/>
        <w:t>86.3%</w:t>
      </w:r>
      <w:r>
        <w:rPr>
          <w:spacing w:val="-11"/>
        </w:rPr>
        <w:t> </w:t>
      </w:r>
      <w:r>
        <w:rPr/>
        <w:t>donde</w:t>
      </w:r>
      <w:r>
        <w:rPr>
          <w:spacing w:val="-11"/>
        </w:rPr>
        <w:t> </w:t>
      </w:r>
      <w:r>
        <w:rPr/>
        <w:t>el</w:t>
      </w:r>
      <w:r>
        <w:rPr>
          <w:spacing w:val="-12"/>
        </w:rPr>
        <w:t> </w:t>
      </w:r>
      <w:r>
        <w:rPr/>
        <w:t>63.4%</w:t>
      </w:r>
      <w:r>
        <w:rPr>
          <w:spacing w:val="-11"/>
        </w:rPr>
        <w:t> </w:t>
      </w:r>
      <w:r>
        <w:rPr/>
        <w:t>de</w:t>
      </w:r>
      <w:r>
        <w:rPr>
          <w:spacing w:val="-11"/>
        </w:rPr>
        <w:t> </w:t>
      </w:r>
      <w:r>
        <w:rPr/>
        <w:t>los</w:t>
      </w:r>
      <w:r>
        <w:rPr>
          <w:spacing w:val="-11"/>
        </w:rPr>
        <w:t> </w:t>
      </w:r>
      <w:r>
        <w:rPr/>
        <w:t>niños</w:t>
      </w:r>
      <w:r>
        <w:rPr>
          <w:spacing w:val="-12"/>
        </w:rPr>
        <w:t> </w:t>
      </w:r>
      <w:r>
        <w:rPr/>
        <w:t>presento</w:t>
      </w:r>
      <w:r>
        <w:rPr>
          <w:spacing w:val="-7"/>
        </w:rPr>
        <w:t> </w:t>
      </w:r>
      <w:r>
        <w:rPr/>
        <w:t>Caries</w:t>
      </w:r>
      <w:r>
        <w:rPr>
          <w:spacing w:val="-14"/>
        </w:rPr>
        <w:t> </w:t>
      </w:r>
      <w:r>
        <w:rPr/>
        <w:t>Temprana</w:t>
      </w:r>
      <w:r>
        <w:rPr>
          <w:spacing w:val="-11"/>
        </w:rPr>
        <w:t> </w:t>
      </w:r>
      <w:r>
        <w:rPr/>
        <w:t>de</w:t>
      </w:r>
      <w:r>
        <w:rPr>
          <w:spacing w:val="-11"/>
        </w:rPr>
        <w:t> </w:t>
      </w:r>
      <w:r>
        <w:rPr/>
        <w:t>la</w:t>
      </w:r>
      <w:r>
        <w:rPr>
          <w:spacing w:val="-11"/>
        </w:rPr>
        <w:t> </w:t>
      </w:r>
      <w:r>
        <w:rPr/>
        <w:t>Infancia</w:t>
      </w:r>
      <w:r>
        <w:rPr>
          <w:spacing w:val="-11"/>
        </w:rPr>
        <w:t> </w:t>
      </w:r>
      <w:r>
        <w:rPr/>
        <w:t>(CTI),</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BodyText"/>
        <w:spacing w:line="480" w:lineRule="auto" w:before="69"/>
        <w:ind w:left="138" w:right="135"/>
        <w:jc w:val="both"/>
      </w:pPr>
      <w:r>
        <w:rPr/>
        <w:t>mientras</w:t>
      </w:r>
      <w:r>
        <w:rPr>
          <w:spacing w:val="-12"/>
        </w:rPr>
        <w:t> </w:t>
      </w:r>
      <w:r>
        <w:rPr/>
        <w:t>que</w:t>
      </w:r>
      <w:r>
        <w:rPr>
          <w:spacing w:val="-11"/>
        </w:rPr>
        <w:t> </w:t>
      </w:r>
      <w:r>
        <w:rPr/>
        <w:t>sólo</w:t>
      </w:r>
      <w:r>
        <w:rPr>
          <w:spacing w:val="-11"/>
        </w:rPr>
        <w:t> </w:t>
      </w:r>
      <w:r>
        <w:rPr/>
        <w:t>el</w:t>
      </w:r>
      <w:r>
        <w:rPr>
          <w:spacing w:val="-13"/>
        </w:rPr>
        <w:t> </w:t>
      </w:r>
      <w:r>
        <w:rPr/>
        <w:t>22.9%</w:t>
      </w:r>
      <w:r>
        <w:rPr>
          <w:spacing w:val="-11"/>
        </w:rPr>
        <w:t> </w:t>
      </w:r>
      <w:r>
        <w:rPr/>
        <w:t>Caries</w:t>
      </w:r>
      <w:r>
        <w:rPr>
          <w:spacing w:val="-13"/>
        </w:rPr>
        <w:t> </w:t>
      </w:r>
      <w:r>
        <w:rPr/>
        <w:t>Temprana</w:t>
      </w:r>
      <w:r>
        <w:rPr>
          <w:spacing w:val="-14"/>
        </w:rPr>
        <w:t> </w:t>
      </w:r>
      <w:r>
        <w:rPr/>
        <w:t>de</w:t>
      </w:r>
      <w:r>
        <w:rPr>
          <w:spacing w:val="-11"/>
        </w:rPr>
        <w:t> </w:t>
      </w:r>
      <w:r>
        <w:rPr/>
        <w:t>la</w:t>
      </w:r>
      <w:r>
        <w:rPr>
          <w:spacing w:val="-13"/>
        </w:rPr>
        <w:t> </w:t>
      </w:r>
      <w:r>
        <w:rPr/>
        <w:t>Infancia</w:t>
      </w:r>
      <w:r>
        <w:rPr>
          <w:spacing w:val="-13"/>
        </w:rPr>
        <w:t> </w:t>
      </w:r>
      <w:r>
        <w:rPr/>
        <w:t>Severa</w:t>
      </w:r>
      <w:r>
        <w:rPr>
          <w:spacing w:val="-11"/>
        </w:rPr>
        <w:t> </w:t>
      </w:r>
      <w:r>
        <w:rPr/>
        <w:t>(CTI-S).</w:t>
      </w:r>
      <w:r>
        <w:rPr>
          <w:spacing w:val="43"/>
        </w:rPr>
        <w:t> </w:t>
      </w:r>
      <w:r>
        <w:rPr/>
        <w:t>El</w:t>
      </w:r>
      <w:r>
        <w:rPr>
          <w:spacing w:val="-12"/>
        </w:rPr>
        <w:t> </w:t>
      </w:r>
      <w:r>
        <w:rPr/>
        <w:t>modelo mostró que el cpos depende de: número de veces que el niño está expuesto a alimentos con azúcares durante las comidas, nivel educativo del cuidador principal, presencia de materia alba, uso de azúcar o miel en el biberón para alimentar al</w:t>
      </w:r>
      <w:r>
        <w:rPr>
          <w:spacing w:val="-30"/>
        </w:rPr>
        <w:t> </w:t>
      </w:r>
      <w:r>
        <w:rPr/>
        <w:t>niño</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5"/>
        <w:rPr>
          <w:sz w:val="27"/>
        </w:rPr>
      </w:pPr>
    </w:p>
    <w:p>
      <w:pPr>
        <w:pStyle w:val="Heading1"/>
        <w:numPr>
          <w:ilvl w:val="1"/>
          <w:numId w:val="3"/>
        </w:numPr>
        <w:tabs>
          <w:tab w:pos="4121" w:val="left" w:leader="none"/>
        </w:tabs>
        <w:spacing w:line="240" w:lineRule="auto" w:before="70" w:after="0"/>
        <w:ind w:left="4120" w:right="0" w:hanging="271"/>
        <w:jc w:val="left"/>
      </w:pPr>
      <w:r>
        <w:rPr/>
        <w:t>Antecedentes</w:t>
      </w:r>
    </w:p>
    <w:p>
      <w:pPr>
        <w:pStyle w:val="BodyText"/>
        <w:spacing w:before="2"/>
        <w:rPr>
          <w:b/>
          <w:sz w:val="23"/>
        </w:rPr>
      </w:pPr>
    </w:p>
    <w:p>
      <w:pPr>
        <w:spacing w:before="69"/>
        <w:ind w:left="280" w:right="630" w:firstLine="0"/>
        <w:jc w:val="left"/>
        <w:rPr>
          <w:b/>
          <w:sz w:val="24"/>
        </w:rPr>
      </w:pPr>
      <w:r>
        <w:rPr>
          <w:b/>
          <w:sz w:val="24"/>
        </w:rPr>
        <w:t>1.1. Generalidades</w:t>
      </w:r>
    </w:p>
    <w:p>
      <w:pPr>
        <w:pStyle w:val="BodyText"/>
        <w:rPr>
          <w:b/>
        </w:rPr>
      </w:pPr>
    </w:p>
    <w:p>
      <w:pPr>
        <w:pStyle w:val="BodyText"/>
        <w:spacing w:line="480" w:lineRule="auto"/>
        <w:ind w:left="138" w:right="135"/>
        <w:jc w:val="both"/>
        <w:rPr>
          <w:sz w:val="16"/>
        </w:rPr>
      </w:pPr>
      <w:r>
        <w:rPr/>
        <w:t>En el desarrollo de las lesiones de caries dental, tres factores son indispensables: bacterias (placa dental) carbohidratos (dieta) y diente susceptible. El proceso esencialmente involucra la desmineralización del esmalte del diente debido a altas concentraciones de ácidos orgánicos producidos por bacterias de la placa dental al contacto con los carbohidratos. Los primeros microorganismos que estuvieron implicados como agentes cariogénicos específicos fueron los Lactobacilos. Su transferencia</w:t>
      </w:r>
      <w:r>
        <w:rPr>
          <w:spacing w:val="-19"/>
        </w:rPr>
        <w:t> </w:t>
      </w:r>
      <w:r>
        <w:rPr/>
        <w:t>como</w:t>
      </w:r>
      <w:r>
        <w:rPr>
          <w:spacing w:val="-21"/>
        </w:rPr>
        <w:t> </w:t>
      </w:r>
      <w:r>
        <w:rPr/>
        <w:t>el</w:t>
      </w:r>
      <w:r>
        <w:rPr>
          <w:spacing w:val="-20"/>
        </w:rPr>
        <w:t> </w:t>
      </w:r>
      <w:r>
        <w:rPr/>
        <w:t>mayor</w:t>
      </w:r>
      <w:r>
        <w:rPr>
          <w:spacing w:val="-20"/>
        </w:rPr>
        <w:t> </w:t>
      </w:r>
      <w:r>
        <w:rPr/>
        <w:t>agente</w:t>
      </w:r>
      <w:r>
        <w:rPr>
          <w:spacing w:val="-21"/>
        </w:rPr>
        <w:t> </w:t>
      </w:r>
      <w:r>
        <w:rPr/>
        <w:t>etiológico,</w:t>
      </w:r>
      <w:r>
        <w:rPr>
          <w:spacing w:val="-21"/>
        </w:rPr>
        <w:t> </w:t>
      </w:r>
      <w:r>
        <w:rPr/>
        <w:t>fue</w:t>
      </w:r>
      <w:r>
        <w:rPr>
          <w:spacing w:val="-19"/>
        </w:rPr>
        <w:t> </w:t>
      </w:r>
      <w:r>
        <w:rPr/>
        <w:t>seguido</w:t>
      </w:r>
      <w:r>
        <w:rPr>
          <w:spacing w:val="-21"/>
        </w:rPr>
        <w:t> </w:t>
      </w:r>
      <w:r>
        <w:rPr/>
        <w:t>por</w:t>
      </w:r>
      <w:r>
        <w:rPr>
          <w:spacing w:val="-20"/>
        </w:rPr>
        <w:t> </w:t>
      </w:r>
      <w:r>
        <w:rPr/>
        <w:t>un</w:t>
      </w:r>
      <w:r>
        <w:rPr>
          <w:spacing w:val="-21"/>
        </w:rPr>
        <w:t> </w:t>
      </w:r>
      <w:r>
        <w:rPr/>
        <w:t>período</w:t>
      </w:r>
      <w:r>
        <w:rPr>
          <w:spacing w:val="-19"/>
        </w:rPr>
        <w:t> </w:t>
      </w:r>
      <w:r>
        <w:rPr/>
        <w:t>denominado etiología bacteriana no específica (MacDonal,1960), mientras que durante los 1960s, el concepto de la etiología de una bacteria específica fue retomada con el redescubrimiento del </w:t>
      </w:r>
      <w:r>
        <w:rPr>
          <w:i/>
        </w:rPr>
        <w:t>Streptococo</w:t>
      </w:r>
      <w:r>
        <w:rPr>
          <w:i/>
          <w:spacing w:val="-8"/>
        </w:rPr>
        <w:t> </w:t>
      </w:r>
      <w:r>
        <w:rPr>
          <w:i/>
        </w:rPr>
        <w:t>mutans.</w:t>
      </w:r>
      <w:r>
        <w:rPr>
          <w:position w:val="8"/>
          <w:sz w:val="16"/>
        </w:rPr>
        <w:t>1-6</w:t>
      </w:r>
    </w:p>
    <w:p>
      <w:pPr>
        <w:pStyle w:val="BodyText"/>
        <w:spacing w:line="477" w:lineRule="auto" w:before="3"/>
        <w:ind w:left="138" w:right="138"/>
        <w:jc w:val="both"/>
        <w:rPr>
          <w:sz w:val="16"/>
        </w:rPr>
      </w:pPr>
      <w:r>
        <w:rPr/>
        <w:t>El papel de los carbohidratos en la etiología de caries dental ha sido ampliamente estudiado así como la importancia de la adecuada nutrición desde la formación del diente y como parte de la salud general.</w:t>
      </w:r>
      <w:r>
        <w:rPr>
          <w:position w:val="8"/>
          <w:sz w:val="16"/>
        </w:rPr>
        <w:t>28-29</w:t>
      </w:r>
    </w:p>
    <w:p>
      <w:pPr>
        <w:pStyle w:val="BodyText"/>
        <w:spacing w:line="480" w:lineRule="auto" w:before="3"/>
        <w:ind w:left="138" w:right="138"/>
        <w:jc w:val="both"/>
      </w:pPr>
      <w:r>
        <w:rPr/>
        <w:t>Dentro</w:t>
      </w:r>
      <w:r>
        <w:rPr>
          <w:spacing w:val="-9"/>
        </w:rPr>
        <w:t> </w:t>
      </w:r>
      <w:r>
        <w:rPr/>
        <w:t>de</w:t>
      </w:r>
      <w:r>
        <w:rPr>
          <w:spacing w:val="-8"/>
        </w:rPr>
        <w:t> </w:t>
      </w:r>
      <w:r>
        <w:rPr/>
        <w:t>los</w:t>
      </w:r>
      <w:r>
        <w:rPr>
          <w:spacing w:val="-11"/>
        </w:rPr>
        <w:t> </w:t>
      </w:r>
      <w:r>
        <w:rPr/>
        <w:t>factores</w:t>
      </w:r>
      <w:r>
        <w:rPr>
          <w:spacing w:val="-11"/>
        </w:rPr>
        <w:t> </w:t>
      </w:r>
      <w:r>
        <w:rPr/>
        <w:t>del</w:t>
      </w:r>
      <w:r>
        <w:rPr>
          <w:spacing w:val="-10"/>
        </w:rPr>
        <w:t> </w:t>
      </w:r>
      <w:r>
        <w:rPr/>
        <w:t>huésped</w:t>
      </w:r>
      <w:r>
        <w:rPr>
          <w:spacing w:val="-8"/>
        </w:rPr>
        <w:t> </w:t>
      </w:r>
      <w:r>
        <w:rPr/>
        <w:t>en</w:t>
      </w:r>
      <w:r>
        <w:rPr>
          <w:spacing w:val="-8"/>
        </w:rPr>
        <w:t> </w:t>
      </w:r>
      <w:r>
        <w:rPr/>
        <w:t>el</w:t>
      </w:r>
      <w:r>
        <w:rPr>
          <w:spacing w:val="-10"/>
        </w:rPr>
        <w:t> </w:t>
      </w:r>
      <w:r>
        <w:rPr/>
        <w:t>desarrollo</w:t>
      </w:r>
      <w:r>
        <w:rPr>
          <w:spacing w:val="-8"/>
        </w:rPr>
        <w:t> </w:t>
      </w:r>
      <w:r>
        <w:rPr/>
        <w:t>de</w:t>
      </w:r>
      <w:r>
        <w:rPr>
          <w:spacing w:val="-8"/>
        </w:rPr>
        <w:t> </w:t>
      </w:r>
      <w:r>
        <w:rPr/>
        <w:t>lesiones</w:t>
      </w:r>
      <w:r>
        <w:rPr>
          <w:spacing w:val="-12"/>
        </w:rPr>
        <w:t> </w:t>
      </w:r>
      <w:r>
        <w:rPr/>
        <w:t>de</w:t>
      </w:r>
      <w:r>
        <w:rPr>
          <w:spacing w:val="-1"/>
        </w:rPr>
        <w:t> </w:t>
      </w:r>
      <w:r>
        <w:rPr/>
        <w:t>caries</w:t>
      </w:r>
      <w:r>
        <w:rPr>
          <w:spacing w:val="-9"/>
        </w:rPr>
        <w:t> </w:t>
      </w:r>
      <w:r>
        <w:rPr/>
        <w:t>se</w:t>
      </w:r>
      <w:r>
        <w:rPr>
          <w:spacing w:val="-8"/>
        </w:rPr>
        <w:t> </w:t>
      </w:r>
      <w:r>
        <w:rPr/>
        <w:t>encuentra la estructura del esmalte y sus propiedades químicas. Cuando el esmalte está expuesto a un ácido débil una lesión puede ocurrir. Las lesiones pueden variar en profundidad</w:t>
      </w:r>
      <w:r>
        <w:rPr>
          <w:spacing w:val="-19"/>
        </w:rPr>
        <w:t> </w:t>
      </w:r>
      <w:r>
        <w:rPr/>
        <w:t>dependiendo</w:t>
      </w:r>
      <w:r>
        <w:rPr>
          <w:spacing w:val="-19"/>
        </w:rPr>
        <w:t> </w:t>
      </w:r>
      <w:r>
        <w:rPr/>
        <w:t>de</w:t>
      </w:r>
      <w:r>
        <w:rPr>
          <w:spacing w:val="-17"/>
        </w:rPr>
        <w:t> </w:t>
      </w:r>
      <w:r>
        <w:rPr/>
        <w:t>las</w:t>
      </w:r>
      <w:r>
        <w:rPr>
          <w:spacing w:val="-17"/>
        </w:rPr>
        <w:t> </w:t>
      </w:r>
      <w:r>
        <w:rPr/>
        <w:t>propiedades</w:t>
      </w:r>
      <w:r>
        <w:rPr>
          <w:spacing w:val="-22"/>
        </w:rPr>
        <w:t> </w:t>
      </w:r>
      <w:r>
        <w:rPr/>
        <w:t>del</w:t>
      </w:r>
      <w:r>
        <w:rPr>
          <w:spacing w:val="-18"/>
        </w:rPr>
        <w:t> </w:t>
      </w:r>
      <w:r>
        <w:rPr/>
        <w:t>esmalte</w:t>
      </w:r>
      <w:r>
        <w:rPr>
          <w:spacing w:val="-19"/>
        </w:rPr>
        <w:t> </w:t>
      </w:r>
      <w:r>
        <w:rPr/>
        <w:t>del</w:t>
      </w:r>
      <w:r>
        <w:rPr>
          <w:spacing w:val="-20"/>
        </w:rPr>
        <w:t> </w:t>
      </w:r>
      <w:r>
        <w:rPr/>
        <w:t>diente.</w:t>
      </w:r>
      <w:r>
        <w:rPr>
          <w:spacing w:val="-11"/>
        </w:rPr>
        <w:t> </w:t>
      </w:r>
      <w:r>
        <w:rPr>
          <w:position w:val="8"/>
          <w:sz w:val="16"/>
        </w:rPr>
        <w:t>30</w:t>
      </w:r>
      <w:r>
        <w:rPr>
          <w:spacing w:val="-12"/>
          <w:position w:val="8"/>
          <w:sz w:val="16"/>
        </w:rPr>
        <w:t> </w:t>
      </w:r>
      <w:r>
        <w:rPr/>
        <w:t>Así</w:t>
      </w:r>
      <w:r>
        <w:rPr>
          <w:spacing w:val="-19"/>
        </w:rPr>
        <w:t> </w:t>
      </w:r>
      <w:r>
        <w:rPr/>
        <w:t>mismo</w:t>
      </w:r>
      <w:r>
        <w:rPr>
          <w:spacing w:val="-19"/>
        </w:rPr>
        <w:t> </w:t>
      </w:r>
      <w:r>
        <w:rPr/>
        <w:t>otros factores involucrados, como la morfología del diente y composición de la saliva y la capacidad amortiguadora pueden influir en el desarrollo de lesiones de</w:t>
      </w:r>
      <w:r>
        <w:rPr>
          <w:spacing w:val="-37"/>
        </w:rPr>
        <w:t> </w:t>
      </w:r>
      <w:r>
        <w:rPr/>
        <w:t>caries.</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BodyText"/>
        <w:spacing w:line="480" w:lineRule="auto" w:before="69"/>
        <w:ind w:left="138" w:right="135"/>
        <w:rPr>
          <w:sz w:val="16"/>
        </w:rPr>
      </w:pPr>
      <w:r>
        <w:rPr/>
        <w:t>Es ampliamente conocido que la caries es una enfermedad que puede </w:t>
      </w:r>
      <w:r>
        <w:rPr>
          <w:spacing w:val="3"/>
        </w:rPr>
        <w:t>ser </w:t>
      </w:r>
      <w:r>
        <w:rPr/>
        <w:t>prevenida con la aplicación de diversas estrategias, como los fluoruros los cuales han sido ampliamente estudiados, uso de selladores, control de dieta y control de placa. </w:t>
      </w:r>
      <w:r>
        <w:rPr>
          <w:position w:val="8"/>
          <w:sz w:val="16"/>
        </w:rPr>
        <w:t>7-11 </w:t>
      </w:r>
      <w:r>
        <w:rPr/>
        <w:t>Sin embargo la caries dental es una de las enfermedades bucales de mayor prevalencia en la infancia, se ha observado que la edad de mayor riesgo para el desarrollo de lesiones de caries en dentición temporal se encuentra entre el primer y segundo</w:t>
      </w:r>
      <w:r>
        <w:rPr>
          <w:spacing w:val="-11"/>
        </w:rPr>
        <w:t> </w:t>
      </w:r>
      <w:r>
        <w:rPr/>
        <w:t>año</w:t>
      </w:r>
      <w:r>
        <w:rPr>
          <w:spacing w:val="-9"/>
        </w:rPr>
        <w:t> </w:t>
      </w:r>
      <w:r>
        <w:rPr/>
        <w:t>de</w:t>
      </w:r>
      <w:r>
        <w:rPr>
          <w:spacing w:val="-11"/>
        </w:rPr>
        <w:t> </w:t>
      </w:r>
      <w:r>
        <w:rPr/>
        <w:t>vida.</w:t>
      </w:r>
      <w:r>
        <w:rPr>
          <w:spacing w:val="-10"/>
        </w:rPr>
        <w:t> </w:t>
      </w:r>
      <w:r>
        <w:rPr/>
        <w:t>Los</w:t>
      </w:r>
      <w:r>
        <w:rPr>
          <w:spacing w:val="-10"/>
        </w:rPr>
        <w:t> </w:t>
      </w:r>
      <w:r>
        <w:rPr/>
        <w:t>estudios</w:t>
      </w:r>
      <w:r>
        <w:rPr>
          <w:spacing w:val="-11"/>
        </w:rPr>
        <w:t> </w:t>
      </w:r>
      <w:r>
        <w:rPr/>
        <w:t>al</w:t>
      </w:r>
      <w:r>
        <w:rPr>
          <w:spacing w:val="-11"/>
        </w:rPr>
        <w:t> </w:t>
      </w:r>
      <w:r>
        <w:rPr/>
        <w:t>respecto</w:t>
      </w:r>
      <w:r>
        <w:rPr>
          <w:spacing w:val="-9"/>
        </w:rPr>
        <w:t> </w:t>
      </w:r>
      <w:r>
        <w:rPr/>
        <w:t>han</w:t>
      </w:r>
      <w:r>
        <w:rPr>
          <w:spacing w:val="-9"/>
        </w:rPr>
        <w:t> </w:t>
      </w:r>
      <w:r>
        <w:rPr/>
        <w:t>mostrado</w:t>
      </w:r>
      <w:r>
        <w:rPr>
          <w:spacing w:val="-9"/>
        </w:rPr>
        <w:t> </w:t>
      </w:r>
      <w:r>
        <w:rPr/>
        <w:t>que</w:t>
      </w:r>
      <w:r>
        <w:rPr>
          <w:spacing w:val="-9"/>
        </w:rPr>
        <w:t> </w:t>
      </w:r>
      <w:r>
        <w:rPr/>
        <w:t>las</w:t>
      </w:r>
      <w:r>
        <w:rPr>
          <w:spacing w:val="-10"/>
        </w:rPr>
        <w:t> </w:t>
      </w:r>
      <w:r>
        <w:rPr/>
        <w:t>madres</w:t>
      </w:r>
      <w:r>
        <w:rPr>
          <w:spacing w:val="-10"/>
        </w:rPr>
        <w:t> </w:t>
      </w:r>
      <w:r>
        <w:rPr/>
        <w:t>con</w:t>
      </w:r>
      <w:r>
        <w:rPr>
          <w:spacing w:val="-9"/>
        </w:rPr>
        <w:t> </w:t>
      </w:r>
      <w:r>
        <w:rPr/>
        <w:t>altos niveles estreptococo mutans en saliva frecuentemente transmiten el SM a sus bebes tan</w:t>
      </w:r>
      <w:r>
        <w:rPr>
          <w:spacing w:val="-11"/>
        </w:rPr>
        <w:t> </w:t>
      </w:r>
      <w:r>
        <w:rPr/>
        <w:t>pronto</w:t>
      </w:r>
      <w:r>
        <w:rPr>
          <w:spacing w:val="-10"/>
        </w:rPr>
        <w:t> </w:t>
      </w:r>
      <w:r>
        <w:rPr/>
        <w:t>como</w:t>
      </w:r>
      <w:r>
        <w:rPr>
          <w:spacing w:val="-11"/>
        </w:rPr>
        <w:t> </w:t>
      </w:r>
      <w:r>
        <w:rPr/>
        <w:t>el</w:t>
      </w:r>
      <w:r>
        <w:rPr>
          <w:spacing w:val="-12"/>
        </w:rPr>
        <w:t> </w:t>
      </w:r>
      <w:r>
        <w:rPr/>
        <w:t>primer</w:t>
      </w:r>
      <w:r>
        <w:rPr>
          <w:spacing w:val="-12"/>
        </w:rPr>
        <w:t> </w:t>
      </w:r>
      <w:r>
        <w:rPr/>
        <w:t>diente</w:t>
      </w:r>
      <w:r>
        <w:rPr>
          <w:spacing w:val="-10"/>
        </w:rPr>
        <w:t> </w:t>
      </w:r>
      <w:r>
        <w:rPr/>
        <w:t>erupciona,</w:t>
      </w:r>
      <w:r>
        <w:rPr>
          <w:spacing w:val="-9"/>
        </w:rPr>
        <w:t> </w:t>
      </w:r>
      <w:r>
        <w:rPr/>
        <w:t>lo</w:t>
      </w:r>
      <w:r>
        <w:rPr>
          <w:spacing w:val="-8"/>
        </w:rPr>
        <w:t> </w:t>
      </w:r>
      <w:r>
        <w:rPr/>
        <w:t>anterior</w:t>
      </w:r>
      <w:r>
        <w:rPr>
          <w:spacing w:val="-12"/>
        </w:rPr>
        <w:t> </w:t>
      </w:r>
      <w:r>
        <w:rPr/>
        <w:t>aunado</w:t>
      </w:r>
      <w:r>
        <w:rPr>
          <w:spacing w:val="-11"/>
        </w:rPr>
        <w:t> </w:t>
      </w:r>
      <w:r>
        <w:rPr/>
        <w:t>a</w:t>
      </w:r>
      <w:r>
        <w:rPr>
          <w:spacing w:val="-11"/>
        </w:rPr>
        <w:t> </w:t>
      </w:r>
      <w:r>
        <w:rPr/>
        <w:t>al</w:t>
      </w:r>
      <w:r>
        <w:rPr>
          <w:spacing w:val="-14"/>
        </w:rPr>
        <w:t> </w:t>
      </w:r>
      <w:r>
        <w:rPr/>
        <w:t>uso</w:t>
      </w:r>
      <w:r>
        <w:rPr>
          <w:spacing w:val="-11"/>
        </w:rPr>
        <w:t> </w:t>
      </w:r>
      <w:r>
        <w:rPr/>
        <w:t>de</w:t>
      </w:r>
      <w:r>
        <w:rPr>
          <w:spacing w:val="-11"/>
        </w:rPr>
        <w:t> </w:t>
      </w:r>
      <w:r>
        <w:rPr/>
        <w:t>bebidas</w:t>
      </w:r>
      <w:r>
        <w:rPr>
          <w:spacing w:val="-9"/>
        </w:rPr>
        <w:t> </w:t>
      </w:r>
      <w:r>
        <w:rPr/>
        <w:t>con azúcar en la mamila, higiene deficiente, malos hábitos dietéticos, sin exposición a fluoruro, maduración del esmalte, sistema inmune inmaduro de 1 a 3 años (inmunoglobulinas salivales)</w:t>
      </w:r>
      <w:r>
        <w:rPr>
          <w:spacing w:val="-9"/>
        </w:rPr>
        <w:t> </w:t>
      </w:r>
      <w:r>
        <w:rPr>
          <w:position w:val="8"/>
          <w:sz w:val="16"/>
        </w:rPr>
        <w:t>7</w:t>
      </w:r>
    </w:p>
    <w:p>
      <w:pPr>
        <w:pStyle w:val="BodyText"/>
        <w:rPr>
          <w:sz w:val="26"/>
        </w:rPr>
      </w:pPr>
    </w:p>
    <w:p>
      <w:pPr>
        <w:pStyle w:val="BodyText"/>
        <w:spacing w:before="9"/>
        <w:rPr>
          <w:sz w:val="21"/>
        </w:rPr>
      </w:pPr>
    </w:p>
    <w:p>
      <w:pPr>
        <w:pStyle w:val="Heading1"/>
        <w:numPr>
          <w:ilvl w:val="1"/>
          <w:numId w:val="4"/>
        </w:numPr>
        <w:tabs>
          <w:tab w:pos="543" w:val="left" w:leader="none"/>
        </w:tabs>
        <w:spacing w:line="240" w:lineRule="auto" w:before="1" w:after="0"/>
        <w:ind w:left="542" w:right="0" w:hanging="404"/>
        <w:jc w:val="both"/>
      </w:pPr>
      <w:r>
        <w:rPr/>
        <w:t>Cambios en la Prevalencia de</w:t>
      </w:r>
      <w:r>
        <w:rPr>
          <w:spacing w:val="-14"/>
        </w:rPr>
        <w:t> </w:t>
      </w:r>
      <w:r>
        <w:rPr/>
        <w:t>Caries</w:t>
      </w:r>
    </w:p>
    <w:p>
      <w:pPr>
        <w:pStyle w:val="BodyText"/>
        <w:rPr>
          <w:b/>
        </w:rPr>
      </w:pPr>
    </w:p>
    <w:p>
      <w:pPr>
        <w:pStyle w:val="BodyText"/>
        <w:spacing w:line="477" w:lineRule="auto"/>
        <w:ind w:left="138" w:right="140"/>
        <w:jc w:val="both"/>
        <w:rPr>
          <w:sz w:val="16"/>
        </w:rPr>
      </w:pPr>
      <w:r>
        <w:rPr/>
        <w:t>La caries dental continúa siendo uno de los principales problemas de salud pública a nivel mundial afectando 60-90% de los escolares.</w:t>
      </w:r>
      <w:r>
        <w:rPr>
          <w:position w:val="8"/>
          <w:sz w:val="16"/>
        </w:rPr>
        <w:t>12 </w:t>
      </w:r>
      <w:r>
        <w:rPr/>
        <w:t>En Europa se observado una disminución en la prevalencia de caries sustancial, sin embargo el incremento de la migración se ha identificado como un nuevo factor importante para el incrementó de los índices de caries diversos países europeos.</w:t>
      </w:r>
      <w:r>
        <w:rPr>
          <w:position w:val="8"/>
          <w:sz w:val="16"/>
        </w:rPr>
        <w:t>13-15</w:t>
      </w:r>
    </w:p>
    <w:p>
      <w:pPr>
        <w:pStyle w:val="BodyText"/>
        <w:spacing w:line="477" w:lineRule="auto" w:before="3"/>
        <w:ind w:left="138" w:right="144"/>
        <w:jc w:val="both"/>
        <w:rPr>
          <w:sz w:val="16"/>
        </w:rPr>
      </w:pPr>
      <w:r>
        <w:rPr/>
        <w:t>En Estados Unidos desde los 70s se ha notado una disminución en el número de dientes</w:t>
      </w:r>
      <w:r>
        <w:rPr>
          <w:spacing w:val="-7"/>
        </w:rPr>
        <w:t> </w:t>
      </w:r>
      <w:r>
        <w:rPr/>
        <w:t>cariados,</w:t>
      </w:r>
      <w:r>
        <w:rPr>
          <w:spacing w:val="-9"/>
        </w:rPr>
        <w:t> </w:t>
      </w:r>
      <w:r>
        <w:rPr/>
        <w:t>perdidos</w:t>
      </w:r>
      <w:r>
        <w:rPr>
          <w:spacing w:val="-7"/>
        </w:rPr>
        <w:t> </w:t>
      </w:r>
      <w:r>
        <w:rPr/>
        <w:t>y</w:t>
      </w:r>
      <w:r>
        <w:rPr>
          <w:spacing w:val="-9"/>
        </w:rPr>
        <w:t> </w:t>
      </w:r>
      <w:r>
        <w:rPr/>
        <w:t>obturados</w:t>
      </w:r>
      <w:r>
        <w:rPr>
          <w:spacing w:val="-9"/>
        </w:rPr>
        <w:t> </w:t>
      </w:r>
      <w:r>
        <w:rPr/>
        <w:t>en</w:t>
      </w:r>
      <w:r>
        <w:rPr>
          <w:spacing w:val="-8"/>
        </w:rPr>
        <w:t> </w:t>
      </w:r>
      <w:r>
        <w:rPr/>
        <w:t>los</w:t>
      </w:r>
      <w:r>
        <w:rPr>
          <w:spacing w:val="-9"/>
        </w:rPr>
        <w:t> </w:t>
      </w:r>
      <w:r>
        <w:rPr/>
        <w:t>dientes</w:t>
      </w:r>
      <w:r>
        <w:rPr>
          <w:spacing w:val="-7"/>
        </w:rPr>
        <w:t> </w:t>
      </w:r>
      <w:r>
        <w:rPr/>
        <w:t>permanentes,</w:t>
      </w:r>
      <w:r>
        <w:rPr>
          <w:spacing w:val="-11"/>
        </w:rPr>
        <w:t> </w:t>
      </w:r>
      <w:r>
        <w:rPr/>
        <w:t>sin</w:t>
      </w:r>
      <w:r>
        <w:rPr>
          <w:spacing w:val="-6"/>
        </w:rPr>
        <w:t> </w:t>
      </w:r>
      <w:r>
        <w:rPr/>
        <w:t>embargo</w:t>
      </w:r>
      <w:r>
        <w:rPr>
          <w:spacing w:val="-6"/>
        </w:rPr>
        <w:t> </w:t>
      </w:r>
      <w:r>
        <w:rPr/>
        <w:t>en</w:t>
      </w:r>
      <w:r>
        <w:rPr>
          <w:spacing w:val="-6"/>
        </w:rPr>
        <w:t> </w:t>
      </w:r>
      <w:r>
        <w:rPr/>
        <w:t>la dentición primaria 2-5 años se ha se ha incrementado, sobre todo en los niños cuyos padres tienen  bajos</w:t>
      </w:r>
      <w:r>
        <w:rPr>
          <w:spacing w:val="-12"/>
        </w:rPr>
        <w:t> </w:t>
      </w:r>
      <w:r>
        <w:rPr/>
        <w:t>ingresos.</w:t>
      </w:r>
      <w:r>
        <w:rPr>
          <w:position w:val="8"/>
          <w:sz w:val="16"/>
        </w:rPr>
        <w:t>16-18</w:t>
      </w:r>
    </w:p>
    <w:p>
      <w:pPr>
        <w:spacing w:after="0" w:line="477" w:lineRule="auto"/>
        <w:jc w:val="both"/>
        <w:rPr>
          <w:sz w:val="16"/>
        </w:rPr>
        <w:sectPr>
          <w:pgSz w:w="12240" w:h="15840"/>
          <w:pgMar w:header="686" w:footer="964" w:top="1080" w:bottom="1160" w:left="1280" w:right="1560"/>
        </w:sectPr>
      </w:pPr>
    </w:p>
    <w:p>
      <w:pPr>
        <w:pStyle w:val="BodyText"/>
        <w:rPr>
          <w:sz w:val="20"/>
        </w:rPr>
      </w:pPr>
    </w:p>
    <w:p>
      <w:pPr>
        <w:pStyle w:val="BodyText"/>
        <w:spacing w:before="11"/>
        <w:rPr>
          <w:sz w:val="25"/>
        </w:rPr>
      </w:pPr>
    </w:p>
    <w:p>
      <w:pPr>
        <w:pStyle w:val="BodyText"/>
        <w:spacing w:line="477" w:lineRule="auto" w:before="79"/>
        <w:ind w:left="138" w:right="141"/>
        <w:jc w:val="both"/>
        <w:rPr>
          <w:sz w:val="16"/>
        </w:rPr>
      </w:pPr>
      <w:r>
        <w:rPr/>
        <w:t>En diversos países de América Latina</w:t>
      </w:r>
      <w:r>
        <w:rPr>
          <w:position w:val="8"/>
          <w:sz w:val="16"/>
        </w:rPr>
        <w:t>19 </w:t>
      </w:r>
      <w:r>
        <w:rPr/>
        <w:t>se han observado disminuciones en la prevalencia de caries después de la fluoración de la sal de mesa, en México también se han observado disminuciones en la prevalencia de caries en dentición permanente.</w:t>
      </w:r>
      <w:r>
        <w:rPr>
          <w:position w:val="8"/>
          <w:sz w:val="16"/>
        </w:rPr>
        <w:t>20-21</w:t>
      </w:r>
    </w:p>
    <w:p>
      <w:pPr>
        <w:pStyle w:val="BodyText"/>
        <w:rPr>
          <w:sz w:val="26"/>
        </w:rPr>
      </w:pPr>
    </w:p>
    <w:p>
      <w:pPr>
        <w:pStyle w:val="BodyText"/>
        <w:spacing w:before="3"/>
        <w:rPr>
          <w:sz w:val="22"/>
        </w:rPr>
      </w:pPr>
    </w:p>
    <w:p>
      <w:pPr>
        <w:pStyle w:val="Heading1"/>
        <w:numPr>
          <w:ilvl w:val="1"/>
          <w:numId w:val="4"/>
        </w:numPr>
        <w:tabs>
          <w:tab w:pos="543" w:val="left" w:leader="none"/>
        </w:tabs>
        <w:spacing w:line="240" w:lineRule="auto" w:before="0" w:after="0"/>
        <w:ind w:left="542" w:right="0" w:hanging="404"/>
        <w:jc w:val="both"/>
      </w:pPr>
      <w:r>
        <w:rPr/>
        <w:t>Prevalencia de Caries en</w:t>
      </w:r>
      <w:r>
        <w:rPr>
          <w:spacing w:val="-12"/>
        </w:rPr>
        <w:t> </w:t>
      </w:r>
      <w:r>
        <w:rPr/>
        <w:t>México</w:t>
      </w:r>
    </w:p>
    <w:p>
      <w:pPr>
        <w:pStyle w:val="BodyText"/>
        <w:rPr>
          <w:b/>
        </w:rPr>
      </w:pPr>
    </w:p>
    <w:p>
      <w:pPr>
        <w:pStyle w:val="BodyText"/>
        <w:spacing w:line="475" w:lineRule="auto"/>
        <w:ind w:left="138" w:right="145"/>
        <w:jc w:val="both"/>
        <w:rPr>
          <w:sz w:val="16"/>
        </w:rPr>
      </w:pPr>
      <w:r>
        <w:rPr/>
        <w:t>Los reportes en la prevalencia de caries en México en niños de 1 a 6 años fue de 22.1%,</w:t>
      </w:r>
      <w:r>
        <w:rPr>
          <w:position w:val="8"/>
          <w:sz w:val="16"/>
        </w:rPr>
        <w:t>22 </w:t>
      </w:r>
      <w:r>
        <w:rPr/>
        <w:t>otro reporte, en Campeche, respecto a la severidad de caries indica que el 77.3% se ubica en el nivel de severidad I en niños de 3 a 6 años.</w:t>
      </w:r>
      <w:r>
        <w:rPr>
          <w:position w:val="8"/>
          <w:sz w:val="16"/>
        </w:rPr>
        <w:t>23</w:t>
      </w:r>
    </w:p>
    <w:p>
      <w:pPr>
        <w:pStyle w:val="BodyText"/>
        <w:rPr>
          <w:sz w:val="26"/>
        </w:rPr>
      </w:pPr>
    </w:p>
    <w:p>
      <w:pPr>
        <w:pStyle w:val="BodyText"/>
        <w:spacing w:before="5"/>
        <w:rPr>
          <w:sz w:val="22"/>
        </w:rPr>
      </w:pPr>
    </w:p>
    <w:p>
      <w:pPr>
        <w:pStyle w:val="Heading1"/>
        <w:numPr>
          <w:ilvl w:val="1"/>
          <w:numId w:val="4"/>
        </w:numPr>
        <w:tabs>
          <w:tab w:pos="543" w:val="left" w:leader="none"/>
        </w:tabs>
        <w:spacing w:line="240" w:lineRule="auto" w:before="1" w:after="0"/>
        <w:ind w:left="542" w:right="0" w:hanging="404"/>
        <w:jc w:val="both"/>
      </w:pPr>
      <w:r>
        <w:rPr/>
        <w:t>Experiencia a Caries Dental con</w:t>
      </w:r>
      <w:r>
        <w:rPr>
          <w:spacing w:val="-16"/>
        </w:rPr>
        <w:t> </w:t>
      </w:r>
      <w:r>
        <w:rPr/>
        <w:t>ICDAS</w:t>
      </w:r>
    </w:p>
    <w:p>
      <w:pPr>
        <w:pStyle w:val="BodyText"/>
        <w:spacing w:before="6"/>
        <w:rPr>
          <w:b/>
          <w:sz w:val="23"/>
        </w:rPr>
      </w:pPr>
    </w:p>
    <w:p>
      <w:pPr>
        <w:pStyle w:val="BodyText"/>
        <w:spacing w:line="480" w:lineRule="auto"/>
        <w:ind w:left="138" w:right="138"/>
        <w:jc w:val="both"/>
      </w:pPr>
      <w:r>
        <w:rPr/>
        <w:t>La</w:t>
      </w:r>
      <w:r>
        <w:rPr>
          <w:spacing w:val="-13"/>
        </w:rPr>
        <w:t> </w:t>
      </w:r>
      <w:r>
        <w:rPr/>
        <w:t>prevalencia</w:t>
      </w:r>
      <w:r>
        <w:rPr>
          <w:spacing w:val="-13"/>
        </w:rPr>
        <w:t> </w:t>
      </w:r>
      <w:r>
        <w:rPr/>
        <w:t>de</w:t>
      </w:r>
      <w:r>
        <w:rPr>
          <w:spacing w:val="-13"/>
        </w:rPr>
        <w:t> </w:t>
      </w:r>
      <w:r>
        <w:rPr/>
        <w:t>caries</w:t>
      </w:r>
      <w:r>
        <w:rPr>
          <w:spacing w:val="-14"/>
        </w:rPr>
        <w:t> </w:t>
      </w:r>
      <w:r>
        <w:rPr/>
        <w:t>en</w:t>
      </w:r>
      <w:r>
        <w:rPr>
          <w:spacing w:val="-13"/>
        </w:rPr>
        <w:t> </w:t>
      </w:r>
      <w:r>
        <w:rPr/>
        <w:t>dentición</w:t>
      </w:r>
      <w:r>
        <w:rPr>
          <w:spacing w:val="-13"/>
        </w:rPr>
        <w:t> </w:t>
      </w:r>
      <w:r>
        <w:rPr/>
        <w:t>primaria</w:t>
      </w:r>
      <w:r>
        <w:rPr>
          <w:spacing w:val="41"/>
        </w:rPr>
        <w:t> </w:t>
      </w:r>
      <w:r>
        <w:rPr/>
        <w:t>fue</w:t>
      </w:r>
      <w:r>
        <w:rPr>
          <w:spacing w:val="-13"/>
        </w:rPr>
        <w:t> </w:t>
      </w:r>
      <w:r>
        <w:rPr/>
        <w:t>de</w:t>
      </w:r>
      <w:r>
        <w:rPr>
          <w:spacing w:val="-13"/>
        </w:rPr>
        <w:t> </w:t>
      </w:r>
      <w:r>
        <w:rPr/>
        <w:t>95.6%,</w:t>
      </w:r>
      <w:r>
        <w:rPr>
          <w:position w:val="8"/>
          <w:sz w:val="16"/>
        </w:rPr>
        <w:t>24</w:t>
      </w:r>
      <w:r>
        <w:rPr>
          <w:spacing w:val="17"/>
          <w:position w:val="8"/>
          <w:sz w:val="16"/>
        </w:rPr>
        <w:t> </w:t>
      </w:r>
      <w:r>
        <w:rPr/>
        <w:t>en</w:t>
      </w:r>
      <w:r>
        <w:rPr>
          <w:spacing w:val="-13"/>
        </w:rPr>
        <w:t> </w:t>
      </w:r>
      <w:r>
        <w:rPr/>
        <w:t>niños</w:t>
      </w:r>
      <w:r>
        <w:rPr>
          <w:spacing w:val="-14"/>
        </w:rPr>
        <w:t> </w:t>
      </w:r>
      <w:r>
        <w:rPr/>
        <w:t>de</w:t>
      </w:r>
      <w:r>
        <w:rPr>
          <w:spacing w:val="-13"/>
        </w:rPr>
        <w:t> </w:t>
      </w:r>
      <w:r>
        <w:rPr/>
        <w:t>6</w:t>
      </w:r>
      <w:r>
        <w:rPr>
          <w:spacing w:val="-13"/>
        </w:rPr>
        <w:t> </w:t>
      </w:r>
      <w:r>
        <w:rPr/>
        <w:t>a</w:t>
      </w:r>
      <w:r>
        <w:rPr>
          <w:spacing w:val="-13"/>
        </w:rPr>
        <w:t> </w:t>
      </w:r>
      <w:r>
        <w:rPr/>
        <w:t>7</w:t>
      </w:r>
      <w:r>
        <w:rPr>
          <w:spacing w:val="-13"/>
        </w:rPr>
        <w:t> </w:t>
      </w:r>
      <w:r>
        <w:rPr/>
        <w:t>años, por otra parte en niños de 1 a 4.9 años el 91% de las superficies se encontró sanas disminuyendo</w:t>
      </w:r>
      <w:r>
        <w:rPr>
          <w:spacing w:val="-8"/>
        </w:rPr>
        <w:t> </w:t>
      </w:r>
      <w:r>
        <w:rPr/>
        <w:t>a</w:t>
      </w:r>
      <w:r>
        <w:rPr>
          <w:spacing w:val="-8"/>
        </w:rPr>
        <w:t> </w:t>
      </w:r>
      <w:r>
        <w:rPr/>
        <w:t>medida</w:t>
      </w:r>
      <w:r>
        <w:rPr>
          <w:spacing w:val="-6"/>
        </w:rPr>
        <w:t> </w:t>
      </w:r>
      <w:r>
        <w:rPr/>
        <w:t>que</w:t>
      </w:r>
      <w:r>
        <w:rPr>
          <w:spacing w:val="-8"/>
        </w:rPr>
        <w:t> </w:t>
      </w:r>
      <w:r>
        <w:rPr/>
        <w:t>avanza</w:t>
      </w:r>
      <w:r>
        <w:rPr>
          <w:spacing w:val="-6"/>
        </w:rPr>
        <w:t> </w:t>
      </w:r>
      <w:r>
        <w:rPr/>
        <w:t>la</w:t>
      </w:r>
      <w:r>
        <w:rPr>
          <w:spacing w:val="-9"/>
        </w:rPr>
        <w:t> </w:t>
      </w:r>
      <w:r>
        <w:rPr/>
        <w:t>edad</w:t>
      </w:r>
      <w:r>
        <w:rPr>
          <w:spacing w:val="-11"/>
        </w:rPr>
        <w:t> </w:t>
      </w:r>
      <w:r>
        <w:rPr/>
        <w:t>hasta</w:t>
      </w:r>
      <w:r>
        <w:rPr>
          <w:spacing w:val="-8"/>
        </w:rPr>
        <w:t> </w:t>
      </w:r>
      <w:r>
        <w:rPr/>
        <w:t>un</w:t>
      </w:r>
      <w:r>
        <w:rPr>
          <w:spacing w:val="-8"/>
        </w:rPr>
        <w:t> </w:t>
      </w:r>
      <w:r>
        <w:rPr/>
        <w:t>87.7%</w:t>
      </w:r>
      <w:r>
        <w:rPr>
          <w:spacing w:val="-9"/>
        </w:rPr>
        <w:t> </w:t>
      </w:r>
      <w:r>
        <w:rPr/>
        <w:t>a</w:t>
      </w:r>
      <w:r>
        <w:rPr>
          <w:spacing w:val="-6"/>
        </w:rPr>
        <w:t> </w:t>
      </w:r>
      <w:r>
        <w:rPr/>
        <w:t>los</w:t>
      </w:r>
      <w:r>
        <w:rPr>
          <w:spacing w:val="-9"/>
        </w:rPr>
        <w:t> </w:t>
      </w:r>
      <w:r>
        <w:rPr/>
        <w:t>59</w:t>
      </w:r>
      <w:r>
        <w:rPr>
          <w:spacing w:val="-8"/>
        </w:rPr>
        <w:t> </w:t>
      </w:r>
      <w:r>
        <w:rPr/>
        <w:t>meses,</w:t>
      </w:r>
      <w:r>
        <w:rPr>
          <w:spacing w:val="-9"/>
        </w:rPr>
        <w:t> </w:t>
      </w:r>
      <w:r>
        <w:rPr/>
        <w:t>el</w:t>
      </w:r>
      <w:r>
        <w:rPr>
          <w:spacing w:val="-7"/>
        </w:rPr>
        <w:t> </w:t>
      </w:r>
      <w:r>
        <w:rPr/>
        <w:t>código 6</w:t>
      </w:r>
      <w:r>
        <w:rPr>
          <w:spacing w:val="23"/>
        </w:rPr>
        <w:t> </w:t>
      </w:r>
      <w:r>
        <w:rPr/>
        <w:t>(cavidad</w:t>
      </w:r>
      <w:r>
        <w:rPr>
          <w:spacing w:val="20"/>
        </w:rPr>
        <w:t> </w:t>
      </w:r>
      <w:r>
        <w:rPr/>
        <w:t>detectable</w:t>
      </w:r>
      <w:r>
        <w:rPr>
          <w:spacing w:val="20"/>
        </w:rPr>
        <w:t> </w:t>
      </w:r>
      <w:r>
        <w:rPr/>
        <w:t>extensa</w:t>
      </w:r>
      <w:r>
        <w:rPr>
          <w:spacing w:val="23"/>
        </w:rPr>
        <w:t> </w:t>
      </w:r>
      <w:r>
        <w:rPr/>
        <w:t>con</w:t>
      </w:r>
      <w:r>
        <w:rPr>
          <w:spacing w:val="20"/>
        </w:rPr>
        <w:t> </w:t>
      </w:r>
      <w:r>
        <w:rPr/>
        <w:t>dentina</w:t>
      </w:r>
      <w:r>
        <w:rPr>
          <w:spacing w:val="20"/>
        </w:rPr>
        <w:t> </w:t>
      </w:r>
      <w:r>
        <w:rPr/>
        <w:t>visible)</w:t>
      </w:r>
      <w:r>
        <w:rPr>
          <w:spacing w:val="19"/>
        </w:rPr>
        <w:t> </w:t>
      </w:r>
      <w:r>
        <w:rPr/>
        <w:t>fue</w:t>
      </w:r>
      <w:r>
        <w:rPr>
          <w:spacing w:val="20"/>
        </w:rPr>
        <w:t> </w:t>
      </w:r>
      <w:r>
        <w:rPr/>
        <w:t>del</w:t>
      </w:r>
      <w:r>
        <w:rPr>
          <w:spacing w:val="21"/>
        </w:rPr>
        <w:t> </w:t>
      </w:r>
      <w:r>
        <w:rPr/>
        <w:t>15.65%</w:t>
      </w:r>
      <w:r>
        <w:rPr>
          <w:spacing w:val="20"/>
        </w:rPr>
        <w:t> </w:t>
      </w:r>
      <w:r>
        <w:rPr/>
        <w:t>,</w:t>
      </w:r>
      <w:r>
        <w:rPr>
          <w:spacing w:val="22"/>
        </w:rPr>
        <w:t> </w:t>
      </w:r>
      <w:r>
        <w:rPr/>
        <w:t>mientras</w:t>
      </w:r>
      <w:r>
        <w:rPr>
          <w:spacing w:val="19"/>
        </w:rPr>
        <w:t> </w:t>
      </w:r>
      <w:r>
        <w:rPr/>
        <w:t>que</w:t>
      </w:r>
      <w:r>
        <w:rPr>
          <w:spacing w:val="20"/>
        </w:rPr>
        <w:t> </w:t>
      </w:r>
      <w:r>
        <w:rPr/>
        <w:t>el</w:t>
      </w:r>
    </w:p>
    <w:p>
      <w:pPr>
        <w:pStyle w:val="BodyText"/>
        <w:spacing w:line="477" w:lineRule="auto" w:before="3"/>
        <w:ind w:left="138" w:right="138"/>
        <w:jc w:val="both"/>
        <w:rPr>
          <w:sz w:val="16"/>
        </w:rPr>
      </w:pPr>
      <w:r>
        <w:rPr/>
        <w:t>26.9 con código 1 (Primer cambio visual en el esmalte),</w:t>
      </w:r>
      <w:r>
        <w:rPr>
          <w:position w:val="8"/>
          <w:sz w:val="16"/>
        </w:rPr>
        <w:t>25 </w:t>
      </w:r>
      <w:r>
        <w:rPr/>
        <w:t>otro reporte en niños de 5 años indica que el 86.0 % de los niños tenía lesiones de caries cavitadas y no cavitadas, con una prevalencia de lesiones en cavitadas dentinales del 48% y de lesiones no cavitadas en esmalte el 71%. </w:t>
      </w:r>
      <w:r>
        <w:rPr>
          <w:position w:val="8"/>
          <w:sz w:val="16"/>
        </w:rPr>
        <w:t>26</w:t>
      </w:r>
    </w:p>
    <w:p>
      <w:pPr>
        <w:spacing w:after="0" w:line="477" w:lineRule="auto"/>
        <w:jc w:val="both"/>
        <w:rPr>
          <w:sz w:val="16"/>
        </w:rPr>
        <w:sectPr>
          <w:footerReference w:type="default" r:id="rId10"/>
          <w:pgSz w:w="12240" w:h="15840"/>
          <w:pgMar w:footer="964" w:header="686" w:top="1080" w:bottom="1160" w:left="128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line="475" w:lineRule="auto"/>
        <w:ind w:left="138" w:right="148"/>
        <w:jc w:val="both"/>
        <w:rPr>
          <w:sz w:val="16"/>
        </w:rPr>
      </w:pPr>
      <w:r>
        <w:rPr/>
        <w:t>Por otra parte, la literatura indica el fuerte impacto de la enfermedad en la calidad de vida de los niños que sufren de caries dental. </w:t>
      </w:r>
      <w:r>
        <w:rPr>
          <w:position w:val="8"/>
          <w:sz w:val="16"/>
        </w:rPr>
        <w:t>31,32</w:t>
      </w:r>
    </w:p>
    <w:p>
      <w:pPr>
        <w:pStyle w:val="BodyText"/>
        <w:spacing w:line="477" w:lineRule="auto" w:before="6"/>
        <w:ind w:left="138" w:right="137"/>
        <w:jc w:val="both"/>
        <w:rPr>
          <w:sz w:val="16"/>
        </w:rPr>
      </w:pPr>
      <w:r>
        <w:rPr/>
        <w:t>Al mismo tiempo, algunos reportes indican que los factores sociales y conductuales sociales y de comportamiento juegan un papel significativo en el desarrollo de caries dental en la dentición primaria. </w:t>
      </w:r>
      <w:r>
        <w:rPr>
          <w:position w:val="8"/>
          <w:sz w:val="16"/>
        </w:rPr>
        <w:t>33,34,35</w:t>
      </w:r>
    </w:p>
    <w:p>
      <w:pPr>
        <w:pStyle w:val="BodyText"/>
        <w:spacing w:line="480" w:lineRule="auto" w:before="3"/>
        <w:ind w:left="138" w:right="139"/>
        <w:jc w:val="both"/>
        <w:rPr>
          <w:sz w:val="16"/>
        </w:rPr>
      </w:pPr>
      <w:r>
        <w:rPr/>
        <w:t>En lo que respecta a las comunidades indígenas en países como Australia, Nueva Zelanda, Canadá y los EE.UU. se ha demostrado que existen importantes desigualdades en salud bucal en cada nación. En estos países, a pesar de que las comunidades</w:t>
      </w:r>
      <w:r>
        <w:rPr>
          <w:spacing w:val="-7"/>
        </w:rPr>
        <w:t> </w:t>
      </w:r>
      <w:r>
        <w:rPr/>
        <w:t>indígenas</w:t>
      </w:r>
      <w:r>
        <w:rPr>
          <w:spacing w:val="-7"/>
        </w:rPr>
        <w:t> </w:t>
      </w:r>
      <w:r>
        <w:rPr/>
        <w:t>tradicionalmente</w:t>
      </w:r>
      <w:r>
        <w:rPr>
          <w:spacing w:val="-8"/>
        </w:rPr>
        <w:t> </w:t>
      </w:r>
      <w:r>
        <w:rPr/>
        <w:t>gozaban</w:t>
      </w:r>
      <w:r>
        <w:rPr>
          <w:spacing w:val="-7"/>
        </w:rPr>
        <w:t> </w:t>
      </w:r>
      <w:r>
        <w:rPr/>
        <w:t>de</w:t>
      </w:r>
      <w:r>
        <w:rPr>
          <w:spacing w:val="-9"/>
        </w:rPr>
        <w:t> </w:t>
      </w:r>
      <w:r>
        <w:rPr/>
        <w:t>bajos</w:t>
      </w:r>
      <w:r>
        <w:rPr>
          <w:spacing w:val="-7"/>
        </w:rPr>
        <w:t> </w:t>
      </w:r>
      <w:r>
        <w:rPr/>
        <w:t>niveles</w:t>
      </w:r>
      <w:r>
        <w:rPr>
          <w:spacing w:val="-9"/>
        </w:rPr>
        <w:t> </w:t>
      </w:r>
      <w:r>
        <w:rPr/>
        <w:t>de</w:t>
      </w:r>
      <w:r>
        <w:rPr>
          <w:spacing w:val="-7"/>
        </w:rPr>
        <w:t> </w:t>
      </w:r>
      <w:r>
        <w:rPr/>
        <w:t>enfermedades, la</w:t>
      </w:r>
      <w:r>
        <w:rPr>
          <w:spacing w:val="-6"/>
        </w:rPr>
        <w:t> </w:t>
      </w:r>
      <w:r>
        <w:rPr/>
        <w:t>caries</w:t>
      </w:r>
      <w:r>
        <w:rPr>
          <w:spacing w:val="-7"/>
        </w:rPr>
        <w:t> </w:t>
      </w:r>
      <w:r>
        <w:rPr/>
        <w:t>dental</w:t>
      </w:r>
      <w:r>
        <w:rPr>
          <w:spacing w:val="-7"/>
        </w:rPr>
        <w:t> </w:t>
      </w:r>
      <w:r>
        <w:rPr/>
        <w:t>es</w:t>
      </w:r>
      <w:r>
        <w:rPr>
          <w:spacing w:val="-9"/>
        </w:rPr>
        <w:t> </w:t>
      </w:r>
      <w:r>
        <w:rPr/>
        <w:t>ahora</w:t>
      </w:r>
      <w:r>
        <w:rPr>
          <w:spacing w:val="-7"/>
        </w:rPr>
        <w:t> </w:t>
      </w:r>
      <w:r>
        <w:rPr/>
        <w:t>prevalente</w:t>
      </w:r>
      <w:r>
        <w:rPr>
          <w:spacing w:val="-8"/>
        </w:rPr>
        <w:t> </w:t>
      </w:r>
      <w:r>
        <w:rPr/>
        <w:t>y</w:t>
      </w:r>
      <w:r>
        <w:rPr>
          <w:spacing w:val="-9"/>
        </w:rPr>
        <w:t> </w:t>
      </w:r>
      <w:r>
        <w:rPr/>
        <w:t>de</w:t>
      </w:r>
      <w:r>
        <w:rPr>
          <w:spacing w:val="-6"/>
        </w:rPr>
        <w:t> </w:t>
      </w:r>
      <w:r>
        <w:rPr/>
        <w:t>mayor</w:t>
      </w:r>
      <w:r>
        <w:rPr>
          <w:spacing w:val="-7"/>
        </w:rPr>
        <w:t> </w:t>
      </w:r>
      <w:r>
        <w:rPr/>
        <w:t>gravedad</w:t>
      </w:r>
      <w:r>
        <w:rPr>
          <w:spacing w:val="-6"/>
        </w:rPr>
        <w:t> </w:t>
      </w:r>
      <w:r>
        <w:rPr/>
        <w:t>entre</w:t>
      </w:r>
      <w:r>
        <w:rPr>
          <w:spacing w:val="-6"/>
        </w:rPr>
        <w:t> </w:t>
      </w:r>
      <w:r>
        <w:rPr/>
        <w:t>los</w:t>
      </w:r>
      <w:r>
        <w:rPr>
          <w:spacing w:val="-9"/>
        </w:rPr>
        <w:t> </w:t>
      </w:r>
      <w:r>
        <w:rPr/>
        <w:t>niños</w:t>
      </w:r>
      <w:r>
        <w:rPr>
          <w:spacing w:val="-7"/>
        </w:rPr>
        <w:t> </w:t>
      </w:r>
      <w:r>
        <w:rPr/>
        <w:t>indígenas</w:t>
      </w:r>
      <w:r>
        <w:rPr>
          <w:spacing w:val="-9"/>
        </w:rPr>
        <w:t> </w:t>
      </w:r>
      <w:r>
        <w:rPr/>
        <w:t>en comparación con sus contrapartes no indígenas. En donde la caries temprana de la infancia es particularmente frecuente.</w:t>
      </w:r>
      <w:r>
        <w:rPr>
          <w:spacing w:val="-7"/>
        </w:rPr>
        <w:t> </w:t>
      </w:r>
      <w:r>
        <w:rPr>
          <w:position w:val="8"/>
          <w:sz w:val="16"/>
        </w:rPr>
        <w:t>36</w:t>
      </w:r>
    </w:p>
    <w:p>
      <w:pPr>
        <w:pStyle w:val="BodyText"/>
        <w:spacing w:line="480" w:lineRule="auto"/>
        <w:ind w:left="138" w:right="145"/>
        <w:jc w:val="both"/>
        <w:rPr>
          <w:sz w:val="16"/>
        </w:rPr>
      </w:pPr>
      <w:r>
        <w:rPr/>
        <w:t>Estudios realizados en Osaka, Japón examinaron el impacto de los factores socioeconómicos tales como, ocupación de la madre y nivel educativo de los padres, sobre el riesgo de caries dental en niños japoneses, llegando a la conclusión de que altos</w:t>
      </w:r>
      <w:r>
        <w:rPr>
          <w:spacing w:val="-20"/>
        </w:rPr>
        <w:t> </w:t>
      </w:r>
      <w:r>
        <w:rPr/>
        <w:t>niveles</w:t>
      </w:r>
      <w:r>
        <w:rPr>
          <w:spacing w:val="-17"/>
        </w:rPr>
        <w:t> </w:t>
      </w:r>
      <w:r>
        <w:rPr/>
        <w:t>de</w:t>
      </w:r>
      <w:r>
        <w:rPr>
          <w:spacing w:val="-19"/>
        </w:rPr>
        <w:t> </w:t>
      </w:r>
      <w:r>
        <w:rPr/>
        <w:t>educación</w:t>
      </w:r>
      <w:r>
        <w:rPr>
          <w:spacing w:val="-19"/>
        </w:rPr>
        <w:t> </w:t>
      </w:r>
      <w:r>
        <w:rPr/>
        <w:t>de</w:t>
      </w:r>
      <w:r>
        <w:rPr>
          <w:spacing w:val="-19"/>
        </w:rPr>
        <w:t> </w:t>
      </w:r>
      <w:r>
        <w:rPr/>
        <w:t>los</w:t>
      </w:r>
      <w:r>
        <w:rPr>
          <w:spacing w:val="-19"/>
        </w:rPr>
        <w:t> </w:t>
      </w:r>
      <w:r>
        <w:rPr/>
        <w:t>padres,</w:t>
      </w:r>
      <w:r>
        <w:rPr>
          <w:spacing w:val="-19"/>
        </w:rPr>
        <w:t> </w:t>
      </w:r>
      <w:r>
        <w:rPr/>
        <w:t>en</w:t>
      </w:r>
      <w:r>
        <w:rPr>
          <w:spacing w:val="-21"/>
        </w:rPr>
        <w:t> </w:t>
      </w:r>
      <w:r>
        <w:rPr/>
        <w:t>particular</w:t>
      </w:r>
      <w:r>
        <w:rPr>
          <w:spacing w:val="-18"/>
        </w:rPr>
        <w:t> </w:t>
      </w:r>
      <w:r>
        <w:rPr/>
        <w:t>la</w:t>
      </w:r>
      <w:r>
        <w:rPr>
          <w:spacing w:val="-19"/>
        </w:rPr>
        <w:t> </w:t>
      </w:r>
      <w:r>
        <w:rPr/>
        <w:t>educación</w:t>
      </w:r>
      <w:r>
        <w:rPr>
          <w:spacing w:val="-19"/>
        </w:rPr>
        <w:t> </w:t>
      </w:r>
      <w:r>
        <w:rPr/>
        <w:t>de</w:t>
      </w:r>
      <w:r>
        <w:rPr>
          <w:spacing w:val="-17"/>
        </w:rPr>
        <w:t> </w:t>
      </w:r>
      <w:r>
        <w:rPr/>
        <w:t>la</w:t>
      </w:r>
      <w:r>
        <w:rPr>
          <w:spacing w:val="-22"/>
        </w:rPr>
        <w:t> </w:t>
      </w:r>
      <w:r>
        <w:rPr/>
        <w:t>madre,</w:t>
      </w:r>
      <w:r>
        <w:rPr>
          <w:spacing w:val="-19"/>
        </w:rPr>
        <w:t> </w:t>
      </w:r>
      <w:r>
        <w:rPr/>
        <w:t>podría estar asociada con la reducción del riesgo a caries dental a</w:t>
      </w:r>
      <w:r>
        <w:rPr>
          <w:spacing w:val="-22"/>
        </w:rPr>
        <w:t> </w:t>
      </w:r>
      <w:r>
        <w:rPr/>
        <w:t>preescolares.</w:t>
      </w:r>
      <w:r>
        <w:rPr>
          <w:position w:val="8"/>
          <w:sz w:val="16"/>
        </w:rPr>
        <w:t>37</w:t>
      </w:r>
    </w:p>
    <w:p>
      <w:pPr>
        <w:pStyle w:val="BodyText"/>
        <w:rPr>
          <w:sz w:val="26"/>
        </w:rPr>
      </w:pPr>
    </w:p>
    <w:p>
      <w:pPr>
        <w:pStyle w:val="BodyText"/>
        <w:rPr>
          <w:sz w:val="22"/>
        </w:rPr>
      </w:pPr>
    </w:p>
    <w:p>
      <w:pPr>
        <w:pStyle w:val="ListParagraph"/>
        <w:numPr>
          <w:ilvl w:val="1"/>
          <w:numId w:val="5"/>
        </w:numPr>
        <w:tabs>
          <w:tab w:pos="543" w:val="left" w:leader="none"/>
        </w:tabs>
        <w:spacing w:line="480" w:lineRule="auto" w:before="1" w:after="0"/>
        <w:ind w:left="138" w:right="142" w:firstLine="0"/>
        <w:jc w:val="left"/>
        <w:rPr>
          <w:rFonts w:ascii="Arial" w:hAnsi="Arial"/>
          <w:sz w:val="24"/>
        </w:rPr>
      </w:pPr>
      <w:r>
        <w:rPr>
          <w:rFonts w:ascii="Arial" w:hAnsi="Arial"/>
          <w:b/>
          <w:sz w:val="24"/>
        </w:rPr>
        <w:t>Sistema Internacional para la Detección y Evaluación de Caries ICDAS II </w:t>
      </w:r>
      <w:r>
        <w:rPr>
          <w:rFonts w:ascii="Arial" w:hAnsi="Arial"/>
          <w:sz w:val="24"/>
        </w:rPr>
        <w:t>Tradicionalmente la evaluación de caries en grandes grupos de población se ha llevado a cabo de acuerdo al índice CPOD, CPOS para dentición permanente y cpod y cpos para dentición temporal desarrollados por la Organización Mundial de la</w:t>
      </w:r>
      <w:r>
        <w:rPr>
          <w:rFonts w:ascii="Arial" w:hAnsi="Arial"/>
          <w:spacing w:val="-14"/>
          <w:sz w:val="24"/>
        </w:rPr>
        <w:t> </w:t>
      </w:r>
      <w:r>
        <w:rPr>
          <w:rFonts w:ascii="Arial" w:hAnsi="Arial"/>
          <w:sz w:val="24"/>
        </w:rPr>
        <w:t>Salud</w:t>
      </w:r>
    </w:p>
    <w:p>
      <w:pPr>
        <w:spacing w:after="0" w:line="480" w:lineRule="auto"/>
        <w:jc w:val="left"/>
        <w:rPr>
          <w:rFonts w:ascii="Arial" w:hAnsi="Arial"/>
          <w:sz w:val="24"/>
        </w:rPr>
        <w:sectPr>
          <w:footerReference w:type="default" r:id="rId11"/>
          <w:pgSz w:w="12240" w:h="15840"/>
          <w:pgMar w:footer="964" w:header="686" w:top="1080" w:bottom="1160" w:left="1280" w:right="1560"/>
          <w:pgNumType w:start="11"/>
        </w:sectPr>
      </w:pPr>
    </w:p>
    <w:p>
      <w:pPr>
        <w:pStyle w:val="BodyText"/>
        <w:rPr>
          <w:sz w:val="20"/>
        </w:rPr>
      </w:pPr>
    </w:p>
    <w:p>
      <w:pPr>
        <w:pStyle w:val="BodyText"/>
        <w:spacing w:before="3"/>
        <w:rPr>
          <w:sz w:val="27"/>
        </w:rPr>
      </w:pPr>
    </w:p>
    <w:p>
      <w:pPr>
        <w:pStyle w:val="BodyText"/>
        <w:spacing w:line="480" w:lineRule="auto" w:before="69"/>
        <w:ind w:left="138" w:right="143"/>
        <w:jc w:val="both"/>
      </w:pPr>
      <w:r>
        <w:rPr/>
        <w:t>en</w:t>
      </w:r>
      <w:r>
        <w:rPr>
          <w:spacing w:val="-8"/>
        </w:rPr>
        <w:t> </w:t>
      </w:r>
      <w:r>
        <w:rPr/>
        <w:t>un</w:t>
      </w:r>
      <w:r>
        <w:rPr>
          <w:spacing w:val="-8"/>
        </w:rPr>
        <w:t> </w:t>
      </w:r>
      <w:r>
        <w:rPr/>
        <w:t>esfuerzo</w:t>
      </w:r>
      <w:r>
        <w:rPr>
          <w:spacing w:val="-8"/>
        </w:rPr>
        <w:t> </w:t>
      </w:r>
      <w:r>
        <w:rPr/>
        <w:t>por</w:t>
      </w:r>
      <w:r>
        <w:rPr>
          <w:spacing w:val="-10"/>
        </w:rPr>
        <w:t> </w:t>
      </w:r>
      <w:r>
        <w:rPr/>
        <w:t>unificar</w:t>
      </w:r>
      <w:r>
        <w:rPr>
          <w:spacing w:val="-10"/>
        </w:rPr>
        <w:t> </w:t>
      </w:r>
      <w:r>
        <w:rPr/>
        <w:t>los</w:t>
      </w:r>
      <w:r>
        <w:rPr>
          <w:spacing w:val="-9"/>
        </w:rPr>
        <w:t> </w:t>
      </w:r>
      <w:r>
        <w:rPr/>
        <w:t>criterios</w:t>
      </w:r>
      <w:r>
        <w:rPr>
          <w:spacing w:val="-9"/>
        </w:rPr>
        <w:t> </w:t>
      </w:r>
      <w:r>
        <w:rPr/>
        <w:t>y</w:t>
      </w:r>
      <w:r>
        <w:rPr>
          <w:spacing w:val="-12"/>
        </w:rPr>
        <w:t> </w:t>
      </w:r>
      <w:r>
        <w:rPr/>
        <w:t>con</w:t>
      </w:r>
      <w:r>
        <w:rPr>
          <w:spacing w:val="-8"/>
        </w:rPr>
        <w:t> </w:t>
      </w:r>
      <w:r>
        <w:rPr/>
        <w:t>diferencias</w:t>
      </w:r>
      <w:r>
        <w:rPr>
          <w:spacing w:val="-11"/>
        </w:rPr>
        <w:t> </w:t>
      </w:r>
      <w:r>
        <w:rPr/>
        <w:t>en</w:t>
      </w:r>
      <w:r>
        <w:rPr>
          <w:spacing w:val="-8"/>
        </w:rPr>
        <w:t> </w:t>
      </w:r>
      <w:r>
        <w:rPr/>
        <w:t>los</w:t>
      </w:r>
      <w:r>
        <w:rPr>
          <w:spacing w:val="-11"/>
        </w:rPr>
        <w:t> </w:t>
      </w:r>
      <w:r>
        <w:rPr/>
        <w:t>sistemas</w:t>
      </w:r>
      <w:r>
        <w:rPr>
          <w:spacing w:val="-12"/>
        </w:rPr>
        <w:t> </w:t>
      </w:r>
      <w:r>
        <w:rPr/>
        <w:t>europeos,</w:t>
      </w:r>
      <w:r>
        <w:rPr>
          <w:spacing w:val="-9"/>
        </w:rPr>
        <w:t> </w:t>
      </w:r>
      <w:r>
        <w:rPr/>
        <w:t>los cuales o se encuentran más</w:t>
      </w:r>
      <w:r>
        <w:rPr>
          <w:spacing w:val="-12"/>
        </w:rPr>
        <w:t> </w:t>
      </w:r>
      <w:r>
        <w:rPr/>
        <w:t>avanzados.</w:t>
      </w:r>
    </w:p>
    <w:p>
      <w:pPr>
        <w:pStyle w:val="BodyText"/>
        <w:spacing w:line="480" w:lineRule="auto" w:before="8"/>
        <w:ind w:left="138" w:right="134"/>
        <w:jc w:val="both"/>
      </w:pPr>
      <w:r>
        <w:rPr/>
        <w:t>Recientemente</w:t>
      </w:r>
      <w:r>
        <w:rPr>
          <w:spacing w:val="-15"/>
        </w:rPr>
        <w:t> </w:t>
      </w:r>
      <w:r>
        <w:rPr/>
        <w:t>se</w:t>
      </w:r>
      <w:r>
        <w:rPr>
          <w:spacing w:val="-16"/>
        </w:rPr>
        <w:t> </w:t>
      </w:r>
      <w:r>
        <w:rPr/>
        <w:t>ha</w:t>
      </w:r>
      <w:r>
        <w:rPr>
          <w:spacing w:val="-18"/>
        </w:rPr>
        <w:t> </w:t>
      </w:r>
      <w:r>
        <w:rPr/>
        <w:t>mostrado</w:t>
      </w:r>
      <w:r>
        <w:rPr>
          <w:spacing w:val="-18"/>
        </w:rPr>
        <w:t> </w:t>
      </w:r>
      <w:r>
        <w:rPr/>
        <w:t>mayor</w:t>
      </w:r>
      <w:r>
        <w:rPr>
          <w:spacing w:val="-17"/>
        </w:rPr>
        <w:t> </w:t>
      </w:r>
      <w:r>
        <w:rPr/>
        <w:t>interés</w:t>
      </w:r>
      <w:r>
        <w:rPr>
          <w:spacing w:val="-16"/>
        </w:rPr>
        <w:t> </w:t>
      </w:r>
      <w:r>
        <w:rPr/>
        <w:t>por</w:t>
      </w:r>
      <w:r>
        <w:rPr>
          <w:spacing w:val="-17"/>
        </w:rPr>
        <w:t> </w:t>
      </w:r>
      <w:r>
        <w:rPr/>
        <w:t>la</w:t>
      </w:r>
      <w:r>
        <w:rPr>
          <w:spacing w:val="-16"/>
        </w:rPr>
        <w:t> </w:t>
      </w:r>
      <w:r>
        <w:rPr/>
        <w:t>detección</w:t>
      </w:r>
      <w:r>
        <w:rPr>
          <w:spacing w:val="-18"/>
        </w:rPr>
        <w:t> </w:t>
      </w:r>
      <w:r>
        <w:rPr/>
        <w:t>oportuna</w:t>
      </w:r>
      <w:r>
        <w:rPr>
          <w:spacing w:val="-16"/>
        </w:rPr>
        <w:t> </w:t>
      </w:r>
      <w:r>
        <w:rPr/>
        <w:t>de</w:t>
      </w:r>
      <w:r>
        <w:rPr>
          <w:spacing w:val="-16"/>
        </w:rPr>
        <w:t> </w:t>
      </w:r>
      <w:r>
        <w:rPr/>
        <w:t>las</w:t>
      </w:r>
      <w:r>
        <w:rPr>
          <w:spacing w:val="-16"/>
        </w:rPr>
        <w:t> </w:t>
      </w:r>
      <w:r>
        <w:rPr/>
        <w:t>lesiones de caries antes de que progresen a cavitación, por tal razón se creó el índice ICDAS el cual ha sufrido diferentes modificaciones. En la última revisión del índice fueron considerados</w:t>
      </w:r>
      <w:r>
        <w:rPr>
          <w:spacing w:val="-12"/>
        </w:rPr>
        <w:t> </w:t>
      </w:r>
      <w:r>
        <w:rPr/>
        <w:t>en</w:t>
      </w:r>
      <w:r>
        <w:rPr>
          <w:spacing w:val="-11"/>
        </w:rPr>
        <w:t> </w:t>
      </w:r>
      <w:r>
        <w:rPr/>
        <w:t>Baltimore,</w:t>
      </w:r>
      <w:r>
        <w:rPr>
          <w:spacing w:val="-11"/>
        </w:rPr>
        <w:t> </w:t>
      </w:r>
      <w:r>
        <w:rPr/>
        <w:t>Maryland</w:t>
      </w:r>
      <w:r>
        <w:rPr>
          <w:spacing w:val="-8"/>
        </w:rPr>
        <w:t> </w:t>
      </w:r>
      <w:r>
        <w:rPr/>
        <w:t>USA</w:t>
      </w:r>
      <w:r>
        <w:rPr>
          <w:spacing w:val="-11"/>
        </w:rPr>
        <w:t> </w:t>
      </w:r>
      <w:r>
        <w:rPr/>
        <w:t>del</w:t>
      </w:r>
      <w:r>
        <w:rPr>
          <w:spacing w:val="-10"/>
        </w:rPr>
        <w:t> </w:t>
      </w:r>
      <w:r>
        <w:rPr/>
        <w:t>12</w:t>
      </w:r>
      <w:r>
        <w:rPr>
          <w:spacing w:val="-11"/>
        </w:rPr>
        <w:t> </w:t>
      </w:r>
      <w:r>
        <w:rPr/>
        <w:t>al</w:t>
      </w:r>
      <w:r>
        <w:rPr>
          <w:spacing w:val="-12"/>
        </w:rPr>
        <w:t> </w:t>
      </w:r>
      <w:r>
        <w:rPr/>
        <w:t>14</w:t>
      </w:r>
      <w:r>
        <w:rPr>
          <w:spacing w:val="-11"/>
        </w:rPr>
        <w:t> </w:t>
      </w:r>
      <w:r>
        <w:rPr/>
        <w:t>de</w:t>
      </w:r>
      <w:r>
        <w:rPr>
          <w:spacing w:val="-11"/>
        </w:rPr>
        <w:t> </w:t>
      </w:r>
      <w:r>
        <w:rPr/>
        <w:t>marzo</w:t>
      </w:r>
      <w:r>
        <w:rPr>
          <w:spacing w:val="-8"/>
        </w:rPr>
        <w:t> </w:t>
      </w:r>
      <w:r>
        <w:rPr/>
        <w:t>del</w:t>
      </w:r>
      <w:r>
        <w:rPr>
          <w:spacing w:val="-10"/>
        </w:rPr>
        <w:t> </w:t>
      </w:r>
      <w:r>
        <w:rPr/>
        <w:t>2005,</w:t>
      </w:r>
      <w:r>
        <w:rPr>
          <w:spacing w:val="-11"/>
        </w:rPr>
        <w:t> </w:t>
      </w:r>
      <w:r>
        <w:rPr/>
        <w:t>los</w:t>
      </w:r>
      <w:r>
        <w:rPr>
          <w:spacing w:val="-11"/>
        </w:rPr>
        <w:t> </w:t>
      </w:r>
      <w:r>
        <w:rPr/>
        <w:t>criterios clínicos, los cuales fueron discutidos por los participantes en el ICDAS II. El</w:t>
      </w:r>
      <w:r>
        <w:rPr>
          <w:spacing w:val="-42"/>
        </w:rPr>
        <w:t> </w:t>
      </w:r>
      <w:r>
        <w:rPr/>
        <w:t>seminario o taller trabajo fue financiado por el Instituto Nacional de Investigación Craneofacial y Dental (NIDCR) y la Asociación Dental Americana (ADA). La Asociación Internacional para la Investigación Dental (IADR) proporcionó el apoyo administrativo para el seminario.</w:t>
      </w:r>
    </w:p>
    <w:p>
      <w:pPr>
        <w:pStyle w:val="BodyText"/>
        <w:spacing w:line="480" w:lineRule="auto" w:before="8"/>
        <w:ind w:left="138" w:right="135"/>
        <w:jc w:val="both"/>
      </w:pPr>
      <w:r>
        <w:rPr/>
        <w:t>El objetivo del seminario fue llegar a un consenso sobre los criterios de detección clínica de caries entre expertos en cariología, investigación clínica, odontología restauradora, odontología pediátrica, salud pública, ciencias biológicas y organizaciones dentales. Este objetivo fue alcanzado al final del seminario. Adicionalmente los participantes tenían (1) definidas las etapas del proceso de caries que pueden describir el concepto desmineralización en las etapas de no-cavitado así como todo el proceso de caries en conjunto; y (2) definir la validación de los métodos clínicamente relevantes y el programa de investigación para el reciente sistema de detección desarrollado. No se llegó a ninguna conclusión definitiva sobre cómo medir la actividad de caries y la investigación de este importante concepto continuará. El resultado final del taller fue la revisión de los criterios de ICDAS desarrollados en el</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BodyText"/>
        <w:spacing w:line="480" w:lineRule="auto" w:before="69"/>
        <w:ind w:left="138" w:right="145"/>
        <w:jc w:val="both"/>
      </w:pPr>
      <w:r>
        <w:rPr/>
        <w:t>2002. El nuevo criterio para la detección y evaluación de la caries dental será referido como ICDAS II.</w:t>
      </w:r>
    </w:p>
    <w:p>
      <w:pPr>
        <w:pStyle w:val="BodyText"/>
        <w:spacing w:line="480" w:lineRule="auto" w:before="8"/>
        <w:ind w:left="138" w:right="142"/>
        <w:jc w:val="both"/>
        <w:rPr>
          <w:sz w:val="16"/>
        </w:rPr>
      </w:pPr>
      <w:r>
        <w:rPr/>
        <w:t>Los participantes del taller concluyeron sus deliberaciones con el reconocimiento de que el sistema ICDAS continuará evolucionando a medida que se desarrolle y valide la nueva información y las herramientas. El ICDAS II presenta una base sobre la cual las</w:t>
      </w:r>
      <w:r>
        <w:rPr>
          <w:spacing w:val="-17"/>
        </w:rPr>
        <w:t> </w:t>
      </w:r>
      <w:r>
        <w:rPr/>
        <w:t>nuevas</w:t>
      </w:r>
      <w:r>
        <w:rPr>
          <w:spacing w:val="-17"/>
        </w:rPr>
        <w:t> </w:t>
      </w:r>
      <w:r>
        <w:rPr/>
        <w:t>herramientas</w:t>
      </w:r>
      <w:r>
        <w:rPr>
          <w:spacing w:val="-17"/>
        </w:rPr>
        <w:t> </w:t>
      </w:r>
      <w:r>
        <w:rPr/>
        <w:t>de</w:t>
      </w:r>
      <w:r>
        <w:rPr>
          <w:spacing w:val="-17"/>
        </w:rPr>
        <w:t> </w:t>
      </w:r>
      <w:r>
        <w:rPr/>
        <w:t>evaluación</w:t>
      </w:r>
      <w:r>
        <w:rPr>
          <w:spacing w:val="-19"/>
        </w:rPr>
        <w:t> </w:t>
      </w:r>
      <w:r>
        <w:rPr/>
        <w:t>de</w:t>
      </w:r>
      <w:r>
        <w:rPr>
          <w:spacing w:val="-19"/>
        </w:rPr>
        <w:t> </w:t>
      </w:r>
      <w:r>
        <w:rPr/>
        <w:t>caries</w:t>
      </w:r>
      <w:r>
        <w:rPr>
          <w:spacing w:val="-17"/>
        </w:rPr>
        <w:t> </w:t>
      </w:r>
      <w:r>
        <w:rPr/>
        <w:t>podrían</w:t>
      </w:r>
      <w:r>
        <w:rPr>
          <w:spacing w:val="-19"/>
        </w:rPr>
        <w:t> </w:t>
      </w:r>
      <w:r>
        <w:rPr/>
        <w:t>ser</w:t>
      </w:r>
      <w:r>
        <w:rPr>
          <w:spacing w:val="-18"/>
        </w:rPr>
        <w:t> </w:t>
      </w:r>
      <w:r>
        <w:rPr/>
        <w:t>incorporadas</w:t>
      </w:r>
      <w:r>
        <w:rPr>
          <w:spacing w:val="-20"/>
        </w:rPr>
        <w:t> </w:t>
      </w:r>
      <w:r>
        <w:rPr/>
        <w:t>para</w:t>
      </w:r>
      <w:r>
        <w:rPr>
          <w:spacing w:val="-20"/>
        </w:rPr>
        <w:t> </w:t>
      </w:r>
      <w:r>
        <w:rPr/>
        <w:t>ayudar en la toma de decisiones más precisas para la práctica clínica, así como para la investigación clínica y epidemiológica. El sistema ICDAS II se esfuerza por lograr la integración y la coordinación del emergente campo de la evaluación de la</w:t>
      </w:r>
      <w:r>
        <w:rPr>
          <w:spacing w:val="-19"/>
        </w:rPr>
        <w:t> </w:t>
      </w:r>
      <w:r>
        <w:rPr/>
        <w:t>caries.</w:t>
      </w:r>
      <w:r>
        <w:rPr>
          <w:position w:val="8"/>
          <w:sz w:val="16"/>
        </w:rPr>
        <w:t>27</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37"/>
        </w:rPr>
      </w:pPr>
    </w:p>
    <w:p>
      <w:pPr>
        <w:pStyle w:val="BodyText"/>
        <w:ind w:left="280"/>
      </w:pPr>
      <w:r>
        <w:rPr>
          <w:w w:val="100"/>
        </w:rPr>
        <w:t>.</w:t>
      </w:r>
    </w:p>
    <w:p>
      <w:pPr>
        <w:spacing w:after="0"/>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numPr>
          <w:ilvl w:val="1"/>
          <w:numId w:val="3"/>
        </w:numPr>
        <w:tabs>
          <w:tab w:pos="3459" w:val="left" w:leader="none"/>
        </w:tabs>
        <w:spacing w:line="240" w:lineRule="auto" w:before="69" w:after="0"/>
        <w:ind w:left="3458" w:right="0" w:hanging="360"/>
        <w:jc w:val="left"/>
      </w:pPr>
      <w:r>
        <w:rPr/>
        <w:t>Planteamiento del</w:t>
      </w:r>
      <w:r>
        <w:rPr>
          <w:spacing w:val="-7"/>
        </w:rPr>
        <w:t> </w:t>
      </w:r>
      <w:r>
        <w:rPr/>
        <w:t>problema</w:t>
      </w:r>
    </w:p>
    <w:p>
      <w:pPr>
        <w:pStyle w:val="BodyText"/>
        <w:rPr>
          <w:b/>
        </w:rPr>
      </w:pPr>
    </w:p>
    <w:p>
      <w:pPr>
        <w:pStyle w:val="BodyText"/>
        <w:rPr>
          <w:b/>
        </w:rPr>
      </w:pPr>
    </w:p>
    <w:p>
      <w:pPr>
        <w:pStyle w:val="BodyText"/>
        <w:rPr>
          <w:b/>
        </w:rPr>
      </w:pPr>
    </w:p>
    <w:p>
      <w:pPr>
        <w:pStyle w:val="BodyText"/>
        <w:spacing w:line="477" w:lineRule="auto"/>
        <w:ind w:left="138" w:right="137"/>
        <w:jc w:val="both"/>
        <w:rPr>
          <w:sz w:val="16"/>
        </w:rPr>
      </w:pPr>
      <w:r>
        <w:rPr/>
        <w:t>Los</w:t>
      </w:r>
      <w:r>
        <w:rPr>
          <w:spacing w:val="-4"/>
        </w:rPr>
        <w:t> </w:t>
      </w:r>
      <w:r>
        <w:rPr/>
        <w:t>reportes</w:t>
      </w:r>
      <w:r>
        <w:rPr>
          <w:spacing w:val="-7"/>
        </w:rPr>
        <w:t> </w:t>
      </w:r>
      <w:r>
        <w:rPr/>
        <w:t>indican</w:t>
      </w:r>
      <w:r>
        <w:rPr>
          <w:spacing w:val="-4"/>
        </w:rPr>
        <w:t> </w:t>
      </w:r>
      <w:r>
        <w:rPr/>
        <w:t>que</w:t>
      </w:r>
      <w:r>
        <w:rPr>
          <w:spacing w:val="-4"/>
        </w:rPr>
        <w:t> </w:t>
      </w:r>
      <w:r>
        <w:rPr/>
        <w:t>la</w:t>
      </w:r>
      <w:r>
        <w:rPr>
          <w:spacing w:val="-6"/>
        </w:rPr>
        <w:t> </w:t>
      </w:r>
      <w:r>
        <w:rPr/>
        <w:t>caries</w:t>
      </w:r>
      <w:r>
        <w:rPr>
          <w:spacing w:val="-7"/>
        </w:rPr>
        <w:t> </w:t>
      </w:r>
      <w:r>
        <w:rPr/>
        <w:t>dental</w:t>
      </w:r>
      <w:r>
        <w:rPr>
          <w:spacing w:val="-7"/>
        </w:rPr>
        <w:t> </w:t>
      </w:r>
      <w:r>
        <w:rPr/>
        <w:t>en</w:t>
      </w:r>
      <w:r>
        <w:rPr>
          <w:spacing w:val="-4"/>
        </w:rPr>
        <w:t> </w:t>
      </w:r>
      <w:r>
        <w:rPr/>
        <w:t>la</w:t>
      </w:r>
      <w:r>
        <w:rPr>
          <w:spacing w:val="-4"/>
        </w:rPr>
        <w:t> </w:t>
      </w:r>
      <w:r>
        <w:rPr/>
        <w:t>dentición</w:t>
      </w:r>
      <w:r>
        <w:rPr>
          <w:spacing w:val="-5"/>
        </w:rPr>
        <w:t> </w:t>
      </w:r>
      <w:r>
        <w:rPr/>
        <w:t>primaria</w:t>
      </w:r>
      <w:r>
        <w:rPr>
          <w:spacing w:val="-4"/>
        </w:rPr>
        <w:t> </w:t>
      </w:r>
      <w:r>
        <w:rPr/>
        <w:t>de</w:t>
      </w:r>
      <w:r>
        <w:rPr>
          <w:spacing w:val="-6"/>
        </w:rPr>
        <w:t> </w:t>
      </w:r>
      <w:r>
        <w:rPr/>
        <w:t>2-5</w:t>
      </w:r>
      <w:r>
        <w:rPr>
          <w:spacing w:val="-6"/>
        </w:rPr>
        <w:t> </w:t>
      </w:r>
      <w:r>
        <w:rPr/>
        <w:t>años</w:t>
      </w:r>
      <w:r>
        <w:rPr>
          <w:spacing w:val="-7"/>
        </w:rPr>
        <w:t> </w:t>
      </w:r>
      <w:r>
        <w:rPr/>
        <w:t>se</w:t>
      </w:r>
      <w:r>
        <w:rPr>
          <w:spacing w:val="-6"/>
        </w:rPr>
        <w:t> </w:t>
      </w:r>
      <w:r>
        <w:rPr/>
        <w:t>ha</w:t>
      </w:r>
      <w:r>
        <w:rPr>
          <w:spacing w:val="-6"/>
        </w:rPr>
        <w:t> </w:t>
      </w:r>
      <w:r>
        <w:rPr/>
        <w:t>se ha incrementado,</w:t>
      </w:r>
      <w:r>
        <w:rPr>
          <w:position w:val="8"/>
          <w:sz w:val="16"/>
        </w:rPr>
        <w:t>12-14 </w:t>
      </w:r>
      <w:r>
        <w:rPr/>
        <w:t>en México los estudios epidemiológicos se ha centrado en evaluar la prevalencia de caries en escolares de de 6 a 12 años,</w:t>
      </w:r>
      <w:r>
        <w:rPr>
          <w:position w:val="8"/>
          <w:sz w:val="16"/>
        </w:rPr>
        <w:t>16,17 </w:t>
      </w:r>
      <w:r>
        <w:rPr/>
        <w:t>sin embargo no existe</w:t>
      </w:r>
      <w:r>
        <w:rPr>
          <w:spacing w:val="-4"/>
        </w:rPr>
        <w:t> </w:t>
      </w:r>
      <w:r>
        <w:rPr/>
        <w:t>suficiente</w:t>
      </w:r>
      <w:r>
        <w:rPr>
          <w:spacing w:val="-4"/>
        </w:rPr>
        <w:t> </w:t>
      </w:r>
      <w:r>
        <w:rPr/>
        <w:t>información</w:t>
      </w:r>
      <w:r>
        <w:rPr>
          <w:spacing w:val="-3"/>
        </w:rPr>
        <w:t> </w:t>
      </w:r>
      <w:r>
        <w:rPr/>
        <w:t>respecto</w:t>
      </w:r>
      <w:r>
        <w:rPr>
          <w:spacing w:val="-6"/>
        </w:rPr>
        <w:t> </w:t>
      </w:r>
      <w:r>
        <w:rPr/>
        <w:t>niños</w:t>
      </w:r>
      <w:r>
        <w:rPr>
          <w:spacing w:val="-7"/>
        </w:rPr>
        <w:t> </w:t>
      </w:r>
      <w:r>
        <w:rPr/>
        <w:t>de</w:t>
      </w:r>
      <w:r>
        <w:rPr>
          <w:spacing w:val="-4"/>
        </w:rPr>
        <w:t> </w:t>
      </w:r>
      <w:r>
        <w:rPr/>
        <w:t>3</w:t>
      </w:r>
      <w:r>
        <w:rPr>
          <w:spacing w:val="-6"/>
        </w:rPr>
        <w:t> </w:t>
      </w:r>
      <w:r>
        <w:rPr/>
        <w:t>a</w:t>
      </w:r>
      <w:r>
        <w:rPr>
          <w:spacing w:val="-6"/>
        </w:rPr>
        <w:t> </w:t>
      </w:r>
      <w:r>
        <w:rPr/>
        <w:t>5</w:t>
      </w:r>
      <w:r>
        <w:rPr>
          <w:spacing w:val="-6"/>
        </w:rPr>
        <w:t> </w:t>
      </w:r>
      <w:r>
        <w:rPr/>
        <w:t>años</w:t>
      </w:r>
      <w:r>
        <w:rPr>
          <w:spacing w:val="-1"/>
        </w:rPr>
        <w:t> </w:t>
      </w:r>
      <w:r>
        <w:rPr/>
        <w:t>y</w:t>
      </w:r>
      <w:r>
        <w:rPr>
          <w:spacing w:val="-7"/>
        </w:rPr>
        <w:t> </w:t>
      </w:r>
      <w:r>
        <w:rPr/>
        <w:t>menos</w:t>
      </w:r>
      <w:r>
        <w:rPr>
          <w:spacing w:val="-9"/>
        </w:rPr>
        <w:t> </w:t>
      </w:r>
      <w:r>
        <w:rPr/>
        <w:t>aún</w:t>
      </w:r>
      <w:r>
        <w:rPr>
          <w:spacing w:val="-6"/>
        </w:rPr>
        <w:t> </w:t>
      </w:r>
      <w:r>
        <w:rPr/>
        <w:t>respecto</w:t>
      </w:r>
      <w:r>
        <w:rPr>
          <w:spacing w:val="-6"/>
        </w:rPr>
        <w:t> </w:t>
      </w:r>
      <w:r>
        <w:rPr/>
        <w:t>a</w:t>
      </w:r>
      <w:r>
        <w:rPr>
          <w:spacing w:val="-4"/>
        </w:rPr>
        <w:t> </w:t>
      </w:r>
      <w:r>
        <w:rPr/>
        <w:t>las poblaciones indígenas y los</w:t>
      </w:r>
      <w:r>
        <w:rPr>
          <w:spacing w:val="-12"/>
        </w:rPr>
        <w:t> </w:t>
      </w:r>
      <w:r>
        <w:rPr/>
        <w:t>predictores.</w:t>
      </w:r>
      <w:r>
        <w:rPr>
          <w:position w:val="8"/>
          <w:sz w:val="16"/>
        </w:rPr>
        <w:t>19,20</w:t>
      </w:r>
    </w:p>
    <w:p>
      <w:pPr>
        <w:spacing w:line="480" w:lineRule="auto" w:before="3"/>
        <w:ind w:left="138" w:right="137" w:firstLine="0"/>
        <w:jc w:val="both"/>
        <w:rPr>
          <w:b/>
          <w:sz w:val="24"/>
        </w:rPr>
      </w:pPr>
      <w:r>
        <w:rPr>
          <w:sz w:val="24"/>
        </w:rPr>
        <w:t>Por</w:t>
      </w:r>
      <w:r>
        <w:rPr>
          <w:spacing w:val="-12"/>
          <w:sz w:val="24"/>
        </w:rPr>
        <w:t> </w:t>
      </w:r>
      <w:r>
        <w:rPr>
          <w:sz w:val="24"/>
        </w:rPr>
        <w:t>lo</w:t>
      </w:r>
      <w:r>
        <w:rPr>
          <w:spacing w:val="-13"/>
          <w:sz w:val="24"/>
        </w:rPr>
        <w:t> </w:t>
      </w:r>
      <w:r>
        <w:rPr>
          <w:sz w:val="24"/>
        </w:rPr>
        <w:t>que</w:t>
      </w:r>
      <w:r>
        <w:rPr>
          <w:spacing w:val="-13"/>
          <w:sz w:val="24"/>
        </w:rPr>
        <w:t> </w:t>
      </w:r>
      <w:r>
        <w:rPr>
          <w:sz w:val="24"/>
        </w:rPr>
        <w:t>el</w:t>
      </w:r>
      <w:r>
        <w:rPr>
          <w:spacing w:val="-12"/>
          <w:sz w:val="24"/>
        </w:rPr>
        <w:t> </w:t>
      </w:r>
      <w:r>
        <w:rPr>
          <w:sz w:val="24"/>
        </w:rPr>
        <w:t>presente</w:t>
      </w:r>
      <w:r>
        <w:rPr>
          <w:spacing w:val="-13"/>
          <w:sz w:val="24"/>
        </w:rPr>
        <w:t> </w:t>
      </w:r>
      <w:r>
        <w:rPr>
          <w:sz w:val="24"/>
        </w:rPr>
        <w:t>proyecto,</w:t>
      </w:r>
      <w:r>
        <w:rPr>
          <w:spacing w:val="-13"/>
          <w:sz w:val="24"/>
        </w:rPr>
        <w:t> </w:t>
      </w:r>
      <w:r>
        <w:rPr>
          <w:sz w:val="24"/>
        </w:rPr>
        <w:t>pretende</w:t>
      </w:r>
      <w:r>
        <w:rPr>
          <w:spacing w:val="-13"/>
          <w:sz w:val="24"/>
        </w:rPr>
        <w:t> </w:t>
      </w:r>
      <w:r>
        <w:rPr>
          <w:sz w:val="24"/>
        </w:rPr>
        <w:t>responder</w:t>
      </w:r>
      <w:r>
        <w:rPr>
          <w:spacing w:val="-10"/>
          <w:sz w:val="24"/>
        </w:rPr>
        <w:t> </w:t>
      </w:r>
      <w:r>
        <w:rPr>
          <w:sz w:val="24"/>
        </w:rPr>
        <w:t>a</w:t>
      </w:r>
      <w:r>
        <w:rPr>
          <w:spacing w:val="-11"/>
          <w:sz w:val="24"/>
        </w:rPr>
        <w:t> </w:t>
      </w:r>
      <w:r>
        <w:rPr>
          <w:sz w:val="24"/>
        </w:rPr>
        <w:t>las</w:t>
      </w:r>
      <w:r>
        <w:rPr>
          <w:spacing w:val="-14"/>
          <w:sz w:val="24"/>
        </w:rPr>
        <w:t> </w:t>
      </w:r>
      <w:r>
        <w:rPr>
          <w:sz w:val="24"/>
        </w:rPr>
        <w:t>siguiente</w:t>
      </w:r>
      <w:r>
        <w:rPr>
          <w:spacing w:val="-14"/>
          <w:sz w:val="24"/>
        </w:rPr>
        <w:t> </w:t>
      </w:r>
      <w:r>
        <w:rPr>
          <w:sz w:val="24"/>
        </w:rPr>
        <w:t>pregunta:</w:t>
      </w:r>
      <w:r>
        <w:rPr>
          <w:spacing w:val="-13"/>
          <w:sz w:val="24"/>
        </w:rPr>
        <w:t> </w:t>
      </w:r>
      <w:r>
        <w:rPr>
          <w:b/>
          <w:sz w:val="24"/>
        </w:rPr>
        <w:t>¿Cuáles son</w:t>
      </w:r>
      <w:r>
        <w:rPr>
          <w:b/>
          <w:spacing w:val="-17"/>
          <w:sz w:val="24"/>
        </w:rPr>
        <w:t> </w:t>
      </w:r>
      <w:r>
        <w:rPr>
          <w:b/>
          <w:sz w:val="24"/>
        </w:rPr>
        <w:t>los</w:t>
      </w:r>
      <w:r>
        <w:rPr>
          <w:b/>
          <w:spacing w:val="-18"/>
          <w:sz w:val="24"/>
        </w:rPr>
        <w:t> </w:t>
      </w:r>
      <w:r>
        <w:rPr>
          <w:b/>
          <w:sz w:val="24"/>
        </w:rPr>
        <w:t>predictores</w:t>
      </w:r>
      <w:r>
        <w:rPr>
          <w:b/>
          <w:spacing w:val="-18"/>
          <w:sz w:val="24"/>
        </w:rPr>
        <w:t> </w:t>
      </w:r>
      <w:r>
        <w:rPr>
          <w:b/>
          <w:sz w:val="24"/>
        </w:rPr>
        <w:t>de</w:t>
      </w:r>
      <w:r>
        <w:rPr>
          <w:b/>
          <w:spacing w:val="-16"/>
          <w:sz w:val="24"/>
        </w:rPr>
        <w:t> </w:t>
      </w:r>
      <w:r>
        <w:rPr>
          <w:b/>
          <w:sz w:val="24"/>
        </w:rPr>
        <w:t>caries</w:t>
      </w:r>
      <w:r>
        <w:rPr>
          <w:b/>
          <w:spacing w:val="-16"/>
          <w:sz w:val="24"/>
        </w:rPr>
        <w:t> </w:t>
      </w:r>
      <w:r>
        <w:rPr>
          <w:b/>
          <w:sz w:val="24"/>
        </w:rPr>
        <w:t>a</w:t>
      </w:r>
      <w:r>
        <w:rPr>
          <w:b/>
          <w:spacing w:val="-18"/>
          <w:sz w:val="24"/>
        </w:rPr>
        <w:t> </w:t>
      </w:r>
      <w:r>
        <w:rPr>
          <w:b/>
          <w:sz w:val="24"/>
        </w:rPr>
        <w:t>través</w:t>
      </w:r>
      <w:r>
        <w:rPr>
          <w:b/>
          <w:spacing w:val="-16"/>
          <w:sz w:val="24"/>
        </w:rPr>
        <w:t> </w:t>
      </w:r>
      <w:r>
        <w:rPr>
          <w:b/>
          <w:sz w:val="24"/>
        </w:rPr>
        <w:t>de</w:t>
      </w:r>
      <w:r>
        <w:rPr>
          <w:b/>
          <w:spacing w:val="-18"/>
          <w:sz w:val="24"/>
        </w:rPr>
        <w:t> </w:t>
      </w:r>
      <w:r>
        <w:rPr>
          <w:b/>
          <w:sz w:val="24"/>
        </w:rPr>
        <w:t>la</w:t>
      </w:r>
      <w:r>
        <w:rPr>
          <w:b/>
          <w:spacing w:val="-20"/>
          <w:sz w:val="24"/>
        </w:rPr>
        <w:t> </w:t>
      </w:r>
      <w:r>
        <w:rPr>
          <w:b/>
          <w:sz w:val="24"/>
        </w:rPr>
        <w:t>construcción</w:t>
      </w:r>
      <w:r>
        <w:rPr>
          <w:b/>
          <w:spacing w:val="-19"/>
          <w:sz w:val="24"/>
        </w:rPr>
        <w:t> </w:t>
      </w:r>
      <w:r>
        <w:rPr>
          <w:b/>
          <w:sz w:val="24"/>
        </w:rPr>
        <w:t>de</w:t>
      </w:r>
      <w:r>
        <w:rPr>
          <w:b/>
          <w:spacing w:val="-18"/>
          <w:sz w:val="24"/>
        </w:rPr>
        <w:t> </w:t>
      </w:r>
      <w:r>
        <w:rPr>
          <w:b/>
          <w:sz w:val="24"/>
        </w:rPr>
        <w:t>un</w:t>
      </w:r>
      <w:r>
        <w:rPr>
          <w:b/>
          <w:spacing w:val="-17"/>
          <w:sz w:val="24"/>
        </w:rPr>
        <w:t> </w:t>
      </w:r>
      <w:r>
        <w:rPr>
          <w:b/>
          <w:sz w:val="24"/>
        </w:rPr>
        <w:t>modelo</w:t>
      </w:r>
      <w:r>
        <w:rPr>
          <w:b/>
          <w:spacing w:val="-17"/>
          <w:sz w:val="24"/>
        </w:rPr>
        <w:t> </w:t>
      </w:r>
      <w:r>
        <w:rPr>
          <w:b/>
          <w:sz w:val="24"/>
        </w:rPr>
        <w:t>predictivo en preescolares Mazahuas del Municipio de San José del Rincón, Estado de México?</w:t>
      </w:r>
    </w:p>
    <w:p>
      <w:pPr>
        <w:spacing w:after="0" w:line="480" w:lineRule="auto"/>
        <w:jc w:val="both"/>
        <w:rPr>
          <w:sz w:val="24"/>
        </w:rPr>
        <w:sectPr>
          <w:pgSz w:w="12240" w:h="15840"/>
          <w:pgMar w:header="686" w:footer="964" w:top="1080" w:bottom="1160" w:left="1280" w:right="1560"/>
        </w:sectPr>
      </w:pPr>
    </w:p>
    <w:p>
      <w:pPr>
        <w:pStyle w:val="BodyText"/>
        <w:rPr>
          <w:b/>
          <w:sz w:val="20"/>
        </w:rPr>
      </w:pPr>
    </w:p>
    <w:p>
      <w:pPr>
        <w:pStyle w:val="BodyText"/>
        <w:spacing w:before="3"/>
        <w:rPr>
          <w:b/>
          <w:sz w:val="27"/>
        </w:rPr>
      </w:pPr>
    </w:p>
    <w:p>
      <w:pPr>
        <w:pStyle w:val="Heading1"/>
        <w:numPr>
          <w:ilvl w:val="1"/>
          <w:numId w:val="3"/>
        </w:numPr>
        <w:tabs>
          <w:tab w:pos="4325" w:val="left" w:leader="none"/>
        </w:tabs>
        <w:spacing w:line="240" w:lineRule="auto" w:before="69" w:after="0"/>
        <w:ind w:left="4325" w:right="0" w:hanging="360"/>
        <w:jc w:val="left"/>
      </w:pPr>
      <w:r>
        <w:rPr/>
        <w:t>Justificación</w:t>
      </w:r>
    </w:p>
    <w:p>
      <w:pPr>
        <w:pStyle w:val="BodyText"/>
        <w:rPr>
          <w:b/>
        </w:rPr>
      </w:pPr>
    </w:p>
    <w:p>
      <w:pPr>
        <w:pStyle w:val="BodyText"/>
        <w:rPr>
          <w:b/>
        </w:rPr>
      </w:pPr>
    </w:p>
    <w:p>
      <w:pPr>
        <w:pStyle w:val="BodyText"/>
        <w:rPr>
          <w:b/>
        </w:rPr>
      </w:pPr>
    </w:p>
    <w:p>
      <w:pPr>
        <w:pStyle w:val="BodyText"/>
        <w:spacing w:line="480" w:lineRule="auto"/>
        <w:ind w:left="280" w:right="146"/>
        <w:jc w:val="both"/>
      </w:pPr>
      <w:r>
        <w:rPr/>
        <w:t>El reporte más reciente del Consejo Nacional de Evaluación de la Política de Desarrollo Social (CONEVAL) indica una alta marginación en el grupo Mazahua.</w:t>
      </w:r>
    </w:p>
    <w:p>
      <w:pPr>
        <w:pStyle w:val="BodyText"/>
        <w:spacing w:line="480" w:lineRule="auto" w:before="8"/>
        <w:ind w:left="280" w:right="141"/>
        <w:jc w:val="both"/>
      </w:pPr>
      <w:r>
        <w:rPr/>
        <w:t>Así mismo, se publicó en el Diario Oficial de la Federación el Programa Especial de los</w:t>
      </w:r>
      <w:r>
        <w:rPr>
          <w:spacing w:val="-5"/>
        </w:rPr>
        <w:t> </w:t>
      </w:r>
      <w:r>
        <w:rPr/>
        <w:t>Pueblos</w:t>
      </w:r>
      <w:r>
        <w:rPr>
          <w:spacing w:val="-5"/>
        </w:rPr>
        <w:t> </w:t>
      </w:r>
      <w:r>
        <w:rPr/>
        <w:t>Indígenas</w:t>
      </w:r>
      <w:r>
        <w:rPr>
          <w:spacing w:val="-8"/>
        </w:rPr>
        <w:t> </w:t>
      </w:r>
      <w:r>
        <w:rPr/>
        <w:t>2014-2018,</w:t>
      </w:r>
      <w:r>
        <w:rPr>
          <w:spacing w:val="-5"/>
        </w:rPr>
        <w:t> </w:t>
      </w:r>
      <w:r>
        <w:rPr/>
        <w:t>cuyo</w:t>
      </w:r>
      <w:r>
        <w:rPr>
          <w:spacing w:val="-5"/>
        </w:rPr>
        <w:t> </w:t>
      </w:r>
      <w:r>
        <w:rPr/>
        <w:t>objetivo</w:t>
      </w:r>
      <w:r>
        <w:rPr>
          <w:spacing w:val="-5"/>
        </w:rPr>
        <w:t> </w:t>
      </w:r>
      <w:r>
        <w:rPr/>
        <w:t>principal</w:t>
      </w:r>
      <w:r>
        <w:rPr>
          <w:spacing w:val="-6"/>
        </w:rPr>
        <w:t> </w:t>
      </w:r>
      <w:r>
        <w:rPr/>
        <w:t>es</w:t>
      </w:r>
      <w:r>
        <w:rPr>
          <w:spacing w:val="-5"/>
        </w:rPr>
        <w:t> </w:t>
      </w:r>
      <w:r>
        <w:rPr/>
        <w:t>incrementar</w:t>
      </w:r>
      <w:r>
        <w:rPr>
          <w:spacing w:val="-6"/>
        </w:rPr>
        <w:t> </w:t>
      </w:r>
      <w:r>
        <w:rPr/>
        <w:t>el</w:t>
      </w:r>
      <w:r>
        <w:rPr>
          <w:spacing w:val="-8"/>
        </w:rPr>
        <w:t> </w:t>
      </w:r>
      <w:r>
        <w:rPr/>
        <w:t>acceso</w:t>
      </w:r>
      <w:r>
        <w:rPr>
          <w:spacing w:val="-9"/>
        </w:rPr>
        <w:t> </w:t>
      </w:r>
      <w:r>
        <w:rPr/>
        <w:t>a la alimentación, la salud, y la educación a los pueblos</w:t>
      </w:r>
      <w:r>
        <w:rPr>
          <w:spacing w:val="-23"/>
        </w:rPr>
        <w:t> </w:t>
      </w:r>
      <w:r>
        <w:rPr/>
        <w:t>indígenas.</w:t>
      </w:r>
    </w:p>
    <w:p>
      <w:pPr>
        <w:pStyle w:val="BodyText"/>
        <w:spacing w:line="480" w:lineRule="auto" w:before="8"/>
        <w:ind w:left="280" w:right="139"/>
        <w:jc w:val="both"/>
      </w:pPr>
      <w:r>
        <w:rPr/>
        <w:t>Conjuntamente se sabe que a nivel mundial, el problema de la caries dental en dientes permanentes se encuentra parcialmente controlado, sin embargo, en la dentición primaria los reportes indican un aumento en la prevalencia.</w:t>
      </w:r>
    </w:p>
    <w:p>
      <w:pPr>
        <w:pStyle w:val="BodyText"/>
        <w:spacing w:line="480" w:lineRule="auto" w:before="8"/>
        <w:ind w:left="280" w:right="135"/>
        <w:jc w:val="both"/>
      </w:pPr>
      <w:r>
        <w:rPr/>
        <w:t>Por lo que es importante contar con la información respecto a los preescolares Mazahuas y determinar el comportamiento de la enfermedad determinar a través de la construcción de un modelo, los predictores la cual es muy importante para poder implementar las medidas de prevención específicas para esta población</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numPr>
          <w:ilvl w:val="1"/>
          <w:numId w:val="3"/>
        </w:numPr>
        <w:tabs>
          <w:tab w:pos="4520" w:val="left" w:leader="none"/>
        </w:tabs>
        <w:spacing w:line="240" w:lineRule="auto" w:before="69" w:after="0"/>
        <w:ind w:left="4519" w:right="0" w:hanging="360"/>
        <w:jc w:val="left"/>
      </w:pPr>
      <w:r>
        <w:rPr/>
        <w:t>Hipótesis</w:t>
      </w:r>
    </w:p>
    <w:p>
      <w:pPr>
        <w:pStyle w:val="BodyText"/>
        <w:spacing w:before="11"/>
        <w:rPr>
          <w:b/>
          <w:sz w:val="17"/>
        </w:rPr>
      </w:pPr>
    </w:p>
    <w:p>
      <w:pPr>
        <w:spacing w:before="69"/>
        <w:ind w:left="280" w:right="0" w:firstLine="0"/>
        <w:jc w:val="both"/>
        <w:rPr>
          <w:b/>
          <w:sz w:val="24"/>
        </w:rPr>
      </w:pPr>
      <w:r>
        <w:rPr>
          <w:b/>
          <w:sz w:val="24"/>
        </w:rPr>
        <w:t>Hipótesis general.</w:t>
      </w:r>
    </w:p>
    <w:p>
      <w:pPr>
        <w:pStyle w:val="BodyText"/>
        <w:rPr>
          <w:b/>
        </w:rPr>
      </w:pPr>
    </w:p>
    <w:p>
      <w:pPr>
        <w:pStyle w:val="BodyText"/>
        <w:spacing w:line="480" w:lineRule="auto"/>
        <w:ind w:left="280" w:right="137"/>
        <w:jc w:val="both"/>
        <w:rPr>
          <w:b/>
        </w:rPr>
      </w:pPr>
      <w:r>
        <w:rPr/>
        <w:t>La prevalencia de caries en preescolares Mazahuas será del 90%, y los principales factores predictivos, incluirán los hábitos dietéticos, higiénicos, presencia de materia blanca en la superficie dental y que el papá o cuidador principal tengan caries </w:t>
      </w:r>
      <w:r>
        <w:rPr>
          <w:b/>
        </w:rPr>
        <w:t>Hipótesis nula.</w:t>
      </w:r>
    </w:p>
    <w:p>
      <w:pPr>
        <w:pStyle w:val="BodyText"/>
        <w:spacing w:line="480" w:lineRule="auto" w:before="8"/>
        <w:ind w:left="280" w:right="137"/>
        <w:jc w:val="both"/>
      </w:pPr>
      <w:r>
        <w:rPr/>
        <w:t>La</w:t>
      </w:r>
      <w:r>
        <w:rPr>
          <w:spacing w:val="-13"/>
        </w:rPr>
        <w:t> </w:t>
      </w:r>
      <w:r>
        <w:rPr/>
        <w:t>prevalencia</w:t>
      </w:r>
      <w:r>
        <w:rPr>
          <w:spacing w:val="-13"/>
        </w:rPr>
        <w:t> </w:t>
      </w:r>
      <w:r>
        <w:rPr/>
        <w:t>de</w:t>
      </w:r>
      <w:r>
        <w:rPr>
          <w:spacing w:val="-13"/>
        </w:rPr>
        <w:t> </w:t>
      </w:r>
      <w:r>
        <w:rPr/>
        <w:t>caries</w:t>
      </w:r>
      <w:r>
        <w:rPr>
          <w:spacing w:val="-14"/>
        </w:rPr>
        <w:t> </w:t>
      </w:r>
      <w:r>
        <w:rPr/>
        <w:t>en</w:t>
      </w:r>
      <w:r>
        <w:rPr>
          <w:spacing w:val="-13"/>
        </w:rPr>
        <w:t> </w:t>
      </w:r>
      <w:r>
        <w:rPr/>
        <w:t>preescolares</w:t>
      </w:r>
      <w:r>
        <w:rPr>
          <w:spacing w:val="-14"/>
        </w:rPr>
        <w:t> </w:t>
      </w:r>
      <w:r>
        <w:rPr/>
        <w:t>Mazahuas</w:t>
      </w:r>
      <w:r>
        <w:rPr>
          <w:spacing w:val="-14"/>
        </w:rPr>
        <w:t> </w:t>
      </w:r>
      <w:r>
        <w:rPr/>
        <w:t>no</w:t>
      </w:r>
      <w:r>
        <w:rPr>
          <w:spacing w:val="-13"/>
        </w:rPr>
        <w:t> </w:t>
      </w:r>
      <w:r>
        <w:rPr/>
        <w:t>será</w:t>
      </w:r>
      <w:r>
        <w:rPr>
          <w:spacing w:val="-13"/>
        </w:rPr>
        <w:t> </w:t>
      </w:r>
      <w:r>
        <w:rPr/>
        <w:t>del</w:t>
      </w:r>
      <w:r>
        <w:rPr>
          <w:spacing w:val="-14"/>
        </w:rPr>
        <w:t> </w:t>
      </w:r>
      <w:r>
        <w:rPr/>
        <w:t>90%</w:t>
      </w:r>
      <w:r>
        <w:rPr>
          <w:spacing w:val="-16"/>
        </w:rPr>
        <w:t> </w:t>
      </w:r>
      <w:r>
        <w:rPr/>
        <w:t>y</w:t>
      </w:r>
      <w:r>
        <w:rPr>
          <w:spacing w:val="-16"/>
        </w:rPr>
        <w:t> </w:t>
      </w:r>
      <w:r>
        <w:rPr/>
        <w:t>los</w:t>
      </w:r>
      <w:r>
        <w:rPr>
          <w:spacing w:val="-13"/>
        </w:rPr>
        <w:t> </w:t>
      </w:r>
      <w:r>
        <w:rPr/>
        <w:t>principales factores predictivos, no incluirán los hábitos dietéticos, higiénicos, presencia de materia</w:t>
      </w:r>
      <w:r>
        <w:rPr>
          <w:spacing w:val="-19"/>
        </w:rPr>
        <w:t> </w:t>
      </w:r>
      <w:r>
        <w:rPr/>
        <w:t>blanca</w:t>
      </w:r>
      <w:r>
        <w:rPr>
          <w:spacing w:val="-19"/>
        </w:rPr>
        <w:t> </w:t>
      </w:r>
      <w:r>
        <w:rPr/>
        <w:t>en</w:t>
      </w:r>
      <w:r>
        <w:rPr>
          <w:spacing w:val="-19"/>
        </w:rPr>
        <w:t> </w:t>
      </w:r>
      <w:r>
        <w:rPr/>
        <w:t>la</w:t>
      </w:r>
      <w:r>
        <w:rPr>
          <w:spacing w:val="-19"/>
        </w:rPr>
        <w:t> </w:t>
      </w:r>
      <w:r>
        <w:rPr/>
        <w:t>superficie</w:t>
      </w:r>
      <w:r>
        <w:rPr>
          <w:spacing w:val="-19"/>
        </w:rPr>
        <w:t> </w:t>
      </w:r>
      <w:r>
        <w:rPr/>
        <w:t>dental</w:t>
      </w:r>
      <w:r>
        <w:rPr>
          <w:spacing w:val="-16"/>
        </w:rPr>
        <w:t> </w:t>
      </w:r>
      <w:r>
        <w:rPr/>
        <w:t>y</w:t>
      </w:r>
      <w:r>
        <w:rPr>
          <w:spacing w:val="-21"/>
        </w:rPr>
        <w:t> </w:t>
      </w:r>
      <w:r>
        <w:rPr/>
        <w:t>que</w:t>
      </w:r>
      <w:r>
        <w:rPr>
          <w:spacing w:val="-19"/>
        </w:rPr>
        <w:t> </w:t>
      </w:r>
      <w:r>
        <w:rPr/>
        <w:t>el</w:t>
      </w:r>
      <w:r>
        <w:rPr>
          <w:spacing w:val="-20"/>
        </w:rPr>
        <w:t> </w:t>
      </w:r>
      <w:r>
        <w:rPr/>
        <w:t>papá</w:t>
      </w:r>
      <w:r>
        <w:rPr>
          <w:spacing w:val="-19"/>
        </w:rPr>
        <w:t> </w:t>
      </w:r>
      <w:r>
        <w:rPr/>
        <w:t>o</w:t>
      </w:r>
      <w:r>
        <w:rPr>
          <w:spacing w:val="-19"/>
        </w:rPr>
        <w:t> </w:t>
      </w:r>
      <w:r>
        <w:rPr/>
        <w:t>cuidador</w:t>
      </w:r>
      <w:r>
        <w:rPr>
          <w:spacing w:val="-20"/>
        </w:rPr>
        <w:t> </w:t>
      </w:r>
      <w:r>
        <w:rPr/>
        <w:t>principal</w:t>
      </w:r>
      <w:r>
        <w:rPr>
          <w:spacing w:val="-20"/>
        </w:rPr>
        <w:t> </w:t>
      </w:r>
      <w:r>
        <w:rPr/>
        <w:t>tengan</w:t>
      </w:r>
      <w:r>
        <w:rPr>
          <w:spacing w:val="-19"/>
        </w:rPr>
        <w:t> </w:t>
      </w:r>
      <w:r>
        <w:rPr/>
        <w:t>caries.</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numPr>
          <w:ilvl w:val="1"/>
          <w:numId w:val="3"/>
        </w:numPr>
        <w:tabs>
          <w:tab w:pos="4513" w:val="left" w:leader="none"/>
        </w:tabs>
        <w:spacing w:line="240" w:lineRule="auto" w:before="69" w:after="0"/>
        <w:ind w:left="4512" w:right="0" w:hanging="360"/>
        <w:jc w:val="left"/>
      </w:pPr>
      <w:r>
        <w:rPr/>
        <w:t>Objetivos</w:t>
      </w:r>
    </w:p>
    <w:p>
      <w:pPr>
        <w:pStyle w:val="BodyText"/>
        <w:rPr>
          <w:b/>
          <w:sz w:val="20"/>
        </w:rPr>
      </w:pPr>
    </w:p>
    <w:p>
      <w:pPr>
        <w:pStyle w:val="BodyText"/>
        <w:rPr>
          <w:b/>
          <w:sz w:val="20"/>
        </w:rPr>
      </w:pPr>
    </w:p>
    <w:p>
      <w:pPr>
        <w:pStyle w:val="BodyText"/>
        <w:spacing w:before="11"/>
        <w:rPr>
          <w:b/>
          <w:sz w:val="25"/>
        </w:rPr>
      </w:pPr>
    </w:p>
    <w:p>
      <w:pPr>
        <w:spacing w:before="69"/>
        <w:ind w:left="280" w:right="630" w:firstLine="0"/>
        <w:jc w:val="left"/>
        <w:rPr>
          <w:b/>
          <w:sz w:val="24"/>
        </w:rPr>
      </w:pPr>
      <w:r>
        <w:rPr>
          <w:b/>
          <w:sz w:val="24"/>
        </w:rPr>
        <w:t>Objetivo general</w:t>
      </w:r>
    </w:p>
    <w:p>
      <w:pPr>
        <w:pStyle w:val="BodyText"/>
        <w:rPr>
          <w:b/>
        </w:rPr>
      </w:pPr>
    </w:p>
    <w:p>
      <w:pPr>
        <w:pStyle w:val="BodyText"/>
        <w:spacing w:line="480" w:lineRule="auto"/>
        <w:ind w:left="280" w:right="55"/>
      </w:pPr>
      <w:r>
        <w:rPr/>
        <w:t>Construir un modelo predictivo de caries en preescolares Mazahuas del Municipio de San José del Rincón, Estado de México</w:t>
      </w:r>
    </w:p>
    <w:p>
      <w:pPr>
        <w:pStyle w:val="BodyText"/>
      </w:pPr>
    </w:p>
    <w:p>
      <w:pPr>
        <w:pStyle w:val="BodyText"/>
        <w:spacing w:before="8"/>
      </w:pPr>
    </w:p>
    <w:p>
      <w:pPr>
        <w:pStyle w:val="Heading1"/>
        <w:ind w:left="280" w:right="630"/>
        <w:jc w:val="left"/>
      </w:pPr>
      <w:r>
        <w:rPr/>
        <w:t>Objetivos específicos</w:t>
      </w:r>
    </w:p>
    <w:p>
      <w:pPr>
        <w:pStyle w:val="BodyText"/>
        <w:rPr>
          <w:b/>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sz w:val="24"/>
        </w:rPr>
      </w:pPr>
      <w:r>
        <w:rPr>
          <w:rFonts w:ascii="Arial"/>
          <w:sz w:val="24"/>
        </w:rPr>
        <w:t>Determinar el peso y</w:t>
      </w:r>
      <w:r>
        <w:rPr>
          <w:rFonts w:ascii="Arial"/>
          <w:spacing w:val="-10"/>
          <w:sz w:val="24"/>
        </w:rPr>
        <w:t> </w:t>
      </w:r>
      <w:r>
        <w:rPr>
          <w:rFonts w:ascii="Arial"/>
          <w:sz w:val="24"/>
        </w:rPr>
        <w:t>talla</w:t>
      </w:r>
    </w:p>
    <w:p>
      <w:pPr>
        <w:pStyle w:val="BodyText"/>
        <w:spacing w:before="5"/>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i/>
          <w:sz w:val="24"/>
        </w:rPr>
      </w:pPr>
      <w:r>
        <w:rPr>
          <w:rFonts w:ascii="Arial"/>
          <w:sz w:val="24"/>
        </w:rPr>
        <w:t>Determinar la presencia de </w:t>
      </w:r>
      <w:r>
        <w:rPr>
          <w:rFonts w:ascii="Arial"/>
          <w:i/>
          <w:sz w:val="24"/>
        </w:rPr>
        <w:t>materia</w:t>
      </w:r>
      <w:r>
        <w:rPr>
          <w:rFonts w:ascii="Arial"/>
          <w:i/>
          <w:spacing w:val="-10"/>
          <w:sz w:val="24"/>
        </w:rPr>
        <w:t> </w:t>
      </w:r>
      <w:r>
        <w:rPr>
          <w:rFonts w:ascii="Arial"/>
          <w:i/>
          <w:sz w:val="24"/>
        </w:rPr>
        <w:t>alba</w:t>
      </w:r>
    </w:p>
    <w:p>
      <w:pPr>
        <w:pStyle w:val="BodyText"/>
        <w:spacing w:before="1"/>
        <w:rPr>
          <w:i/>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hAnsi="Arial"/>
          <w:sz w:val="24"/>
        </w:rPr>
      </w:pPr>
      <w:r>
        <w:rPr>
          <w:rFonts w:ascii="Arial" w:hAnsi="Arial"/>
          <w:sz w:val="24"/>
        </w:rPr>
        <w:t>Determinar el índice ICDAS de dos</w:t>
      </w:r>
      <w:r>
        <w:rPr>
          <w:rFonts w:ascii="Arial" w:hAnsi="Arial"/>
          <w:spacing w:val="-13"/>
          <w:sz w:val="24"/>
        </w:rPr>
        <w:t> </w:t>
      </w:r>
      <w:r>
        <w:rPr>
          <w:rFonts w:ascii="Arial" w:hAnsi="Arial"/>
          <w:sz w:val="24"/>
        </w:rPr>
        <w:t>dígitos.</w:t>
      </w:r>
    </w:p>
    <w:p>
      <w:pPr>
        <w:pStyle w:val="BodyText"/>
        <w:spacing w:before="10"/>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sz w:val="24"/>
        </w:rPr>
      </w:pPr>
      <w:r>
        <w:rPr>
          <w:rFonts w:ascii="Arial"/>
          <w:sz w:val="24"/>
        </w:rPr>
        <w:t>Obtener el promedio de cpos de acuerdo al sistema</w:t>
      </w:r>
      <w:r>
        <w:rPr>
          <w:rFonts w:ascii="Arial"/>
          <w:spacing w:val="-10"/>
          <w:sz w:val="24"/>
        </w:rPr>
        <w:t> </w:t>
      </w:r>
      <w:r>
        <w:rPr>
          <w:rFonts w:ascii="Arial"/>
          <w:sz w:val="24"/>
        </w:rPr>
        <w:t>ICDAS.</w:t>
      </w:r>
    </w:p>
    <w:p>
      <w:pPr>
        <w:pStyle w:val="BodyText"/>
        <w:spacing w:before="7"/>
        <w:rPr>
          <w:sz w:val="23"/>
        </w:rPr>
      </w:pPr>
    </w:p>
    <w:p>
      <w:pPr>
        <w:pStyle w:val="ListParagraph"/>
        <w:numPr>
          <w:ilvl w:val="2"/>
          <w:numId w:val="5"/>
        </w:numPr>
        <w:tabs>
          <w:tab w:pos="846" w:val="left" w:leader="none"/>
          <w:tab w:pos="847" w:val="left" w:leader="none"/>
        </w:tabs>
        <w:spacing w:line="240" w:lineRule="auto" w:before="1" w:after="0"/>
        <w:ind w:left="846" w:right="0" w:hanging="566"/>
        <w:jc w:val="left"/>
        <w:rPr>
          <w:rFonts w:ascii="Arial" w:hAnsi="Arial"/>
          <w:sz w:val="24"/>
        </w:rPr>
      </w:pPr>
      <w:r>
        <w:rPr>
          <w:rFonts w:ascii="Arial" w:hAnsi="Arial"/>
          <w:sz w:val="24"/>
        </w:rPr>
        <w:t>Calcular el porcentaje de niños libres de</w:t>
      </w:r>
      <w:r>
        <w:rPr>
          <w:rFonts w:ascii="Arial" w:hAnsi="Arial"/>
          <w:spacing w:val="-15"/>
          <w:sz w:val="24"/>
        </w:rPr>
        <w:t> </w:t>
      </w:r>
      <w:r>
        <w:rPr>
          <w:rFonts w:ascii="Arial" w:hAnsi="Arial"/>
          <w:sz w:val="24"/>
        </w:rPr>
        <w:t>caries.</w:t>
      </w:r>
    </w:p>
    <w:p>
      <w:pPr>
        <w:pStyle w:val="BodyText"/>
        <w:spacing w:before="10"/>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hAnsi="Arial"/>
          <w:sz w:val="24"/>
        </w:rPr>
      </w:pPr>
      <w:r>
        <w:rPr>
          <w:rFonts w:ascii="Arial" w:hAnsi="Arial"/>
          <w:sz w:val="24"/>
        </w:rPr>
        <w:t>Calcular el porcentaje de niños con caries o</w:t>
      </w:r>
      <w:r>
        <w:rPr>
          <w:rFonts w:ascii="Arial" w:hAnsi="Arial"/>
          <w:spacing w:val="-13"/>
          <w:sz w:val="24"/>
        </w:rPr>
        <w:t> </w:t>
      </w:r>
      <w:r>
        <w:rPr>
          <w:rFonts w:ascii="Arial" w:hAnsi="Arial"/>
          <w:sz w:val="24"/>
        </w:rPr>
        <w:t>prevalencia.</w:t>
      </w:r>
    </w:p>
    <w:p>
      <w:pPr>
        <w:pStyle w:val="BodyText"/>
        <w:spacing w:before="10"/>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hAnsi="Arial"/>
          <w:sz w:val="24"/>
        </w:rPr>
      </w:pPr>
      <w:r>
        <w:rPr>
          <w:rFonts w:ascii="Arial" w:hAnsi="Arial"/>
          <w:sz w:val="24"/>
        </w:rPr>
        <w:t>Determinar el porcentaje de niños con caries de la infancia</w:t>
      </w:r>
      <w:r>
        <w:rPr>
          <w:rFonts w:ascii="Arial" w:hAnsi="Arial"/>
          <w:spacing w:val="-22"/>
          <w:sz w:val="24"/>
        </w:rPr>
        <w:t> </w:t>
      </w:r>
      <w:r>
        <w:rPr>
          <w:rFonts w:ascii="Arial" w:hAnsi="Arial"/>
          <w:sz w:val="24"/>
        </w:rPr>
        <w:t>temprana.</w:t>
      </w:r>
    </w:p>
    <w:p>
      <w:pPr>
        <w:pStyle w:val="BodyText"/>
        <w:spacing w:before="10"/>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hAnsi="Arial"/>
          <w:sz w:val="24"/>
        </w:rPr>
      </w:pPr>
      <w:r>
        <w:rPr>
          <w:rFonts w:ascii="Arial" w:hAnsi="Arial"/>
          <w:sz w:val="24"/>
        </w:rPr>
        <w:t>Evaluar el porcentaje de niños con caries de la infancia temprana</w:t>
      </w:r>
      <w:r>
        <w:rPr>
          <w:rFonts w:ascii="Arial" w:hAnsi="Arial"/>
          <w:spacing w:val="-24"/>
          <w:sz w:val="24"/>
        </w:rPr>
        <w:t> </w:t>
      </w:r>
      <w:r>
        <w:rPr>
          <w:rFonts w:ascii="Arial" w:hAnsi="Arial"/>
          <w:sz w:val="24"/>
        </w:rPr>
        <w:t>severa.</w:t>
      </w:r>
    </w:p>
    <w:p>
      <w:pPr>
        <w:pStyle w:val="BodyText"/>
        <w:spacing w:before="7"/>
        <w:rPr>
          <w:sz w:val="23"/>
        </w:rPr>
      </w:pPr>
    </w:p>
    <w:p>
      <w:pPr>
        <w:pStyle w:val="ListParagraph"/>
        <w:numPr>
          <w:ilvl w:val="2"/>
          <w:numId w:val="5"/>
        </w:numPr>
        <w:tabs>
          <w:tab w:pos="846" w:val="left" w:leader="none"/>
          <w:tab w:pos="847" w:val="left" w:leader="none"/>
        </w:tabs>
        <w:spacing w:line="240" w:lineRule="auto" w:before="1" w:after="0"/>
        <w:ind w:left="846" w:right="0" w:hanging="566"/>
        <w:jc w:val="left"/>
        <w:rPr>
          <w:rFonts w:ascii="Arial" w:hAnsi="Arial"/>
          <w:sz w:val="24"/>
        </w:rPr>
      </w:pPr>
      <w:r>
        <w:rPr>
          <w:rFonts w:ascii="Arial" w:hAnsi="Arial"/>
          <w:sz w:val="24"/>
        </w:rPr>
        <w:t>Aplicación de la</w:t>
      </w:r>
      <w:r>
        <w:rPr>
          <w:rFonts w:ascii="Arial" w:hAnsi="Arial"/>
          <w:spacing w:val="-9"/>
          <w:sz w:val="24"/>
        </w:rPr>
        <w:t> </w:t>
      </w:r>
      <w:r>
        <w:rPr>
          <w:rFonts w:ascii="Arial" w:hAnsi="Arial"/>
          <w:sz w:val="24"/>
        </w:rPr>
        <w:t>encuesta.</w:t>
      </w:r>
    </w:p>
    <w:p>
      <w:pPr>
        <w:pStyle w:val="BodyText"/>
        <w:spacing w:before="10"/>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sz w:val="24"/>
        </w:rPr>
      </w:pPr>
      <w:r>
        <w:rPr>
          <w:rFonts w:ascii="Arial"/>
          <w:sz w:val="24"/>
        </w:rPr>
        <w:t>Construir el  modelo predictivo e identificar los</w:t>
      </w:r>
      <w:r>
        <w:rPr>
          <w:rFonts w:ascii="Arial"/>
          <w:spacing w:val="-10"/>
          <w:sz w:val="24"/>
        </w:rPr>
        <w:t> </w:t>
      </w:r>
      <w:r>
        <w:rPr>
          <w:rFonts w:ascii="Arial"/>
          <w:sz w:val="24"/>
        </w:rPr>
        <w:t>predictores</w:t>
      </w:r>
    </w:p>
    <w:p>
      <w:pPr>
        <w:pStyle w:val="BodyText"/>
        <w:spacing w:before="10"/>
        <w:rPr>
          <w:sz w:val="23"/>
        </w:rPr>
      </w:pPr>
    </w:p>
    <w:p>
      <w:pPr>
        <w:pStyle w:val="ListParagraph"/>
        <w:numPr>
          <w:ilvl w:val="2"/>
          <w:numId w:val="5"/>
        </w:numPr>
        <w:tabs>
          <w:tab w:pos="846" w:val="left" w:leader="none"/>
          <w:tab w:pos="847" w:val="left" w:leader="none"/>
        </w:tabs>
        <w:spacing w:line="240" w:lineRule="auto" w:before="0" w:after="0"/>
        <w:ind w:left="846" w:right="0" w:hanging="566"/>
        <w:jc w:val="left"/>
        <w:rPr>
          <w:rFonts w:ascii="Arial"/>
          <w:sz w:val="24"/>
        </w:rPr>
      </w:pPr>
      <w:r>
        <w:rPr>
          <w:rFonts w:ascii="Arial"/>
          <w:sz w:val="24"/>
        </w:rPr>
        <w:t>Determinar el riego a</w:t>
      </w:r>
      <w:r>
        <w:rPr>
          <w:rFonts w:ascii="Arial"/>
          <w:spacing w:val="-10"/>
          <w:sz w:val="24"/>
        </w:rPr>
        <w:t> </w:t>
      </w:r>
      <w:r>
        <w:rPr>
          <w:rFonts w:ascii="Arial"/>
          <w:sz w:val="24"/>
        </w:rPr>
        <w:t>caries</w:t>
      </w:r>
    </w:p>
    <w:p>
      <w:pPr>
        <w:spacing w:after="0" w:line="240" w:lineRule="auto"/>
        <w:jc w:val="left"/>
        <w:rPr>
          <w:rFonts w:ascii="Arial"/>
          <w:sz w:val="24"/>
        </w:rPr>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numPr>
          <w:ilvl w:val="1"/>
          <w:numId w:val="3"/>
        </w:numPr>
        <w:tabs>
          <w:tab w:pos="3845" w:val="left" w:leader="none"/>
        </w:tabs>
        <w:spacing w:line="240" w:lineRule="auto" w:before="69" w:after="0"/>
        <w:ind w:left="3845" w:right="0" w:hanging="360"/>
        <w:jc w:val="left"/>
      </w:pPr>
      <w:r>
        <w:rPr/>
        <w:t>Materiales y</w:t>
      </w:r>
      <w:r>
        <w:rPr>
          <w:spacing w:val="-8"/>
        </w:rPr>
        <w:t> </w:t>
      </w:r>
      <w:r>
        <w:rPr/>
        <w:t>Métodos</w:t>
      </w:r>
    </w:p>
    <w:p>
      <w:pPr>
        <w:pStyle w:val="BodyText"/>
        <w:rPr>
          <w:b/>
          <w:sz w:val="20"/>
        </w:rPr>
      </w:pPr>
    </w:p>
    <w:p>
      <w:pPr>
        <w:pStyle w:val="BodyText"/>
        <w:rPr>
          <w:b/>
          <w:sz w:val="20"/>
        </w:rPr>
      </w:pPr>
    </w:p>
    <w:p>
      <w:pPr>
        <w:pStyle w:val="BodyText"/>
        <w:spacing w:before="11"/>
        <w:rPr>
          <w:b/>
          <w:sz w:val="25"/>
        </w:rPr>
      </w:pPr>
    </w:p>
    <w:p>
      <w:pPr>
        <w:pStyle w:val="ListParagraph"/>
        <w:numPr>
          <w:ilvl w:val="1"/>
          <w:numId w:val="6"/>
        </w:numPr>
        <w:tabs>
          <w:tab w:pos="683" w:val="left" w:leader="none"/>
        </w:tabs>
        <w:spacing w:line="240" w:lineRule="auto" w:before="69" w:after="0"/>
        <w:ind w:left="280" w:right="0" w:firstLine="0"/>
        <w:jc w:val="left"/>
        <w:rPr>
          <w:rFonts w:ascii="Arial" w:hAnsi="Arial"/>
          <w:b/>
          <w:sz w:val="24"/>
        </w:rPr>
      </w:pPr>
      <w:r>
        <w:rPr>
          <w:rFonts w:ascii="Arial" w:hAnsi="Arial"/>
          <w:b/>
          <w:sz w:val="24"/>
        </w:rPr>
        <w:t>Diseño de</w:t>
      </w:r>
      <w:r>
        <w:rPr>
          <w:rFonts w:ascii="Arial" w:hAnsi="Arial"/>
          <w:b/>
          <w:spacing w:val="-9"/>
          <w:sz w:val="24"/>
        </w:rPr>
        <w:t> </w:t>
      </w:r>
      <w:r>
        <w:rPr>
          <w:rFonts w:ascii="Arial" w:hAnsi="Arial"/>
          <w:b/>
          <w:sz w:val="24"/>
        </w:rPr>
        <w:t>Estudio</w:t>
      </w:r>
    </w:p>
    <w:p>
      <w:pPr>
        <w:pStyle w:val="BodyText"/>
        <w:rPr>
          <w:b/>
        </w:rPr>
      </w:pPr>
    </w:p>
    <w:p>
      <w:pPr>
        <w:pStyle w:val="BodyText"/>
        <w:spacing w:line="480" w:lineRule="auto"/>
        <w:ind w:left="280" w:right="135"/>
      </w:pPr>
      <w:r>
        <w:rPr/>
        <w:t>El presente estudio es transversal, se examinaron un total de 131 preescolares del Municipio de San José del Rincón de 3 a 5 años de origen Mazahua.</w:t>
      </w:r>
    </w:p>
    <w:p>
      <w:pPr>
        <w:pStyle w:val="Heading1"/>
        <w:numPr>
          <w:ilvl w:val="1"/>
          <w:numId w:val="6"/>
        </w:numPr>
        <w:tabs>
          <w:tab w:pos="683" w:val="left" w:leader="none"/>
        </w:tabs>
        <w:spacing w:line="480" w:lineRule="auto" w:before="8" w:after="0"/>
        <w:ind w:left="280" w:right="3435" w:firstLine="0"/>
        <w:jc w:val="left"/>
      </w:pPr>
      <w:r>
        <w:rPr/>
        <w:t>Criterios de inclusión, exclusión y</w:t>
      </w:r>
      <w:r>
        <w:rPr>
          <w:spacing w:val="-14"/>
        </w:rPr>
        <w:t> </w:t>
      </w:r>
      <w:r>
        <w:rPr/>
        <w:t>eliminación Criterios de</w:t>
      </w:r>
      <w:r>
        <w:rPr>
          <w:spacing w:val="-2"/>
        </w:rPr>
        <w:t> </w:t>
      </w:r>
      <w:r>
        <w:rPr/>
        <w:t>inclusión</w:t>
      </w:r>
    </w:p>
    <w:p>
      <w:pPr>
        <w:pStyle w:val="BodyText"/>
        <w:spacing w:line="480" w:lineRule="auto" w:before="8"/>
        <w:ind w:left="280" w:right="334"/>
      </w:pPr>
      <w:r>
        <w:rPr/>
        <w:t>Preescolares de 3 a 5 años de origen Mazahua (con padres, abuelos o bisabuelos que hablen la lengua Mazahua o reconozcan pertenecer al grupo étnico) Preescolares Mazahuas, que aceptaron la revisión y cuyos padres dieron el consentimiento para su revisión.</w:t>
      </w:r>
    </w:p>
    <w:p>
      <w:pPr>
        <w:pStyle w:val="Heading1"/>
        <w:spacing w:before="8"/>
        <w:ind w:left="280" w:right="630"/>
        <w:jc w:val="left"/>
      </w:pPr>
      <w:r>
        <w:rPr/>
        <w:t>Criterios de no inclusión</w:t>
      </w:r>
    </w:p>
    <w:p>
      <w:pPr>
        <w:pStyle w:val="BodyText"/>
        <w:rPr>
          <w:b/>
        </w:rPr>
      </w:pPr>
    </w:p>
    <w:p>
      <w:pPr>
        <w:pStyle w:val="BodyText"/>
        <w:spacing w:line="480" w:lineRule="auto"/>
        <w:ind w:left="280" w:right="3443"/>
        <w:rPr>
          <w:b/>
        </w:rPr>
      </w:pPr>
      <w:r>
        <w:rPr/>
        <w:t>Preescolares cuyos padres no aceptaron la revisión. Preescolares que no tuvieron ascendencia Mazahua. </w:t>
      </w:r>
      <w:r>
        <w:rPr>
          <w:b/>
        </w:rPr>
        <w:t>Criterios de eliminación</w:t>
      </w:r>
    </w:p>
    <w:p>
      <w:pPr>
        <w:pStyle w:val="BodyText"/>
        <w:spacing w:line="480" w:lineRule="auto" w:before="8"/>
        <w:ind w:left="280" w:right="3309"/>
      </w:pPr>
      <w:r>
        <w:rPr/>
        <w:t>Niños cuyos padres no asistieron a la entrevista. Conducta del menor que impidió la revisión adecuada.</w:t>
      </w:r>
    </w:p>
    <w:p>
      <w:pPr>
        <w:pStyle w:val="Heading1"/>
        <w:numPr>
          <w:ilvl w:val="1"/>
          <w:numId w:val="6"/>
        </w:numPr>
        <w:tabs>
          <w:tab w:pos="674" w:val="left" w:leader="none"/>
        </w:tabs>
        <w:spacing w:line="240" w:lineRule="auto" w:before="8" w:after="0"/>
        <w:ind w:left="673" w:right="0" w:hanging="400"/>
        <w:jc w:val="left"/>
      </w:pPr>
      <w:r>
        <w:rPr/>
        <w:t>Procedimiento</w:t>
      </w:r>
    </w:p>
    <w:p>
      <w:pPr>
        <w:pStyle w:val="BodyText"/>
        <w:rPr>
          <w:b/>
        </w:rPr>
      </w:pPr>
    </w:p>
    <w:p>
      <w:pPr>
        <w:pStyle w:val="BodyText"/>
        <w:spacing w:line="480" w:lineRule="auto"/>
        <w:ind w:left="280" w:right="136"/>
        <w:jc w:val="both"/>
      </w:pPr>
      <w:r>
        <w:rPr/>
        <w:t>Se solicitaron los permisos a las autoridades del DIF Municipal de San José del Rincón, se citó a los padres de familia o tutores para que otorgaran el permiso (verbalmente)</w:t>
      </w:r>
      <w:r>
        <w:rPr>
          <w:spacing w:val="-20"/>
        </w:rPr>
        <w:t> </w:t>
      </w:r>
      <w:r>
        <w:rPr/>
        <w:t>y</w:t>
      </w:r>
      <w:r>
        <w:rPr>
          <w:spacing w:val="-22"/>
        </w:rPr>
        <w:t> </w:t>
      </w:r>
      <w:r>
        <w:rPr/>
        <w:t>estuvieran</w:t>
      </w:r>
      <w:r>
        <w:rPr>
          <w:spacing w:val="-19"/>
        </w:rPr>
        <w:t> </w:t>
      </w:r>
      <w:r>
        <w:rPr/>
        <w:t>presentes</w:t>
      </w:r>
      <w:r>
        <w:rPr>
          <w:spacing w:val="-20"/>
        </w:rPr>
        <w:t> </w:t>
      </w:r>
      <w:r>
        <w:rPr/>
        <w:t>durante</w:t>
      </w:r>
      <w:r>
        <w:rPr>
          <w:spacing w:val="-21"/>
        </w:rPr>
        <w:t> </w:t>
      </w:r>
      <w:r>
        <w:rPr/>
        <w:t>el</w:t>
      </w:r>
      <w:r>
        <w:rPr>
          <w:spacing w:val="-20"/>
        </w:rPr>
        <w:t> </w:t>
      </w:r>
      <w:r>
        <w:rPr/>
        <w:t>examen</w:t>
      </w:r>
      <w:r>
        <w:rPr>
          <w:spacing w:val="-19"/>
        </w:rPr>
        <w:t> </w:t>
      </w:r>
      <w:r>
        <w:rPr/>
        <w:t>dental</w:t>
      </w:r>
      <w:r>
        <w:rPr>
          <w:spacing w:val="-20"/>
        </w:rPr>
        <w:t> </w:t>
      </w:r>
      <w:r>
        <w:rPr/>
        <w:t>de</w:t>
      </w:r>
      <w:r>
        <w:rPr>
          <w:spacing w:val="-19"/>
        </w:rPr>
        <w:t> </w:t>
      </w:r>
      <w:r>
        <w:rPr/>
        <w:t>sus</w:t>
      </w:r>
      <w:r>
        <w:rPr>
          <w:spacing w:val="-20"/>
        </w:rPr>
        <w:t> </w:t>
      </w:r>
      <w:r>
        <w:rPr/>
        <w:t>hijos,</w:t>
      </w:r>
      <w:r>
        <w:rPr>
          <w:spacing w:val="-13"/>
        </w:rPr>
        <w:t> </w:t>
      </w:r>
      <w:r>
        <w:rPr/>
        <w:t>así</w:t>
      </w:r>
      <w:r>
        <w:rPr>
          <w:spacing w:val="-22"/>
        </w:rPr>
        <w:t> </w:t>
      </w:r>
      <w:r>
        <w:rPr/>
        <w:t>como para que fueran entrevistados (entrevista previamente estructurada y previamente validada y revisión bucal general de la persona entrevistada (Anexo I</w:t>
      </w:r>
      <w:r>
        <w:rPr>
          <w:spacing w:val="-30"/>
        </w:rPr>
        <w:t> </w:t>
      </w:r>
      <w:r>
        <w:rPr/>
        <w:t>))</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BodyText"/>
        <w:spacing w:line="480" w:lineRule="auto" w:before="69"/>
        <w:ind w:left="280" w:right="142"/>
        <w:jc w:val="both"/>
      </w:pPr>
      <w:r>
        <w:rPr/>
        <w:t>Posteriormente</w:t>
      </w:r>
      <w:r>
        <w:rPr>
          <w:spacing w:val="-8"/>
        </w:rPr>
        <w:t> </w:t>
      </w:r>
      <w:r>
        <w:rPr/>
        <w:t>se</w:t>
      </w:r>
      <w:r>
        <w:rPr>
          <w:spacing w:val="-8"/>
        </w:rPr>
        <w:t> </w:t>
      </w:r>
      <w:r>
        <w:rPr/>
        <w:t>le</w:t>
      </w:r>
      <w:r>
        <w:rPr>
          <w:spacing w:val="-11"/>
        </w:rPr>
        <w:t> </w:t>
      </w:r>
      <w:r>
        <w:rPr/>
        <w:t>preguntó</w:t>
      </w:r>
      <w:r>
        <w:rPr>
          <w:spacing w:val="-8"/>
        </w:rPr>
        <w:t> </w:t>
      </w:r>
      <w:r>
        <w:rPr/>
        <w:t>al</w:t>
      </w:r>
      <w:r>
        <w:rPr>
          <w:spacing w:val="-10"/>
        </w:rPr>
        <w:t> </w:t>
      </w:r>
      <w:r>
        <w:rPr/>
        <w:t>niño</w:t>
      </w:r>
      <w:r>
        <w:rPr>
          <w:spacing w:val="-8"/>
        </w:rPr>
        <w:t> </w:t>
      </w:r>
      <w:r>
        <w:rPr/>
        <w:t>si</w:t>
      </w:r>
      <w:r>
        <w:rPr>
          <w:spacing w:val="-10"/>
        </w:rPr>
        <w:t> </w:t>
      </w:r>
      <w:r>
        <w:rPr/>
        <w:t>aceptaba</w:t>
      </w:r>
      <w:r>
        <w:rPr>
          <w:spacing w:val="-8"/>
        </w:rPr>
        <w:t> </w:t>
      </w:r>
      <w:r>
        <w:rPr/>
        <w:t>la</w:t>
      </w:r>
      <w:r>
        <w:rPr>
          <w:spacing w:val="-9"/>
        </w:rPr>
        <w:t> </w:t>
      </w:r>
      <w:r>
        <w:rPr/>
        <w:t>revisión</w:t>
      </w:r>
      <w:r>
        <w:rPr>
          <w:spacing w:val="-8"/>
        </w:rPr>
        <w:t> </w:t>
      </w:r>
      <w:r>
        <w:rPr/>
        <w:t>y</w:t>
      </w:r>
      <w:r>
        <w:rPr>
          <w:spacing w:val="-12"/>
        </w:rPr>
        <w:t> </w:t>
      </w:r>
      <w:r>
        <w:rPr/>
        <w:t>se</w:t>
      </w:r>
      <w:r>
        <w:rPr>
          <w:spacing w:val="-8"/>
        </w:rPr>
        <w:t> </w:t>
      </w:r>
      <w:r>
        <w:rPr/>
        <w:t>procedió</w:t>
      </w:r>
      <w:r>
        <w:rPr>
          <w:spacing w:val="-9"/>
        </w:rPr>
        <w:t> </w:t>
      </w:r>
      <w:r>
        <w:rPr/>
        <w:t>a</w:t>
      </w:r>
      <w:r>
        <w:rPr>
          <w:spacing w:val="-8"/>
        </w:rPr>
        <w:t> </w:t>
      </w:r>
      <w:r>
        <w:rPr/>
        <w:t>registrar su peso en un báscula portátil electrónica (TANITA ™ 1631) Japan Tokyo, y la talla en un estadímetro portátil (SECA ™ 1013522), Hammer Steindamm Hamburg, Germany se obtuvo el registro de presencia o ausencia de materia blanca, se removió la placa dental  con un</w:t>
      </w:r>
      <w:r>
        <w:rPr>
          <w:spacing w:val="-12"/>
        </w:rPr>
        <w:t> </w:t>
      </w:r>
      <w:r>
        <w:rPr/>
        <w:t>cepillo.</w:t>
      </w:r>
    </w:p>
    <w:p>
      <w:pPr>
        <w:pStyle w:val="BodyText"/>
        <w:spacing w:line="477" w:lineRule="auto" w:before="8"/>
        <w:ind w:left="138" w:right="136"/>
        <w:jc w:val="both"/>
      </w:pPr>
      <w:r>
        <w:rPr/>
        <w:t>Inmediatamente</w:t>
      </w:r>
      <w:r>
        <w:rPr>
          <w:spacing w:val="-17"/>
        </w:rPr>
        <w:t> </w:t>
      </w:r>
      <w:r>
        <w:rPr/>
        <w:t>después</w:t>
      </w:r>
      <w:r>
        <w:rPr>
          <w:spacing w:val="-17"/>
        </w:rPr>
        <w:t> </w:t>
      </w:r>
      <w:r>
        <w:rPr/>
        <w:t>de</w:t>
      </w:r>
      <w:r>
        <w:rPr>
          <w:spacing w:val="-17"/>
        </w:rPr>
        <w:t> </w:t>
      </w:r>
      <w:r>
        <w:rPr/>
        <w:t>la</w:t>
      </w:r>
      <w:r>
        <w:rPr>
          <w:spacing w:val="-17"/>
        </w:rPr>
        <w:t> </w:t>
      </w:r>
      <w:r>
        <w:rPr/>
        <w:t>limpieza</w:t>
      </w:r>
      <w:r>
        <w:rPr>
          <w:spacing w:val="-17"/>
        </w:rPr>
        <w:t> </w:t>
      </w:r>
      <w:r>
        <w:rPr/>
        <w:t>dental,</w:t>
      </w:r>
      <w:r>
        <w:rPr>
          <w:spacing w:val="-17"/>
        </w:rPr>
        <w:t> </w:t>
      </w:r>
      <w:r>
        <w:rPr/>
        <w:t>los</w:t>
      </w:r>
      <w:r>
        <w:rPr>
          <w:spacing w:val="-17"/>
        </w:rPr>
        <w:t> </w:t>
      </w:r>
      <w:r>
        <w:rPr/>
        <w:t>niños</w:t>
      </w:r>
      <w:r>
        <w:rPr>
          <w:spacing w:val="-20"/>
        </w:rPr>
        <w:t> </w:t>
      </w:r>
      <w:r>
        <w:rPr/>
        <w:t>fueron</w:t>
      </w:r>
      <w:r>
        <w:rPr>
          <w:spacing w:val="-17"/>
        </w:rPr>
        <w:t> </w:t>
      </w:r>
      <w:r>
        <w:rPr/>
        <w:t>revisados</w:t>
      </w:r>
      <w:r>
        <w:rPr>
          <w:spacing w:val="-17"/>
        </w:rPr>
        <w:t> </w:t>
      </w:r>
      <w:r>
        <w:rPr/>
        <w:t>en</w:t>
      </w:r>
      <w:r>
        <w:rPr>
          <w:spacing w:val="-17"/>
        </w:rPr>
        <w:t> </w:t>
      </w:r>
      <w:r>
        <w:rPr/>
        <w:t>la</w:t>
      </w:r>
      <w:r>
        <w:rPr>
          <w:spacing w:val="-17"/>
        </w:rPr>
        <w:t> </w:t>
      </w:r>
      <w:r>
        <w:rPr/>
        <w:t>Unidad Dental</w:t>
      </w:r>
      <w:r>
        <w:rPr>
          <w:spacing w:val="-11"/>
        </w:rPr>
        <w:t> </w:t>
      </w:r>
      <w:r>
        <w:rPr/>
        <w:t>Móvil</w:t>
      </w:r>
      <w:r>
        <w:rPr>
          <w:spacing w:val="-11"/>
        </w:rPr>
        <w:t> </w:t>
      </w:r>
      <w:r>
        <w:rPr/>
        <w:t>(debidamente</w:t>
      </w:r>
      <w:r>
        <w:rPr>
          <w:spacing w:val="-11"/>
        </w:rPr>
        <w:t> </w:t>
      </w:r>
      <w:r>
        <w:rPr/>
        <w:t>equipada)</w:t>
      </w:r>
      <w:r>
        <w:rPr>
          <w:spacing w:val="-11"/>
        </w:rPr>
        <w:t> </w:t>
      </w:r>
      <w:r>
        <w:rPr/>
        <w:t>por</w:t>
      </w:r>
      <w:r>
        <w:rPr>
          <w:spacing w:val="-11"/>
        </w:rPr>
        <w:t> </w:t>
      </w:r>
      <w:r>
        <w:rPr/>
        <w:t>un</w:t>
      </w:r>
      <w:r>
        <w:rPr>
          <w:spacing w:val="-12"/>
        </w:rPr>
        <w:t> </w:t>
      </w:r>
      <w:r>
        <w:rPr/>
        <w:t>examinador</w:t>
      </w:r>
      <w:r>
        <w:rPr>
          <w:spacing w:val="-11"/>
        </w:rPr>
        <w:t> </w:t>
      </w:r>
      <w:r>
        <w:rPr/>
        <w:t>y</w:t>
      </w:r>
      <w:r>
        <w:rPr>
          <w:spacing w:val="-13"/>
        </w:rPr>
        <w:t> </w:t>
      </w:r>
      <w:r>
        <w:rPr/>
        <w:t>un</w:t>
      </w:r>
      <w:r>
        <w:rPr>
          <w:spacing w:val="-9"/>
        </w:rPr>
        <w:t> </w:t>
      </w:r>
      <w:r>
        <w:rPr/>
        <w:t>codificador</w:t>
      </w:r>
      <w:r>
        <w:rPr>
          <w:spacing w:val="-11"/>
        </w:rPr>
        <w:t> </w:t>
      </w:r>
      <w:r>
        <w:rPr/>
        <w:t>previamente estandarizados de acuerdo a los criterios y lineamientos estipulados en el manual ICDAS, </w:t>
      </w:r>
      <w:r>
        <w:rPr>
          <w:position w:val="8"/>
          <w:sz w:val="16"/>
        </w:rPr>
        <w:t>27 </w:t>
      </w:r>
      <w:r>
        <w:rPr/>
        <w:t>procedieron a realizar el examen de acuerdo a lo</w:t>
      </w:r>
      <w:r>
        <w:rPr>
          <w:spacing w:val="-26"/>
        </w:rPr>
        <w:t> </w:t>
      </w:r>
      <w:r>
        <w:rPr/>
        <w:t>siguiente:</w:t>
      </w:r>
    </w:p>
    <w:p>
      <w:pPr>
        <w:pStyle w:val="BodyText"/>
        <w:spacing w:line="480" w:lineRule="auto" w:before="3"/>
        <w:ind w:left="138" w:right="146"/>
        <w:jc w:val="both"/>
      </w:pPr>
      <w:r>
        <w:rPr/>
        <w:t>1.- Si se consideraba que se tenían problemas de humedad, se ubicaron rollos de algodón en los carrillos vestibulares antes de utilizar el aire de la jeringa triple para quitar el exceso de saliva.</w:t>
      </w:r>
    </w:p>
    <w:p>
      <w:pPr>
        <w:pStyle w:val="BodyText"/>
        <w:spacing w:before="8"/>
        <w:ind w:left="138"/>
        <w:jc w:val="both"/>
      </w:pPr>
      <w:r>
        <w:rPr/>
        <w:t>2.-Se removió el exceso de saliva</w:t>
      </w:r>
    </w:p>
    <w:p>
      <w:pPr>
        <w:pStyle w:val="BodyText"/>
        <w:spacing w:before="9"/>
        <w:rPr>
          <w:sz w:val="23"/>
        </w:rPr>
      </w:pPr>
    </w:p>
    <w:p>
      <w:pPr>
        <w:pStyle w:val="ListParagraph"/>
        <w:numPr>
          <w:ilvl w:val="0"/>
          <w:numId w:val="7"/>
        </w:numPr>
        <w:tabs>
          <w:tab w:pos="420" w:val="left" w:leader="none"/>
        </w:tabs>
        <w:spacing w:line="480" w:lineRule="auto" w:before="0" w:after="0"/>
        <w:ind w:left="138" w:right="146" w:firstLine="0"/>
        <w:jc w:val="both"/>
        <w:rPr>
          <w:rFonts w:ascii="Arial" w:hAnsi="Arial"/>
          <w:sz w:val="24"/>
        </w:rPr>
      </w:pPr>
      <w:r>
        <w:rPr>
          <w:rFonts w:ascii="Arial" w:hAnsi="Arial"/>
          <w:sz w:val="24"/>
        </w:rPr>
        <w:t>El examen se inició desde la parte posterior del cuadrante superior derecho, cada diente se examinó antes de continuar en la dirección de las manecillas del reloj al siguiente cuadrante, inicialmente el diente se examinó</w:t>
      </w:r>
      <w:r>
        <w:rPr>
          <w:rFonts w:ascii="Arial" w:hAnsi="Arial"/>
          <w:spacing w:val="-21"/>
          <w:sz w:val="24"/>
        </w:rPr>
        <w:t> </w:t>
      </w:r>
      <w:r>
        <w:rPr>
          <w:rFonts w:ascii="Arial" w:hAnsi="Arial"/>
          <w:sz w:val="24"/>
        </w:rPr>
        <w:t>húmedo.</w:t>
      </w:r>
    </w:p>
    <w:p>
      <w:pPr>
        <w:pStyle w:val="BodyText"/>
        <w:spacing w:line="480" w:lineRule="auto" w:before="8"/>
        <w:ind w:left="138" w:right="147"/>
        <w:jc w:val="both"/>
      </w:pPr>
      <w:r>
        <w:rPr/>
        <w:t>5.-Luego se aplicó aire a la superficie por alrededor de 5 s de manera que se pudiera inspeccionar el diente estando seco, las lesiones más tempranas de mancha blanca únicamente son visibles cuando las superficie está seca</w:t>
      </w:r>
    </w:p>
    <w:p>
      <w:pPr>
        <w:pStyle w:val="BodyText"/>
        <w:spacing w:line="480" w:lineRule="auto" w:before="8"/>
        <w:ind w:left="138" w:right="136"/>
        <w:jc w:val="both"/>
      </w:pPr>
      <w:r>
        <w:rPr/>
        <w:t>6.- Para confirmar el diagnóstico visual se utilizó en algunos casos una sonda CPITN tipo E, deslizándola gentilmente a lo largo de la superficie, para así confirmar si hay pérdida de integridad superficial, no se utilizaron exploradores de punta aguda</w:t>
      </w:r>
      <w:r>
        <w:rPr>
          <w:spacing w:val="-35"/>
        </w:rPr>
        <w:t> </w:t>
      </w:r>
      <w:r>
        <w:rPr/>
        <w:t>debido a que pueden dañar la frágil superficie de una lesión</w:t>
      </w:r>
      <w:r>
        <w:rPr>
          <w:spacing w:val="-28"/>
        </w:rPr>
        <w:t> </w:t>
      </w:r>
      <w:r>
        <w:rPr/>
        <w:t>temprana.</w:t>
      </w:r>
    </w:p>
    <w:p>
      <w:pPr>
        <w:spacing w:after="0" w:line="480" w:lineRule="auto"/>
        <w:jc w:val="both"/>
        <w:sectPr>
          <w:pgSz w:w="12240" w:h="15840"/>
          <w:pgMar w:header="686" w:footer="964" w:top="1080" w:bottom="1160" w:left="128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line="480" w:lineRule="auto"/>
        <w:ind w:left="138" w:right="144" w:firstLine="67"/>
        <w:jc w:val="both"/>
      </w:pPr>
      <w:r>
        <w:rPr/>
        <w:t>El examen se realizó bajo los siguientes criterios y los resultados fueron registrados (Anexo II).</w:t>
      </w:r>
    </w:p>
    <w:p>
      <w:pPr>
        <w:pStyle w:val="BodyText"/>
      </w:pPr>
    </w:p>
    <w:p>
      <w:pPr>
        <w:pStyle w:val="BodyText"/>
        <w:spacing w:before="7"/>
      </w:pPr>
    </w:p>
    <w:p>
      <w:pPr>
        <w:pStyle w:val="Heading1"/>
        <w:spacing w:before="1"/>
      </w:pPr>
      <w:r>
        <w:rPr/>
        <w:t>Códigos para Caries Coronal Primaria.</w:t>
      </w:r>
    </w:p>
    <w:p>
      <w:pPr>
        <w:pStyle w:val="BodyText"/>
        <w:rPr>
          <w:b/>
        </w:rPr>
      </w:pPr>
    </w:p>
    <w:p>
      <w:pPr>
        <w:pStyle w:val="BodyText"/>
        <w:rPr>
          <w:b/>
        </w:rPr>
      </w:pPr>
    </w:p>
    <w:p>
      <w:pPr>
        <w:pStyle w:val="BodyText"/>
        <w:rPr>
          <w:b/>
        </w:rPr>
      </w:pPr>
    </w:p>
    <w:p>
      <w:pPr>
        <w:spacing w:before="0"/>
        <w:ind w:left="138" w:right="0" w:firstLine="0"/>
        <w:jc w:val="both"/>
        <w:rPr>
          <w:b/>
          <w:sz w:val="24"/>
        </w:rPr>
      </w:pPr>
      <w:r>
        <w:rPr>
          <w:b/>
          <w:sz w:val="24"/>
        </w:rPr>
        <w:t>Fosas y Fisuras.</w:t>
      </w:r>
    </w:p>
    <w:p>
      <w:pPr>
        <w:pStyle w:val="BodyText"/>
        <w:rPr>
          <w:b/>
        </w:rPr>
      </w:pPr>
    </w:p>
    <w:p>
      <w:pPr>
        <w:spacing w:before="0"/>
        <w:ind w:left="138" w:right="0" w:firstLine="0"/>
        <w:jc w:val="both"/>
        <w:rPr>
          <w:b/>
          <w:sz w:val="24"/>
        </w:rPr>
      </w:pPr>
      <w:r>
        <w:rPr>
          <w:b/>
          <w:sz w:val="24"/>
        </w:rPr>
        <w:t>Superficie dental sana: Código 0.</w:t>
      </w:r>
    </w:p>
    <w:p>
      <w:pPr>
        <w:pStyle w:val="BodyText"/>
        <w:rPr>
          <w:b/>
        </w:rPr>
      </w:pPr>
    </w:p>
    <w:p>
      <w:pPr>
        <w:pStyle w:val="BodyText"/>
        <w:spacing w:line="480" w:lineRule="auto"/>
        <w:ind w:left="138" w:right="144"/>
        <w:jc w:val="both"/>
      </w:pPr>
      <w:r>
        <w:rPr/>
        <w:t>No debe haber evidencia de caries (así como tampoco un cambio cuestionable en la translucidez del esmalte después de un prolongado secado con aire, (se sugiere que sea durante 5 segundos). Las superficies con defectos desarrollados tales como hipoplasias; fluorosis; dientes con desgaste como atrición, abrasión y erosión y manchas intrínsecas o extrínsecas serán marcadas como sano.</w:t>
      </w:r>
    </w:p>
    <w:p>
      <w:pPr>
        <w:pStyle w:val="BodyText"/>
        <w:spacing w:line="480" w:lineRule="auto" w:before="5"/>
        <w:ind w:left="138" w:right="143"/>
        <w:jc w:val="both"/>
      </w:pPr>
      <w:r>
        <w:rPr/>
        <w:t>El examinador deberá también anotar como sano una superficie con múltiples fisuras teñidas si tal condición se observa en otras fosas o fisuras, una condición la cual es consistente con hábitos no cariogénicos (por ejemplo beber té frecuentemente).</w:t>
      </w:r>
    </w:p>
    <w:p>
      <w:pPr>
        <w:pStyle w:val="BodyText"/>
      </w:pPr>
    </w:p>
    <w:p>
      <w:pPr>
        <w:pStyle w:val="BodyText"/>
        <w:spacing w:before="7"/>
      </w:pPr>
    </w:p>
    <w:p>
      <w:pPr>
        <w:pStyle w:val="Heading1"/>
        <w:spacing w:before="1"/>
      </w:pPr>
      <w:r>
        <w:rPr/>
        <w:t>Primer cambio visual en el esmalte: Código1</w:t>
      </w:r>
    </w:p>
    <w:p>
      <w:pPr>
        <w:pStyle w:val="BodyText"/>
        <w:rPr>
          <w:b/>
        </w:rPr>
      </w:pPr>
    </w:p>
    <w:p>
      <w:pPr>
        <w:pStyle w:val="BodyText"/>
        <w:ind w:left="138"/>
        <w:jc w:val="both"/>
      </w:pPr>
      <w:r>
        <w:rPr>
          <w:b/>
        </w:rPr>
        <w:t>Código 1 </w:t>
      </w:r>
      <w:r>
        <w:rPr/>
        <w:t>es asignado para el seguimiento de fosas y fisuras.</w:t>
      </w:r>
    </w:p>
    <w:p>
      <w:pPr>
        <w:pStyle w:val="BodyText"/>
      </w:pPr>
    </w:p>
    <w:p>
      <w:pPr>
        <w:pStyle w:val="BodyText"/>
        <w:spacing w:line="480" w:lineRule="auto"/>
        <w:ind w:left="138" w:right="145"/>
        <w:jc w:val="both"/>
      </w:pPr>
      <w:r>
        <w:rPr/>
        <w:t>Cuando observamos en ambiente húmedo que no hay evidencia de algún cambio de color atribuible a actividad cariosa, pero después de un secado prolongado (aproximadamente</w:t>
      </w:r>
      <w:r>
        <w:rPr>
          <w:spacing w:val="-12"/>
        </w:rPr>
        <w:t> </w:t>
      </w:r>
      <w:r>
        <w:rPr/>
        <w:t>5</w:t>
      </w:r>
      <w:r>
        <w:rPr>
          <w:spacing w:val="-10"/>
        </w:rPr>
        <w:t> </w:t>
      </w:r>
      <w:r>
        <w:rPr/>
        <w:t>segundos</w:t>
      </w:r>
      <w:r>
        <w:rPr>
          <w:spacing w:val="-14"/>
        </w:rPr>
        <w:t> </w:t>
      </w:r>
      <w:r>
        <w:rPr/>
        <w:t>para</w:t>
      </w:r>
      <w:r>
        <w:rPr>
          <w:spacing w:val="-13"/>
        </w:rPr>
        <w:t> </w:t>
      </w:r>
      <w:r>
        <w:rPr/>
        <w:t>una</w:t>
      </w:r>
      <w:r>
        <w:rPr>
          <w:spacing w:val="-10"/>
        </w:rPr>
        <w:t> </w:t>
      </w:r>
      <w:r>
        <w:rPr/>
        <w:t>adecuada</w:t>
      </w:r>
      <w:r>
        <w:rPr>
          <w:spacing w:val="-10"/>
        </w:rPr>
        <w:t> </w:t>
      </w:r>
      <w:r>
        <w:rPr/>
        <w:t>deshidratación</w:t>
      </w:r>
      <w:r>
        <w:rPr>
          <w:spacing w:val="-12"/>
        </w:rPr>
        <w:t> </w:t>
      </w:r>
      <w:r>
        <w:rPr/>
        <w:t>de</w:t>
      </w:r>
      <w:r>
        <w:rPr>
          <w:spacing w:val="-10"/>
        </w:rPr>
        <w:t> </w:t>
      </w:r>
      <w:r>
        <w:rPr/>
        <w:t>la</w:t>
      </w:r>
      <w:r>
        <w:rPr>
          <w:spacing w:val="-11"/>
        </w:rPr>
        <w:t> </w:t>
      </w:r>
      <w:r>
        <w:rPr/>
        <w:t>lesión</w:t>
      </w:r>
      <w:r>
        <w:rPr>
          <w:spacing w:val="-10"/>
        </w:rPr>
        <w:t> </w:t>
      </w:r>
      <w:r>
        <w:rPr/>
        <w:t>cariosa</w:t>
      </w:r>
    </w:p>
    <w:p>
      <w:pPr>
        <w:spacing w:after="0" w:line="480" w:lineRule="auto"/>
        <w:jc w:val="both"/>
        <w:sectPr>
          <w:footerReference w:type="default" r:id="rId12"/>
          <w:pgSz w:w="12240" w:h="15840"/>
          <w:pgMar w:footer="964" w:header="686" w:top="1080" w:bottom="1160" w:left="1280" w:right="1560"/>
        </w:sectPr>
      </w:pPr>
    </w:p>
    <w:p>
      <w:pPr>
        <w:pStyle w:val="BodyText"/>
        <w:rPr>
          <w:sz w:val="20"/>
        </w:rPr>
      </w:pPr>
    </w:p>
    <w:p>
      <w:pPr>
        <w:pStyle w:val="BodyText"/>
        <w:spacing w:before="3"/>
        <w:rPr>
          <w:sz w:val="27"/>
        </w:rPr>
      </w:pPr>
    </w:p>
    <w:p>
      <w:pPr>
        <w:pStyle w:val="BodyText"/>
        <w:spacing w:line="480" w:lineRule="auto" w:before="69"/>
        <w:ind w:left="138" w:right="140"/>
        <w:jc w:val="both"/>
      </w:pPr>
      <w:r>
        <w:rPr/>
        <w:t>del</w:t>
      </w:r>
      <w:r>
        <w:rPr>
          <w:spacing w:val="-13"/>
        </w:rPr>
        <w:t> </w:t>
      </w:r>
      <w:r>
        <w:rPr/>
        <w:t>esmalte)</w:t>
      </w:r>
      <w:r>
        <w:rPr>
          <w:spacing w:val="-13"/>
        </w:rPr>
        <w:t> </w:t>
      </w:r>
      <w:r>
        <w:rPr/>
        <w:t>una</w:t>
      </w:r>
      <w:r>
        <w:rPr>
          <w:spacing w:val="-12"/>
        </w:rPr>
        <w:t> </w:t>
      </w:r>
      <w:r>
        <w:rPr/>
        <w:t>opacidad</w:t>
      </w:r>
      <w:r>
        <w:rPr>
          <w:spacing w:val="-12"/>
        </w:rPr>
        <w:t> </w:t>
      </w:r>
      <w:r>
        <w:rPr/>
        <w:t>cariosa</w:t>
      </w:r>
      <w:r>
        <w:rPr>
          <w:spacing w:val="-14"/>
        </w:rPr>
        <w:t> </w:t>
      </w:r>
      <w:r>
        <w:rPr/>
        <w:t>o</w:t>
      </w:r>
      <w:r>
        <w:rPr>
          <w:spacing w:val="-12"/>
        </w:rPr>
        <w:t> </w:t>
      </w:r>
      <w:r>
        <w:rPr/>
        <w:t>decoloración</w:t>
      </w:r>
      <w:r>
        <w:rPr>
          <w:spacing w:val="-11"/>
        </w:rPr>
        <w:t> </w:t>
      </w:r>
      <w:r>
        <w:rPr/>
        <w:t>(lesión</w:t>
      </w:r>
      <w:r>
        <w:rPr>
          <w:spacing w:val="-14"/>
        </w:rPr>
        <w:t> </w:t>
      </w:r>
      <w:r>
        <w:rPr/>
        <w:t>blanca</w:t>
      </w:r>
      <w:r>
        <w:rPr>
          <w:spacing w:val="-12"/>
        </w:rPr>
        <w:t> </w:t>
      </w:r>
      <w:r>
        <w:rPr/>
        <w:t>o</w:t>
      </w:r>
      <w:r>
        <w:rPr>
          <w:spacing w:val="-12"/>
        </w:rPr>
        <w:t> </w:t>
      </w:r>
      <w:r>
        <w:rPr/>
        <w:t>café)</w:t>
      </w:r>
      <w:r>
        <w:rPr>
          <w:spacing w:val="-13"/>
        </w:rPr>
        <w:t> </w:t>
      </w:r>
      <w:r>
        <w:rPr/>
        <w:t>es</w:t>
      </w:r>
      <w:r>
        <w:rPr>
          <w:spacing w:val="-15"/>
        </w:rPr>
        <w:t> </w:t>
      </w:r>
      <w:r>
        <w:rPr/>
        <w:t>posible</w:t>
      </w:r>
      <w:r>
        <w:rPr>
          <w:spacing w:val="-12"/>
        </w:rPr>
        <w:t> </w:t>
      </w:r>
      <w:r>
        <w:rPr/>
        <w:t>que no tenga la consistencia visible de un esmalte clínicamente</w:t>
      </w:r>
      <w:r>
        <w:rPr>
          <w:spacing w:val="-27"/>
        </w:rPr>
        <w:t> </w:t>
      </w:r>
      <w:r>
        <w:rPr/>
        <w:t>sano.</w:t>
      </w:r>
    </w:p>
    <w:p>
      <w:pPr>
        <w:pStyle w:val="BodyText"/>
        <w:spacing w:before="8"/>
        <w:ind w:left="138"/>
        <w:jc w:val="both"/>
      </w:pPr>
      <w:r>
        <w:rPr>
          <w:w w:val="100"/>
        </w:rPr>
        <w:t>O</w:t>
      </w:r>
    </w:p>
    <w:p>
      <w:pPr>
        <w:pStyle w:val="BodyText"/>
      </w:pPr>
    </w:p>
    <w:p>
      <w:pPr>
        <w:pStyle w:val="BodyText"/>
        <w:spacing w:line="480" w:lineRule="auto"/>
        <w:ind w:left="138" w:right="138"/>
        <w:jc w:val="both"/>
      </w:pPr>
      <w:r>
        <w:rPr/>
        <w:t>Cuando hay un cambio de color debido a caries la cual no es consistente con la apariencia</w:t>
      </w:r>
      <w:r>
        <w:rPr>
          <w:spacing w:val="-6"/>
        </w:rPr>
        <w:t> </w:t>
      </w:r>
      <w:r>
        <w:rPr/>
        <w:t>clínica</w:t>
      </w:r>
      <w:r>
        <w:rPr>
          <w:spacing w:val="-6"/>
        </w:rPr>
        <w:t> </w:t>
      </w:r>
      <w:r>
        <w:rPr/>
        <w:t>del</w:t>
      </w:r>
      <w:r>
        <w:rPr>
          <w:spacing w:val="-9"/>
        </w:rPr>
        <w:t> </w:t>
      </w:r>
      <w:r>
        <w:rPr/>
        <w:t>esmalte</w:t>
      </w:r>
      <w:r>
        <w:rPr>
          <w:spacing w:val="-8"/>
        </w:rPr>
        <w:t> </w:t>
      </w:r>
      <w:r>
        <w:rPr/>
        <w:t>sano,</w:t>
      </w:r>
      <w:r>
        <w:rPr>
          <w:spacing w:val="-6"/>
        </w:rPr>
        <w:t> </w:t>
      </w:r>
      <w:r>
        <w:rPr/>
        <w:t>y</w:t>
      </w:r>
      <w:r>
        <w:rPr>
          <w:spacing w:val="-9"/>
        </w:rPr>
        <w:t> </w:t>
      </w:r>
      <w:r>
        <w:rPr/>
        <w:t>está</w:t>
      </w:r>
      <w:r>
        <w:rPr>
          <w:spacing w:val="-8"/>
        </w:rPr>
        <w:t> </w:t>
      </w:r>
      <w:r>
        <w:rPr/>
        <w:t>limitado</w:t>
      </w:r>
      <w:r>
        <w:rPr>
          <w:spacing w:val="-8"/>
        </w:rPr>
        <w:t> </w:t>
      </w:r>
      <w:r>
        <w:rPr/>
        <w:t>a</w:t>
      </w:r>
      <w:r>
        <w:rPr>
          <w:spacing w:val="-6"/>
        </w:rPr>
        <w:t> </w:t>
      </w:r>
      <w:r>
        <w:rPr/>
        <w:t>los</w:t>
      </w:r>
      <w:r>
        <w:rPr>
          <w:spacing w:val="-6"/>
        </w:rPr>
        <w:t> </w:t>
      </w:r>
      <w:r>
        <w:rPr/>
        <w:t>confines</w:t>
      </w:r>
      <w:r>
        <w:rPr>
          <w:spacing w:val="-7"/>
        </w:rPr>
        <w:t> </w:t>
      </w:r>
      <w:r>
        <w:rPr/>
        <w:t>en</w:t>
      </w:r>
      <w:r>
        <w:rPr>
          <w:spacing w:val="-8"/>
        </w:rPr>
        <w:t> </w:t>
      </w:r>
      <w:r>
        <w:rPr/>
        <w:t>el</w:t>
      </w:r>
      <w:r>
        <w:rPr>
          <w:spacing w:val="-7"/>
        </w:rPr>
        <w:t> </w:t>
      </w:r>
      <w:r>
        <w:rPr/>
        <w:t>área</w:t>
      </w:r>
      <w:r>
        <w:rPr>
          <w:spacing w:val="-8"/>
        </w:rPr>
        <w:t> </w:t>
      </w:r>
      <w:r>
        <w:rPr/>
        <w:t>de</w:t>
      </w:r>
      <w:r>
        <w:rPr>
          <w:spacing w:val="-8"/>
        </w:rPr>
        <w:t> </w:t>
      </w:r>
      <w:r>
        <w:rPr/>
        <w:t>puntos y fisuras (ya sea que se observe húmedo o seco). La apariencia de estas áreas cariosas no consistentes con manchas, puntos y fisuras como se define en el código 0.</w:t>
      </w:r>
    </w:p>
    <w:p>
      <w:pPr>
        <w:pStyle w:val="BodyText"/>
      </w:pPr>
    </w:p>
    <w:p>
      <w:pPr>
        <w:pStyle w:val="BodyText"/>
        <w:spacing w:before="7"/>
      </w:pPr>
    </w:p>
    <w:p>
      <w:pPr>
        <w:pStyle w:val="Heading1"/>
        <w:spacing w:before="1"/>
      </w:pPr>
      <w:r>
        <w:rPr/>
        <w:t>Cambio visual detectable en el esmalte: Código 2</w:t>
      </w:r>
    </w:p>
    <w:p>
      <w:pPr>
        <w:pStyle w:val="BodyText"/>
        <w:rPr>
          <w:b/>
        </w:rPr>
      </w:pPr>
    </w:p>
    <w:p>
      <w:pPr>
        <w:pStyle w:val="BodyText"/>
        <w:spacing w:line="480" w:lineRule="auto"/>
        <w:ind w:left="138" w:right="142"/>
        <w:jc w:val="both"/>
      </w:pPr>
      <w:r>
        <w:rPr/>
        <w:t>El diente debe ser observado en húmedo. Cuando está húmedo hay una a) opacidad de</w:t>
      </w:r>
      <w:r>
        <w:rPr>
          <w:spacing w:val="-12"/>
        </w:rPr>
        <w:t> </w:t>
      </w:r>
      <w:r>
        <w:rPr/>
        <w:t>caries</w:t>
      </w:r>
      <w:r>
        <w:rPr>
          <w:spacing w:val="-13"/>
        </w:rPr>
        <w:t> </w:t>
      </w:r>
      <w:r>
        <w:rPr/>
        <w:t>(lesión</w:t>
      </w:r>
      <w:r>
        <w:rPr>
          <w:spacing w:val="-14"/>
        </w:rPr>
        <w:t> </w:t>
      </w:r>
      <w:r>
        <w:rPr/>
        <w:t>de</w:t>
      </w:r>
      <w:r>
        <w:rPr>
          <w:spacing w:val="-15"/>
        </w:rPr>
        <w:t> </w:t>
      </w:r>
      <w:r>
        <w:rPr/>
        <w:t>mancha</w:t>
      </w:r>
      <w:r>
        <w:rPr>
          <w:spacing w:val="-14"/>
        </w:rPr>
        <w:t> </w:t>
      </w:r>
      <w:r>
        <w:rPr/>
        <w:t>blanca)</w:t>
      </w:r>
      <w:r>
        <w:rPr>
          <w:spacing w:val="-15"/>
        </w:rPr>
        <w:t> </w:t>
      </w:r>
      <w:r>
        <w:rPr/>
        <w:t>y/o</w:t>
      </w:r>
      <w:r>
        <w:rPr>
          <w:spacing w:val="-11"/>
        </w:rPr>
        <w:t> </w:t>
      </w:r>
      <w:r>
        <w:rPr/>
        <w:t>(b)</w:t>
      </w:r>
      <w:r>
        <w:rPr>
          <w:spacing w:val="-14"/>
        </w:rPr>
        <w:t> </w:t>
      </w:r>
      <w:r>
        <w:rPr/>
        <w:t>decoloración</w:t>
      </w:r>
      <w:r>
        <w:rPr>
          <w:spacing w:val="-15"/>
        </w:rPr>
        <w:t> </w:t>
      </w:r>
      <w:r>
        <w:rPr/>
        <w:t>marrón</w:t>
      </w:r>
      <w:r>
        <w:rPr>
          <w:spacing w:val="-14"/>
        </w:rPr>
        <w:t> </w:t>
      </w:r>
      <w:r>
        <w:rPr/>
        <w:t>de</w:t>
      </w:r>
      <w:r>
        <w:rPr>
          <w:spacing w:val="-12"/>
        </w:rPr>
        <w:t> </w:t>
      </w:r>
      <w:r>
        <w:rPr/>
        <w:t>caries,</w:t>
      </w:r>
      <w:r>
        <w:rPr>
          <w:spacing w:val="-12"/>
        </w:rPr>
        <w:t> </w:t>
      </w:r>
      <w:r>
        <w:rPr/>
        <w:t>que</w:t>
      </w:r>
      <w:r>
        <w:rPr>
          <w:spacing w:val="-14"/>
        </w:rPr>
        <w:t> </w:t>
      </w:r>
      <w:r>
        <w:rPr/>
        <w:t>es</w:t>
      </w:r>
      <w:r>
        <w:rPr>
          <w:spacing w:val="-16"/>
        </w:rPr>
        <w:t> </w:t>
      </w:r>
      <w:r>
        <w:rPr/>
        <w:t>más amplia</w:t>
      </w:r>
      <w:r>
        <w:rPr>
          <w:spacing w:val="-6"/>
        </w:rPr>
        <w:t> </w:t>
      </w:r>
      <w:r>
        <w:rPr/>
        <w:t>que</w:t>
      </w:r>
      <w:r>
        <w:rPr>
          <w:spacing w:val="-6"/>
        </w:rPr>
        <w:t> </w:t>
      </w:r>
      <w:r>
        <w:rPr/>
        <w:t>la</w:t>
      </w:r>
      <w:r>
        <w:rPr>
          <w:spacing w:val="-6"/>
        </w:rPr>
        <w:t> </w:t>
      </w:r>
      <w:r>
        <w:rPr/>
        <w:t>fisura/fosa</w:t>
      </w:r>
      <w:r>
        <w:rPr>
          <w:spacing w:val="-4"/>
        </w:rPr>
        <w:t> </w:t>
      </w:r>
      <w:r>
        <w:rPr/>
        <w:t>natural</w:t>
      </w:r>
      <w:r>
        <w:rPr>
          <w:spacing w:val="-7"/>
        </w:rPr>
        <w:t> </w:t>
      </w:r>
      <w:r>
        <w:rPr/>
        <w:t>y</w:t>
      </w:r>
      <w:r>
        <w:rPr>
          <w:spacing w:val="-7"/>
        </w:rPr>
        <w:t> </w:t>
      </w:r>
      <w:r>
        <w:rPr/>
        <w:t>que</w:t>
      </w:r>
      <w:r>
        <w:rPr>
          <w:spacing w:val="-4"/>
        </w:rPr>
        <w:t> </w:t>
      </w:r>
      <w:r>
        <w:rPr/>
        <w:t>no</w:t>
      </w:r>
      <w:r>
        <w:rPr>
          <w:spacing w:val="-6"/>
        </w:rPr>
        <w:t> </w:t>
      </w:r>
      <w:r>
        <w:rPr/>
        <w:t>es</w:t>
      </w:r>
      <w:r>
        <w:rPr>
          <w:spacing w:val="-7"/>
        </w:rPr>
        <w:t> </w:t>
      </w:r>
      <w:r>
        <w:rPr/>
        <w:t>consistente</w:t>
      </w:r>
      <w:r>
        <w:rPr>
          <w:spacing w:val="-5"/>
        </w:rPr>
        <w:t> </w:t>
      </w:r>
      <w:r>
        <w:rPr/>
        <w:t>con</w:t>
      </w:r>
      <w:r>
        <w:rPr>
          <w:spacing w:val="-6"/>
        </w:rPr>
        <w:t> </w:t>
      </w:r>
      <w:r>
        <w:rPr/>
        <w:t>la</w:t>
      </w:r>
      <w:r>
        <w:rPr>
          <w:spacing w:val="-6"/>
        </w:rPr>
        <w:t> </w:t>
      </w:r>
      <w:r>
        <w:rPr/>
        <w:t>apariencia</w:t>
      </w:r>
      <w:r>
        <w:rPr>
          <w:spacing w:val="-4"/>
        </w:rPr>
        <w:t> </w:t>
      </w:r>
      <w:r>
        <w:rPr/>
        <w:t>del</w:t>
      </w:r>
      <w:r>
        <w:rPr>
          <w:spacing w:val="-5"/>
        </w:rPr>
        <w:t> </w:t>
      </w:r>
      <w:r>
        <w:rPr/>
        <w:t>esmalte clínicamente sano. (Nota: la lesión debe todavía ser visible aun estando</w:t>
      </w:r>
      <w:r>
        <w:rPr>
          <w:spacing w:val="-28"/>
        </w:rPr>
        <w:t> </w:t>
      </w:r>
      <w:r>
        <w:rPr/>
        <w:t>seco).</w:t>
      </w:r>
    </w:p>
    <w:p>
      <w:pPr>
        <w:pStyle w:val="BodyText"/>
      </w:pPr>
    </w:p>
    <w:p>
      <w:pPr>
        <w:pStyle w:val="BodyText"/>
        <w:spacing w:before="7"/>
      </w:pPr>
    </w:p>
    <w:p>
      <w:pPr>
        <w:pStyle w:val="Heading1"/>
        <w:spacing w:line="480" w:lineRule="auto" w:before="1"/>
        <w:ind w:right="145"/>
      </w:pPr>
      <w:r>
        <w:rPr/>
        <w:t>Ruptura localizada del esmalte debido a caries sin dentina visible o sombra subyacente: Código 3</w:t>
      </w:r>
    </w:p>
    <w:p>
      <w:pPr>
        <w:pStyle w:val="BodyText"/>
        <w:spacing w:line="480" w:lineRule="auto" w:before="8"/>
        <w:ind w:left="138" w:right="141"/>
        <w:jc w:val="both"/>
      </w:pPr>
      <w:r>
        <w:rPr/>
        <w:t>El diente visto en húmedo puede tener una clara opacidad cariosa (lesión de mancha blanca)</w:t>
      </w:r>
      <w:r>
        <w:rPr>
          <w:spacing w:val="-16"/>
        </w:rPr>
        <w:t> </w:t>
      </w:r>
      <w:r>
        <w:rPr/>
        <w:t>y/o</w:t>
      </w:r>
      <w:r>
        <w:rPr>
          <w:spacing w:val="-11"/>
        </w:rPr>
        <w:t> </w:t>
      </w:r>
      <w:r>
        <w:rPr/>
        <w:t>decoloración</w:t>
      </w:r>
      <w:r>
        <w:rPr>
          <w:spacing w:val="-12"/>
        </w:rPr>
        <w:t> </w:t>
      </w:r>
      <w:r>
        <w:rPr/>
        <w:t>cariosa</w:t>
      </w:r>
      <w:r>
        <w:rPr>
          <w:spacing w:val="-14"/>
        </w:rPr>
        <w:t> </w:t>
      </w:r>
      <w:r>
        <w:rPr/>
        <w:t>marrón</w:t>
      </w:r>
      <w:r>
        <w:rPr>
          <w:spacing w:val="-14"/>
        </w:rPr>
        <w:t> </w:t>
      </w:r>
      <w:r>
        <w:rPr/>
        <w:t>que</w:t>
      </w:r>
      <w:r>
        <w:rPr>
          <w:spacing w:val="-14"/>
        </w:rPr>
        <w:t> </w:t>
      </w:r>
      <w:r>
        <w:rPr/>
        <w:t>es</w:t>
      </w:r>
      <w:r>
        <w:rPr>
          <w:spacing w:val="-13"/>
        </w:rPr>
        <w:t> </w:t>
      </w:r>
      <w:r>
        <w:rPr/>
        <w:t>más</w:t>
      </w:r>
      <w:r>
        <w:rPr>
          <w:spacing w:val="-13"/>
        </w:rPr>
        <w:t> </w:t>
      </w:r>
      <w:r>
        <w:rPr/>
        <w:t>ancha</w:t>
      </w:r>
      <w:r>
        <w:rPr>
          <w:spacing w:val="-12"/>
        </w:rPr>
        <w:t> </w:t>
      </w:r>
      <w:r>
        <w:rPr/>
        <w:t>que</w:t>
      </w:r>
      <w:r>
        <w:rPr>
          <w:spacing w:val="-14"/>
        </w:rPr>
        <w:t> </w:t>
      </w:r>
      <w:r>
        <w:rPr/>
        <w:t>la</w:t>
      </w:r>
      <w:r>
        <w:rPr>
          <w:spacing w:val="-17"/>
        </w:rPr>
        <w:t> </w:t>
      </w:r>
      <w:r>
        <w:rPr/>
        <w:t>fosa/fisura</w:t>
      </w:r>
      <w:r>
        <w:rPr>
          <w:spacing w:val="-14"/>
        </w:rPr>
        <w:t> </w:t>
      </w:r>
      <w:r>
        <w:rPr/>
        <w:t>naturales y que no es consistente con la apariencia clínica del esmalte sano. Una vez que se secó,</w:t>
      </w:r>
      <w:r>
        <w:rPr>
          <w:spacing w:val="-11"/>
        </w:rPr>
        <w:t> </w:t>
      </w:r>
      <w:r>
        <w:rPr/>
        <w:t>aproximadamente</w:t>
      </w:r>
      <w:r>
        <w:rPr>
          <w:spacing w:val="-11"/>
        </w:rPr>
        <w:t> </w:t>
      </w:r>
      <w:r>
        <w:rPr/>
        <w:t>por</w:t>
      </w:r>
      <w:r>
        <w:rPr>
          <w:spacing w:val="-12"/>
        </w:rPr>
        <w:t> </w:t>
      </w:r>
      <w:r>
        <w:rPr/>
        <w:t>5</w:t>
      </w:r>
      <w:r>
        <w:rPr>
          <w:spacing w:val="-11"/>
        </w:rPr>
        <w:t> </w:t>
      </w:r>
      <w:r>
        <w:rPr/>
        <w:t>segundos</w:t>
      </w:r>
      <w:r>
        <w:rPr>
          <w:spacing w:val="-12"/>
        </w:rPr>
        <w:t> </w:t>
      </w:r>
      <w:r>
        <w:rPr/>
        <w:t>hay</w:t>
      </w:r>
      <w:r>
        <w:rPr>
          <w:spacing w:val="-14"/>
        </w:rPr>
        <w:t> </w:t>
      </w:r>
      <w:r>
        <w:rPr/>
        <w:t>una</w:t>
      </w:r>
      <w:r>
        <w:rPr>
          <w:spacing w:val="-11"/>
        </w:rPr>
        <w:t> </w:t>
      </w:r>
      <w:r>
        <w:rPr/>
        <w:t>pérdida</w:t>
      </w:r>
      <w:r>
        <w:rPr>
          <w:spacing w:val="-11"/>
        </w:rPr>
        <w:t> </w:t>
      </w:r>
      <w:r>
        <w:rPr/>
        <w:t>en</w:t>
      </w:r>
      <w:r>
        <w:rPr>
          <w:spacing w:val="-11"/>
        </w:rPr>
        <w:t> </w:t>
      </w:r>
      <w:r>
        <w:rPr/>
        <w:t>la</w:t>
      </w:r>
      <w:r>
        <w:rPr>
          <w:spacing w:val="-11"/>
        </w:rPr>
        <w:t> </w:t>
      </w:r>
      <w:r>
        <w:rPr/>
        <w:t>estructura</w:t>
      </w:r>
      <w:r>
        <w:rPr>
          <w:spacing w:val="-11"/>
        </w:rPr>
        <w:t> </w:t>
      </w:r>
      <w:r>
        <w:rPr/>
        <w:t>del</w:t>
      </w:r>
      <w:r>
        <w:rPr>
          <w:spacing w:val="-12"/>
        </w:rPr>
        <w:t> </w:t>
      </w:r>
      <w:r>
        <w:rPr/>
        <w:t>diente</w:t>
      </w:r>
      <w:r>
        <w:rPr>
          <w:spacing w:val="-13"/>
        </w:rPr>
        <w:t> </w:t>
      </w:r>
      <w:r>
        <w:rPr/>
        <w:t>en la entrada, o dentro de la fosa o fosa/fisura. Esto se verá visualmente como evidencia de la  desmineralización (opaco (blanco), marrón o paredes de color marrón  </w:t>
      </w:r>
      <w:r>
        <w:rPr>
          <w:spacing w:val="1"/>
        </w:rPr>
        <w:t> </w:t>
      </w:r>
      <w:r>
        <w:rPr/>
        <w:t>oscuro)</w:t>
      </w:r>
    </w:p>
    <w:p>
      <w:pPr>
        <w:spacing w:after="0" w:line="480" w:lineRule="auto"/>
        <w:jc w:val="both"/>
        <w:sectPr>
          <w:footerReference w:type="default" r:id="rId13"/>
          <w:pgSz w:w="12240" w:h="15840"/>
          <w:pgMar w:footer="964" w:header="686" w:top="1080" w:bottom="1160" w:left="1280" w:right="1560"/>
          <w:pgNumType w:start="21"/>
        </w:sectPr>
      </w:pPr>
    </w:p>
    <w:p>
      <w:pPr>
        <w:pStyle w:val="BodyText"/>
        <w:rPr>
          <w:sz w:val="20"/>
        </w:rPr>
      </w:pPr>
    </w:p>
    <w:p>
      <w:pPr>
        <w:pStyle w:val="BodyText"/>
        <w:spacing w:before="3"/>
        <w:rPr>
          <w:sz w:val="27"/>
        </w:rPr>
      </w:pPr>
    </w:p>
    <w:p>
      <w:pPr>
        <w:pStyle w:val="BodyText"/>
        <w:spacing w:line="480" w:lineRule="auto" w:before="69"/>
        <w:ind w:left="138" w:right="145"/>
        <w:jc w:val="both"/>
      </w:pPr>
      <w:r>
        <w:rPr/>
        <w:t>en la entrada o dentro de la fisura o fosa, y aunque la fosa o fisura puede parecer poco natural y sustancialmente más amplia de lo normal, la dentina no es visible en las paredes o la base de la cavidad / discontinuidad.</w:t>
      </w:r>
    </w:p>
    <w:p>
      <w:pPr>
        <w:pStyle w:val="BodyText"/>
        <w:spacing w:line="480" w:lineRule="auto" w:before="8"/>
        <w:ind w:left="138" w:right="138"/>
        <w:jc w:val="both"/>
      </w:pPr>
      <w:r>
        <w:rPr/>
        <w:t>En caso de duda, o para confirmar la evaluación visual, la sonda de la OMS/CPI/PSR se puede deslizar suavemente a través de la superficie del diente para confirmar la presencia de una cavidad aparentemente confinada a esmalte. Esto se logra deslizando el extremo de la punta esférica a lo largo de la fosa o fisura sospechosa y una discontinuidad limitada se detecta si la esfera cae dentro de la superficie cavitado/discontinuo del esmalte.</w:t>
      </w:r>
    </w:p>
    <w:p>
      <w:pPr>
        <w:pStyle w:val="BodyText"/>
      </w:pPr>
    </w:p>
    <w:p>
      <w:pPr>
        <w:pStyle w:val="BodyText"/>
        <w:spacing w:before="7"/>
      </w:pPr>
    </w:p>
    <w:p>
      <w:pPr>
        <w:pStyle w:val="Heading1"/>
        <w:spacing w:line="480" w:lineRule="auto" w:before="1"/>
        <w:ind w:right="144"/>
      </w:pPr>
      <w:r>
        <w:rPr/>
        <w:t>Sombra Oscura subyacente de dentina con o sin ruptura localizada del</w:t>
      </w:r>
      <w:r>
        <w:rPr>
          <w:spacing w:val="-43"/>
        </w:rPr>
        <w:t> </w:t>
      </w:r>
      <w:r>
        <w:rPr/>
        <w:t>esmalte: Código</w:t>
      </w:r>
      <w:r>
        <w:rPr>
          <w:spacing w:val="-2"/>
        </w:rPr>
        <w:t> </w:t>
      </w:r>
      <w:r>
        <w:rPr/>
        <w:t>4</w:t>
      </w:r>
    </w:p>
    <w:p>
      <w:pPr>
        <w:pStyle w:val="BodyText"/>
        <w:spacing w:line="480" w:lineRule="auto" w:before="8"/>
        <w:ind w:left="138" w:right="140"/>
        <w:jc w:val="both"/>
      </w:pPr>
      <w:r>
        <w:rPr/>
        <w:t>Esta lesión aparece como una sombra o dentina decolorada visible a través de una superficie del esmalte aparentemente intacta, que puede o no mostrar signos de ruptura</w:t>
      </w:r>
      <w:r>
        <w:rPr>
          <w:spacing w:val="-8"/>
        </w:rPr>
        <w:t> </w:t>
      </w:r>
      <w:r>
        <w:rPr/>
        <w:t>localizada</w:t>
      </w:r>
      <w:r>
        <w:rPr>
          <w:spacing w:val="-7"/>
        </w:rPr>
        <w:t> </w:t>
      </w:r>
      <w:r>
        <w:rPr/>
        <w:t>(pérdida</w:t>
      </w:r>
      <w:r>
        <w:rPr>
          <w:spacing w:val="-7"/>
        </w:rPr>
        <w:t> </w:t>
      </w:r>
      <w:r>
        <w:rPr/>
        <w:t>de</w:t>
      </w:r>
      <w:r>
        <w:rPr>
          <w:spacing w:val="-7"/>
        </w:rPr>
        <w:t> </w:t>
      </w:r>
      <w:r>
        <w:rPr/>
        <w:t>la</w:t>
      </w:r>
      <w:r>
        <w:rPr>
          <w:spacing w:val="-7"/>
        </w:rPr>
        <w:t> </w:t>
      </w:r>
      <w:r>
        <w:rPr/>
        <w:t>continuidad</w:t>
      </w:r>
      <w:r>
        <w:rPr>
          <w:spacing w:val="-8"/>
        </w:rPr>
        <w:t> </w:t>
      </w:r>
      <w:r>
        <w:rPr/>
        <w:t>de</w:t>
      </w:r>
      <w:r>
        <w:rPr>
          <w:spacing w:val="-7"/>
        </w:rPr>
        <w:t> </w:t>
      </w:r>
      <w:r>
        <w:rPr/>
        <w:t>la</w:t>
      </w:r>
      <w:r>
        <w:rPr>
          <w:spacing w:val="-7"/>
        </w:rPr>
        <w:t> </w:t>
      </w:r>
      <w:r>
        <w:rPr/>
        <w:t>superficie</w:t>
      </w:r>
      <w:r>
        <w:rPr>
          <w:spacing w:val="-7"/>
        </w:rPr>
        <w:t> </w:t>
      </w:r>
      <w:r>
        <w:rPr/>
        <w:t>que</w:t>
      </w:r>
      <w:r>
        <w:rPr>
          <w:spacing w:val="-8"/>
        </w:rPr>
        <w:t> </w:t>
      </w:r>
      <w:r>
        <w:rPr/>
        <w:t>no</w:t>
      </w:r>
      <w:r>
        <w:rPr>
          <w:spacing w:val="-8"/>
        </w:rPr>
        <w:t> </w:t>
      </w:r>
      <w:r>
        <w:rPr/>
        <w:t>está</w:t>
      </w:r>
      <w:r>
        <w:rPr>
          <w:spacing w:val="-8"/>
        </w:rPr>
        <w:t> </w:t>
      </w:r>
      <w:r>
        <w:rPr/>
        <w:t>mostrando</w:t>
      </w:r>
      <w:r>
        <w:rPr>
          <w:spacing w:val="-7"/>
        </w:rPr>
        <w:t> </w:t>
      </w:r>
      <w:r>
        <w:rPr/>
        <w:t>la dentina). La aparición de la sombra se ve a menudo más fácilmente cuando el diente está húmedo. La zona oscura es una sombra intrínseca la cual puede parecer como de color gris, azul o marrón. La sombra debe representar claramente caries que inició en la superficie del diente evaluado. Si en opinión del examinador, la lesión cariosa inició</w:t>
      </w:r>
      <w:r>
        <w:rPr>
          <w:spacing w:val="-7"/>
        </w:rPr>
        <w:t> </w:t>
      </w:r>
      <w:r>
        <w:rPr/>
        <w:t>sobre</w:t>
      </w:r>
      <w:r>
        <w:rPr>
          <w:spacing w:val="-10"/>
        </w:rPr>
        <w:t> </w:t>
      </w:r>
      <w:r>
        <w:rPr/>
        <w:t>una</w:t>
      </w:r>
      <w:r>
        <w:rPr>
          <w:spacing w:val="-7"/>
        </w:rPr>
        <w:t> </w:t>
      </w:r>
      <w:r>
        <w:rPr/>
        <w:t>superficie</w:t>
      </w:r>
      <w:r>
        <w:rPr>
          <w:spacing w:val="-7"/>
        </w:rPr>
        <w:t> </w:t>
      </w:r>
      <w:r>
        <w:rPr/>
        <w:t>adyacente</w:t>
      </w:r>
      <w:r>
        <w:rPr>
          <w:spacing w:val="-7"/>
        </w:rPr>
        <w:t> </w:t>
      </w:r>
      <w:r>
        <w:rPr/>
        <w:t>y</w:t>
      </w:r>
      <w:r>
        <w:rPr>
          <w:spacing w:val="-10"/>
        </w:rPr>
        <w:t> </w:t>
      </w:r>
      <w:r>
        <w:rPr/>
        <w:t>no</w:t>
      </w:r>
      <w:r>
        <w:rPr>
          <w:spacing w:val="-9"/>
        </w:rPr>
        <w:t> </w:t>
      </w:r>
      <w:r>
        <w:rPr/>
        <w:t>hay</w:t>
      </w:r>
      <w:r>
        <w:rPr>
          <w:spacing w:val="-6"/>
        </w:rPr>
        <w:t> </w:t>
      </w:r>
      <w:r>
        <w:rPr/>
        <w:t>evidencia</w:t>
      </w:r>
      <w:r>
        <w:rPr>
          <w:spacing w:val="-10"/>
        </w:rPr>
        <w:t> </w:t>
      </w:r>
      <w:r>
        <w:rPr/>
        <w:t>de</w:t>
      </w:r>
      <w:r>
        <w:rPr>
          <w:spacing w:val="-7"/>
        </w:rPr>
        <w:t> </w:t>
      </w:r>
      <w:r>
        <w:rPr/>
        <w:t>caries</w:t>
      </w:r>
      <w:r>
        <w:rPr>
          <w:spacing w:val="-8"/>
        </w:rPr>
        <w:t> </w:t>
      </w:r>
      <w:r>
        <w:rPr/>
        <w:t>en</w:t>
      </w:r>
      <w:r>
        <w:rPr>
          <w:spacing w:val="-9"/>
        </w:rPr>
        <w:t> </w:t>
      </w:r>
      <w:r>
        <w:rPr/>
        <w:t>la</w:t>
      </w:r>
      <w:r>
        <w:rPr>
          <w:spacing w:val="-7"/>
        </w:rPr>
        <w:t> </w:t>
      </w:r>
      <w:r>
        <w:rPr/>
        <w:t>superficie</w:t>
      </w:r>
      <w:r>
        <w:rPr>
          <w:spacing w:val="-7"/>
        </w:rPr>
        <w:t> </w:t>
      </w:r>
      <w:r>
        <w:rPr/>
        <w:t>que se obtuvo, entonces la superficie deberá ser codificada</w:t>
      </w:r>
      <w:r>
        <w:rPr>
          <w:spacing w:val="-23"/>
        </w:rPr>
        <w:t> </w:t>
      </w:r>
      <w:r>
        <w:rPr/>
        <w:t>“0”.</w:t>
      </w:r>
    </w:p>
    <w:p>
      <w:pPr>
        <w:pStyle w:val="BodyText"/>
      </w:pPr>
    </w:p>
    <w:p>
      <w:pPr>
        <w:pStyle w:val="BodyText"/>
        <w:spacing w:before="7"/>
      </w:pPr>
    </w:p>
    <w:p>
      <w:pPr>
        <w:pStyle w:val="Heading1"/>
        <w:spacing w:before="1"/>
      </w:pPr>
      <w:r>
        <w:rPr/>
        <w:t>Código 3 y 4.</w:t>
      </w:r>
    </w:p>
    <w:p>
      <w:pPr>
        <w:spacing w:after="0"/>
        <w:sectPr>
          <w:pgSz w:w="12240" w:h="15840"/>
          <w:pgMar w:header="686" w:footer="964" w:top="1080" w:bottom="1160" w:left="1280" w:right="1560"/>
        </w:sectPr>
      </w:pPr>
    </w:p>
    <w:p>
      <w:pPr>
        <w:pStyle w:val="BodyText"/>
        <w:rPr>
          <w:b/>
          <w:sz w:val="20"/>
        </w:rPr>
      </w:pPr>
    </w:p>
    <w:p>
      <w:pPr>
        <w:pStyle w:val="BodyText"/>
        <w:spacing w:before="3"/>
        <w:rPr>
          <w:b/>
          <w:sz w:val="27"/>
        </w:rPr>
      </w:pPr>
    </w:p>
    <w:p>
      <w:pPr>
        <w:pStyle w:val="BodyText"/>
        <w:spacing w:line="480" w:lineRule="auto" w:before="69"/>
        <w:ind w:left="138" w:right="144"/>
        <w:jc w:val="both"/>
      </w:pPr>
      <w:r>
        <w:rPr/>
        <w:t>Histológicamente puede variar en profundidad con una más profunda que el otra y viceversa. Esto dependerá de la población y de las propiedades del esmalte. Por ejemplo,</w:t>
      </w:r>
      <w:r>
        <w:rPr>
          <w:spacing w:val="-17"/>
        </w:rPr>
        <w:t> </w:t>
      </w:r>
      <w:r>
        <w:rPr/>
        <w:t>más</w:t>
      </w:r>
      <w:r>
        <w:rPr>
          <w:spacing w:val="-17"/>
        </w:rPr>
        <w:t> </w:t>
      </w:r>
      <w:r>
        <w:rPr/>
        <w:t>translúcido</w:t>
      </w:r>
      <w:r>
        <w:rPr>
          <w:spacing w:val="-14"/>
        </w:rPr>
        <w:t> </w:t>
      </w:r>
      <w:r>
        <w:rPr/>
        <w:t>y</w:t>
      </w:r>
      <w:r>
        <w:rPr>
          <w:spacing w:val="-17"/>
        </w:rPr>
        <w:t> </w:t>
      </w:r>
      <w:r>
        <w:rPr/>
        <w:t>más</w:t>
      </w:r>
      <w:r>
        <w:rPr>
          <w:spacing w:val="-15"/>
        </w:rPr>
        <w:t> </w:t>
      </w:r>
      <w:r>
        <w:rPr/>
        <w:t>delgado</w:t>
      </w:r>
      <w:r>
        <w:rPr>
          <w:spacing w:val="-16"/>
        </w:rPr>
        <w:t> </w:t>
      </w:r>
      <w:r>
        <w:rPr/>
        <w:t>el</w:t>
      </w:r>
      <w:r>
        <w:rPr>
          <w:spacing w:val="-18"/>
        </w:rPr>
        <w:t> </w:t>
      </w:r>
      <w:r>
        <w:rPr/>
        <w:t>esmalte</w:t>
      </w:r>
      <w:r>
        <w:rPr>
          <w:spacing w:val="-16"/>
        </w:rPr>
        <w:t> </w:t>
      </w:r>
      <w:r>
        <w:rPr/>
        <w:t>en</w:t>
      </w:r>
      <w:r>
        <w:rPr>
          <w:spacing w:val="-14"/>
        </w:rPr>
        <w:t> </w:t>
      </w:r>
      <w:r>
        <w:rPr/>
        <w:t>dientes</w:t>
      </w:r>
      <w:r>
        <w:rPr>
          <w:spacing w:val="-15"/>
        </w:rPr>
        <w:t> </w:t>
      </w:r>
      <w:r>
        <w:rPr/>
        <w:t>primarios</w:t>
      </w:r>
      <w:r>
        <w:rPr>
          <w:spacing w:val="-15"/>
        </w:rPr>
        <w:t> </w:t>
      </w:r>
      <w:r>
        <w:rPr/>
        <w:t>puede</w:t>
      </w:r>
      <w:r>
        <w:rPr>
          <w:spacing w:val="-16"/>
        </w:rPr>
        <w:t> </w:t>
      </w:r>
      <w:r>
        <w:rPr/>
        <w:t>permitir la decoloración y el debilitamiento de la dentina pueda ser visto antes de la ruptura localizada del esmalte. Sin embargo, en muchos casos el código 4 es probablemente más profundo en dentina que el código</w:t>
      </w:r>
      <w:r>
        <w:rPr>
          <w:spacing w:val="-19"/>
        </w:rPr>
        <w:t> </w:t>
      </w:r>
      <w:r>
        <w:rPr/>
        <w:t>3.</w:t>
      </w:r>
    </w:p>
    <w:p>
      <w:pPr>
        <w:pStyle w:val="BodyText"/>
      </w:pPr>
    </w:p>
    <w:p>
      <w:pPr>
        <w:pStyle w:val="BodyText"/>
        <w:spacing w:before="8"/>
      </w:pPr>
    </w:p>
    <w:p>
      <w:pPr>
        <w:pStyle w:val="Heading1"/>
      </w:pPr>
      <w:r>
        <w:rPr/>
        <w:t>Cavidad detectable con dentina visible Código: 5.</w:t>
      </w:r>
    </w:p>
    <w:p>
      <w:pPr>
        <w:pStyle w:val="BodyText"/>
        <w:rPr>
          <w:b/>
        </w:rPr>
      </w:pPr>
    </w:p>
    <w:p>
      <w:pPr>
        <w:pStyle w:val="BodyText"/>
        <w:spacing w:line="480" w:lineRule="auto"/>
        <w:ind w:left="138" w:right="147"/>
        <w:jc w:val="both"/>
      </w:pPr>
      <w:r>
        <w:rPr/>
        <w:t>Cavitación en esmalte, opaco o decolorado exponiendo la dentina que se encuentra por debajo.</w:t>
      </w:r>
    </w:p>
    <w:p>
      <w:pPr>
        <w:pStyle w:val="BodyText"/>
        <w:spacing w:line="480" w:lineRule="auto" w:before="8"/>
        <w:ind w:left="138" w:right="192"/>
      </w:pPr>
      <w:r>
        <w:rPr/>
        <w:t>El diente visto húmedo puede tener oscurecimiento de la dentina visible a través del esmalte. Una vez que se secó por 5 segundos existe evidencia visual de la pérdida de la estructura del diente en la  entrada o dentro de la fosa o fisura-franca cavitación. Hay una evidencia visual de desmineralización (opaca (blanca), marrón o paredes marrón oscuro) a la entrada o dentro de la fosa y fisura y a juicio del examinador la dentina está expuesta.</w:t>
      </w:r>
    </w:p>
    <w:p>
      <w:pPr>
        <w:pStyle w:val="BodyText"/>
        <w:spacing w:line="480" w:lineRule="auto" w:before="8"/>
        <w:ind w:left="138" w:right="139"/>
        <w:jc w:val="both"/>
      </w:pPr>
      <w:r>
        <w:rPr/>
        <w:t>La sonda de la OMS/ CPI / PSR se puede utilizar para confirmar la presencia de una aparente cavidad en dentina. Esto se logra deslizando la esfera de la sonda a lo</w:t>
      </w:r>
      <w:r>
        <w:rPr>
          <w:spacing w:val="-37"/>
        </w:rPr>
        <w:t> </w:t>
      </w:r>
      <w:r>
        <w:rPr/>
        <w:t>largo de la fosa sospechosa o fisura y la cavidad en dentina es detectada si la esfera entra en la abertura de la cavidad y en opinión del examinador la base está en dentina. (En puntos y fisuras el espesor de esmalte es entre 0.5 y 1.0 mm. Nota: Tenga en cuenta que la dentina pulpar profunda no debe ser</w:t>
      </w:r>
      <w:r>
        <w:rPr>
          <w:spacing w:val="-14"/>
        </w:rPr>
        <w:t> </w:t>
      </w:r>
      <w:r>
        <w:rPr/>
        <w:t>sondeada).</w:t>
      </w:r>
    </w:p>
    <w:p>
      <w:pPr>
        <w:pStyle w:val="Heading1"/>
        <w:spacing w:before="8"/>
      </w:pPr>
      <w:r>
        <w:rPr/>
        <w:t>Cavidad detectable extensa con dentina visible: Código 6.</w:t>
      </w:r>
    </w:p>
    <w:p>
      <w:pPr>
        <w:spacing w:after="0"/>
        <w:sectPr>
          <w:pgSz w:w="12240" w:h="15840"/>
          <w:pgMar w:header="686" w:footer="964" w:top="1080" w:bottom="1160" w:left="1280" w:right="1560"/>
        </w:sectPr>
      </w:pPr>
    </w:p>
    <w:p>
      <w:pPr>
        <w:pStyle w:val="BodyText"/>
        <w:rPr>
          <w:b/>
          <w:sz w:val="20"/>
        </w:rPr>
      </w:pPr>
    </w:p>
    <w:p>
      <w:pPr>
        <w:pStyle w:val="BodyText"/>
        <w:spacing w:before="3"/>
        <w:rPr>
          <w:b/>
          <w:sz w:val="27"/>
        </w:rPr>
      </w:pPr>
    </w:p>
    <w:p>
      <w:pPr>
        <w:pStyle w:val="BodyText"/>
        <w:spacing w:line="480" w:lineRule="auto" w:before="69"/>
        <w:ind w:left="138" w:right="141"/>
        <w:jc w:val="both"/>
      </w:pPr>
      <w:r>
        <w:rPr/>
        <w:t>Existe</w:t>
      </w:r>
      <w:r>
        <w:rPr>
          <w:spacing w:val="-4"/>
        </w:rPr>
        <w:t> </w:t>
      </w:r>
      <w:r>
        <w:rPr/>
        <w:t>una</w:t>
      </w:r>
      <w:r>
        <w:rPr>
          <w:spacing w:val="-4"/>
        </w:rPr>
        <w:t> </w:t>
      </w:r>
      <w:r>
        <w:rPr/>
        <w:t>pérdida</w:t>
      </w:r>
      <w:r>
        <w:rPr>
          <w:spacing w:val="-6"/>
        </w:rPr>
        <w:t> </w:t>
      </w:r>
      <w:r>
        <w:rPr/>
        <w:t>obvia</w:t>
      </w:r>
      <w:r>
        <w:rPr>
          <w:spacing w:val="-4"/>
        </w:rPr>
        <w:t> </w:t>
      </w:r>
      <w:r>
        <w:rPr/>
        <w:t>de</w:t>
      </w:r>
      <w:r>
        <w:rPr>
          <w:spacing w:val="-4"/>
        </w:rPr>
        <w:t> </w:t>
      </w:r>
      <w:r>
        <w:rPr/>
        <w:t>la</w:t>
      </w:r>
      <w:r>
        <w:rPr>
          <w:spacing w:val="-6"/>
        </w:rPr>
        <w:t> </w:t>
      </w:r>
      <w:r>
        <w:rPr/>
        <w:t>estructura</w:t>
      </w:r>
      <w:r>
        <w:rPr>
          <w:spacing w:val="-4"/>
        </w:rPr>
        <w:t> </w:t>
      </w:r>
      <w:r>
        <w:rPr/>
        <w:t>del</w:t>
      </w:r>
      <w:r>
        <w:rPr>
          <w:spacing w:val="-5"/>
        </w:rPr>
        <w:t> </w:t>
      </w:r>
      <w:r>
        <w:rPr/>
        <w:t>diente,</w:t>
      </w:r>
      <w:r>
        <w:rPr>
          <w:spacing w:val="-4"/>
        </w:rPr>
        <w:t> </w:t>
      </w:r>
      <w:r>
        <w:rPr/>
        <w:t>la</w:t>
      </w:r>
      <w:r>
        <w:rPr>
          <w:spacing w:val="-4"/>
        </w:rPr>
        <w:t> </w:t>
      </w:r>
      <w:r>
        <w:rPr/>
        <w:t>cavidad</w:t>
      </w:r>
      <w:r>
        <w:rPr>
          <w:spacing w:val="-6"/>
        </w:rPr>
        <w:t> </w:t>
      </w:r>
      <w:r>
        <w:rPr/>
        <w:t>es</w:t>
      </w:r>
      <w:r>
        <w:rPr>
          <w:spacing w:val="-4"/>
        </w:rPr>
        <w:t> </w:t>
      </w:r>
      <w:r>
        <w:rPr/>
        <w:t>profunda</w:t>
      </w:r>
      <w:r>
        <w:rPr>
          <w:spacing w:val="-4"/>
        </w:rPr>
        <w:t> </w:t>
      </w:r>
      <w:r>
        <w:rPr/>
        <w:t>y</w:t>
      </w:r>
      <w:r>
        <w:rPr>
          <w:spacing w:val="-7"/>
        </w:rPr>
        <w:t> </w:t>
      </w:r>
      <w:r>
        <w:rPr/>
        <w:t>amplia</w:t>
      </w:r>
      <w:r>
        <w:rPr>
          <w:spacing w:val="-6"/>
        </w:rPr>
        <w:t> </w:t>
      </w:r>
      <w:r>
        <w:rPr/>
        <w:t>y la dentina es claramente visible tanto en las paredes como en la base. Una amplia cavidad implica al menos la mitad de la superficie del diente o, posiblemente, alcanza a  la</w:t>
      </w:r>
      <w:r>
        <w:rPr>
          <w:spacing w:val="-3"/>
        </w:rPr>
        <w:t> </w:t>
      </w:r>
      <w:r>
        <w:rPr/>
        <w:t>pulpa.</w:t>
      </w:r>
    </w:p>
    <w:p>
      <w:pPr>
        <w:pStyle w:val="BodyText"/>
      </w:pPr>
    </w:p>
    <w:p>
      <w:pPr>
        <w:pStyle w:val="BodyText"/>
        <w:spacing w:before="7"/>
      </w:pPr>
    </w:p>
    <w:p>
      <w:pPr>
        <w:pStyle w:val="Heading1"/>
        <w:spacing w:before="1"/>
      </w:pPr>
      <w:r>
        <w:rPr>
          <w:u w:val="thick"/>
        </w:rPr>
        <w:t>Superficies Lisas (mesial y distal)</w:t>
      </w:r>
    </w:p>
    <w:p>
      <w:pPr>
        <w:pStyle w:val="BodyText"/>
        <w:rPr>
          <w:b/>
          <w:sz w:val="18"/>
        </w:rPr>
      </w:pPr>
    </w:p>
    <w:p>
      <w:pPr>
        <w:spacing w:before="69"/>
        <w:ind w:left="138" w:right="0" w:firstLine="0"/>
        <w:jc w:val="both"/>
        <w:rPr>
          <w:b/>
          <w:sz w:val="24"/>
        </w:rPr>
      </w:pPr>
      <w:r>
        <w:rPr>
          <w:b/>
          <w:sz w:val="24"/>
        </w:rPr>
        <w:t>Esto requiere una inspección en dirección oclusal, bucal y lingual.</w:t>
      </w:r>
    </w:p>
    <w:p>
      <w:pPr>
        <w:pStyle w:val="BodyText"/>
        <w:rPr>
          <w:b/>
        </w:rPr>
      </w:pPr>
    </w:p>
    <w:p>
      <w:pPr>
        <w:pStyle w:val="BodyText"/>
        <w:rPr>
          <w:b/>
        </w:rPr>
      </w:pPr>
    </w:p>
    <w:p>
      <w:pPr>
        <w:pStyle w:val="BodyText"/>
        <w:rPr>
          <w:b/>
        </w:rPr>
      </w:pPr>
    </w:p>
    <w:p>
      <w:pPr>
        <w:spacing w:before="0"/>
        <w:ind w:left="138" w:right="0" w:firstLine="0"/>
        <w:jc w:val="both"/>
        <w:rPr>
          <w:b/>
          <w:sz w:val="24"/>
        </w:rPr>
      </w:pPr>
      <w:r>
        <w:rPr>
          <w:b/>
          <w:sz w:val="24"/>
        </w:rPr>
        <w:t>Superficie dental sana: Código 0</w:t>
      </w:r>
    </w:p>
    <w:p>
      <w:pPr>
        <w:pStyle w:val="BodyText"/>
        <w:rPr>
          <w:b/>
        </w:rPr>
      </w:pPr>
    </w:p>
    <w:p>
      <w:pPr>
        <w:pStyle w:val="BodyText"/>
        <w:spacing w:line="480" w:lineRule="auto"/>
        <w:ind w:left="138" w:right="142"/>
        <w:jc w:val="both"/>
      </w:pPr>
      <w:r>
        <w:rPr/>
        <w:t>No debe haber evidencia de caries (ya sea o no un cambio cuestionable en la translucidez del esmalte después de un prolongado secado con aire (se sugiere un tiempo de secado de 5 segundos)). Las superficies con defectos desarrollados tales como</w:t>
      </w:r>
      <w:r>
        <w:rPr>
          <w:spacing w:val="-8"/>
        </w:rPr>
        <w:t> </w:t>
      </w:r>
      <w:r>
        <w:rPr/>
        <w:t>las</w:t>
      </w:r>
      <w:r>
        <w:rPr>
          <w:spacing w:val="-9"/>
        </w:rPr>
        <w:t> </w:t>
      </w:r>
      <w:r>
        <w:rPr/>
        <w:t>hipoplasias</w:t>
      </w:r>
      <w:r>
        <w:rPr>
          <w:spacing w:val="-9"/>
        </w:rPr>
        <w:t> </w:t>
      </w:r>
      <w:r>
        <w:rPr/>
        <w:t>del</w:t>
      </w:r>
      <w:r>
        <w:rPr>
          <w:spacing w:val="-7"/>
        </w:rPr>
        <w:t> </w:t>
      </w:r>
      <w:r>
        <w:rPr/>
        <w:t>esmalte;</w:t>
      </w:r>
      <w:r>
        <w:rPr>
          <w:spacing w:val="-9"/>
        </w:rPr>
        <w:t> </w:t>
      </w:r>
      <w:r>
        <w:rPr/>
        <w:t>fluorosis;</w:t>
      </w:r>
      <w:r>
        <w:rPr>
          <w:spacing w:val="-9"/>
        </w:rPr>
        <w:t> </w:t>
      </w:r>
      <w:r>
        <w:rPr/>
        <w:t>desgaste</w:t>
      </w:r>
      <w:r>
        <w:rPr>
          <w:spacing w:val="-6"/>
        </w:rPr>
        <w:t> </w:t>
      </w:r>
      <w:r>
        <w:rPr/>
        <w:t>de</w:t>
      </w:r>
      <w:r>
        <w:rPr>
          <w:spacing w:val="-6"/>
        </w:rPr>
        <w:t> </w:t>
      </w:r>
      <w:r>
        <w:rPr/>
        <w:t>los</w:t>
      </w:r>
      <w:r>
        <w:rPr>
          <w:spacing w:val="-9"/>
        </w:rPr>
        <w:t> </w:t>
      </w:r>
      <w:r>
        <w:rPr/>
        <w:t>dientes</w:t>
      </w:r>
      <w:r>
        <w:rPr>
          <w:spacing w:val="-12"/>
        </w:rPr>
        <w:t> </w:t>
      </w:r>
      <w:r>
        <w:rPr/>
        <w:t>(atrición,</w:t>
      </w:r>
      <w:r>
        <w:rPr>
          <w:spacing w:val="-6"/>
        </w:rPr>
        <w:t> </w:t>
      </w:r>
      <w:r>
        <w:rPr/>
        <w:t>abrasión y erosión), y las manchas extrínsecas e intrínsecas deberán ser registradas como sano.</w:t>
      </w:r>
    </w:p>
    <w:p>
      <w:pPr>
        <w:pStyle w:val="BodyText"/>
      </w:pPr>
    </w:p>
    <w:p>
      <w:pPr>
        <w:pStyle w:val="BodyText"/>
        <w:spacing w:before="7"/>
      </w:pPr>
    </w:p>
    <w:p>
      <w:pPr>
        <w:pStyle w:val="Heading1"/>
        <w:spacing w:before="1"/>
      </w:pPr>
      <w:r>
        <w:rPr/>
        <w:t>Primer cambio visual en el esmalte: Código 1.</w:t>
      </w:r>
    </w:p>
    <w:p>
      <w:pPr>
        <w:pStyle w:val="BodyText"/>
        <w:rPr>
          <w:b/>
        </w:rPr>
      </w:pPr>
    </w:p>
    <w:p>
      <w:pPr>
        <w:pStyle w:val="BodyText"/>
        <w:spacing w:line="480" w:lineRule="auto"/>
        <w:ind w:left="138" w:right="136"/>
        <w:jc w:val="both"/>
      </w:pPr>
      <w:r>
        <w:rPr/>
        <w:t>Cuando es observado en húmedo y no hay evidencia de algún cambio de color atribuible a la actividad de caries, pero después de un secado prolongado con aire está visible una opacidad cariosa (lesión blanca o marrón) y no es consistente con la apariencia clínica del esmalte sano. Esto se ve desde la superficie bucal y lingual.</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spacing w:line="480" w:lineRule="auto" w:before="69"/>
        <w:ind w:right="143"/>
      </w:pPr>
      <w:r>
        <w:rPr/>
        <w:t>Cambio visual detectable en esmalte cuando es observado en húmedo: Código 2.</w:t>
      </w:r>
    </w:p>
    <w:p>
      <w:pPr>
        <w:pStyle w:val="BodyText"/>
        <w:spacing w:line="480" w:lineRule="auto" w:before="8"/>
        <w:ind w:left="138" w:right="144"/>
        <w:jc w:val="both"/>
      </w:pPr>
      <w:r>
        <w:rPr/>
        <w:t>Existe una opacidad o decoloración cariosa (lesión blanca o café) que no es consistente con la apariencia clínica del esmalte sano (Nota: la lesión es aún visible cuando se seca). Esta lesión puede ser vista directamente cuando es observada en dirección bucal o lingual. Además, cuando es observado en dirección oclusal, esta opacidad o cambio de color puede ser vista como una sombra confinada al esmalte, visto  a través de la cresta marginal.</w:t>
      </w:r>
    </w:p>
    <w:p>
      <w:pPr>
        <w:pStyle w:val="BodyText"/>
      </w:pPr>
    </w:p>
    <w:p>
      <w:pPr>
        <w:pStyle w:val="BodyText"/>
        <w:spacing w:before="7"/>
      </w:pPr>
    </w:p>
    <w:p>
      <w:pPr>
        <w:pStyle w:val="Heading1"/>
        <w:spacing w:before="1"/>
      </w:pPr>
      <w:r>
        <w:rPr/>
        <w:t>Ruptura inicial en esmalte debido a caries sin dentina visible. Código 3.</w:t>
      </w:r>
    </w:p>
    <w:p>
      <w:pPr>
        <w:pStyle w:val="BodyText"/>
        <w:rPr>
          <w:b/>
        </w:rPr>
      </w:pPr>
    </w:p>
    <w:p>
      <w:pPr>
        <w:pStyle w:val="BodyText"/>
        <w:spacing w:line="480" w:lineRule="auto"/>
        <w:ind w:left="138" w:right="147"/>
        <w:jc w:val="both"/>
      </w:pPr>
      <w:r>
        <w:rPr/>
        <w:t>Una vez seco por aproximadamente 5 segundos hay una pérdida visible de la integridad del esmalte, visto desde una dirección bucal o lingual.</w:t>
      </w:r>
    </w:p>
    <w:p>
      <w:pPr>
        <w:pStyle w:val="BodyText"/>
        <w:spacing w:line="480" w:lineRule="auto" w:before="8"/>
        <w:ind w:left="138" w:right="145"/>
        <w:jc w:val="both"/>
      </w:pPr>
      <w:r>
        <w:rPr/>
        <w:t>En caso de duda, o para confirmar la evaluación visual, la sonda CPI puede utilizarse con suavidad por la superficie para confirmar la pérdida de la integridad de la superficie.</w:t>
      </w:r>
    </w:p>
    <w:p>
      <w:pPr>
        <w:pStyle w:val="BodyText"/>
      </w:pPr>
    </w:p>
    <w:p>
      <w:pPr>
        <w:pStyle w:val="BodyText"/>
        <w:spacing w:before="7"/>
      </w:pPr>
    </w:p>
    <w:p>
      <w:pPr>
        <w:pStyle w:val="Heading1"/>
        <w:spacing w:line="480" w:lineRule="auto" w:before="1"/>
        <w:ind w:right="146"/>
      </w:pPr>
      <w:r>
        <w:rPr/>
        <w:t>Sombra oscura subyacente de dentina con o sin ruptura del esmalte localizada: Código 4.</w:t>
      </w:r>
    </w:p>
    <w:p>
      <w:pPr>
        <w:pStyle w:val="BodyText"/>
        <w:spacing w:line="480" w:lineRule="auto" w:before="8"/>
        <w:ind w:left="138" w:right="145"/>
        <w:jc w:val="both"/>
      </w:pPr>
      <w:r>
        <w:rPr/>
        <w:t>Está lesión aparece como una sombra de dentina decolorada visible a través de una cresta marginal aparentemente intacta, las paredes bucales o linguales de esmalte. Esta apariencia se ve a menudo con más facilidad cuando el diente está húmedo. La zona oscura es una sombra intrínseca que puede aparecer en color gris, azul o café.</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spacing w:before="69"/>
      </w:pPr>
      <w:r>
        <w:rPr/>
        <w:t>Cavidad detectable con dentina visible: Código 5.</w:t>
      </w:r>
    </w:p>
    <w:p>
      <w:pPr>
        <w:pStyle w:val="BodyText"/>
        <w:rPr>
          <w:b/>
        </w:rPr>
      </w:pPr>
    </w:p>
    <w:p>
      <w:pPr>
        <w:pStyle w:val="BodyText"/>
        <w:spacing w:line="480" w:lineRule="auto"/>
        <w:ind w:left="138" w:right="146"/>
        <w:jc w:val="both"/>
      </w:pPr>
      <w:r>
        <w:rPr/>
        <w:t>La</w:t>
      </w:r>
      <w:r>
        <w:rPr>
          <w:spacing w:val="-5"/>
        </w:rPr>
        <w:t> </w:t>
      </w:r>
      <w:r>
        <w:rPr/>
        <w:t>cavidad</w:t>
      </w:r>
      <w:r>
        <w:rPr>
          <w:spacing w:val="-6"/>
        </w:rPr>
        <w:t> </w:t>
      </w:r>
      <w:r>
        <w:rPr/>
        <w:t>en</w:t>
      </w:r>
      <w:r>
        <w:rPr>
          <w:spacing w:val="-6"/>
        </w:rPr>
        <w:t> </w:t>
      </w:r>
      <w:r>
        <w:rPr/>
        <w:t>el</w:t>
      </w:r>
      <w:r>
        <w:rPr>
          <w:spacing w:val="-6"/>
        </w:rPr>
        <w:t> </w:t>
      </w:r>
      <w:r>
        <w:rPr/>
        <w:t>esmalte</w:t>
      </w:r>
      <w:r>
        <w:rPr>
          <w:spacing w:val="-4"/>
        </w:rPr>
        <w:t> </w:t>
      </w:r>
      <w:r>
        <w:rPr/>
        <w:t>es</w:t>
      </w:r>
      <w:r>
        <w:rPr>
          <w:spacing w:val="-7"/>
        </w:rPr>
        <w:t> </w:t>
      </w:r>
      <w:r>
        <w:rPr/>
        <w:t>opaca</w:t>
      </w:r>
      <w:r>
        <w:rPr>
          <w:spacing w:val="-5"/>
        </w:rPr>
        <w:t> </w:t>
      </w:r>
      <w:r>
        <w:rPr/>
        <w:t>o</w:t>
      </w:r>
      <w:r>
        <w:rPr>
          <w:spacing w:val="-6"/>
        </w:rPr>
        <w:t> </w:t>
      </w:r>
      <w:r>
        <w:rPr/>
        <w:t>decolorada</w:t>
      </w:r>
      <w:r>
        <w:rPr>
          <w:spacing w:val="-5"/>
        </w:rPr>
        <w:t> </w:t>
      </w:r>
      <w:r>
        <w:rPr/>
        <w:t>(blanca</w:t>
      </w:r>
      <w:r>
        <w:rPr>
          <w:spacing w:val="-5"/>
        </w:rPr>
        <w:t> </w:t>
      </w:r>
      <w:r>
        <w:rPr/>
        <w:t>o</w:t>
      </w:r>
      <w:r>
        <w:rPr>
          <w:spacing w:val="-6"/>
        </w:rPr>
        <w:t> </w:t>
      </w:r>
      <w:r>
        <w:rPr/>
        <w:t>café)</w:t>
      </w:r>
      <w:r>
        <w:rPr>
          <w:spacing w:val="-6"/>
        </w:rPr>
        <w:t> </w:t>
      </w:r>
      <w:r>
        <w:rPr/>
        <w:t>con</w:t>
      </w:r>
      <w:r>
        <w:rPr>
          <w:spacing w:val="-6"/>
        </w:rPr>
        <w:t> </w:t>
      </w:r>
      <w:r>
        <w:rPr/>
        <w:t>dentina</w:t>
      </w:r>
      <w:r>
        <w:rPr>
          <w:spacing w:val="-5"/>
        </w:rPr>
        <w:t> </w:t>
      </w:r>
      <w:r>
        <w:rPr/>
        <w:t>expuesta a juicio del</w:t>
      </w:r>
      <w:r>
        <w:rPr>
          <w:spacing w:val="-11"/>
        </w:rPr>
        <w:t> </w:t>
      </w:r>
      <w:r>
        <w:rPr/>
        <w:t>examinador.</w:t>
      </w:r>
    </w:p>
    <w:p>
      <w:pPr>
        <w:pStyle w:val="BodyText"/>
        <w:spacing w:line="480" w:lineRule="auto" w:before="8"/>
        <w:ind w:left="138" w:right="143"/>
        <w:jc w:val="both"/>
      </w:pPr>
      <w:r>
        <w:rPr/>
        <w:t>Si hay duda o para confirmar el examen visual, las sonda CPI tipo E se puede utilizar para confirmar la presencia de una cavidad aparente en dentina. Esto se logra el deslizando la esfera lo largo de la superficie y si la punta entra en la abertura una cavidad en dentina será detectada y que en opinión del examinador la base está en dentina.</w:t>
      </w:r>
    </w:p>
    <w:p>
      <w:pPr>
        <w:pStyle w:val="BodyText"/>
        <w:spacing w:line="480" w:lineRule="auto" w:before="8"/>
        <w:ind w:left="138" w:right="144"/>
        <w:jc w:val="both"/>
      </w:pPr>
      <w:r>
        <w:rPr/>
        <w:t>Evidente</w:t>
      </w:r>
      <w:r>
        <w:rPr>
          <w:spacing w:val="-11"/>
        </w:rPr>
        <w:t> </w:t>
      </w:r>
      <w:r>
        <w:rPr/>
        <w:t>pérdida</w:t>
      </w:r>
      <w:r>
        <w:rPr>
          <w:spacing w:val="-14"/>
        </w:rPr>
        <w:t> </w:t>
      </w:r>
      <w:r>
        <w:rPr/>
        <w:t>de</w:t>
      </w:r>
      <w:r>
        <w:rPr>
          <w:spacing w:val="-14"/>
        </w:rPr>
        <w:t> </w:t>
      </w:r>
      <w:r>
        <w:rPr/>
        <w:t>estructura</w:t>
      </w:r>
      <w:r>
        <w:rPr>
          <w:spacing w:val="-12"/>
        </w:rPr>
        <w:t> </w:t>
      </w:r>
      <w:r>
        <w:rPr/>
        <w:t>dental,</w:t>
      </w:r>
      <w:r>
        <w:rPr>
          <w:spacing w:val="-13"/>
        </w:rPr>
        <w:t> </w:t>
      </w:r>
      <w:r>
        <w:rPr/>
        <w:t>la</w:t>
      </w:r>
      <w:r>
        <w:rPr>
          <w:spacing w:val="-12"/>
        </w:rPr>
        <w:t> </w:t>
      </w:r>
      <w:r>
        <w:rPr/>
        <w:t>cavidad</w:t>
      </w:r>
      <w:r>
        <w:rPr>
          <w:spacing w:val="-12"/>
        </w:rPr>
        <w:t> </w:t>
      </w:r>
      <w:r>
        <w:rPr/>
        <w:t>extensa</w:t>
      </w:r>
      <w:r>
        <w:rPr>
          <w:spacing w:val="-12"/>
        </w:rPr>
        <w:t> </w:t>
      </w:r>
      <w:r>
        <w:rPr/>
        <w:t>puede</w:t>
      </w:r>
      <w:r>
        <w:rPr>
          <w:spacing w:val="-12"/>
        </w:rPr>
        <w:t> </w:t>
      </w:r>
      <w:r>
        <w:rPr/>
        <w:t>ser</w:t>
      </w:r>
      <w:r>
        <w:rPr>
          <w:spacing w:val="-16"/>
        </w:rPr>
        <w:t> </w:t>
      </w:r>
      <w:r>
        <w:rPr/>
        <w:t>profunda</w:t>
      </w:r>
      <w:r>
        <w:rPr>
          <w:spacing w:val="-14"/>
        </w:rPr>
        <w:t> </w:t>
      </w:r>
      <w:r>
        <w:rPr/>
        <w:t>o</w:t>
      </w:r>
      <w:r>
        <w:rPr>
          <w:spacing w:val="-12"/>
        </w:rPr>
        <w:t> </w:t>
      </w:r>
      <w:r>
        <w:rPr/>
        <w:t>amplia y la dentina es claramente visible tanto en las paredes como en la base. El reborde marginal puede o no estar presente. Una amplia cavidad implica al menos la mitad</w:t>
      </w:r>
      <w:r>
        <w:rPr>
          <w:spacing w:val="-34"/>
        </w:rPr>
        <w:t> </w:t>
      </w:r>
      <w:r>
        <w:rPr/>
        <w:t>de una superficie del diente o, posiblemente, llegar a la</w:t>
      </w:r>
      <w:r>
        <w:rPr>
          <w:spacing w:val="-20"/>
        </w:rPr>
        <w:t> </w:t>
      </w:r>
      <w:r>
        <w:rPr/>
        <w:t>pulpa.</w:t>
      </w:r>
    </w:p>
    <w:p>
      <w:pPr>
        <w:pStyle w:val="Heading1"/>
        <w:spacing w:before="8"/>
      </w:pPr>
      <w:r>
        <w:rPr/>
        <w:t>Cavidad extensa detectable con dentina visible: Código 6</w:t>
      </w:r>
    </w:p>
    <w:p>
      <w:pPr>
        <w:pStyle w:val="BodyText"/>
        <w:spacing w:before="9"/>
        <w:rPr>
          <w:b/>
          <w:sz w:val="23"/>
        </w:rPr>
      </w:pPr>
    </w:p>
    <w:p>
      <w:pPr>
        <w:pStyle w:val="BodyText"/>
        <w:spacing w:line="480" w:lineRule="auto"/>
        <w:ind w:left="138" w:right="138"/>
        <w:jc w:val="both"/>
      </w:pPr>
      <w:r>
        <w:rPr/>
        <w:t>Evidente</w:t>
      </w:r>
      <w:r>
        <w:rPr>
          <w:spacing w:val="-11"/>
        </w:rPr>
        <w:t> </w:t>
      </w:r>
      <w:r>
        <w:rPr/>
        <w:t>pérdida</w:t>
      </w:r>
      <w:r>
        <w:rPr>
          <w:spacing w:val="-14"/>
        </w:rPr>
        <w:t> </w:t>
      </w:r>
      <w:r>
        <w:rPr/>
        <w:t>de</w:t>
      </w:r>
      <w:r>
        <w:rPr>
          <w:spacing w:val="-14"/>
        </w:rPr>
        <w:t> </w:t>
      </w:r>
      <w:r>
        <w:rPr/>
        <w:t>estructura</w:t>
      </w:r>
      <w:r>
        <w:rPr>
          <w:spacing w:val="-12"/>
        </w:rPr>
        <w:t> </w:t>
      </w:r>
      <w:r>
        <w:rPr/>
        <w:t>dental,</w:t>
      </w:r>
      <w:r>
        <w:rPr>
          <w:spacing w:val="-13"/>
        </w:rPr>
        <w:t> </w:t>
      </w:r>
      <w:r>
        <w:rPr/>
        <w:t>la</w:t>
      </w:r>
      <w:r>
        <w:rPr>
          <w:spacing w:val="-12"/>
        </w:rPr>
        <w:t> </w:t>
      </w:r>
      <w:r>
        <w:rPr/>
        <w:t>cavidad</w:t>
      </w:r>
      <w:r>
        <w:rPr>
          <w:spacing w:val="-12"/>
        </w:rPr>
        <w:t> </w:t>
      </w:r>
      <w:r>
        <w:rPr/>
        <w:t>extensa</w:t>
      </w:r>
      <w:r>
        <w:rPr>
          <w:spacing w:val="-12"/>
        </w:rPr>
        <w:t> </w:t>
      </w:r>
      <w:r>
        <w:rPr/>
        <w:t>puede</w:t>
      </w:r>
      <w:r>
        <w:rPr>
          <w:spacing w:val="-12"/>
        </w:rPr>
        <w:t> </w:t>
      </w:r>
      <w:r>
        <w:rPr/>
        <w:t>ser</w:t>
      </w:r>
      <w:r>
        <w:rPr>
          <w:spacing w:val="-16"/>
        </w:rPr>
        <w:t> </w:t>
      </w:r>
      <w:r>
        <w:rPr/>
        <w:t>profunda</w:t>
      </w:r>
      <w:r>
        <w:rPr>
          <w:spacing w:val="-14"/>
        </w:rPr>
        <w:t> </w:t>
      </w:r>
      <w:r>
        <w:rPr/>
        <w:t>o</w:t>
      </w:r>
      <w:r>
        <w:rPr>
          <w:spacing w:val="-12"/>
        </w:rPr>
        <w:t> </w:t>
      </w:r>
      <w:r>
        <w:rPr/>
        <w:t>amplia y la dentina es claramente visible tanto en las paredes como en la base. El reborde marginal puede o no estar presente. Una amplia cavidad implica al menos la mitad</w:t>
      </w:r>
      <w:r>
        <w:rPr>
          <w:spacing w:val="-34"/>
        </w:rPr>
        <w:t> </w:t>
      </w:r>
      <w:r>
        <w:rPr/>
        <w:t>de una superficie del diente o, posiblemente, llegar a la</w:t>
      </w:r>
      <w:r>
        <w:rPr>
          <w:spacing w:val="-22"/>
        </w:rPr>
        <w:t> </w:t>
      </w:r>
      <w:r>
        <w:rPr/>
        <w:t>pulpa.</w:t>
      </w:r>
    </w:p>
    <w:p>
      <w:pPr>
        <w:spacing w:line="480" w:lineRule="auto" w:before="8"/>
        <w:ind w:left="138" w:right="141" w:firstLine="0"/>
        <w:jc w:val="left"/>
        <w:rPr>
          <w:b/>
          <w:sz w:val="24"/>
        </w:rPr>
      </w:pPr>
      <w:r>
        <w:rPr>
          <w:sz w:val="24"/>
        </w:rPr>
        <w:t>La superficie lisa libre (examen bucal y lingual y directo de las superficies mesial y distal                             (sin                             dientes                             adyacentes) </w:t>
      </w:r>
      <w:r>
        <w:rPr>
          <w:b/>
          <w:sz w:val="24"/>
          <w:u w:val="thick"/>
        </w:rPr>
        <w:t>La</w:t>
      </w:r>
      <w:r>
        <w:rPr>
          <w:b/>
          <w:spacing w:val="-11"/>
          <w:sz w:val="24"/>
          <w:u w:val="thick"/>
        </w:rPr>
        <w:t> </w:t>
      </w:r>
      <w:r>
        <w:rPr>
          <w:b/>
          <w:sz w:val="24"/>
          <w:u w:val="thick"/>
        </w:rPr>
        <w:t>superficie</w:t>
      </w:r>
      <w:r>
        <w:rPr>
          <w:b/>
          <w:spacing w:val="-12"/>
          <w:sz w:val="24"/>
          <w:u w:val="thick"/>
        </w:rPr>
        <w:t> </w:t>
      </w:r>
      <w:r>
        <w:rPr>
          <w:b/>
          <w:sz w:val="24"/>
          <w:u w:val="thick"/>
        </w:rPr>
        <w:t>lisa</w:t>
      </w:r>
      <w:r>
        <w:rPr>
          <w:b/>
          <w:spacing w:val="-13"/>
          <w:sz w:val="24"/>
          <w:u w:val="thick"/>
        </w:rPr>
        <w:t> </w:t>
      </w:r>
      <w:r>
        <w:rPr>
          <w:b/>
          <w:sz w:val="24"/>
          <w:u w:val="thick"/>
        </w:rPr>
        <w:t>libre</w:t>
      </w:r>
      <w:r>
        <w:rPr>
          <w:b/>
          <w:spacing w:val="-11"/>
          <w:sz w:val="24"/>
          <w:u w:val="thick"/>
        </w:rPr>
        <w:t> </w:t>
      </w:r>
      <w:r>
        <w:rPr>
          <w:b/>
          <w:sz w:val="24"/>
          <w:u w:val="thick"/>
        </w:rPr>
        <w:t>(examen</w:t>
      </w:r>
      <w:r>
        <w:rPr>
          <w:b/>
          <w:spacing w:val="-14"/>
          <w:sz w:val="24"/>
          <w:u w:val="thick"/>
        </w:rPr>
        <w:t> </w:t>
      </w:r>
      <w:r>
        <w:rPr>
          <w:b/>
          <w:sz w:val="24"/>
          <w:u w:val="thick"/>
        </w:rPr>
        <w:t>bucal</w:t>
      </w:r>
      <w:r>
        <w:rPr>
          <w:b/>
          <w:spacing w:val="-9"/>
          <w:sz w:val="24"/>
          <w:u w:val="thick"/>
        </w:rPr>
        <w:t> </w:t>
      </w:r>
      <w:r>
        <w:rPr>
          <w:b/>
          <w:sz w:val="24"/>
          <w:u w:val="thick"/>
        </w:rPr>
        <w:t>y</w:t>
      </w:r>
      <w:r>
        <w:rPr>
          <w:b/>
          <w:spacing w:val="-18"/>
          <w:sz w:val="24"/>
          <w:u w:val="thick"/>
        </w:rPr>
        <w:t> </w:t>
      </w:r>
      <w:r>
        <w:rPr>
          <w:b/>
          <w:sz w:val="24"/>
          <w:u w:val="thick"/>
        </w:rPr>
        <w:t>lingual</w:t>
      </w:r>
      <w:r>
        <w:rPr>
          <w:b/>
          <w:spacing w:val="-9"/>
          <w:sz w:val="24"/>
          <w:u w:val="thick"/>
        </w:rPr>
        <w:t> </w:t>
      </w:r>
      <w:r>
        <w:rPr>
          <w:b/>
          <w:sz w:val="24"/>
          <w:u w:val="thick"/>
        </w:rPr>
        <w:t>y</w:t>
      </w:r>
      <w:r>
        <w:rPr>
          <w:b/>
          <w:spacing w:val="-18"/>
          <w:sz w:val="24"/>
          <w:u w:val="thick"/>
        </w:rPr>
        <w:t> </w:t>
      </w:r>
      <w:r>
        <w:rPr>
          <w:b/>
          <w:sz w:val="24"/>
          <w:u w:val="thick"/>
        </w:rPr>
        <w:t>directo</w:t>
      </w:r>
      <w:r>
        <w:rPr>
          <w:b/>
          <w:spacing w:val="-12"/>
          <w:sz w:val="24"/>
          <w:u w:val="thick"/>
        </w:rPr>
        <w:t> </w:t>
      </w:r>
      <w:r>
        <w:rPr>
          <w:b/>
          <w:sz w:val="24"/>
          <w:u w:val="thick"/>
        </w:rPr>
        <w:t>de</w:t>
      </w:r>
      <w:r>
        <w:rPr>
          <w:b/>
          <w:spacing w:val="-13"/>
          <w:sz w:val="24"/>
          <w:u w:val="thick"/>
        </w:rPr>
        <w:t> </w:t>
      </w:r>
      <w:r>
        <w:rPr>
          <w:b/>
          <w:sz w:val="24"/>
          <w:u w:val="thick"/>
        </w:rPr>
        <w:t>las</w:t>
      </w:r>
      <w:r>
        <w:rPr>
          <w:b/>
          <w:spacing w:val="-13"/>
          <w:sz w:val="24"/>
          <w:u w:val="thick"/>
        </w:rPr>
        <w:t> </w:t>
      </w:r>
      <w:r>
        <w:rPr>
          <w:b/>
          <w:sz w:val="24"/>
          <w:u w:val="thick"/>
        </w:rPr>
        <w:t>superficies</w:t>
      </w:r>
      <w:r>
        <w:rPr>
          <w:b/>
          <w:spacing w:val="-11"/>
          <w:sz w:val="24"/>
          <w:u w:val="thick"/>
        </w:rPr>
        <w:t> </w:t>
      </w:r>
      <w:r>
        <w:rPr>
          <w:b/>
          <w:sz w:val="24"/>
          <w:u w:val="thick"/>
        </w:rPr>
        <w:t>mesial</w:t>
      </w:r>
    </w:p>
    <w:p>
      <w:pPr>
        <w:pStyle w:val="Heading1"/>
        <w:spacing w:before="8"/>
        <w:ind w:right="630"/>
        <w:jc w:val="left"/>
      </w:pPr>
      <w:r>
        <w:rPr>
          <w:u w:val="thick"/>
        </w:rPr>
        <w:t>y distal sin diente adyacente).</w:t>
      </w:r>
    </w:p>
    <w:p>
      <w:pPr>
        <w:pStyle w:val="BodyText"/>
        <w:spacing w:before="11"/>
        <w:rPr>
          <w:b/>
          <w:sz w:val="17"/>
        </w:rPr>
      </w:pPr>
    </w:p>
    <w:p>
      <w:pPr>
        <w:spacing w:before="69"/>
        <w:ind w:left="138" w:right="630" w:firstLine="0"/>
        <w:jc w:val="left"/>
        <w:rPr>
          <w:b/>
          <w:sz w:val="24"/>
        </w:rPr>
      </w:pPr>
      <w:r>
        <w:rPr>
          <w:b/>
          <w:sz w:val="24"/>
        </w:rPr>
        <w:t>Superficie dental sana: Código 0</w:t>
      </w:r>
    </w:p>
    <w:p>
      <w:pPr>
        <w:spacing w:after="0"/>
        <w:jc w:val="left"/>
        <w:rPr>
          <w:sz w:val="24"/>
        </w:rPr>
        <w:sectPr>
          <w:pgSz w:w="12240" w:h="15840"/>
          <w:pgMar w:header="686" w:footer="964" w:top="1080" w:bottom="1160" w:left="1280" w:right="1560"/>
        </w:sectPr>
      </w:pPr>
    </w:p>
    <w:p>
      <w:pPr>
        <w:pStyle w:val="BodyText"/>
        <w:rPr>
          <w:b/>
          <w:sz w:val="20"/>
        </w:rPr>
      </w:pPr>
    </w:p>
    <w:p>
      <w:pPr>
        <w:pStyle w:val="BodyText"/>
        <w:spacing w:before="3"/>
        <w:rPr>
          <w:b/>
          <w:sz w:val="27"/>
        </w:rPr>
      </w:pPr>
    </w:p>
    <w:p>
      <w:pPr>
        <w:pStyle w:val="BodyText"/>
        <w:spacing w:line="480" w:lineRule="auto" w:before="69"/>
        <w:ind w:left="138" w:right="135"/>
        <w:jc w:val="both"/>
      </w:pPr>
      <w:r>
        <w:rPr/>
        <w:t>No</w:t>
      </w:r>
      <w:r>
        <w:rPr>
          <w:spacing w:val="-13"/>
        </w:rPr>
        <w:t> </w:t>
      </w:r>
      <w:r>
        <w:rPr/>
        <w:t>debe</w:t>
      </w:r>
      <w:r>
        <w:rPr>
          <w:spacing w:val="-13"/>
        </w:rPr>
        <w:t> </w:t>
      </w:r>
      <w:r>
        <w:rPr/>
        <w:t>haber</w:t>
      </w:r>
      <w:r>
        <w:rPr>
          <w:spacing w:val="-17"/>
        </w:rPr>
        <w:t> </w:t>
      </w:r>
      <w:r>
        <w:rPr/>
        <w:t>evidencia</w:t>
      </w:r>
      <w:r>
        <w:rPr>
          <w:spacing w:val="-13"/>
        </w:rPr>
        <w:t> </w:t>
      </w:r>
      <w:r>
        <w:rPr/>
        <w:t>de</w:t>
      </w:r>
      <w:r>
        <w:rPr>
          <w:spacing w:val="-13"/>
        </w:rPr>
        <w:t> </w:t>
      </w:r>
      <w:r>
        <w:rPr/>
        <w:t>caries</w:t>
      </w:r>
      <w:r>
        <w:rPr>
          <w:spacing w:val="-14"/>
        </w:rPr>
        <w:t> </w:t>
      </w:r>
      <w:r>
        <w:rPr/>
        <w:t>(ya</w:t>
      </w:r>
      <w:r>
        <w:rPr>
          <w:spacing w:val="-13"/>
        </w:rPr>
        <w:t> </w:t>
      </w:r>
      <w:r>
        <w:rPr/>
        <w:t>sea</w:t>
      </w:r>
      <w:r>
        <w:rPr>
          <w:spacing w:val="-13"/>
        </w:rPr>
        <w:t> </w:t>
      </w:r>
      <w:r>
        <w:rPr/>
        <w:t>o</w:t>
      </w:r>
      <w:r>
        <w:rPr>
          <w:spacing w:val="-13"/>
        </w:rPr>
        <w:t> </w:t>
      </w:r>
      <w:r>
        <w:rPr/>
        <w:t>no</w:t>
      </w:r>
      <w:r>
        <w:rPr>
          <w:spacing w:val="-13"/>
        </w:rPr>
        <w:t> </w:t>
      </w:r>
      <w:r>
        <w:rPr/>
        <w:t>cambio</w:t>
      </w:r>
      <w:r>
        <w:rPr>
          <w:spacing w:val="-13"/>
        </w:rPr>
        <w:t> </w:t>
      </w:r>
      <w:r>
        <w:rPr/>
        <w:t>cuestionable</w:t>
      </w:r>
      <w:r>
        <w:rPr>
          <w:spacing w:val="-16"/>
        </w:rPr>
        <w:t> </w:t>
      </w:r>
      <w:r>
        <w:rPr/>
        <w:t>en</w:t>
      </w:r>
      <w:r>
        <w:rPr>
          <w:spacing w:val="-13"/>
        </w:rPr>
        <w:t> </w:t>
      </w:r>
      <w:r>
        <w:rPr/>
        <w:t>la</w:t>
      </w:r>
      <w:r>
        <w:rPr>
          <w:spacing w:val="-13"/>
        </w:rPr>
        <w:t> </w:t>
      </w:r>
      <w:r>
        <w:rPr/>
        <w:t>translucidez del esmalte después de un prolongado secado con aire (aproximadamente 5 segundos)).Las superficies con defectos en el desarrollo tales como hipoplasias, fluorosis, desgaste dental (atrición, abrasión y erosión), y las manchas intrínsecas y extrínsecas se registran como</w:t>
      </w:r>
      <w:r>
        <w:rPr>
          <w:spacing w:val="-10"/>
        </w:rPr>
        <w:t> </w:t>
      </w:r>
      <w:r>
        <w:rPr/>
        <w:t>sano.</w:t>
      </w:r>
    </w:p>
    <w:p>
      <w:pPr>
        <w:pStyle w:val="BodyText"/>
      </w:pPr>
    </w:p>
    <w:p>
      <w:pPr>
        <w:pStyle w:val="BodyText"/>
        <w:spacing w:before="8"/>
      </w:pPr>
    </w:p>
    <w:p>
      <w:pPr>
        <w:pStyle w:val="Heading1"/>
      </w:pPr>
      <w:r>
        <w:rPr/>
        <w:t>Primer cambio visual en el esmalte: Código 1</w:t>
      </w:r>
    </w:p>
    <w:p>
      <w:pPr>
        <w:pStyle w:val="BodyText"/>
        <w:rPr>
          <w:b/>
        </w:rPr>
      </w:pPr>
    </w:p>
    <w:p>
      <w:pPr>
        <w:pStyle w:val="BodyText"/>
        <w:spacing w:line="480" w:lineRule="auto"/>
        <w:ind w:left="138" w:right="147"/>
        <w:jc w:val="both"/>
      </w:pPr>
      <w:r>
        <w:rPr/>
        <w:t>Cuando se observa húmedo no hay evidencia de algún cambio de color atribuible a actividad de caries, pero después de un secado prolongado con aire es visible una opacidad cariosa que no es consistente con la apariencia clínica del esmalte sano.</w:t>
      </w:r>
    </w:p>
    <w:p>
      <w:pPr>
        <w:pStyle w:val="BodyText"/>
      </w:pPr>
    </w:p>
    <w:p>
      <w:pPr>
        <w:pStyle w:val="BodyText"/>
        <w:spacing w:before="7"/>
      </w:pPr>
    </w:p>
    <w:p>
      <w:pPr>
        <w:pStyle w:val="Heading1"/>
        <w:spacing w:line="480" w:lineRule="auto" w:before="1"/>
        <w:ind w:right="143"/>
      </w:pPr>
      <w:r>
        <w:rPr/>
        <w:t>Cambio visual detectable en esmalte cuando es observado en húmedo: Código 2</w:t>
      </w:r>
    </w:p>
    <w:p>
      <w:pPr>
        <w:pStyle w:val="BodyText"/>
        <w:spacing w:line="480" w:lineRule="auto" w:before="5"/>
        <w:ind w:left="138" w:right="140"/>
        <w:jc w:val="both"/>
      </w:pPr>
      <w:r>
        <w:rPr/>
        <w:t>Hay una opacidad o decoloración cariosa que no es consistente con la apariencia clínica</w:t>
      </w:r>
      <w:r>
        <w:rPr>
          <w:spacing w:val="-6"/>
        </w:rPr>
        <w:t> </w:t>
      </w:r>
      <w:r>
        <w:rPr/>
        <w:t>del</w:t>
      </w:r>
      <w:r>
        <w:rPr>
          <w:spacing w:val="-7"/>
        </w:rPr>
        <w:t> </w:t>
      </w:r>
      <w:r>
        <w:rPr/>
        <w:t>esmalte</w:t>
      </w:r>
      <w:r>
        <w:rPr>
          <w:spacing w:val="-6"/>
        </w:rPr>
        <w:t> </w:t>
      </w:r>
      <w:r>
        <w:rPr/>
        <w:t>sano</w:t>
      </w:r>
      <w:r>
        <w:rPr>
          <w:spacing w:val="-6"/>
        </w:rPr>
        <w:t> </w:t>
      </w:r>
      <w:r>
        <w:rPr/>
        <w:t>(Nota:</w:t>
      </w:r>
      <w:r>
        <w:rPr>
          <w:spacing w:val="-6"/>
        </w:rPr>
        <w:t> </w:t>
      </w:r>
      <w:r>
        <w:rPr/>
        <w:t>la</w:t>
      </w:r>
      <w:r>
        <w:rPr>
          <w:spacing w:val="-6"/>
        </w:rPr>
        <w:t> </w:t>
      </w:r>
      <w:r>
        <w:rPr/>
        <w:t>lesión</w:t>
      </w:r>
      <w:r>
        <w:rPr>
          <w:spacing w:val="-8"/>
        </w:rPr>
        <w:t> </w:t>
      </w:r>
      <w:r>
        <w:rPr/>
        <w:t>es</w:t>
      </w:r>
      <w:r>
        <w:rPr>
          <w:spacing w:val="-9"/>
        </w:rPr>
        <w:t> </w:t>
      </w:r>
      <w:r>
        <w:rPr/>
        <w:t>aún</w:t>
      </w:r>
      <w:r>
        <w:rPr>
          <w:spacing w:val="-6"/>
        </w:rPr>
        <w:t> </w:t>
      </w:r>
      <w:r>
        <w:rPr/>
        <w:t>visible</w:t>
      </w:r>
      <w:r>
        <w:rPr>
          <w:spacing w:val="-6"/>
        </w:rPr>
        <w:t> </w:t>
      </w:r>
      <w:r>
        <w:rPr/>
        <w:t>cuando</w:t>
      </w:r>
      <w:r>
        <w:rPr>
          <w:spacing w:val="-6"/>
        </w:rPr>
        <w:t> </w:t>
      </w:r>
      <w:r>
        <w:rPr/>
        <w:t>se</w:t>
      </w:r>
      <w:r>
        <w:rPr>
          <w:spacing w:val="-6"/>
        </w:rPr>
        <w:t> </w:t>
      </w:r>
      <w:r>
        <w:rPr/>
        <w:t>seca).</w:t>
      </w:r>
      <w:r>
        <w:rPr>
          <w:spacing w:val="-7"/>
        </w:rPr>
        <w:t> </w:t>
      </w:r>
      <w:r>
        <w:rPr/>
        <w:t>La</w:t>
      </w:r>
      <w:r>
        <w:rPr>
          <w:spacing w:val="-6"/>
        </w:rPr>
        <w:t> </w:t>
      </w:r>
      <w:r>
        <w:rPr/>
        <w:t>lesión</w:t>
      </w:r>
      <w:r>
        <w:rPr>
          <w:spacing w:val="-8"/>
        </w:rPr>
        <w:t> </w:t>
      </w:r>
      <w:r>
        <w:rPr/>
        <w:t>está localizada en las proximidades  (en contacto o dentro de 1mm)  del margen</w:t>
      </w:r>
      <w:r>
        <w:rPr>
          <w:spacing w:val="-34"/>
        </w:rPr>
        <w:t> </w:t>
      </w:r>
      <w:r>
        <w:rPr/>
        <w:t>gingival.</w:t>
      </w:r>
    </w:p>
    <w:p>
      <w:pPr>
        <w:pStyle w:val="BodyText"/>
      </w:pPr>
    </w:p>
    <w:p>
      <w:pPr>
        <w:pStyle w:val="BodyText"/>
        <w:spacing w:before="7"/>
      </w:pPr>
    </w:p>
    <w:p>
      <w:pPr>
        <w:pStyle w:val="Heading1"/>
        <w:spacing w:before="1"/>
      </w:pPr>
      <w:r>
        <w:rPr/>
        <w:t>Ruptura de esmalte localizada debido a caries sin dentina visible: Código 3</w:t>
      </w:r>
    </w:p>
    <w:p>
      <w:pPr>
        <w:pStyle w:val="BodyText"/>
        <w:rPr>
          <w:b/>
        </w:rPr>
      </w:pPr>
    </w:p>
    <w:p>
      <w:pPr>
        <w:pStyle w:val="BodyText"/>
        <w:spacing w:line="480" w:lineRule="auto"/>
        <w:ind w:left="138" w:right="147"/>
        <w:jc w:val="both"/>
      </w:pPr>
      <w:r>
        <w:rPr/>
        <w:t>Una vez secado por 5 segundos existe una pérdida de la integridad de la superficie cariosa sin dentina visible.</w:t>
      </w:r>
    </w:p>
    <w:p>
      <w:pPr>
        <w:pStyle w:val="BodyText"/>
        <w:spacing w:line="480" w:lineRule="auto" w:before="8"/>
        <w:ind w:left="138" w:right="147"/>
        <w:jc w:val="both"/>
      </w:pPr>
      <w:r>
        <w:rPr/>
        <w:t>En caso duda o para confirmar la evaluación visual la sonda CPI puede ser utilizada sin ejercer presión digital para confirmar la pérdida de la integridad de la superficie.</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spacing w:line="480" w:lineRule="auto" w:before="69"/>
        <w:ind w:right="145"/>
      </w:pPr>
      <w:r>
        <w:rPr/>
        <w:t>Sombra oscura subyacente localizada de dentina con o sin ruptura del esmalte: Código 4</w:t>
      </w:r>
    </w:p>
    <w:p>
      <w:pPr>
        <w:pStyle w:val="BodyText"/>
        <w:spacing w:line="480" w:lineRule="auto" w:before="8"/>
        <w:ind w:left="138" w:right="140"/>
        <w:jc w:val="both"/>
      </w:pPr>
      <w:r>
        <w:rPr/>
        <w:t>Esta lesión aparece como una sombra de dentina visible decolorada a través de la superficie del esmalte más allá de una lesión de mancha blanca o café la cual puede o no mostrar signos de ruptura localizada. Esta apariencia se ve a menudo más fácilmente</w:t>
      </w:r>
      <w:r>
        <w:rPr>
          <w:spacing w:val="-3"/>
        </w:rPr>
        <w:t> </w:t>
      </w:r>
      <w:r>
        <w:rPr/>
        <w:t>cuando</w:t>
      </w:r>
      <w:r>
        <w:rPr>
          <w:spacing w:val="-4"/>
        </w:rPr>
        <w:t> </w:t>
      </w:r>
      <w:r>
        <w:rPr/>
        <w:t>el</w:t>
      </w:r>
      <w:r>
        <w:rPr>
          <w:spacing w:val="-5"/>
        </w:rPr>
        <w:t> </w:t>
      </w:r>
      <w:r>
        <w:rPr/>
        <w:t>diente</w:t>
      </w:r>
      <w:r>
        <w:rPr>
          <w:spacing w:val="-6"/>
        </w:rPr>
        <w:t> </w:t>
      </w:r>
      <w:r>
        <w:rPr/>
        <w:t>está</w:t>
      </w:r>
      <w:r>
        <w:rPr>
          <w:spacing w:val="-3"/>
        </w:rPr>
        <w:t> </w:t>
      </w:r>
      <w:r>
        <w:rPr/>
        <w:t>húmedo</w:t>
      </w:r>
      <w:r>
        <w:rPr>
          <w:spacing w:val="-4"/>
        </w:rPr>
        <w:t> </w:t>
      </w:r>
      <w:r>
        <w:rPr/>
        <w:t>y</w:t>
      </w:r>
      <w:r>
        <w:rPr>
          <w:spacing w:val="-7"/>
        </w:rPr>
        <w:t> </w:t>
      </w:r>
      <w:r>
        <w:rPr/>
        <w:t>tiene</w:t>
      </w:r>
      <w:r>
        <w:rPr>
          <w:spacing w:val="-4"/>
        </w:rPr>
        <w:t> </w:t>
      </w:r>
      <w:r>
        <w:rPr/>
        <w:t>una</w:t>
      </w:r>
      <w:r>
        <w:rPr>
          <w:spacing w:val="-4"/>
        </w:rPr>
        <w:t> </w:t>
      </w:r>
      <w:r>
        <w:rPr/>
        <w:t>sombra</w:t>
      </w:r>
      <w:r>
        <w:rPr>
          <w:spacing w:val="-4"/>
        </w:rPr>
        <w:t> </w:t>
      </w:r>
      <w:r>
        <w:rPr/>
        <w:t>oscura</w:t>
      </w:r>
      <w:r>
        <w:rPr>
          <w:spacing w:val="-4"/>
        </w:rPr>
        <w:t> </w:t>
      </w:r>
      <w:r>
        <w:rPr/>
        <w:t>intrínseca</w:t>
      </w:r>
      <w:r>
        <w:rPr>
          <w:spacing w:val="-4"/>
        </w:rPr>
        <w:t> </w:t>
      </w:r>
      <w:r>
        <w:rPr/>
        <w:t>la</w:t>
      </w:r>
      <w:r>
        <w:rPr>
          <w:spacing w:val="-4"/>
        </w:rPr>
        <w:t> </w:t>
      </w:r>
      <w:r>
        <w:rPr/>
        <w:t>cual puede ser de color gris, azul o</w:t>
      </w:r>
      <w:r>
        <w:rPr>
          <w:spacing w:val="-14"/>
        </w:rPr>
        <w:t> </w:t>
      </w:r>
      <w:r>
        <w:rPr/>
        <w:t>café.</w:t>
      </w:r>
    </w:p>
    <w:p>
      <w:pPr>
        <w:pStyle w:val="BodyText"/>
      </w:pPr>
    </w:p>
    <w:p>
      <w:pPr>
        <w:pStyle w:val="BodyText"/>
        <w:spacing w:before="7"/>
      </w:pPr>
    </w:p>
    <w:p>
      <w:pPr>
        <w:pStyle w:val="Heading1"/>
        <w:spacing w:before="1"/>
      </w:pPr>
      <w:r>
        <w:rPr/>
        <w:t>Cavidad detectable con dentina visible: Código 5</w:t>
      </w:r>
    </w:p>
    <w:p>
      <w:pPr>
        <w:pStyle w:val="BodyText"/>
        <w:rPr>
          <w:b/>
        </w:rPr>
      </w:pPr>
    </w:p>
    <w:p>
      <w:pPr>
        <w:pStyle w:val="BodyText"/>
        <w:spacing w:line="480" w:lineRule="auto"/>
        <w:ind w:left="138" w:right="145"/>
        <w:jc w:val="both"/>
      </w:pPr>
      <w:r>
        <w:rPr/>
        <w:t>Cavitación</w:t>
      </w:r>
      <w:r>
        <w:rPr>
          <w:spacing w:val="-14"/>
        </w:rPr>
        <w:t> </w:t>
      </w:r>
      <w:r>
        <w:rPr/>
        <w:t>detectable</w:t>
      </w:r>
      <w:r>
        <w:rPr>
          <w:spacing w:val="-19"/>
        </w:rPr>
        <w:t> </w:t>
      </w:r>
      <w:r>
        <w:rPr/>
        <w:t>en</w:t>
      </w:r>
      <w:r>
        <w:rPr>
          <w:spacing w:val="-17"/>
        </w:rPr>
        <w:t> </w:t>
      </w:r>
      <w:r>
        <w:rPr/>
        <w:t>el</w:t>
      </w:r>
      <w:r>
        <w:rPr>
          <w:spacing w:val="-15"/>
        </w:rPr>
        <w:t> </w:t>
      </w:r>
      <w:r>
        <w:rPr/>
        <w:t>esmalte</w:t>
      </w:r>
      <w:r>
        <w:rPr>
          <w:spacing w:val="-17"/>
        </w:rPr>
        <w:t> </w:t>
      </w:r>
      <w:r>
        <w:rPr/>
        <w:t>opaco</w:t>
      </w:r>
      <w:r>
        <w:rPr>
          <w:spacing w:val="-17"/>
        </w:rPr>
        <w:t> </w:t>
      </w:r>
      <w:r>
        <w:rPr/>
        <w:t>o</w:t>
      </w:r>
      <w:r>
        <w:rPr>
          <w:spacing w:val="-17"/>
        </w:rPr>
        <w:t> </w:t>
      </w:r>
      <w:r>
        <w:rPr/>
        <w:t>decolorado</w:t>
      </w:r>
      <w:r>
        <w:rPr>
          <w:spacing w:val="-16"/>
        </w:rPr>
        <w:t> </w:t>
      </w:r>
      <w:r>
        <w:rPr/>
        <w:t>con</w:t>
      </w:r>
      <w:r>
        <w:rPr>
          <w:spacing w:val="-16"/>
        </w:rPr>
        <w:t> </w:t>
      </w:r>
      <w:r>
        <w:rPr/>
        <w:t>exposición</w:t>
      </w:r>
      <w:r>
        <w:rPr>
          <w:spacing w:val="-14"/>
        </w:rPr>
        <w:t> </w:t>
      </w:r>
      <w:r>
        <w:rPr/>
        <w:t>de</w:t>
      </w:r>
      <w:r>
        <w:rPr>
          <w:spacing w:val="-17"/>
        </w:rPr>
        <w:t> </w:t>
      </w:r>
      <w:r>
        <w:rPr/>
        <w:t>dentina</w:t>
      </w:r>
      <w:r>
        <w:rPr>
          <w:spacing w:val="-16"/>
        </w:rPr>
        <w:t> </w:t>
      </w:r>
      <w:r>
        <w:rPr/>
        <w:t>que se encuentra por</w:t>
      </w:r>
      <w:r>
        <w:rPr>
          <w:spacing w:val="-11"/>
        </w:rPr>
        <w:t> </w:t>
      </w:r>
      <w:r>
        <w:rPr/>
        <w:t>debajo.</w:t>
      </w:r>
    </w:p>
    <w:p>
      <w:pPr>
        <w:pStyle w:val="BodyText"/>
        <w:spacing w:line="480" w:lineRule="auto" w:before="8"/>
        <w:ind w:left="138" w:right="141"/>
        <w:jc w:val="both"/>
      </w:pPr>
      <w:r>
        <w:rPr/>
        <w:t>En caso de duda para confirmar la evaluación visual, la sonda CPI puede ser usada sin ejercer presión digital para confirmar la presencia de una cavidad aparente en dentina. Esto se logra por el deslizamiento del explorador de punta redondeada a lo largo</w:t>
      </w:r>
      <w:r>
        <w:rPr>
          <w:spacing w:val="-16"/>
        </w:rPr>
        <w:t> </w:t>
      </w:r>
      <w:r>
        <w:rPr/>
        <w:t>de</w:t>
      </w:r>
      <w:r>
        <w:rPr>
          <w:spacing w:val="-16"/>
        </w:rPr>
        <w:t> </w:t>
      </w:r>
      <w:r>
        <w:rPr/>
        <w:t>la</w:t>
      </w:r>
      <w:r>
        <w:rPr>
          <w:spacing w:val="-16"/>
        </w:rPr>
        <w:t> </w:t>
      </w:r>
      <w:r>
        <w:rPr/>
        <w:t>superficie</w:t>
      </w:r>
      <w:r>
        <w:rPr>
          <w:spacing w:val="-18"/>
        </w:rPr>
        <w:t> </w:t>
      </w:r>
      <w:r>
        <w:rPr/>
        <w:t>y</w:t>
      </w:r>
      <w:r>
        <w:rPr>
          <w:spacing w:val="-19"/>
        </w:rPr>
        <w:t> </w:t>
      </w:r>
      <w:r>
        <w:rPr/>
        <w:t>si</w:t>
      </w:r>
      <w:r>
        <w:rPr>
          <w:spacing w:val="-17"/>
        </w:rPr>
        <w:t> </w:t>
      </w:r>
      <w:r>
        <w:rPr/>
        <w:t>la</w:t>
      </w:r>
      <w:r>
        <w:rPr>
          <w:spacing w:val="-16"/>
        </w:rPr>
        <w:t> </w:t>
      </w:r>
      <w:r>
        <w:rPr/>
        <w:t>punta</w:t>
      </w:r>
      <w:r>
        <w:rPr>
          <w:spacing w:val="-18"/>
        </w:rPr>
        <w:t> </w:t>
      </w:r>
      <w:r>
        <w:rPr/>
        <w:t>entra</w:t>
      </w:r>
      <w:r>
        <w:rPr>
          <w:spacing w:val="-18"/>
        </w:rPr>
        <w:t> </w:t>
      </w:r>
      <w:r>
        <w:rPr/>
        <w:t>en</w:t>
      </w:r>
      <w:r>
        <w:rPr>
          <w:spacing w:val="-16"/>
        </w:rPr>
        <w:t> </w:t>
      </w:r>
      <w:r>
        <w:rPr/>
        <w:t>la</w:t>
      </w:r>
      <w:r>
        <w:rPr>
          <w:spacing w:val="-18"/>
        </w:rPr>
        <w:t> </w:t>
      </w:r>
      <w:r>
        <w:rPr/>
        <w:t>abertura</w:t>
      </w:r>
      <w:r>
        <w:rPr>
          <w:spacing w:val="-19"/>
        </w:rPr>
        <w:t> </w:t>
      </w:r>
      <w:r>
        <w:rPr/>
        <w:t>de</w:t>
      </w:r>
      <w:r>
        <w:rPr>
          <w:spacing w:val="-18"/>
        </w:rPr>
        <w:t> </w:t>
      </w:r>
      <w:r>
        <w:rPr/>
        <w:t>la</w:t>
      </w:r>
      <w:r>
        <w:rPr>
          <w:spacing w:val="-18"/>
        </w:rPr>
        <w:t> </w:t>
      </w:r>
      <w:r>
        <w:rPr/>
        <w:t>cavidad</w:t>
      </w:r>
      <w:r>
        <w:rPr>
          <w:spacing w:val="-18"/>
        </w:rPr>
        <w:t> </w:t>
      </w:r>
      <w:r>
        <w:rPr/>
        <w:t>esta</w:t>
      </w:r>
      <w:r>
        <w:rPr>
          <w:spacing w:val="-15"/>
        </w:rPr>
        <w:t> </w:t>
      </w:r>
      <w:r>
        <w:rPr/>
        <w:t>será</w:t>
      </w:r>
      <w:r>
        <w:rPr>
          <w:spacing w:val="-19"/>
        </w:rPr>
        <w:t> </w:t>
      </w:r>
      <w:r>
        <w:rPr/>
        <w:t>detectada y en opinión del examinador la base está en</w:t>
      </w:r>
      <w:r>
        <w:rPr>
          <w:spacing w:val="-18"/>
        </w:rPr>
        <w:t> </w:t>
      </w:r>
      <w:r>
        <w:rPr/>
        <w:t>dentina.</w:t>
      </w:r>
    </w:p>
    <w:p>
      <w:pPr>
        <w:pStyle w:val="BodyText"/>
      </w:pPr>
    </w:p>
    <w:p>
      <w:pPr>
        <w:pStyle w:val="BodyText"/>
        <w:spacing w:before="7"/>
      </w:pPr>
    </w:p>
    <w:p>
      <w:pPr>
        <w:pStyle w:val="Heading1"/>
        <w:spacing w:before="1"/>
      </w:pPr>
      <w:r>
        <w:rPr/>
        <w:t>Cavidad detectable extensa con dentina visible: Código 6</w:t>
      </w:r>
    </w:p>
    <w:p>
      <w:pPr>
        <w:pStyle w:val="BodyText"/>
        <w:rPr>
          <w:b/>
        </w:rPr>
      </w:pPr>
    </w:p>
    <w:p>
      <w:pPr>
        <w:pStyle w:val="BodyText"/>
        <w:spacing w:line="480" w:lineRule="auto"/>
        <w:ind w:left="138" w:right="139"/>
        <w:jc w:val="both"/>
      </w:pPr>
      <w:r>
        <w:rPr/>
        <w:t>Existe</w:t>
      </w:r>
      <w:r>
        <w:rPr>
          <w:spacing w:val="-8"/>
        </w:rPr>
        <w:t> </w:t>
      </w:r>
      <w:r>
        <w:rPr/>
        <w:t>una</w:t>
      </w:r>
      <w:r>
        <w:rPr>
          <w:spacing w:val="-8"/>
        </w:rPr>
        <w:t> </w:t>
      </w:r>
      <w:r>
        <w:rPr/>
        <w:t>pérdida</w:t>
      </w:r>
      <w:r>
        <w:rPr>
          <w:spacing w:val="-8"/>
        </w:rPr>
        <w:t> </w:t>
      </w:r>
      <w:r>
        <w:rPr/>
        <w:t>obvia</w:t>
      </w:r>
      <w:r>
        <w:rPr>
          <w:spacing w:val="-9"/>
        </w:rPr>
        <w:t> </w:t>
      </w:r>
      <w:r>
        <w:rPr/>
        <w:t>de</w:t>
      </w:r>
      <w:r>
        <w:rPr>
          <w:spacing w:val="-8"/>
        </w:rPr>
        <w:t> </w:t>
      </w:r>
      <w:r>
        <w:rPr/>
        <w:t>la</w:t>
      </w:r>
      <w:r>
        <w:rPr>
          <w:spacing w:val="-9"/>
        </w:rPr>
        <w:t> </w:t>
      </w:r>
      <w:r>
        <w:rPr/>
        <w:t>estructura</w:t>
      </w:r>
      <w:r>
        <w:rPr>
          <w:spacing w:val="-11"/>
        </w:rPr>
        <w:t> </w:t>
      </w:r>
      <w:r>
        <w:rPr/>
        <w:t>del</w:t>
      </w:r>
      <w:r>
        <w:rPr>
          <w:spacing w:val="-12"/>
        </w:rPr>
        <w:t> </w:t>
      </w:r>
      <w:r>
        <w:rPr/>
        <w:t>diente,</w:t>
      </w:r>
      <w:r>
        <w:rPr>
          <w:spacing w:val="50"/>
        </w:rPr>
        <w:t> </w:t>
      </w:r>
      <w:r>
        <w:rPr/>
        <w:t>la</w:t>
      </w:r>
      <w:r>
        <w:rPr>
          <w:spacing w:val="-3"/>
        </w:rPr>
        <w:t> </w:t>
      </w:r>
      <w:r>
        <w:rPr/>
        <w:t>cavidad</w:t>
      </w:r>
      <w:r>
        <w:rPr>
          <w:spacing w:val="-8"/>
        </w:rPr>
        <w:t> </w:t>
      </w:r>
      <w:r>
        <w:rPr/>
        <w:t>es</w:t>
      </w:r>
      <w:r>
        <w:rPr>
          <w:spacing w:val="-9"/>
        </w:rPr>
        <w:t> </w:t>
      </w:r>
      <w:r>
        <w:rPr/>
        <w:t>tanto</w:t>
      </w:r>
      <w:r>
        <w:rPr>
          <w:spacing w:val="-10"/>
        </w:rPr>
        <w:t> </w:t>
      </w:r>
      <w:r>
        <w:rPr/>
        <w:t>extensa</w:t>
      </w:r>
      <w:r>
        <w:rPr>
          <w:spacing w:val="-8"/>
        </w:rPr>
        <w:t> </w:t>
      </w:r>
      <w:r>
        <w:rPr/>
        <w:t>como profunda y la dentina es claramente visible en las paredes y en la base. Una cavidad extensa</w:t>
      </w:r>
      <w:r>
        <w:rPr>
          <w:spacing w:val="-13"/>
        </w:rPr>
        <w:t> </w:t>
      </w:r>
      <w:r>
        <w:rPr/>
        <w:t>involucra</w:t>
      </w:r>
      <w:r>
        <w:rPr>
          <w:spacing w:val="-13"/>
        </w:rPr>
        <w:t> </w:t>
      </w:r>
      <w:r>
        <w:rPr/>
        <w:t>al</w:t>
      </w:r>
      <w:r>
        <w:rPr>
          <w:spacing w:val="-17"/>
        </w:rPr>
        <w:t> </w:t>
      </w:r>
      <w:r>
        <w:rPr/>
        <w:t>menos</w:t>
      </w:r>
      <w:r>
        <w:rPr>
          <w:spacing w:val="-14"/>
        </w:rPr>
        <w:t> </w:t>
      </w:r>
      <w:r>
        <w:rPr/>
        <w:t>la</w:t>
      </w:r>
      <w:r>
        <w:rPr>
          <w:spacing w:val="-16"/>
        </w:rPr>
        <w:t> </w:t>
      </w:r>
      <w:r>
        <w:rPr/>
        <w:t>mitad</w:t>
      </w:r>
      <w:r>
        <w:rPr>
          <w:spacing w:val="-13"/>
        </w:rPr>
        <w:t> </w:t>
      </w:r>
      <w:r>
        <w:rPr/>
        <w:t>de</w:t>
      </w:r>
      <w:r>
        <w:rPr>
          <w:spacing w:val="-13"/>
        </w:rPr>
        <w:t> </w:t>
      </w:r>
      <w:r>
        <w:rPr/>
        <w:t>la</w:t>
      </w:r>
      <w:r>
        <w:rPr>
          <w:spacing w:val="-13"/>
        </w:rPr>
        <w:t> </w:t>
      </w:r>
      <w:r>
        <w:rPr/>
        <w:t>superficie</w:t>
      </w:r>
      <w:r>
        <w:rPr>
          <w:spacing w:val="-16"/>
        </w:rPr>
        <w:t> </w:t>
      </w:r>
      <w:r>
        <w:rPr/>
        <w:t>del</w:t>
      </w:r>
      <w:r>
        <w:rPr>
          <w:spacing w:val="-14"/>
        </w:rPr>
        <w:t> </w:t>
      </w:r>
      <w:r>
        <w:rPr/>
        <w:t>diente</w:t>
      </w:r>
      <w:r>
        <w:rPr>
          <w:spacing w:val="-15"/>
        </w:rPr>
        <w:t> </w:t>
      </w:r>
      <w:r>
        <w:rPr/>
        <w:t>o</w:t>
      </w:r>
      <w:r>
        <w:rPr>
          <w:spacing w:val="-13"/>
        </w:rPr>
        <w:t> </w:t>
      </w:r>
      <w:r>
        <w:rPr/>
        <w:t>posiblemente</w:t>
      </w:r>
      <w:r>
        <w:rPr>
          <w:spacing w:val="-13"/>
        </w:rPr>
        <w:t> </w:t>
      </w:r>
      <w:r>
        <w:rPr/>
        <w:t>alcanzar la</w:t>
      </w:r>
      <w:r>
        <w:rPr>
          <w:spacing w:val="-3"/>
        </w:rPr>
        <w:t> </w:t>
      </w:r>
      <w:r>
        <w:rPr/>
        <w:t>pulpa.</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tabs>
          <w:tab w:pos="6550" w:val="left" w:leader="none"/>
        </w:tabs>
        <w:spacing w:before="69"/>
        <w:ind w:right="55"/>
        <w:jc w:val="left"/>
      </w:pPr>
      <w:r>
        <w:rPr>
          <w:u w:val="thick"/>
        </w:rPr>
        <w:t>Criterios   para   Caries-Asociada   con</w:t>
      </w:r>
      <w:r>
        <w:rPr>
          <w:spacing w:val="48"/>
          <w:u w:val="thick"/>
        </w:rPr>
        <w:t> </w:t>
      </w:r>
      <w:r>
        <w:rPr>
          <w:u w:val="thick"/>
        </w:rPr>
        <w:t>la </w:t>
      </w:r>
      <w:r>
        <w:rPr>
          <w:spacing w:val="43"/>
          <w:u w:val="thick"/>
        </w:rPr>
        <w:t> </w:t>
      </w:r>
      <w:r>
        <w:rPr>
          <w:u w:val="thick"/>
        </w:rPr>
        <w:t>Detección</w:t>
        <w:tab/>
        <w:t>de   Restauraciones </w:t>
      </w:r>
      <w:r>
        <w:rPr>
          <w:spacing w:val="24"/>
          <w:u w:val="thick"/>
        </w:rPr>
        <w:t> </w:t>
      </w:r>
      <w:r>
        <w:rPr>
          <w:u w:val="thick"/>
        </w:rPr>
        <w:t>de</w:t>
      </w:r>
    </w:p>
    <w:p>
      <w:pPr>
        <w:pStyle w:val="BodyText"/>
        <w:spacing w:before="11"/>
        <w:rPr>
          <w:b/>
          <w:sz w:val="17"/>
        </w:rPr>
      </w:pPr>
    </w:p>
    <w:p>
      <w:pPr>
        <w:spacing w:before="69"/>
        <w:ind w:left="138" w:right="630" w:firstLine="0"/>
        <w:jc w:val="left"/>
        <w:rPr>
          <w:b/>
          <w:sz w:val="24"/>
        </w:rPr>
      </w:pPr>
      <w:r>
        <w:rPr>
          <w:b/>
          <w:sz w:val="24"/>
          <w:u w:val="thick"/>
        </w:rPr>
        <w:t>Selladores</w:t>
      </w:r>
      <w:r>
        <w:rPr>
          <w:b/>
          <w:spacing w:val="56"/>
          <w:sz w:val="24"/>
          <w:u w:val="thick"/>
        </w:rPr>
        <w:t> </w:t>
      </w:r>
      <w:r>
        <w:rPr>
          <w:b/>
          <w:sz w:val="24"/>
          <w:u w:val="thick"/>
        </w:rPr>
        <w:t>(CARS)</w:t>
      </w:r>
    </w:p>
    <w:p>
      <w:pPr>
        <w:pStyle w:val="BodyText"/>
        <w:spacing w:before="11"/>
        <w:rPr>
          <w:b/>
          <w:sz w:val="17"/>
        </w:rPr>
      </w:pPr>
    </w:p>
    <w:p>
      <w:pPr>
        <w:spacing w:before="69"/>
        <w:ind w:left="138" w:right="0" w:firstLine="0"/>
        <w:jc w:val="both"/>
        <w:rPr>
          <w:b/>
          <w:sz w:val="24"/>
        </w:rPr>
      </w:pPr>
      <w:r>
        <w:rPr>
          <w:b/>
          <w:sz w:val="24"/>
        </w:rPr>
        <w:t>Códigos de Caries Asociada con Restauraciones y Selladores</w:t>
      </w:r>
    </w:p>
    <w:p>
      <w:pPr>
        <w:pStyle w:val="BodyText"/>
        <w:rPr>
          <w:b/>
        </w:rPr>
      </w:pPr>
    </w:p>
    <w:p>
      <w:pPr>
        <w:pStyle w:val="BodyText"/>
        <w:rPr>
          <w:b/>
        </w:rPr>
      </w:pPr>
    </w:p>
    <w:p>
      <w:pPr>
        <w:pStyle w:val="BodyText"/>
        <w:rPr>
          <w:b/>
        </w:rPr>
      </w:pPr>
    </w:p>
    <w:p>
      <w:pPr>
        <w:spacing w:before="0"/>
        <w:ind w:left="138" w:right="0" w:firstLine="0"/>
        <w:jc w:val="both"/>
        <w:rPr>
          <w:b/>
          <w:sz w:val="24"/>
        </w:rPr>
      </w:pPr>
      <w:r>
        <w:rPr>
          <w:b/>
          <w:sz w:val="24"/>
        </w:rPr>
        <w:t>Superficie dental sana  con selladores o restauraciones: Código 0</w:t>
      </w:r>
    </w:p>
    <w:p>
      <w:pPr>
        <w:pStyle w:val="BodyText"/>
        <w:rPr>
          <w:b/>
        </w:rPr>
      </w:pPr>
    </w:p>
    <w:p>
      <w:pPr>
        <w:pStyle w:val="BodyText"/>
        <w:spacing w:line="480" w:lineRule="auto"/>
        <w:ind w:left="138" w:right="136"/>
        <w:jc w:val="both"/>
      </w:pPr>
      <w:r>
        <w:rPr/>
        <w:t>La superficie dental sana adyacente al margen de una restauración/sellante. No debe haber evidencia de caries (ya sea sin o cambio cuestionable en la translucidez del esmalte</w:t>
      </w:r>
      <w:r>
        <w:rPr>
          <w:spacing w:val="-13"/>
        </w:rPr>
        <w:t> </w:t>
      </w:r>
      <w:r>
        <w:rPr/>
        <w:t>después</w:t>
      </w:r>
      <w:r>
        <w:rPr>
          <w:spacing w:val="-14"/>
        </w:rPr>
        <w:t> </w:t>
      </w:r>
      <w:r>
        <w:rPr/>
        <w:t>de</w:t>
      </w:r>
      <w:r>
        <w:rPr>
          <w:spacing w:val="-13"/>
        </w:rPr>
        <w:t> </w:t>
      </w:r>
      <w:r>
        <w:rPr/>
        <w:t>secado</w:t>
      </w:r>
      <w:r>
        <w:rPr>
          <w:spacing w:val="-13"/>
        </w:rPr>
        <w:t> </w:t>
      </w:r>
      <w:r>
        <w:rPr/>
        <w:t>prolongado</w:t>
      </w:r>
      <w:r>
        <w:rPr>
          <w:spacing w:val="-13"/>
        </w:rPr>
        <w:t> </w:t>
      </w:r>
      <w:r>
        <w:rPr/>
        <w:t>con</w:t>
      </w:r>
      <w:r>
        <w:rPr>
          <w:spacing w:val="-15"/>
        </w:rPr>
        <w:t> </w:t>
      </w:r>
      <w:r>
        <w:rPr/>
        <w:t>aire</w:t>
      </w:r>
      <w:r>
        <w:rPr>
          <w:spacing w:val="-13"/>
        </w:rPr>
        <w:t> </w:t>
      </w:r>
      <w:r>
        <w:rPr/>
        <w:t>durante</w:t>
      </w:r>
      <w:r>
        <w:rPr>
          <w:spacing w:val="-13"/>
        </w:rPr>
        <w:t> </w:t>
      </w:r>
      <w:r>
        <w:rPr/>
        <w:t>5</w:t>
      </w:r>
      <w:r>
        <w:rPr>
          <w:spacing w:val="-13"/>
        </w:rPr>
        <w:t> </w:t>
      </w:r>
      <w:r>
        <w:rPr/>
        <w:t>segundos).</w:t>
      </w:r>
      <w:r>
        <w:rPr>
          <w:spacing w:val="-14"/>
        </w:rPr>
        <w:t> </w:t>
      </w:r>
      <w:r>
        <w:rPr/>
        <w:t>Superficies</w:t>
      </w:r>
      <w:r>
        <w:rPr>
          <w:spacing w:val="-14"/>
        </w:rPr>
        <w:t> </w:t>
      </w:r>
      <w:r>
        <w:rPr/>
        <w:t>con defectos en los márgenes menores de 0.5 mm de ancho (es decir, bola o esfera de  la</w:t>
      </w:r>
      <w:r>
        <w:rPr>
          <w:spacing w:val="-4"/>
        </w:rPr>
        <w:t> </w:t>
      </w:r>
      <w:r>
        <w:rPr/>
        <w:t>sonda</w:t>
      </w:r>
      <w:r>
        <w:rPr>
          <w:spacing w:val="-4"/>
        </w:rPr>
        <w:t> </w:t>
      </w:r>
      <w:r>
        <w:rPr/>
        <w:t>CPI</w:t>
      </w:r>
      <w:r>
        <w:rPr>
          <w:spacing w:val="-6"/>
        </w:rPr>
        <w:t> </w:t>
      </w:r>
      <w:r>
        <w:rPr/>
        <w:t>no</w:t>
      </w:r>
      <w:r>
        <w:rPr>
          <w:spacing w:val="-4"/>
        </w:rPr>
        <w:t> </w:t>
      </w:r>
      <w:r>
        <w:rPr/>
        <w:t>entra</w:t>
      </w:r>
      <w:r>
        <w:rPr>
          <w:spacing w:val="-6"/>
        </w:rPr>
        <w:t> </w:t>
      </w:r>
      <w:r>
        <w:rPr/>
        <w:t>o</w:t>
      </w:r>
      <w:r>
        <w:rPr>
          <w:spacing w:val="-4"/>
        </w:rPr>
        <w:t> </w:t>
      </w:r>
      <w:r>
        <w:rPr/>
        <w:t>no</w:t>
      </w:r>
      <w:r>
        <w:rPr>
          <w:spacing w:val="-4"/>
        </w:rPr>
        <w:t> </w:t>
      </w:r>
      <w:r>
        <w:rPr/>
        <w:t>penetra),</w:t>
      </w:r>
      <w:r>
        <w:rPr>
          <w:spacing w:val="-5"/>
        </w:rPr>
        <w:t> </w:t>
      </w:r>
      <w:r>
        <w:rPr/>
        <w:t>defectos</w:t>
      </w:r>
      <w:r>
        <w:rPr>
          <w:spacing w:val="-4"/>
        </w:rPr>
        <w:t> </w:t>
      </w:r>
      <w:r>
        <w:rPr/>
        <w:t>de</w:t>
      </w:r>
      <w:r>
        <w:rPr>
          <w:spacing w:val="-4"/>
        </w:rPr>
        <w:t> </w:t>
      </w:r>
      <w:r>
        <w:rPr/>
        <w:t>desarrollo,</w:t>
      </w:r>
      <w:r>
        <w:rPr>
          <w:spacing w:val="-4"/>
        </w:rPr>
        <w:t> </w:t>
      </w:r>
      <w:r>
        <w:rPr/>
        <w:t>tales</w:t>
      </w:r>
      <w:r>
        <w:rPr>
          <w:spacing w:val="-4"/>
        </w:rPr>
        <w:t> </w:t>
      </w:r>
      <w:r>
        <w:rPr/>
        <w:t>como</w:t>
      </w:r>
      <w:r>
        <w:rPr>
          <w:spacing w:val="-6"/>
        </w:rPr>
        <w:t> </w:t>
      </w:r>
      <w:r>
        <w:rPr/>
        <w:t>hipoplasia</w:t>
      </w:r>
      <w:r>
        <w:rPr>
          <w:spacing w:val="-4"/>
        </w:rPr>
        <w:t> </w:t>
      </w:r>
      <w:r>
        <w:rPr/>
        <w:t>del esmalte: fluorosis dental, desgaste (atrición, abrasión y erosión), y las manchas extrínsecas o intrínsecas se registrarán como sanos. Márgenes manchados como consecuencia</w:t>
      </w:r>
      <w:r>
        <w:rPr>
          <w:spacing w:val="-12"/>
        </w:rPr>
        <w:t> </w:t>
      </w:r>
      <w:r>
        <w:rPr/>
        <w:t>de</w:t>
      </w:r>
      <w:r>
        <w:rPr>
          <w:spacing w:val="-8"/>
        </w:rPr>
        <w:t> </w:t>
      </w:r>
      <w:r>
        <w:rPr/>
        <w:t>hábitos</w:t>
      </w:r>
      <w:r>
        <w:rPr>
          <w:spacing w:val="-10"/>
        </w:rPr>
        <w:t> </w:t>
      </w:r>
      <w:r>
        <w:rPr/>
        <w:t>no</w:t>
      </w:r>
      <w:r>
        <w:rPr>
          <w:spacing w:val="-9"/>
        </w:rPr>
        <w:t> </w:t>
      </w:r>
      <w:r>
        <w:rPr/>
        <w:t>cariosos</w:t>
      </w:r>
      <w:r>
        <w:rPr>
          <w:spacing w:val="-10"/>
        </w:rPr>
        <w:t> </w:t>
      </w:r>
      <w:r>
        <w:rPr/>
        <w:t>o</w:t>
      </w:r>
      <w:r>
        <w:rPr>
          <w:spacing w:val="-9"/>
        </w:rPr>
        <w:t> </w:t>
      </w:r>
      <w:r>
        <w:rPr/>
        <w:t>relacionados</w:t>
      </w:r>
      <w:r>
        <w:rPr>
          <w:spacing w:val="-10"/>
        </w:rPr>
        <w:t> </w:t>
      </w:r>
      <w:r>
        <w:rPr/>
        <w:t>con</w:t>
      </w:r>
      <w:r>
        <w:rPr>
          <w:spacing w:val="-9"/>
        </w:rPr>
        <w:t> </w:t>
      </w:r>
      <w:r>
        <w:rPr/>
        <w:t>caries</w:t>
      </w:r>
      <w:r>
        <w:rPr>
          <w:spacing w:val="48"/>
        </w:rPr>
        <w:t> </w:t>
      </w:r>
      <w:r>
        <w:rPr/>
        <w:t>(por</w:t>
      </w:r>
      <w:r>
        <w:rPr>
          <w:spacing w:val="-11"/>
        </w:rPr>
        <w:t> </w:t>
      </w:r>
      <w:r>
        <w:rPr/>
        <w:t>ejemplo,</w:t>
      </w:r>
      <w:r>
        <w:rPr>
          <w:spacing w:val="-10"/>
        </w:rPr>
        <w:t> </w:t>
      </w:r>
      <w:r>
        <w:rPr/>
        <w:t>beber</w:t>
      </w:r>
      <w:r>
        <w:rPr>
          <w:spacing w:val="-11"/>
        </w:rPr>
        <w:t> </w:t>
      </w:r>
      <w:r>
        <w:rPr/>
        <w:t>té frecuentemente) y que no presentan signos compatibles con la desmineralización se deben calificar como</w:t>
      </w:r>
      <w:r>
        <w:rPr>
          <w:spacing w:val="-10"/>
        </w:rPr>
        <w:t> </w:t>
      </w:r>
      <w:r>
        <w:rPr/>
        <w:t>sano.</w:t>
      </w:r>
    </w:p>
    <w:p>
      <w:pPr>
        <w:pStyle w:val="BodyText"/>
      </w:pPr>
    </w:p>
    <w:p>
      <w:pPr>
        <w:pStyle w:val="BodyText"/>
      </w:pPr>
    </w:p>
    <w:p>
      <w:pPr>
        <w:pStyle w:val="BodyText"/>
      </w:pPr>
    </w:p>
    <w:p>
      <w:pPr>
        <w:pStyle w:val="BodyText"/>
        <w:spacing w:before="8"/>
      </w:pPr>
    </w:p>
    <w:p>
      <w:pPr>
        <w:pStyle w:val="Heading1"/>
      </w:pPr>
      <w:r>
        <w:rPr/>
        <w:t>Primer cambio visual en el esmalte: código 1</w:t>
      </w:r>
    </w:p>
    <w:p>
      <w:pPr>
        <w:pStyle w:val="BodyText"/>
        <w:rPr>
          <w:b/>
        </w:rPr>
      </w:pPr>
    </w:p>
    <w:p>
      <w:pPr>
        <w:pStyle w:val="BodyText"/>
        <w:spacing w:line="480" w:lineRule="auto"/>
        <w:ind w:left="138" w:right="140"/>
        <w:jc w:val="both"/>
      </w:pPr>
      <w:r>
        <w:rPr/>
        <w:t>Cuando se ve húmeda no hay evidencia de cualquier cambio de color atribuible a la actividad de caries, pero después de secado prolongado con aire (durante aproximadamente 5 segundos) una opacidad o decoloración consistente con la desmineralización es visible y no es consistente con la apariencia clínica del esmalte sano.</w:t>
      </w:r>
    </w:p>
    <w:p>
      <w:pPr>
        <w:spacing w:after="0" w:line="480" w:lineRule="auto"/>
        <w:jc w:val="both"/>
        <w:sectPr>
          <w:pgSz w:w="12240" w:h="15840"/>
          <w:pgMar w:header="686" w:footer="964" w:top="1080" w:bottom="1160" w:left="128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1"/>
        <w:spacing w:line="480" w:lineRule="auto"/>
        <w:ind w:right="145"/>
      </w:pPr>
      <w:r>
        <w:rPr/>
        <w:t>Cambio visual distinto en el esmalte / dentina adyacente a un margen de la restauración / sellador: Código 2</w:t>
      </w:r>
    </w:p>
    <w:p>
      <w:pPr>
        <w:pStyle w:val="ListParagraph"/>
        <w:numPr>
          <w:ilvl w:val="1"/>
          <w:numId w:val="7"/>
        </w:numPr>
        <w:tabs>
          <w:tab w:pos="858" w:val="left" w:leader="none"/>
          <w:tab w:pos="859" w:val="left" w:leader="none"/>
        </w:tabs>
        <w:spacing w:line="240" w:lineRule="auto" w:before="8" w:after="0"/>
        <w:ind w:left="858" w:right="0" w:hanging="360"/>
        <w:jc w:val="left"/>
        <w:rPr>
          <w:rFonts w:ascii="Arial" w:hAnsi="Arial"/>
          <w:sz w:val="24"/>
        </w:rPr>
      </w:pPr>
      <w:r>
        <w:rPr>
          <w:rFonts w:ascii="Arial" w:hAnsi="Arial"/>
          <w:sz w:val="24"/>
        </w:rPr>
        <w:t>El</w:t>
      </w:r>
      <w:r>
        <w:rPr>
          <w:rFonts w:ascii="Arial" w:hAnsi="Arial"/>
          <w:spacing w:val="-15"/>
          <w:sz w:val="24"/>
        </w:rPr>
        <w:t> </w:t>
      </w:r>
      <w:r>
        <w:rPr>
          <w:rFonts w:ascii="Arial" w:hAnsi="Arial"/>
          <w:sz w:val="24"/>
        </w:rPr>
        <w:t>margen</w:t>
      </w:r>
      <w:r>
        <w:rPr>
          <w:rFonts w:ascii="Arial" w:hAnsi="Arial"/>
          <w:spacing w:val="-16"/>
          <w:sz w:val="24"/>
        </w:rPr>
        <w:t> </w:t>
      </w:r>
      <w:r>
        <w:rPr>
          <w:rFonts w:ascii="Arial" w:hAnsi="Arial"/>
          <w:sz w:val="24"/>
        </w:rPr>
        <w:t>de</w:t>
      </w:r>
      <w:r>
        <w:rPr>
          <w:rFonts w:ascii="Arial" w:hAnsi="Arial"/>
          <w:spacing w:val="-14"/>
          <w:sz w:val="24"/>
        </w:rPr>
        <w:t> </w:t>
      </w:r>
      <w:r>
        <w:rPr>
          <w:rFonts w:ascii="Arial" w:hAnsi="Arial"/>
          <w:sz w:val="24"/>
        </w:rPr>
        <w:t>la</w:t>
      </w:r>
      <w:r>
        <w:rPr>
          <w:rFonts w:ascii="Arial" w:hAnsi="Arial"/>
          <w:spacing w:val="-14"/>
          <w:sz w:val="24"/>
        </w:rPr>
        <w:t> </w:t>
      </w:r>
      <w:r>
        <w:rPr>
          <w:rFonts w:ascii="Arial" w:hAnsi="Arial"/>
          <w:sz w:val="24"/>
        </w:rPr>
        <w:t>restauración</w:t>
      </w:r>
      <w:r>
        <w:rPr>
          <w:rFonts w:ascii="Arial" w:hAnsi="Arial"/>
          <w:spacing w:val="-14"/>
          <w:sz w:val="24"/>
        </w:rPr>
        <w:t> </w:t>
      </w:r>
      <w:r>
        <w:rPr>
          <w:rFonts w:ascii="Arial" w:hAnsi="Arial"/>
          <w:sz w:val="24"/>
        </w:rPr>
        <w:t>en</w:t>
      </w:r>
      <w:r>
        <w:rPr>
          <w:rFonts w:ascii="Arial" w:hAnsi="Arial"/>
          <w:spacing w:val="-14"/>
          <w:sz w:val="24"/>
        </w:rPr>
        <w:t> </w:t>
      </w:r>
      <w:r>
        <w:rPr>
          <w:rFonts w:ascii="Arial" w:hAnsi="Arial"/>
          <w:sz w:val="24"/>
        </w:rPr>
        <w:t>el</w:t>
      </w:r>
      <w:r>
        <w:rPr>
          <w:rFonts w:ascii="Arial" w:hAnsi="Arial"/>
          <w:spacing w:val="-17"/>
          <w:sz w:val="24"/>
        </w:rPr>
        <w:t> </w:t>
      </w:r>
      <w:r>
        <w:rPr>
          <w:rFonts w:ascii="Arial" w:hAnsi="Arial"/>
          <w:sz w:val="24"/>
        </w:rPr>
        <w:t>esmalte</w:t>
      </w:r>
      <w:r>
        <w:rPr>
          <w:rFonts w:ascii="Arial" w:hAnsi="Arial"/>
          <w:spacing w:val="-14"/>
          <w:sz w:val="24"/>
        </w:rPr>
        <w:t> </w:t>
      </w:r>
      <w:r>
        <w:rPr>
          <w:rFonts w:ascii="Arial" w:hAnsi="Arial"/>
          <w:sz w:val="24"/>
        </w:rPr>
        <w:t>del</w:t>
      </w:r>
      <w:r>
        <w:rPr>
          <w:rFonts w:ascii="Arial" w:hAnsi="Arial"/>
          <w:spacing w:val="-17"/>
          <w:sz w:val="24"/>
        </w:rPr>
        <w:t> </w:t>
      </w:r>
      <w:r>
        <w:rPr>
          <w:rFonts w:ascii="Arial" w:hAnsi="Arial"/>
          <w:sz w:val="24"/>
        </w:rPr>
        <w:t>diente</w:t>
      </w:r>
      <w:r>
        <w:rPr>
          <w:rFonts w:ascii="Arial" w:hAnsi="Arial"/>
          <w:spacing w:val="-14"/>
          <w:sz w:val="24"/>
        </w:rPr>
        <w:t> </w:t>
      </w:r>
      <w:r>
        <w:rPr>
          <w:rFonts w:ascii="Arial" w:hAnsi="Arial"/>
          <w:sz w:val="24"/>
        </w:rPr>
        <w:t>debe</w:t>
      </w:r>
      <w:r>
        <w:rPr>
          <w:rFonts w:ascii="Arial" w:hAnsi="Arial"/>
          <w:spacing w:val="-14"/>
          <w:sz w:val="24"/>
        </w:rPr>
        <w:t> </w:t>
      </w:r>
      <w:r>
        <w:rPr>
          <w:rFonts w:ascii="Arial" w:hAnsi="Arial"/>
          <w:sz w:val="24"/>
        </w:rPr>
        <w:t>ser</w:t>
      </w:r>
      <w:r>
        <w:rPr>
          <w:rFonts w:ascii="Arial" w:hAnsi="Arial"/>
          <w:spacing w:val="-15"/>
          <w:sz w:val="24"/>
        </w:rPr>
        <w:t> </w:t>
      </w:r>
      <w:r>
        <w:rPr>
          <w:rFonts w:ascii="Arial" w:hAnsi="Arial"/>
          <w:sz w:val="24"/>
        </w:rPr>
        <w:t>visto</w:t>
      </w:r>
      <w:r>
        <w:rPr>
          <w:rFonts w:ascii="Arial" w:hAnsi="Arial"/>
          <w:spacing w:val="-14"/>
          <w:sz w:val="24"/>
        </w:rPr>
        <w:t> </w:t>
      </w:r>
      <w:r>
        <w:rPr>
          <w:rFonts w:ascii="Arial" w:hAnsi="Arial"/>
          <w:sz w:val="24"/>
        </w:rPr>
        <w:t>en</w:t>
      </w:r>
      <w:r>
        <w:rPr>
          <w:rFonts w:ascii="Arial" w:hAnsi="Arial"/>
          <w:spacing w:val="-14"/>
          <w:sz w:val="24"/>
        </w:rPr>
        <w:t> </w:t>
      </w:r>
      <w:r>
        <w:rPr>
          <w:rFonts w:ascii="Arial" w:hAnsi="Arial"/>
          <w:sz w:val="24"/>
        </w:rPr>
        <w:t>húmedo.</w:t>
      </w:r>
    </w:p>
    <w:p>
      <w:pPr>
        <w:pStyle w:val="BodyText"/>
        <w:spacing w:before="7"/>
        <w:rPr>
          <w:sz w:val="23"/>
        </w:rPr>
      </w:pPr>
    </w:p>
    <w:p>
      <w:pPr>
        <w:pStyle w:val="BodyText"/>
        <w:spacing w:line="480" w:lineRule="auto"/>
        <w:ind w:left="858" w:right="144"/>
        <w:jc w:val="both"/>
      </w:pPr>
      <w:r>
        <w:rPr/>
        <w:t>Cuando se humedece, hay una opacidad consistente con la desmineralización o decoloración que no es consistente con la aparición clínica del esmalte sano (Nota: la lesión es aún visible cuando se seca).</w:t>
      </w:r>
    </w:p>
    <w:p>
      <w:pPr>
        <w:pStyle w:val="ListParagraph"/>
        <w:numPr>
          <w:ilvl w:val="1"/>
          <w:numId w:val="7"/>
        </w:numPr>
        <w:tabs>
          <w:tab w:pos="858" w:val="left" w:leader="none"/>
          <w:tab w:pos="859" w:val="left" w:leader="none"/>
        </w:tabs>
        <w:spacing w:line="463" w:lineRule="auto" w:before="8" w:after="0"/>
        <w:ind w:left="858" w:right="137" w:hanging="360"/>
        <w:jc w:val="left"/>
        <w:rPr>
          <w:rFonts w:ascii="Arial" w:hAnsi="Arial"/>
          <w:sz w:val="24"/>
        </w:rPr>
      </w:pPr>
      <w:r>
        <w:rPr>
          <w:rFonts w:ascii="Arial" w:hAnsi="Arial"/>
          <w:sz w:val="24"/>
        </w:rPr>
        <w:t>El</w:t>
      </w:r>
      <w:r>
        <w:rPr>
          <w:rFonts w:ascii="Arial" w:hAnsi="Arial"/>
          <w:spacing w:val="-10"/>
          <w:sz w:val="24"/>
        </w:rPr>
        <w:t> </w:t>
      </w:r>
      <w:r>
        <w:rPr>
          <w:rFonts w:ascii="Arial" w:hAnsi="Arial"/>
          <w:sz w:val="24"/>
        </w:rPr>
        <w:t>margen</w:t>
      </w:r>
      <w:r>
        <w:rPr>
          <w:rFonts w:ascii="Arial" w:hAnsi="Arial"/>
          <w:spacing w:val="-11"/>
          <w:sz w:val="24"/>
        </w:rPr>
        <w:t> </w:t>
      </w:r>
      <w:r>
        <w:rPr>
          <w:rFonts w:ascii="Arial" w:hAnsi="Arial"/>
          <w:sz w:val="24"/>
        </w:rPr>
        <w:t>de</w:t>
      </w:r>
      <w:r>
        <w:rPr>
          <w:rFonts w:ascii="Arial" w:hAnsi="Arial"/>
          <w:spacing w:val="-8"/>
          <w:sz w:val="24"/>
        </w:rPr>
        <w:t> </w:t>
      </w:r>
      <w:r>
        <w:rPr>
          <w:rFonts w:ascii="Arial" w:hAnsi="Arial"/>
          <w:sz w:val="24"/>
        </w:rPr>
        <w:t>la</w:t>
      </w:r>
      <w:r>
        <w:rPr>
          <w:rFonts w:ascii="Arial" w:hAnsi="Arial"/>
          <w:spacing w:val="-9"/>
          <w:sz w:val="24"/>
        </w:rPr>
        <w:t> </w:t>
      </w:r>
      <w:r>
        <w:rPr>
          <w:rFonts w:ascii="Arial" w:hAnsi="Arial"/>
          <w:sz w:val="24"/>
        </w:rPr>
        <w:t>restauración</w:t>
      </w:r>
      <w:r>
        <w:rPr>
          <w:rFonts w:ascii="Arial" w:hAnsi="Arial"/>
          <w:spacing w:val="-8"/>
          <w:sz w:val="24"/>
        </w:rPr>
        <w:t> </w:t>
      </w:r>
      <w:r>
        <w:rPr>
          <w:rFonts w:ascii="Arial" w:hAnsi="Arial"/>
          <w:sz w:val="24"/>
        </w:rPr>
        <w:t>en</w:t>
      </w:r>
      <w:r>
        <w:rPr>
          <w:rFonts w:ascii="Arial" w:hAnsi="Arial"/>
          <w:spacing w:val="-11"/>
          <w:sz w:val="24"/>
        </w:rPr>
        <w:t> </w:t>
      </w:r>
      <w:r>
        <w:rPr>
          <w:rFonts w:ascii="Arial" w:hAnsi="Arial"/>
          <w:sz w:val="24"/>
        </w:rPr>
        <w:t>la</w:t>
      </w:r>
      <w:r>
        <w:rPr>
          <w:rFonts w:ascii="Arial" w:hAnsi="Arial"/>
          <w:spacing w:val="-9"/>
          <w:sz w:val="24"/>
        </w:rPr>
        <w:t> </w:t>
      </w:r>
      <w:r>
        <w:rPr>
          <w:rFonts w:ascii="Arial" w:hAnsi="Arial"/>
          <w:sz w:val="24"/>
        </w:rPr>
        <w:t>dentina:</w:t>
      </w:r>
      <w:r>
        <w:rPr>
          <w:rFonts w:ascii="Arial" w:hAnsi="Arial"/>
          <w:spacing w:val="-9"/>
          <w:sz w:val="24"/>
        </w:rPr>
        <w:t> </w:t>
      </w:r>
      <w:r>
        <w:rPr>
          <w:rFonts w:ascii="Arial" w:hAnsi="Arial"/>
          <w:sz w:val="24"/>
        </w:rPr>
        <w:t>Código</w:t>
      </w:r>
      <w:r>
        <w:rPr>
          <w:rFonts w:ascii="Arial" w:hAnsi="Arial"/>
          <w:spacing w:val="-8"/>
          <w:sz w:val="24"/>
        </w:rPr>
        <w:t> </w:t>
      </w:r>
      <w:r>
        <w:rPr>
          <w:rFonts w:ascii="Arial" w:hAnsi="Arial"/>
          <w:sz w:val="24"/>
        </w:rPr>
        <w:t>2</w:t>
      </w:r>
      <w:r>
        <w:rPr>
          <w:rFonts w:ascii="Arial" w:hAnsi="Arial"/>
          <w:spacing w:val="-8"/>
          <w:sz w:val="24"/>
        </w:rPr>
        <w:t> </w:t>
      </w:r>
      <w:r>
        <w:rPr>
          <w:rFonts w:ascii="Arial" w:hAnsi="Arial"/>
          <w:sz w:val="24"/>
        </w:rPr>
        <w:t>se</w:t>
      </w:r>
      <w:r>
        <w:rPr>
          <w:rFonts w:ascii="Arial" w:hAnsi="Arial"/>
          <w:spacing w:val="-11"/>
          <w:sz w:val="24"/>
        </w:rPr>
        <w:t> </w:t>
      </w:r>
      <w:r>
        <w:rPr>
          <w:rFonts w:ascii="Arial" w:hAnsi="Arial"/>
          <w:sz w:val="24"/>
        </w:rPr>
        <w:t>aplica</w:t>
      </w:r>
      <w:r>
        <w:rPr>
          <w:rFonts w:ascii="Arial" w:hAnsi="Arial"/>
          <w:spacing w:val="-11"/>
          <w:sz w:val="24"/>
        </w:rPr>
        <w:t> </w:t>
      </w:r>
      <w:r>
        <w:rPr>
          <w:rFonts w:ascii="Arial" w:hAnsi="Arial"/>
          <w:sz w:val="24"/>
        </w:rPr>
        <w:t>a</w:t>
      </w:r>
      <w:r>
        <w:rPr>
          <w:rFonts w:ascii="Arial" w:hAnsi="Arial"/>
          <w:spacing w:val="-8"/>
          <w:sz w:val="24"/>
        </w:rPr>
        <w:t> </w:t>
      </w:r>
      <w:r>
        <w:rPr>
          <w:rFonts w:ascii="Arial" w:hAnsi="Arial"/>
          <w:sz w:val="24"/>
        </w:rPr>
        <w:t>la</w:t>
      </w:r>
      <w:r>
        <w:rPr>
          <w:rFonts w:ascii="Arial" w:hAnsi="Arial"/>
          <w:spacing w:val="-9"/>
          <w:sz w:val="24"/>
        </w:rPr>
        <w:t> </w:t>
      </w:r>
      <w:r>
        <w:rPr>
          <w:rFonts w:ascii="Arial" w:hAnsi="Arial"/>
          <w:sz w:val="24"/>
        </w:rPr>
        <w:t>decoloración que no es consistente con la aparición clínica de dentina  o  cemento</w:t>
      </w:r>
      <w:r>
        <w:rPr>
          <w:rFonts w:ascii="Arial" w:hAnsi="Arial"/>
          <w:spacing w:val="-28"/>
          <w:sz w:val="24"/>
        </w:rPr>
        <w:t> </w:t>
      </w:r>
      <w:r>
        <w:rPr>
          <w:rFonts w:ascii="Arial" w:hAnsi="Arial"/>
          <w:sz w:val="24"/>
        </w:rPr>
        <w:t>sano.</w:t>
      </w:r>
    </w:p>
    <w:p>
      <w:pPr>
        <w:pStyle w:val="BodyText"/>
      </w:pPr>
    </w:p>
    <w:p>
      <w:pPr>
        <w:pStyle w:val="BodyText"/>
        <w:spacing w:before="3"/>
        <w:rPr>
          <w:sz w:val="26"/>
        </w:rPr>
      </w:pPr>
    </w:p>
    <w:p>
      <w:pPr>
        <w:pStyle w:val="Heading1"/>
      </w:pPr>
      <w:r>
        <w:rPr/>
        <w:t>Defectos  de cariosos  de &lt;0,5 mm con las signos de código 2: Código 3</w:t>
      </w:r>
    </w:p>
    <w:p>
      <w:pPr>
        <w:pStyle w:val="BodyText"/>
        <w:rPr>
          <w:b/>
        </w:rPr>
      </w:pPr>
    </w:p>
    <w:p>
      <w:pPr>
        <w:pStyle w:val="BodyText"/>
        <w:spacing w:line="480" w:lineRule="auto"/>
        <w:ind w:left="138" w:right="142"/>
        <w:jc w:val="both"/>
      </w:pPr>
      <w:r>
        <w:rPr/>
        <w:t>La</w:t>
      </w:r>
      <w:r>
        <w:rPr>
          <w:spacing w:val="-6"/>
        </w:rPr>
        <w:t> </w:t>
      </w:r>
      <w:r>
        <w:rPr/>
        <w:t>cavitación</w:t>
      </w:r>
      <w:r>
        <w:rPr>
          <w:spacing w:val="-8"/>
        </w:rPr>
        <w:t> </w:t>
      </w:r>
      <w:r>
        <w:rPr/>
        <w:t>en</w:t>
      </w:r>
      <w:r>
        <w:rPr>
          <w:spacing w:val="-8"/>
        </w:rPr>
        <w:t> </w:t>
      </w:r>
      <w:r>
        <w:rPr/>
        <w:t>el</w:t>
      </w:r>
      <w:r>
        <w:rPr>
          <w:spacing w:val="-7"/>
        </w:rPr>
        <w:t> </w:t>
      </w:r>
      <w:r>
        <w:rPr/>
        <w:t>margen</w:t>
      </w:r>
      <w:r>
        <w:rPr>
          <w:spacing w:val="-6"/>
        </w:rPr>
        <w:t> </w:t>
      </w:r>
      <w:r>
        <w:rPr/>
        <w:t>de</w:t>
      </w:r>
      <w:r>
        <w:rPr>
          <w:spacing w:val="-6"/>
        </w:rPr>
        <w:t> </w:t>
      </w:r>
      <w:r>
        <w:rPr/>
        <w:t>la</w:t>
      </w:r>
      <w:r>
        <w:rPr>
          <w:spacing w:val="-9"/>
        </w:rPr>
        <w:t> </w:t>
      </w:r>
      <w:r>
        <w:rPr/>
        <w:t>restauración</w:t>
      </w:r>
      <w:r>
        <w:rPr>
          <w:spacing w:val="-8"/>
        </w:rPr>
        <w:t> </w:t>
      </w:r>
      <w:r>
        <w:rPr/>
        <w:t>/</w:t>
      </w:r>
      <w:r>
        <w:rPr>
          <w:spacing w:val="-6"/>
        </w:rPr>
        <w:t> </w:t>
      </w:r>
      <w:r>
        <w:rPr/>
        <w:t>sellador</w:t>
      </w:r>
      <w:r>
        <w:rPr>
          <w:spacing w:val="-10"/>
        </w:rPr>
        <w:t> </w:t>
      </w:r>
      <w:r>
        <w:rPr/>
        <w:t>de</w:t>
      </w:r>
      <w:r>
        <w:rPr>
          <w:spacing w:val="-8"/>
        </w:rPr>
        <w:t> </w:t>
      </w:r>
      <w:r>
        <w:rPr/>
        <w:t>menos</w:t>
      </w:r>
      <w:r>
        <w:rPr>
          <w:spacing w:val="-9"/>
        </w:rPr>
        <w:t> </w:t>
      </w:r>
      <w:r>
        <w:rPr/>
        <w:t>de</w:t>
      </w:r>
      <w:r>
        <w:rPr>
          <w:spacing w:val="-8"/>
        </w:rPr>
        <w:t> </w:t>
      </w:r>
      <w:r>
        <w:rPr/>
        <w:t>0,5</w:t>
      </w:r>
      <w:r>
        <w:rPr>
          <w:spacing w:val="-8"/>
        </w:rPr>
        <w:t> </w:t>
      </w:r>
      <w:r>
        <w:rPr/>
        <w:t>mm,</w:t>
      </w:r>
      <w:r>
        <w:rPr>
          <w:spacing w:val="-6"/>
        </w:rPr>
        <w:t> </w:t>
      </w:r>
      <w:r>
        <w:rPr/>
        <w:t>además de una opacidad o decoloración consistente con la desmineralización que no es consistente con la aparición clínica de esmalte sano o con una sombra de dentina decolorada (con alteraciones en el</w:t>
      </w:r>
      <w:r>
        <w:rPr>
          <w:spacing w:val="-14"/>
        </w:rPr>
        <w:t> </w:t>
      </w:r>
      <w:r>
        <w:rPr/>
        <w:t>color).</w:t>
      </w:r>
    </w:p>
    <w:p>
      <w:pPr>
        <w:pStyle w:val="BodyText"/>
      </w:pPr>
    </w:p>
    <w:p>
      <w:pPr>
        <w:pStyle w:val="BodyText"/>
      </w:pPr>
    </w:p>
    <w:p>
      <w:pPr>
        <w:pStyle w:val="BodyText"/>
      </w:pPr>
    </w:p>
    <w:p>
      <w:pPr>
        <w:pStyle w:val="BodyText"/>
        <w:spacing w:before="8"/>
      </w:pPr>
    </w:p>
    <w:p>
      <w:pPr>
        <w:pStyle w:val="Heading1"/>
      </w:pPr>
      <w:r>
        <w:rPr/>
        <w:t>Caries marginales en el esmalte / dentina / cemento adyacentes a la restauración</w:t>
      </w:r>
    </w:p>
    <w:p>
      <w:pPr>
        <w:pStyle w:val="BodyText"/>
        <w:rPr>
          <w:b/>
        </w:rPr>
      </w:pPr>
    </w:p>
    <w:p>
      <w:pPr>
        <w:spacing w:before="0"/>
        <w:ind w:left="138" w:right="0" w:firstLine="0"/>
        <w:jc w:val="both"/>
        <w:rPr>
          <w:b/>
          <w:sz w:val="24"/>
        </w:rPr>
      </w:pPr>
      <w:r>
        <w:rPr>
          <w:b/>
          <w:sz w:val="24"/>
        </w:rPr>
        <w:t>/ sellador con subyacente sombra oscura de la dentina: Código 4</w:t>
      </w:r>
    </w:p>
    <w:p>
      <w:pPr>
        <w:pStyle w:val="BodyText"/>
        <w:rPr>
          <w:b/>
        </w:rPr>
      </w:pPr>
    </w:p>
    <w:p>
      <w:pPr>
        <w:pStyle w:val="BodyText"/>
        <w:spacing w:line="480" w:lineRule="auto"/>
        <w:ind w:left="138" w:right="141"/>
        <w:jc w:val="both"/>
      </w:pPr>
      <w:r>
        <w:rPr/>
        <w:t>La superficie del diente puede tener las características del código 2 y la dentina tiene una sombra decolorada que es visible a través de la superficie de esmalte aparentemente intacto o con ruptura localizada en el esmalte, pero la dentina no es visible. Este aspecto se ve a menudo más fácilmente cuando el diente está húmedo y</w:t>
      </w:r>
    </w:p>
    <w:p>
      <w:pPr>
        <w:spacing w:after="0" w:line="480" w:lineRule="auto"/>
        <w:jc w:val="both"/>
        <w:sectPr>
          <w:footerReference w:type="default" r:id="rId14"/>
          <w:pgSz w:w="12240" w:h="15840"/>
          <w:pgMar w:footer="964" w:header="686" w:top="1080" w:bottom="1160" w:left="1280" w:right="1560"/>
        </w:sectPr>
      </w:pPr>
    </w:p>
    <w:p>
      <w:pPr>
        <w:pStyle w:val="BodyText"/>
        <w:rPr>
          <w:sz w:val="20"/>
        </w:rPr>
      </w:pPr>
    </w:p>
    <w:p>
      <w:pPr>
        <w:pStyle w:val="BodyText"/>
        <w:spacing w:before="3"/>
        <w:rPr>
          <w:sz w:val="27"/>
        </w:rPr>
      </w:pPr>
    </w:p>
    <w:p>
      <w:pPr>
        <w:pStyle w:val="BodyText"/>
        <w:spacing w:line="480" w:lineRule="auto" w:before="69"/>
        <w:ind w:left="138" w:right="137"/>
        <w:jc w:val="both"/>
      </w:pPr>
      <w:r>
        <w:rPr/>
        <w:t>es</w:t>
      </w:r>
      <w:r>
        <w:rPr>
          <w:spacing w:val="-17"/>
        </w:rPr>
        <w:t> </w:t>
      </w:r>
      <w:r>
        <w:rPr/>
        <w:t>una</w:t>
      </w:r>
      <w:r>
        <w:rPr>
          <w:spacing w:val="-17"/>
        </w:rPr>
        <w:t> </w:t>
      </w:r>
      <w:r>
        <w:rPr/>
        <w:t>sombra</w:t>
      </w:r>
      <w:r>
        <w:rPr>
          <w:spacing w:val="-17"/>
        </w:rPr>
        <w:t> </w:t>
      </w:r>
      <w:r>
        <w:rPr/>
        <w:t>oscura</w:t>
      </w:r>
      <w:r>
        <w:rPr>
          <w:spacing w:val="-17"/>
        </w:rPr>
        <w:t> </w:t>
      </w:r>
      <w:r>
        <w:rPr/>
        <w:t>e</w:t>
      </w:r>
      <w:r>
        <w:rPr>
          <w:spacing w:val="-17"/>
        </w:rPr>
        <w:t> </w:t>
      </w:r>
      <w:r>
        <w:rPr/>
        <w:t>intrínseca</w:t>
      </w:r>
      <w:r>
        <w:rPr>
          <w:spacing w:val="-17"/>
        </w:rPr>
        <w:t> </w:t>
      </w:r>
      <w:r>
        <w:rPr/>
        <w:t>que</w:t>
      </w:r>
      <w:r>
        <w:rPr>
          <w:spacing w:val="-17"/>
        </w:rPr>
        <w:t> </w:t>
      </w:r>
      <w:r>
        <w:rPr/>
        <w:t>puede</w:t>
      </w:r>
      <w:r>
        <w:rPr>
          <w:spacing w:val="-18"/>
        </w:rPr>
        <w:t> </w:t>
      </w:r>
      <w:r>
        <w:rPr/>
        <w:t>ser</w:t>
      </w:r>
      <w:r>
        <w:rPr>
          <w:spacing w:val="-17"/>
        </w:rPr>
        <w:t> </w:t>
      </w:r>
      <w:r>
        <w:rPr/>
        <w:t>de</w:t>
      </w:r>
      <w:r>
        <w:rPr>
          <w:spacing w:val="-17"/>
        </w:rPr>
        <w:t> </w:t>
      </w:r>
      <w:r>
        <w:rPr/>
        <w:t>color</w:t>
      </w:r>
      <w:r>
        <w:rPr>
          <w:spacing w:val="-11"/>
        </w:rPr>
        <w:t> </w:t>
      </w:r>
      <w:r>
        <w:rPr/>
        <w:t>gris,</w:t>
      </w:r>
      <w:r>
        <w:rPr>
          <w:spacing w:val="-17"/>
        </w:rPr>
        <w:t> </w:t>
      </w:r>
      <w:r>
        <w:rPr/>
        <w:t>azul,</w:t>
      </w:r>
      <w:r>
        <w:rPr>
          <w:spacing w:val="-15"/>
        </w:rPr>
        <w:t> </w:t>
      </w:r>
      <w:r>
        <w:rPr/>
        <w:t>naranja,</w:t>
      </w:r>
      <w:r>
        <w:rPr>
          <w:spacing w:val="-17"/>
        </w:rPr>
        <w:t> </w:t>
      </w:r>
      <w:r>
        <w:rPr/>
        <w:t>o</w:t>
      </w:r>
      <w:r>
        <w:rPr>
          <w:spacing w:val="-17"/>
        </w:rPr>
        <w:t> </w:t>
      </w:r>
      <w:r>
        <w:rPr/>
        <w:t>marrón. Nota: ver el diente mojado y seco. Esta lesión debe distinguirse de sombras de amalgama.</w:t>
      </w:r>
    </w:p>
    <w:p>
      <w:pPr>
        <w:pStyle w:val="BodyText"/>
      </w:pPr>
    </w:p>
    <w:p>
      <w:pPr>
        <w:pStyle w:val="BodyText"/>
        <w:spacing w:before="7"/>
      </w:pPr>
    </w:p>
    <w:p>
      <w:pPr>
        <w:pStyle w:val="Heading1"/>
        <w:spacing w:before="1"/>
      </w:pPr>
      <w:r>
        <w:rPr/>
        <w:t>Cavidad visible  adyacente a la restauración / sellador: Código 5</w:t>
      </w:r>
    </w:p>
    <w:p>
      <w:pPr>
        <w:pStyle w:val="BodyText"/>
        <w:rPr>
          <w:b/>
        </w:rPr>
      </w:pPr>
    </w:p>
    <w:p>
      <w:pPr>
        <w:pStyle w:val="BodyText"/>
        <w:spacing w:line="480" w:lineRule="auto"/>
        <w:ind w:left="138" w:right="143"/>
        <w:jc w:val="both"/>
      </w:pPr>
      <w:r>
        <w:rPr/>
        <w:t>Cavidad</w:t>
      </w:r>
      <w:r>
        <w:rPr>
          <w:spacing w:val="-7"/>
        </w:rPr>
        <w:t> </w:t>
      </w:r>
      <w:r>
        <w:rPr/>
        <w:t>visible</w:t>
      </w:r>
      <w:r>
        <w:rPr>
          <w:spacing w:val="-7"/>
        </w:rPr>
        <w:t> </w:t>
      </w:r>
      <w:r>
        <w:rPr/>
        <w:t>adyacente</w:t>
      </w:r>
      <w:r>
        <w:rPr>
          <w:spacing w:val="-9"/>
        </w:rPr>
        <w:t> </w:t>
      </w:r>
      <w:r>
        <w:rPr/>
        <w:t>a</w:t>
      </w:r>
      <w:r>
        <w:rPr>
          <w:spacing w:val="-7"/>
        </w:rPr>
        <w:t> </w:t>
      </w:r>
      <w:r>
        <w:rPr/>
        <w:t>la</w:t>
      </w:r>
      <w:r>
        <w:rPr>
          <w:spacing w:val="-7"/>
        </w:rPr>
        <w:t> </w:t>
      </w:r>
      <w:r>
        <w:rPr/>
        <w:t>restauración</w:t>
      </w:r>
      <w:r>
        <w:rPr>
          <w:spacing w:val="-7"/>
        </w:rPr>
        <w:t> </w:t>
      </w:r>
      <w:r>
        <w:rPr/>
        <w:t>/</w:t>
      </w:r>
      <w:r>
        <w:rPr>
          <w:spacing w:val="-12"/>
        </w:rPr>
        <w:t> </w:t>
      </w:r>
      <w:r>
        <w:rPr/>
        <w:t>sellador</w:t>
      </w:r>
      <w:r>
        <w:rPr>
          <w:spacing w:val="-8"/>
        </w:rPr>
        <w:t> </w:t>
      </w:r>
      <w:r>
        <w:rPr/>
        <w:t>con</w:t>
      </w:r>
      <w:r>
        <w:rPr>
          <w:spacing w:val="-9"/>
        </w:rPr>
        <w:t> </w:t>
      </w:r>
      <w:r>
        <w:rPr/>
        <w:t>dentina</w:t>
      </w:r>
      <w:r>
        <w:rPr>
          <w:spacing w:val="-9"/>
        </w:rPr>
        <w:t> </w:t>
      </w:r>
      <w:r>
        <w:rPr/>
        <w:t>visible</w:t>
      </w:r>
      <w:r>
        <w:rPr>
          <w:spacing w:val="-7"/>
        </w:rPr>
        <w:t> </w:t>
      </w:r>
      <w:r>
        <w:rPr/>
        <w:t>en</w:t>
      </w:r>
      <w:r>
        <w:rPr>
          <w:spacing w:val="-7"/>
        </w:rPr>
        <w:t> </w:t>
      </w:r>
      <w:r>
        <w:rPr/>
        <w:t>el</w:t>
      </w:r>
      <w:r>
        <w:rPr>
          <w:spacing w:val="-11"/>
        </w:rPr>
        <w:t> </w:t>
      </w:r>
      <w:r>
        <w:rPr/>
        <w:t>espacio interfacial (interproximal) con signos de caries tal como se describe en el código 4, además de una brecha o hueco de&gt; 0,5 mm de</w:t>
      </w:r>
      <w:r>
        <w:rPr>
          <w:spacing w:val="-21"/>
        </w:rPr>
        <w:t> </w:t>
      </w:r>
      <w:r>
        <w:rPr/>
        <w:t>ancho.</w:t>
      </w:r>
    </w:p>
    <w:p>
      <w:pPr>
        <w:pStyle w:val="BodyText"/>
        <w:spacing w:before="8"/>
        <w:ind w:left="138"/>
        <w:jc w:val="both"/>
      </w:pPr>
      <w:r>
        <w:rPr>
          <w:w w:val="99"/>
        </w:rPr>
        <w:t>0</w:t>
      </w:r>
    </w:p>
    <w:p>
      <w:pPr>
        <w:pStyle w:val="BodyText"/>
      </w:pPr>
    </w:p>
    <w:p>
      <w:pPr>
        <w:pStyle w:val="BodyText"/>
        <w:spacing w:line="480" w:lineRule="auto"/>
        <w:ind w:left="138" w:right="139"/>
        <w:jc w:val="both"/>
      </w:pPr>
      <w:r>
        <w:rPr/>
        <w:t>En aquellos casos donde los márgenes no son visibles, hay evidencia de discontinuidad en el margen de la restauración / sellador y la sustancia dental de la dentina se detecta con la esfera de la sonda de 0,5 mm cuando la hacemos correr a lo largo del margen de la restauración / sellador.</w:t>
      </w:r>
    </w:p>
    <w:p>
      <w:pPr>
        <w:pStyle w:val="Heading1"/>
        <w:spacing w:before="5"/>
      </w:pPr>
      <w:r>
        <w:rPr/>
        <w:t>Amplia cavidad   con dentina visible: 6 Código</w:t>
      </w:r>
    </w:p>
    <w:p>
      <w:pPr>
        <w:pStyle w:val="BodyText"/>
        <w:rPr>
          <w:b/>
        </w:rPr>
      </w:pPr>
    </w:p>
    <w:p>
      <w:pPr>
        <w:pStyle w:val="BodyText"/>
        <w:spacing w:line="480" w:lineRule="auto"/>
        <w:ind w:left="138" w:right="141"/>
        <w:jc w:val="both"/>
      </w:pPr>
      <w:r>
        <w:rPr/>
        <w:t>Evidente</w:t>
      </w:r>
      <w:r>
        <w:rPr>
          <w:spacing w:val="-11"/>
        </w:rPr>
        <w:t> </w:t>
      </w:r>
      <w:r>
        <w:rPr/>
        <w:t>pérdida</w:t>
      </w:r>
      <w:r>
        <w:rPr>
          <w:spacing w:val="-14"/>
        </w:rPr>
        <w:t> </w:t>
      </w:r>
      <w:r>
        <w:rPr/>
        <w:t>de</w:t>
      </w:r>
      <w:r>
        <w:rPr>
          <w:spacing w:val="-14"/>
        </w:rPr>
        <w:t> </w:t>
      </w:r>
      <w:r>
        <w:rPr/>
        <w:t>estructura</w:t>
      </w:r>
      <w:r>
        <w:rPr>
          <w:spacing w:val="-12"/>
        </w:rPr>
        <w:t> </w:t>
      </w:r>
      <w:r>
        <w:rPr/>
        <w:t>dental,</w:t>
      </w:r>
      <w:r>
        <w:rPr>
          <w:spacing w:val="-13"/>
        </w:rPr>
        <w:t> </w:t>
      </w:r>
      <w:r>
        <w:rPr/>
        <w:t>la</w:t>
      </w:r>
      <w:r>
        <w:rPr>
          <w:spacing w:val="-12"/>
        </w:rPr>
        <w:t> </w:t>
      </w:r>
      <w:r>
        <w:rPr/>
        <w:t>cavidad</w:t>
      </w:r>
      <w:r>
        <w:rPr>
          <w:spacing w:val="-12"/>
        </w:rPr>
        <w:t> </w:t>
      </w:r>
      <w:r>
        <w:rPr/>
        <w:t>extensa</w:t>
      </w:r>
      <w:r>
        <w:rPr>
          <w:spacing w:val="-12"/>
        </w:rPr>
        <w:t> </w:t>
      </w:r>
      <w:r>
        <w:rPr/>
        <w:t>puede</w:t>
      </w:r>
      <w:r>
        <w:rPr>
          <w:spacing w:val="-12"/>
        </w:rPr>
        <w:t> </w:t>
      </w:r>
      <w:r>
        <w:rPr/>
        <w:t>ser</w:t>
      </w:r>
      <w:r>
        <w:rPr>
          <w:spacing w:val="-16"/>
        </w:rPr>
        <w:t> </w:t>
      </w:r>
      <w:r>
        <w:rPr/>
        <w:t>profunda</w:t>
      </w:r>
      <w:r>
        <w:rPr>
          <w:spacing w:val="-14"/>
        </w:rPr>
        <w:t> </w:t>
      </w:r>
      <w:r>
        <w:rPr/>
        <w:t>o</w:t>
      </w:r>
      <w:r>
        <w:rPr>
          <w:spacing w:val="-12"/>
        </w:rPr>
        <w:t> </w:t>
      </w:r>
      <w:r>
        <w:rPr/>
        <w:t>amplia y la dentina es claramente visible tanto en las paredes y en la</w:t>
      </w:r>
      <w:r>
        <w:rPr>
          <w:spacing w:val="-25"/>
        </w:rPr>
        <w:t> </w:t>
      </w:r>
      <w:r>
        <w:rPr/>
        <w:t>base.</w:t>
      </w:r>
    </w:p>
    <w:p>
      <w:pPr>
        <w:pStyle w:val="BodyText"/>
      </w:pPr>
    </w:p>
    <w:p>
      <w:pPr>
        <w:pStyle w:val="BodyText"/>
        <w:spacing w:before="7"/>
      </w:pPr>
    </w:p>
    <w:p>
      <w:pPr>
        <w:pStyle w:val="Heading1"/>
        <w:spacing w:before="1"/>
      </w:pPr>
      <w:r>
        <w:rPr/>
        <w:t>ICDAS  de dos dígitos como método de codificación:</w:t>
      </w:r>
    </w:p>
    <w:p>
      <w:pPr>
        <w:pStyle w:val="BodyText"/>
        <w:rPr>
          <w:b/>
        </w:rPr>
      </w:pPr>
    </w:p>
    <w:p>
      <w:pPr>
        <w:pStyle w:val="BodyText"/>
        <w:spacing w:line="480" w:lineRule="auto"/>
        <w:ind w:left="138" w:right="144" w:firstLine="67"/>
        <w:jc w:val="both"/>
      </w:pPr>
      <w:r>
        <w:rPr/>
        <w:t>En el presente estudio se utilizó el sistema de codificación de dos dígitos para identificar restauraciones / selladores con el primer dígito, seguido por el código de la caries</w:t>
      </w:r>
      <w:r>
        <w:rPr>
          <w:spacing w:val="-18"/>
        </w:rPr>
        <w:t> </w:t>
      </w:r>
      <w:r>
        <w:rPr/>
        <w:t>apropiado,</w:t>
      </w:r>
      <w:r>
        <w:rPr>
          <w:spacing w:val="-20"/>
        </w:rPr>
        <w:t> </w:t>
      </w:r>
      <w:r>
        <w:rPr/>
        <w:t>por</w:t>
      </w:r>
      <w:r>
        <w:rPr>
          <w:spacing w:val="-21"/>
        </w:rPr>
        <w:t> </w:t>
      </w:r>
      <w:r>
        <w:rPr/>
        <w:t>ejemplo</w:t>
      </w:r>
      <w:r>
        <w:rPr>
          <w:spacing w:val="-20"/>
        </w:rPr>
        <w:t> </w:t>
      </w:r>
      <w:r>
        <w:rPr/>
        <w:t>un</w:t>
      </w:r>
      <w:r>
        <w:rPr>
          <w:spacing w:val="-18"/>
        </w:rPr>
        <w:t> </w:t>
      </w:r>
      <w:r>
        <w:rPr/>
        <w:t>diente</w:t>
      </w:r>
      <w:r>
        <w:rPr>
          <w:spacing w:val="-18"/>
        </w:rPr>
        <w:t> </w:t>
      </w:r>
      <w:r>
        <w:rPr/>
        <w:t>restaurado</w:t>
      </w:r>
      <w:r>
        <w:rPr>
          <w:spacing w:val="-18"/>
        </w:rPr>
        <w:t> </w:t>
      </w:r>
      <w:r>
        <w:rPr/>
        <w:t>con</w:t>
      </w:r>
      <w:r>
        <w:rPr>
          <w:spacing w:val="-20"/>
        </w:rPr>
        <w:t> </w:t>
      </w:r>
      <w:r>
        <w:rPr/>
        <w:t>amalgama</w:t>
      </w:r>
      <w:r>
        <w:rPr>
          <w:spacing w:val="-18"/>
        </w:rPr>
        <w:t> </w:t>
      </w:r>
      <w:r>
        <w:rPr/>
        <w:t>que</w:t>
      </w:r>
      <w:r>
        <w:rPr>
          <w:spacing w:val="-18"/>
        </w:rPr>
        <w:t> </w:t>
      </w:r>
      <w:r>
        <w:rPr/>
        <w:t>también</w:t>
      </w:r>
      <w:r>
        <w:rPr>
          <w:spacing w:val="-19"/>
        </w:rPr>
        <w:t> </w:t>
      </w:r>
      <w:r>
        <w:rPr/>
        <w:t>exhibió una amplia cavidad  con dentina visible sería codificada 4 (para una restauración</w:t>
      </w:r>
      <w:r>
        <w:rPr>
          <w:spacing w:val="24"/>
        </w:rPr>
        <w:t> </w:t>
      </w:r>
      <w:r>
        <w:rPr/>
        <w:t>con</w:t>
      </w:r>
    </w:p>
    <w:p>
      <w:pPr>
        <w:spacing w:after="0" w:line="480" w:lineRule="auto"/>
        <w:jc w:val="both"/>
        <w:sectPr>
          <w:footerReference w:type="default" r:id="rId15"/>
          <w:pgSz w:w="12240" w:h="15840"/>
          <w:pgMar w:footer="964" w:header="686" w:top="1080" w:bottom="1160" w:left="1280" w:right="1560"/>
          <w:pgNumType w:start="31"/>
        </w:sectPr>
      </w:pPr>
    </w:p>
    <w:p>
      <w:pPr>
        <w:pStyle w:val="BodyText"/>
        <w:rPr>
          <w:sz w:val="20"/>
        </w:rPr>
      </w:pPr>
    </w:p>
    <w:p>
      <w:pPr>
        <w:pStyle w:val="BodyText"/>
        <w:spacing w:before="3"/>
        <w:rPr>
          <w:sz w:val="27"/>
        </w:rPr>
      </w:pPr>
    </w:p>
    <w:p>
      <w:pPr>
        <w:pStyle w:val="BodyText"/>
        <w:spacing w:line="480" w:lineRule="auto" w:before="69"/>
        <w:ind w:left="138" w:right="157"/>
      </w:pPr>
      <w:r>
        <w:rPr/>
        <w:t>amalgama)</w:t>
      </w:r>
      <w:r>
        <w:rPr>
          <w:spacing w:val="-15"/>
        </w:rPr>
        <w:t> </w:t>
      </w:r>
      <w:r>
        <w:rPr/>
        <w:t>6</w:t>
      </w:r>
      <w:r>
        <w:rPr>
          <w:spacing w:val="-12"/>
        </w:rPr>
        <w:t> </w:t>
      </w:r>
      <w:r>
        <w:rPr/>
        <w:t>(cavidad</w:t>
      </w:r>
      <w:r>
        <w:rPr>
          <w:spacing w:val="-16"/>
        </w:rPr>
        <w:t> </w:t>
      </w:r>
      <w:r>
        <w:rPr/>
        <w:t>visible),</w:t>
      </w:r>
      <w:r>
        <w:rPr>
          <w:spacing w:val="-12"/>
        </w:rPr>
        <w:t> </w:t>
      </w:r>
      <w:r>
        <w:rPr/>
        <w:t>un</w:t>
      </w:r>
      <w:r>
        <w:rPr>
          <w:spacing w:val="-12"/>
        </w:rPr>
        <w:t> </w:t>
      </w:r>
      <w:r>
        <w:rPr/>
        <w:t>diente</w:t>
      </w:r>
      <w:r>
        <w:rPr>
          <w:spacing w:val="-12"/>
        </w:rPr>
        <w:t> </w:t>
      </w:r>
      <w:r>
        <w:rPr/>
        <w:t>sin</w:t>
      </w:r>
      <w:r>
        <w:rPr>
          <w:spacing w:val="-14"/>
        </w:rPr>
        <w:t> </w:t>
      </w:r>
      <w:r>
        <w:rPr/>
        <w:t>restaurar</w:t>
      </w:r>
      <w:r>
        <w:rPr>
          <w:spacing w:val="-15"/>
        </w:rPr>
        <w:t> </w:t>
      </w:r>
      <w:r>
        <w:rPr/>
        <w:t>con</w:t>
      </w:r>
      <w:r>
        <w:rPr>
          <w:spacing w:val="-14"/>
        </w:rPr>
        <w:t> </w:t>
      </w:r>
      <w:r>
        <w:rPr/>
        <w:t>una</w:t>
      </w:r>
      <w:r>
        <w:rPr>
          <w:spacing w:val="-14"/>
        </w:rPr>
        <w:t> </w:t>
      </w:r>
      <w:r>
        <w:rPr/>
        <w:t>cavidad</w:t>
      </w:r>
      <w:r>
        <w:rPr>
          <w:spacing w:val="-12"/>
        </w:rPr>
        <w:t> </w:t>
      </w:r>
      <w:r>
        <w:rPr/>
        <w:t>visible</w:t>
      </w:r>
      <w:r>
        <w:rPr>
          <w:spacing w:val="-12"/>
        </w:rPr>
        <w:t> </w:t>
      </w:r>
      <w:r>
        <w:rPr/>
        <w:t>sería</w:t>
      </w:r>
      <w:r>
        <w:rPr>
          <w:spacing w:val="-14"/>
        </w:rPr>
        <w:t> </w:t>
      </w:r>
      <w:r>
        <w:rPr/>
        <w:t>06. El sistema de codificación de la restauración / sellador sugerido es el siguiente: Sano: es decir, la superficie no restaurado o sellados (utilice los códigos de caries primaria)</w:t>
      </w:r>
    </w:p>
    <w:p>
      <w:pPr>
        <w:pStyle w:val="BodyText"/>
        <w:spacing w:before="8"/>
        <w:ind w:left="138" w:right="630"/>
      </w:pPr>
      <w:r>
        <w:rPr/>
        <w:t>1 = Sellado, parcial</w:t>
      </w:r>
    </w:p>
    <w:p>
      <w:pPr>
        <w:pStyle w:val="BodyText"/>
      </w:pPr>
    </w:p>
    <w:p>
      <w:pPr>
        <w:pStyle w:val="BodyText"/>
        <w:ind w:left="138" w:right="630"/>
      </w:pPr>
      <w:r>
        <w:rPr/>
        <w:t>2 = Sellador, completo</w:t>
      </w:r>
    </w:p>
    <w:p>
      <w:pPr>
        <w:pStyle w:val="BodyText"/>
      </w:pPr>
    </w:p>
    <w:p>
      <w:pPr>
        <w:pStyle w:val="BodyText"/>
        <w:spacing w:line="480" w:lineRule="auto"/>
        <w:ind w:left="138" w:right="5339"/>
      </w:pPr>
      <w:r>
        <w:rPr/>
        <w:t>3 = Restauración del color del diente 4 = Restauración de amalgama</w:t>
      </w:r>
    </w:p>
    <w:p>
      <w:pPr>
        <w:pStyle w:val="BodyText"/>
        <w:spacing w:before="8"/>
        <w:ind w:left="138" w:right="630"/>
      </w:pPr>
      <w:r>
        <w:rPr/>
        <w:t>5 = Corona de acero inoxidable</w:t>
      </w:r>
    </w:p>
    <w:p>
      <w:pPr>
        <w:pStyle w:val="BodyText"/>
      </w:pPr>
    </w:p>
    <w:p>
      <w:pPr>
        <w:pStyle w:val="BodyText"/>
        <w:spacing w:line="480" w:lineRule="auto"/>
        <w:ind w:left="138" w:right="192"/>
      </w:pPr>
      <w:r>
        <w:rPr/>
        <w:t>6 = Corona de porcelana o de oro o PFM (corona de porcelana fundida sobre metal) o</w:t>
      </w:r>
      <w:r>
        <w:rPr>
          <w:spacing w:val="-3"/>
        </w:rPr>
        <w:t> </w:t>
      </w:r>
      <w:r>
        <w:rPr/>
        <w:t>veneer</w:t>
      </w:r>
    </w:p>
    <w:p>
      <w:pPr>
        <w:pStyle w:val="BodyText"/>
        <w:spacing w:line="480" w:lineRule="auto" w:before="8"/>
        <w:ind w:left="138" w:right="4952"/>
      </w:pPr>
      <w:r>
        <w:rPr/>
        <w:t>7 = Pérdida o fractura de la restauración 8 = Restauración provisional o temporal</w:t>
      </w:r>
    </w:p>
    <w:p>
      <w:pPr>
        <w:pStyle w:val="BodyText"/>
        <w:spacing w:before="5"/>
        <w:ind w:left="138" w:right="630"/>
      </w:pPr>
      <w:r>
        <w:rPr/>
        <w:t>9 = Se utiliza para las siguientes condiciones</w:t>
      </w:r>
    </w:p>
    <w:p>
      <w:pPr>
        <w:pStyle w:val="BodyText"/>
      </w:pPr>
    </w:p>
    <w:p>
      <w:pPr>
        <w:pStyle w:val="BodyText"/>
        <w:spacing w:line="480" w:lineRule="auto"/>
        <w:ind w:left="138" w:right="2578"/>
      </w:pPr>
      <w:r>
        <w:rPr/>
        <w:t>90 = Implantes por otros motivos no relacionados con la caries 91 = Implante colocado debido a la caries</w:t>
      </w:r>
    </w:p>
    <w:p>
      <w:pPr>
        <w:pStyle w:val="BodyText"/>
        <w:spacing w:line="480" w:lineRule="auto" w:before="8"/>
        <w:ind w:left="138" w:right="3298"/>
      </w:pPr>
      <w:r>
        <w:rPr/>
        <w:t>92 = Póntico colocado por razones distintas de la caries 93 = Póntico colocado por razones de caries</w:t>
      </w:r>
    </w:p>
    <w:p>
      <w:pPr>
        <w:pStyle w:val="BodyText"/>
        <w:spacing w:before="8"/>
        <w:ind w:left="138" w:right="630"/>
      </w:pPr>
      <w:r>
        <w:rPr/>
        <w:t>96 = Superficie del diente que no puede ser examinada: superficie excluida</w:t>
      </w:r>
    </w:p>
    <w:p>
      <w:pPr>
        <w:pStyle w:val="BodyText"/>
      </w:pPr>
    </w:p>
    <w:p>
      <w:pPr>
        <w:pStyle w:val="BodyText"/>
        <w:ind w:left="138" w:right="630"/>
      </w:pPr>
      <w:r>
        <w:rPr/>
        <w:t>97 = Diente faltante debido a caries (superficies de los dientes se codificarán 97)</w:t>
      </w:r>
    </w:p>
    <w:p>
      <w:pPr>
        <w:pStyle w:val="BodyText"/>
      </w:pPr>
    </w:p>
    <w:p>
      <w:pPr>
        <w:pStyle w:val="BodyText"/>
        <w:spacing w:line="480" w:lineRule="auto"/>
        <w:ind w:left="138" w:right="135"/>
      </w:pPr>
      <w:r>
        <w:rPr/>
        <w:t>98 = Diente perdido por otra razón distinta de la caries (todas las superficies de los dientes se codificarán 98)</w:t>
      </w:r>
    </w:p>
    <w:p>
      <w:pPr>
        <w:pStyle w:val="BodyText"/>
        <w:spacing w:before="8"/>
        <w:ind w:left="138" w:right="630"/>
      </w:pPr>
      <w:r>
        <w:rPr/>
        <w:t>99 =  No erupcionado (superficie de los dientes no erupcionados codificados 99)</w:t>
      </w:r>
    </w:p>
    <w:p>
      <w:pPr>
        <w:spacing w:after="0"/>
        <w:sectPr>
          <w:pgSz w:w="12240" w:h="15840"/>
          <w:pgMar w:header="686" w:footer="964" w:top="1080" w:bottom="1160" w:left="1280" w:right="1560"/>
        </w:sectPr>
      </w:pPr>
    </w:p>
    <w:p>
      <w:pPr>
        <w:pStyle w:val="BodyText"/>
        <w:rPr>
          <w:sz w:val="20"/>
        </w:rPr>
      </w:pPr>
    </w:p>
    <w:p>
      <w:pPr>
        <w:pStyle w:val="BodyText"/>
        <w:spacing w:before="3"/>
        <w:rPr>
          <w:sz w:val="27"/>
        </w:rPr>
      </w:pPr>
    </w:p>
    <w:p>
      <w:pPr>
        <w:pStyle w:val="BodyText"/>
        <w:spacing w:before="69"/>
        <w:ind w:left="538"/>
      </w:pPr>
      <w:r>
        <w:rPr/>
        <w:t>Consideraciones especiales</w:t>
      </w:r>
    </w:p>
    <w:p>
      <w:pPr>
        <w:pStyle w:val="BodyText"/>
      </w:pPr>
    </w:p>
    <w:p>
      <w:pPr>
        <w:pStyle w:val="ListParagraph"/>
        <w:numPr>
          <w:ilvl w:val="0"/>
          <w:numId w:val="8"/>
        </w:numPr>
        <w:tabs>
          <w:tab w:pos="1259" w:val="left" w:leader="none"/>
        </w:tabs>
        <w:spacing w:line="240" w:lineRule="auto" w:before="0" w:after="0"/>
        <w:ind w:left="1258" w:right="0" w:hanging="360"/>
        <w:jc w:val="left"/>
        <w:rPr>
          <w:rFonts w:ascii="Arial" w:hAnsi="Arial"/>
          <w:sz w:val="24"/>
        </w:rPr>
      </w:pPr>
      <w:r>
        <w:rPr>
          <w:rFonts w:ascii="Arial" w:hAnsi="Arial"/>
          <w:sz w:val="24"/>
        </w:rPr>
        <w:t>En caso de duda, el examinador anotó el código más</w:t>
      </w:r>
      <w:r>
        <w:rPr>
          <w:rFonts w:ascii="Arial" w:hAnsi="Arial"/>
          <w:spacing w:val="-27"/>
          <w:sz w:val="24"/>
        </w:rPr>
        <w:t> </w:t>
      </w:r>
      <w:r>
        <w:rPr>
          <w:rFonts w:ascii="Arial" w:hAnsi="Arial"/>
          <w:sz w:val="24"/>
        </w:rPr>
        <w:t>bajo</w:t>
      </w:r>
    </w:p>
    <w:p>
      <w:pPr>
        <w:pStyle w:val="BodyText"/>
      </w:pPr>
    </w:p>
    <w:p>
      <w:pPr>
        <w:pStyle w:val="ListParagraph"/>
        <w:numPr>
          <w:ilvl w:val="0"/>
          <w:numId w:val="8"/>
        </w:numPr>
        <w:tabs>
          <w:tab w:pos="1259" w:val="left" w:leader="none"/>
        </w:tabs>
        <w:spacing w:line="480" w:lineRule="auto" w:before="0" w:after="0"/>
        <w:ind w:left="1258" w:right="146" w:hanging="360"/>
        <w:jc w:val="both"/>
        <w:rPr>
          <w:rFonts w:ascii="Arial" w:hAnsi="Arial"/>
          <w:sz w:val="24"/>
        </w:rPr>
      </w:pPr>
      <w:r>
        <w:rPr>
          <w:rFonts w:ascii="Arial" w:hAnsi="Arial"/>
          <w:sz w:val="24"/>
        </w:rPr>
        <w:t>Puede</w:t>
      </w:r>
      <w:r>
        <w:rPr>
          <w:rFonts w:ascii="Arial" w:hAnsi="Arial"/>
          <w:spacing w:val="-13"/>
          <w:sz w:val="24"/>
        </w:rPr>
        <w:t> </w:t>
      </w:r>
      <w:r>
        <w:rPr>
          <w:rFonts w:ascii="Arial" w:hAnsi="Arial"/>
          <w:sz w:val="24"/>
        </w:rPr>
        <w:t>ser</w:t>
      </w:r>
      <w:r>
        <w:rPr>
          <w:rFonts w:ascii="Arial" w:hAnsi="Arial"/>
          <w:spacing w:val="-16"/>
          <w:sz w:val="24"/>
        </w:rPr>
        <w:t> </w:t>
      </w:r>
      <w:r>
        <w:rPr>
          <w:rFonts w:ascii="Arial" w:hAnsi="Arial"/>
          <w:sz w:val="24"/>
        </w:rPr>
        <w:t>necesario</w:t>
      </w:r>
      <w:r>
        <w:rPr>
          <w:rFonts w:ascii="Arial" w:hAnsi="Arial"/>
          <w:spacing w:val="-13"/>
          <w:sz w:val="24"/>
        </w:rPr>
        <w:t> </w:t>
      </w:r>
      <w:r>
        <w:rPr>
          <w:rFonts w:ascii="Arial" w:hAnsi="Arial"/>
          <w:sz w:val="24"/>
        </w:rPr>
        <w:t>distinguir</w:t>
      </w:r>
      <w:r>
        <w:rPr>
          <w:rFonts w:ascii="Arial" w:hAnsi="Arial"/>
          <w:spacing w:val="-14"/>
          <w:sz w:val="24"/>
        </w:rPr>
        <w:t> </w:t>
      </w:r>
      <w:r>
        <w:rPr>
          <w:rFonts w:ascii="Arial" w:hAnsi="Arial"/>
          <w:sz w:val="24"/>
        </w:rPr>
        <w:t>entre</w:t>
      </w:r>
      <w:r>
        <w:rPr>
          <w:rFonts w:ascii="Arial" w:hAnsi="Arial"/>
          <w:spacing w:val="-13"/>
          <w:sz w:val="24"/>
        </w:rPr>
        <w:t> </w:t>
      </w:r>
      <w:r>
        <w:rPr>
          <w:rFonts w:ascii="Arial" w:hAnsi="Arial"/>
          <w:sz w:val="24"/>
        </w:rPr>
        <w:t>dientes</w:t>
      </w:r>
      <w:r>
        <w:rPr>
          <w:rFonts w:ascii="Arial" w:hAnsi="Arial"/>
          <w:spacing w:val="-15"/>
          <w:sz w:val="24"/>
        </w:rPr>
        <w:t> </w:t>
      </w:r>
      <w:r>
        <w:rPr>
          <w:rFonts w:ascii="Arial" w:hAnsi="Arial"/>
          <w:sz w:val="24"/>
        </w:rPr>
        <w:t>no</w:t>
      </w:r>
      <w:r>
        <w:rPr>
          <w:rFonts w:ascii="Arial" w:hAnsi="Arial"/>
          <w:spacing w:val="-13"/>
          <w:sz w:val="24"/>
        </w:rPr>
        <w:t> </w:t>
      </w:r>
      <w:r>
        <w:rPr>
          <w:rFonts w:ascii="Arial" w:hAnsi="Arial"/>
          <w:sz w:val="24"/>
        </w:rPr>
        <w:t>erupcionados,</w:t>
      </w:r>
      <w:r>
        <w:rPr>
          <w:rFonts w:ascii="Arial" w:hAnsi="Arial"/>
          <w:spacing w:val="-14"/>
          <w:sz w:val="24"/>
        </w:rPr>
        <w:t> </w:t>
      </w:r>
      <w:r>
        <w:rPr>
          <w:rFonts w:ascii="Arial" w:hAnsi="Arial"/>
          <w:sz w:val="24"/>
        </w:rPr>
        <w:t>dientes</w:t>
      </w:r>
      <w:r>
        <w:rPr>
          <w:rFonts w:ascii="Arial" w:hAnsi="Arial"/>
          <w:spacing w:val="-13"/>
          <w:sz w:val="24"/>
        </w:rPr>
        <w:t> </w:t>
      </w:r>
      <w:r>
        <w:rPr>
          <w:rFonts w:ascii="Arial" w:hAnsi="Arial"/>
          <w:sz w:val="24"/>
        </w:rPr>
        <w:t>extraídos por caries o aquellos dientes perdidos o extraídos por otras</w:t>
      </w:r>
      <w:r>
        <w:rPr>
          <w:rFonts w:ascii="Arial" w:hAnsi="Arial"/>
          <w:spacing w:val="-23"/>
          <w:sz w:val="24"/>
        </w:rPr>
        <w:t> </w:t>
      </w:r>
      <w:r>
        <w:rPr>
          <w:rFonts w:ascii="Arial" w:hAnsi="Arial"/>
          <w:sz w:val="24"/>
        </w:rPr>
        <w:t>razones.</w:t>
      </w:r>
    </w:p>
    <w:p>
      <w:pPr>
        <w:pStyle w:val="ListParagraph"/>
        <w:numPr>
          <w:ilvl w:val="0"/>
          <w:numId w:val="8"/>
        </w:numPr>
        <w:tabs>
          <w:tab w:pos="1259" w:val="left" w:leader="none"/>
        </w:tabs>
        <w:spacing w:line="480" w:lineRule="auto" w:before="8" w:after="0"/>
        <w:ind w:left="1258" w:right="145" w:hanging="360"/>
        <w:jc w:val="both"/>
        <w:rPr>
          <w:rFonts w:ascii="Arial"/>
          <w:sz w:val="24"/>
        </w:rPr>
      </w:pPr>
      <w:r>
        <w:rPr>
          <w:rFonts w:ascii="Arial"/>
          <w:sz w:val="24"/>
        </w:rPr>
        <w:t>Dientes no vitales deben ser anotados en la misma manera que los dientes vitales.</w:t>
      </w:r>
    </w:p>
    <w:p>
      <w:pPr>
        <w:pStyle w:val="ListParagraph"/>
        <w:numPr>
          <w:ilvl w:val="0"/>
          <w:numId w:val="8"/>
        </w:numPr>
        <w:tabs>
          <w:tab w:pos="1259" w:val="left" w:leader="none"/>
        </w:tabs>
        <w:spacing w:line="480" w:lineRule="auto" w:before="8" w:after="0"/>
        <w:ind w:left="1258" w:right="141" w:hanging="360"/>
        <w:jc w:val="both"/>
        <w:rPr>
          <w:rFonts w:ascii="Arial" w:hAnsi="Arial"/>
          <w:sz w:val="24"/>
        </w:rPr>
      </w:pPr>
      <w:r>
        <w:rPr>
          <w:rFonts w:ascii="Arial" w:hAnsi="Arial"/>
          <w:sz w:val="24"/>
        </w:rPr>
        <w:t>Dientes con bandas o bracketed. Todas las superficies visibles se deben examinar</w:t>
      </w:r>
      <w:r>
        <w:rPr>
          <w:rFonts w:ascii="Arial" w:hAnsi="Arial"/>
          <w:spacing w:val="-10"/>
          <w:sz w:val="24"/>
        </w:rPr>
        <w:t> </w:t>
      </w:r>
      <w:r>
        <w:rPr>
          <w:rFonts w:ascii="Arial" w:hAnsi="Arial"/>
          <w:sz w:val="24"/>
        </w:rPr>
        <w:t>de</w:t>
      </w:r>
      <w:r>
        <w:rPr>
          <w:rFonts w:ascii="Arial" w:hAnsi="Arial"/>
          <w:spacing w:val="-8"/>
          <w:sz w:val="24"/>
        </w:rPr>
        <w:t> </w:t>
      </w:r>
      <w:r>
        <w:rPr>
          <w:rFonts w:ascii="Arial" w:hAnsi="Arial"/>
          <w:sz w:val="24"/>
        </w:rPr>
        <w:t>la</w:t>
      </w:r>
      <w:r>
        <w:rPr>
          <w:rFonts w:ascii="Arial" w:hAnsi="Arial"/>
          <w:spacing w:val="-11"/>
          <w:sz w:val="24"/>
        </w:rPr>
        <w:t> </w:t>
      </w:r>
      <w:r>
        <w:rPr>
          <w:rFonts w:ascii="Arial" w:hAnsi="Arial"/>
          <w:sz w:val="24"/>
        </w:rPr>
        <w:t>mejor</w:t>
      </w:r>
      <w:r>
        <w:rPr>
          <w:rFonts w:ascii="Arial" w:hAnsi="Arial"/>
          <w:spacing w:val="-12"/>
          <w:sz w:val="24"/>
        </w:rPr>
        <w:t> </w:t>
      </w:r>
      <w:r>
        <w:rPr>
          <w:rFonts w:ascii="Arial" w:hAnsi="Arial"/>
          <w:sz w:val="24"/>
        </w:rPr>
        <w:t>manera</w:t>
      </w:r>
      <w:r>
        <w:rPr>
          <w:rFonts w:ascii="Arial" w:hAnsi="Arial"/>
          <w:spacing w:val="-11"/>
          <w:sz w:val="24"/>
        </w:rPr>
        <w:t> </w:t>
      </w:r>
      <w:r>
        <w:rPr>
          <w:rFonts w:ascii="Arial" w:hAnsi="Arial"/>
          <w:sz w:val="24"/>
        </w:rPr>
        <w:t>posible</w:t>
      </w:r>
      <w:r>
        <w:rPr>
          <w:rFonts w:ascii="Arial" w:hAnsi="Arial"/>
          <w:spacing w:val="-11"/>
          <w:sz w:val="24"/>
        </w:rPr>
        <w:t> </w:t>
      </w:r>
      <w:r>
        <w:rPr>
          <w:rFonts w:ascii="Arial" w:hAnsi="Arial"/>
          <w:sz w:val="24"/>
        </w:rPr>
        <w:t>y</w:t>
      </w:r>
      <w:r>
        <w:rPr>
          <w:rFonts w:ascii="Arial" w:hAnsi="Arial"/>
          <w:spacing w:val="-12"/>
          <w:sz w:val="24"/>
        </w:rPr>
        <w:t> </w:t>
      </w:r>
      <w:r>
        <w:rPr>
          <w:rFonts w:ascii="Arial" w:hAnsi="Arial"/>
          <w:sz w:val="24"/>
        </w:rPr>
        <w:t>anotar</w:t>
      </w:r>
      <w:r>
        <w:rPr>
          <w:rFonts w:ascii="Arial" w:hAnsi="Arial"/>
          <w:spacing w:val="-10"/>
          <w:sz w:val="24"/>
        </w:rPr>
        <w:t> </w:t>
      </w:r>
      <w:r>
        <w:rPr>
          <w:rFonts w:ascii="Arial" w:hAnsi="Arial"/>
          <w:sz w:val="24"/>
        </w:rPr>
        <w:t>en</w:t>
      </w:r>
      <w:r>
        <w:rPr>
          <w:rFonts w:ascii="Arial" w:hAnsi="Arial"/>
          <w:spacing w:val="-11"/>
          <w:sz w:val="24"/>
        </w:rPr>
        <w:t> </w:t>
      </w:r>
      <w:r>
        <w:rPr>
          <w:rFonts w:ascii="Arial" w:hAnsi="Arial"/>
          <w:sz w:val="24"/>
        </w:rPr>
        <w:t>la</w:t>
      </w:r>
      <w:r>
        <w:rPr>
          <w:rFonts w:ascii="Arial" w:hAnsi="Arial"/>
          <w:spacing w:val="-11"/>
          <w:sz w:val="24"/>
        </w:rPr>
        <w:t> </w:t>
      </w:r>
      <w:r>
        <w:rPr>
          <w:rFonts w:ascii="Arial" w:hAnsi="Arial"/>
          <w:sz w:val="24"/>
        </w:rPr>
        <w:t>forma</w:t>
      </w:r>
      <w:r>
        <w:rPr>
          <w:rFonts w:ascii="Arial" w:hAnsi="Arial"/>
          <w:spacing w:val="-11"/>
          <w:sz w:val="24"/>
        </w:rPr>
        <w:t> </w:t>
      </w:r>
      <w:r>
        <w:rPr>
          <w:rFonts w:ascii="Arial" w:hAnsi="Arial"/>
          <w:sz w:val="24"/>
        </w:rPr>
        <w:t>habitual.</w:t>
      </w:r>
      <w:r>
        <w:rPr>
          <w:rFonts w:ascii="Arial" w:hAnsi="Arial"/>
          <w:spacing w:val="-12"/>
          <w:sz w:val="24"/>
        </w:rPr>
        <w:t> </w:t>
      </w:r>
      <w:r>
        <w:rPr>
          <w:rFonts w:ascii="Arial" w:hAnsi="Arial"/>
          <w:sz w:val="24"/>
        </w:rPr>
        <w:t>Cuando</w:t>
      </w:r>
      <w:r>
        <w:rPr>
          <w:rFonts w:ascii="Arial" w:hAnsi="Arial"/>
          <w:spacing w:val="-11"/>
          <w:sz w:val="24"/>
        </w:rPr>
        <w:t> </w:t>
      </w:r>
      <w:r>
        <w:rPr>
          <w:rFonts w:ascii="Arial" w:hAnsi="Arial"/>
          <w:sz w:val="24"/>
        </w:rPr>
        <w:t>una superficie está completamente cubierta por una banda o soporte y no hay evidencia de la caries del diente  el código de estado es</w:t>
      </w:r>
      <w:r>
        <w:rPr>
          <w:rFonts w:ascii="Arial" w:hAnsi="Arial"/>
          <w:spacing w:val="-16"/>
          <w:sz w:val="24"/>
        </w:rPr>
        <w:t> </w:t>
      </w:r>
      <w:r>
        <w:rPr>
          <w:rFonts w:ascii="Arial" w:hAnsi="Arial"/>
          <w:sz w:val="24"/>
        </w:rPr>
        <w:t>"0".</w:t>
      </w:r>
    </w:p>
    <w:p>
      <w:pPr>
        <w:pStyle w:val="ListParagraph"/>
        <w:numPr>
          <w:ilvl w:val="0"/>
          <w:numId w:val="8"/>
        </w:numPr>
        <w:tabs>
          <w:tab w:pos="1259" w:val="left" w:leader="none"/>
        </w:tabs>
        <w:spacing w:line="480" w:lineRule="auto" w:before="8" w:after="0"/>
        <w:ind w:left="1258" w:right="147" w:hanging="360"/>
        <w:jc w:val="both"/>
        <w:rPr>
          <w:rFonts w:ascii="Arial" w:hAnsi="Arial"/>
          <w:sz w:val="24"/>
        </w:rPr>
      </w:pPr>
      <w:r>
        <w:rPr>
          <w:rFonts w:ascii="Arial" w:hAnsi="Arial"/>
          <w:sz w:val="24"/>
        </w:rPr>
        <w:t>En el caso de los dientes supernumerarios, el examinador debe decidió qué diente es el ocupante legítimo del espacio. Sólo un diente debe ser</w:t>
      </w:r>
      <w:r>
        <w:rPr>
          <w:rFonts w:ascii="Arial" w:hAnsi="Arial"/>
          <w:spacing w:val="-31"/>
          <w:sz w:val="24"/>
        </w:rPr>
        <w:t> </w:t>
      </w:r>
      <w:r>
        <w:rPr>
          <w:rFonts w:ascii="Arial" w:hAnsi="Arial"/>
          <w:sz w:val="24"/>
        </w:rPr>
        <w:t>anotado.</w:t>
      </w:r>
    </w:p>
    <w:p>
      <w:pPr>
        <w:pStyle w:val="ListParagraph"/>
        <w:numPr>
          <w:ilvl w:val="0"/>
          <w:numId w:val="8"/>
        </w:numPr>
        <w:tabs>
          <w:tab w:pos="1259" w:val="left" w:leader="none"/>
        </w:tabs>
        <w:spacing w:line="477" w:lineRule="auto" w:before="8" w:after="0"/>
        <w:ind w:left="1258" w:right="145" w:hanging="360"/>
        <w:jc w:val="both"/>
        <w:rPr>
          <w:rFonts w:ascii="Arial" w:hAnsi="Arial"/>
          <w:sz w:val="24"/>
        </w:rPr>
      </w:pPr>
      <w:r>
        <w:rPr>
          <w:rFonts w:ascii="Arial" w:hAnsi="Arial"/>
          <w:sz w:val="24"/>
        </w:rPr>
        <w:t>Cuando un diente temporal y permanente ocuparon el mismo espacio, sólo el diente permanente se</w:t>
      </w:r>
      <w:r>
        <w:rPr>
          <w:rFonts w:ascii="Arial" w:hAnsi="Arial"/>
          <w:spacing w:val="-9"/>
          <w:sz w:val="24"/>
        </w:rPr>
        <w:t> </w:t>
      </w:r>
      <w:r>
        <w:rPr>
          <w:rFonts w:ascii="Arial" w:hAnsi="Arial"/>
          <w:sz w:val="24"/>
        </w:rPr>
        <w:t>codifico.</w:t>
      </w:r>
    </w:p>
    <w:p>
      <w:pPr>
        <w:pStyle w:val="BodyText"/>
        <w:spacing w:line="480" w:lineRule="auto" w:before="10"/>
        <w:ind w:left="111" w:right="137"/>
        <w:jc w:val="both"/>
        <w:rPr>
          <w:sz w:val="16"/>
        </w:rPr>
      </w:pPr>
      <w:r>
        <w:rPr/>
        <w:t>Para determinar el porcentaje de niños con caries temprana de la infancia severa se tomaran los siguientes criterios: en niños menores de tres años de edad, cualquier signo de caries en superficies lisas es indicativo de caries de la infancia severa (CIT-S). De 3 a 5 años, 1 o más superficies cavitadas, perdidas (debido a caries) o superficies obturadas en los dientes anteriores maxilares primarios o superficies cariadas perdidas u obturadas con un puntaje ≥4  (3 años),  ≥ 5 (4 años ), o  ≥ 6(5 años) superficies, constituye caries  de la infancia temprana</w:t>
      </w:r>
      <w:r>
        <w:rPr>
          <w:spacing w:val="-11"/>
        </w:rPr>
        <w:t> </w:t>
      </w:r>
      <w:r>
        <w:rPr/>
        <w:t>severa.</w:t>
      </w:r>
      <w:r>
        <w:rPr>
          <w:position w:val="8"/>
          <w:sz w:val="16"/>
        </w:rPr>
        <w:t>38</w:t>
      </w:r>
    </w:p>
    <w:p>
      <w:pPr>
        <w:pStyle w:val="BodyText"/>
        <w:spacing w:line="480" w:lineRule="auto"/>
        <w:ind w:left="111" w:right="146"/>
        <w:jc w:val="both"/>
      </w:pPr>
      <w:r>
        <w:rPr/>
        <w:t>Una</w:t>
      </w:r>
      <w:r>
        <w:rPr>
          <w:spacing w:val="-13"/>
        </w:rPr>
        <w:t> </w:t>
      </w:r>
      <w:r>
        <w:rPr/>
        <w:t>vez</w:t>
      </w:r>
      <w:r>
        <w:rPr>
          <w:spacing w:val="-16"/>
        </w:rPr>
        <w:t> </w:t>
      </w:r>
      <w:r>
        <w:rPr/>
        <w:t>que</w:t>
      </w:r>
      <w:r>
        <w:rPr>
          <w:spacing w:val="-13"/>
        </w:rPr>
        <w:t> </w:t>
      </w:r>
      <w:r>
        <w:rPr/>
        <w:t>se</w:t>
      </w:r>
      <w:r>
        <w:rPr>
          <w:spacing w:val="-15"/>
        </w:rPr>
        <w:t> </w:t>
      </w:r>
      <w:r>
        <w:rPr/>
        <w:t>terminó</w:t>
      </w:r>
      <w:r>
        <w:rPr>
          <w:spacing w:val="-13"/>
        </w:rPr>
        <w:t> </w:t>
      </w:r>
      <w:r>
        <w:rPr/>
        <w:t>el</w:t>
      </w:r>
      <w:r>
        <w:rPr>
          <w:spacing w:val="-17"/>
        </w:rPr>
        <w:t> </w:t>
      </w:r>
      <w:r>
        <w:rPr/>
        <w:t>examen</w:t>
      </w:r>
      <w:r>
        <w:rPr>
          <w:spacing w:val="-13"/>
        </w:rPr>
        <w:t> </w:t>
      </w:r>
      <w:r>
        <w:rPr/>
        <w:t>se</w:t>
      </w:r>
      <w:r>
        <w:rPr>
          <w:spacing w:val="-13"/>
        </w:rPr>
        <w:t> </w:t>
      </w:r>
      <w:r>
        <w:rPr/>
        <w:t>les</w:t>
      </w:r>
      <w:r>
        <w:rPr>
          <w:spacing w:val="-14"/>
        </w:rPr>
        <w:t> </w:t>
      </w:r>
      <w:r>
        <w:rPr/>
        <w:t>informo</w:t>
      </w:r>
      <w:r>
        <w:rPr>
          <w:spacing w:val="-16"/>
        </w:rPr>
        <w:t> </w:t>
      </w:r>
      <w:r>
        <w:rPr/>
        <w:t>a</w:t>
      </w:r>
      <w:r>
        <w:rPr>
          <w:spacing w:val="-13"/>
        </w:rPr>
        <w:t> </w:t>
      </w:r>
      <w:r>
        <w:rPr/>
        <w:t>los</w:t>
      </w:r>
      <w:r>
        <w:rPr>
          <w:spacing w:val="-16"/>
        </w:rPr>
        <w:t> </w:t>
      </w:r>
      <w:r>
        <w:rPr/>
        <w:t>padres</w:t>
      </w:r>
      <w:r>
        <w:rPr>
          <w:spacing w:val="-16"/>
        </w:rPr>
        <w:t> </w:t>
      </w:r>
      <w:r>
        <w:rPr/>
        <w:t>de</w:t>
      </w:r>
      <w:r>
        <w:rPr>
          <w:spacing w:val="-16"/>
        </w:rPr>
        <w:t> </w:t>
      </w:r>
      <w:r>
        <w:rPr/>
        <w:t>familia</w:t>
      </w:r>
      <w:r>
        <w:rPr>
          <w:spacing w:val="-13"/>
        </w:rPr>
        <w:t> </w:t>
      </w:r>
      <w:r>
        <w:rPr/>
        <w:t>o</w:t>
      </w:r>
      <w:r>
        <w:rPr>
          <w:spacing w:val="-15"/>
        </w:rPr>
        <w:t> </w:t>
      </w:r>
      <w:r>
        <w:rPr/>
        <w:t>tutores</w:t>
      </w:r>
      <w:r>
        <w:rPr>
          <w:spacing w:val="-16"/>
        </w:rPr>
        <w:t> </w:t>
      </w:r>
      <w:r>
        <w:rPr/>
        <w:t>el</w:t>
      </w:r>
      <w:r>
        <w:rPr>
          <w:spacing w:val="-17"/>
        </w:rPr>
        <w:t> </w:t>
      </w:r>
      <w:r>
        <w:rPr/>
        <w:t>estado de  salud  dental  de  los  niños  y  se  les  entrego  información  respecto  a  las</w:t>
      </w:r>
      <w:r>
        <w:rPr>
          <w:spacing w:val="66"/>
        </w:rPr>
        <w:t> </w:t>
      </w:r>
      <w:r>
        <w:rPr/>
        <w:t>medidas</w:t>
      </w:r>
    </w:p>
    <w:p>
      <w:pPr>
        <w:spacing w:after="0" w:line="480" w:lineRule="auto"/>
        <w:jc w:val="both"/>
        <w:sectPr>
          <w:pgSz w:w="12240" w:h="15840"/>
          <w:pgMar w:header="686" w:footer="964" w:top="1080" w:bottom="1160" w:left="880" w:right="1560"/>
        </w:sectPr>
      </w:pPr>
    </w:p>
    <w:p>
      <w:pPr>
        <w:pStyle w:val="BodyText"/>
        <w:rPr>
          <w:sz w:val="20"/>
        </w:rPr>
      </w:pPr>
    </w:p>
    <w:p>
      <w:pPr>
        <w:pStyle w:val="BodyText"/>
        <w:spacing w:before="3"/>
        <w:rPr>
          <w:sz w:val="27"/>
        </w:rPr>
      </w:pPr>
    </w:p>
    <w:p>
      <w:pPr>
        <w:pStyle w:val="BodyText"/>
        <w:spacing w:line="480" w:lineRule="auto" w:before="69"/>
        <w:ind w:left="111" w:right="136"/>
        <w:jc w:val="both"/>
      </w:pPr>
      <w:r>
        <w:rPr/>
        <w:t>preventivas que deben llevar a cabo (Anexo III), así mismo se les explico el tratamiento que deberán llevar a cabo, y los niños fueron canalizados a para su atención y posteriormente se entregó a las autoridades un informe técnico y las propuestas de prevención</w:t>
      </w:r>
    </w:p>
    <w:p>
      <w:pPr>
        <w:pStyle w:val="Heading1"/>
        <w:numPr>
          <w:ilvl w:val="1"/>
          <w:numId w:val="6"/>
        </w:numPr>
        <w:tabs>
          <w:tab w:pos="514" w:val="left" w:leader="none"/>
        </w:tabs>
        <w:spacing w:line="240" w:lineRule="auto" w:before="8" w:after="0"/>
        <w:ind w:left="513" w:right="0" w:hanging="402"/>
        <w:jc w:val="both"/>
      </w:pPr>
      <w:r>
        <w:rPr/>
        <w:t>Variables de</w:t>
      </w:r>
      <w:r>
        <w:rPr>
          <w:spacing w:val="-7"/>
        </w:rPr>
        <w:t> </w:t>
      </w:r>
      <w:r>
        <w:rPr/>
        <w:t>Estudio</w:t>
      </w:r>
    </w:p>
    <w:p>
      <w:pPr>
        <w:pStyle w:val="BodyText"/>
        <w:spacing w:before="9"/>
        <w:rPr>
          <w:b/>
          <w:sz w:val="23"/>
        </w:rPr>
      </w:pPr>
    </w:p>
    <w:p>
      <w:pPr>
        <w:spacing w:line="480" w:lineRule="auto" w:before="0"/>
        <w:ind w:left="680" w:right="0" w:firstLine="0"/>
        <w:jc w:val="left"/>
        <w:rPr>
          <w:i/>
          <w:sz w:val="24"/>
        </w:rPr>
      </w:pPr>
      <w:r>
        <w:rPr>
          <w:i/>
          <w:sz w:val="24"/>
        </w:rPr>
        <w:t>Independientes: Sexo, edad, Talla, peso, materia alba, factores sociodemográficos, </w:t>
      </w:r>
      <w:r>
        <w:rPr>
          <w:i/>
          <w:sz w:val="24"/>
        </w:rPr>
        <w:t>hábitos higiénicos y dietéticos.</w:t>
      </w:r>
    </w:p>
    <w:p>
      <w:pPr>
        <w:spacing w:before="8"/>
        <w:ind w:left="680" w:right="0" w:firstLine="0"/>
        <w:jc w:val="left"/>
        <w:rPr>
          <w:i/>
          <w:sz w:val="24"/>
        </w:rPr>
      </w:pPr>
      <w:r>
        <w:rPr>
          <w:i/>
          <w:sz w:val="24"/>
        </w:rPr>
        <w:t>Dependientes: Diagnóstico del sistema ICDAS</w:t>
      </w:r>
    </w:p>
    <w:p>
      <w:pPr>
        <w:pStyle w:val="BodyText"/>
        <w:spacing w:before="4"/>
        <w:rPr>
          <w:i/>
        </w:rPr>
      </w:pPr>
    </w:p>
    <w:p>
      <w:pPr>
        <w:pStyle w:val="Heading1"/>
        <w:spacing w:before="1"/>
        <w:ind w:left="2118"/>
        <w:jc w:val="left"/>
      </w:pPr>
      <w:r>
        <w:rPr/>
        <w:t>Tabla 1. Definición Operacional y Conceptual de Variables</w:t>
      </w:r>
    </w:p>
    <w:p>
      <w:pPr>
        <w:pStyle w:val="BodyText"/>
        <w:rPr>
          <w:b/>
          <w:sz w:val="21"/>
        </w:rPr>
      </w:pPr>
    </w:p>
    <w:tbl>
      <w:tblPr>
        <w:tblW w:w="0" w:type="auto"/>
        <w:jc w:val="left"/>
        <w:tblInd w:w="5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702"/>
        <w:gridCol w:w="3471"/>
        <w:gridCol w:w="1198"/>
        <w:gridCol w:w="1009"/>
      </w:tblGrid>
      <w:tr>
        <w:trPr>
          <w:trHeight w:val="425" w:hRule="exact"/>
        </w:trPr>
        <w:tc>
          <w:tcPr>
            <w:tcW w:w="1697" w:type="dxa"/>
          </w:tcPr>
          <w:p>
            <w:pPr>
              <w:pStyle w:val="TableParagraph"/>
              <w:spacing w:before="97"/>
              <w:ind w:left="277" w:right="278"/>
              <w:jc w:val="center"/>
              <w:rPr>
                <w:rFonts w:ascii="Arial"/>
                <w:b/>
                <w:sz w:val="18"/>
              </w:rPr>
            </w:pPr>
            <w:r>
              <w:rPr>
                <w:rFonts w:ascii="Arial"/>
                <w:b/>
                <w:sz w:val="18"/>
              </w:rPr>
              <w:t>Variable</w:t>
            </w:r>
          </w:p>
        </w:tc>
        <w:tc>
          <w:tcPr>
            <w:tcW w:w="1702" w:type="dxa"/>
          </w:tcPr>
          <w:p>
            <w:pPr>
              <w:pStyle w:val="TableParagraph"/>
              <w:spacing w:line="242" w:lineRule="auto"/>
              <w:ind w:left="369" w:right="353" w:firstLine="38"/>
              <w:rPr>
                <w:rFonts w:ascii="Arial" w:hAnsi="Arial"/>
                <w:b/>
                <w:sz w:val="18"/>
              </w:rPr>
            </w:pPr>
            <w:r>
              <w:rPr>
                <w:rFonts w:ascii="Arial" w:hAnsi="Arial"/>
                <w:b/>
                <w:sz w:val="18"/>
              </w:rPr>
              <w:t>Definición conceptual</w:t>
            </w:r>
          </w:p>
        </w:tc>
        <w:tc>
          <w:tcPr>
            <w:tcW w:w="3471" w:type="dxa"/>
          </w:tcPr>
          <w:p>
            <w:pPr>
              <w:pStyle w:val="TableParagraph"/>
              <w:spacing w:before="97"/>
              <w:ind w:left="208" w:right="208"/>
              <w:jc w:val="center"/>
              <w:rPr>
                <w:rFonts w:ascii="Arial" w:hAnsi="Arial"/>
                <w:b/>
                <w:sz w:val="18"/>
              </w:rPr>
            </w:pPr>
            <w:r>
              <w:rPr>
                <w:rFonts w:ascii="Arial" w:hAnsi="Arial"/>
                <w:b/>
                <w:sz w:val="18"/>
              </w:rPr>
              <w:t>Definición operacional</w:t>
            </w:r>
          </w:p>
        </w:tc>
        <w:tc>
          <w:tcPr>
            <w:tcW w:w="1198" w:type="dxa"/>
          </w:tcPr>
          <w:p>
            <w:pPr>
              <w:pStyle w:val="TableParagraph"/>
              <w:spacing w:line="242" w:lineRule="auto"/>
              <w:ind w:left="251" w:right="236" w:firstLine="19"/>
              <w:rPr>
                <w:rFonts w:ascii="Arial"/>
                <w:b/>
                <w:sz w:val="18"/>
              </w:rPr>
            </w:pPr>
            <w:r>
              <w:rPr>
                <w:rFonts w:ascii="Arial"/>
                <w:b/>
                <w:sz w:val="18"/>
              </w:rPr>
              <w:t>Tipo de variable</w:t>
            </w:r>
          </w:p>
        </w:tc>
        <w:tc>
          <w:tcPr>
            <w:tcW w:w="1009" w:type="dxa"/>
          </w:tcPr>
          <w:p>
            <w:pPr>
              <w:pStyle w:val="TableParagraph"/>
              <w:spacing w:line="242" w:lineRule="auto"/>
              <w:ind w:left="108" w:right="67" w:hanging="27"/>
              <w:rPr>
                <w:rFonts w:ascii="Arial" w:hAnsi="Arial"/>
                <w:b/>
                <w:sz w:val="18"/>
              </w:rPr>
            </w:pPr>
            <w:r>
              <w:rPr>
                <w:rFonts w:ascii="Arial" w:hAnsi="Arial"/>
                <w:b/>
                <w:sz w:val="18"/>
              </w:rPr>
              <w:t>Escala de Medición</w:t>
            </w:r>
          </w:p>
        </w:tc>
      </w:tr>
      <w:tr>
        <w:trPr>
          <w:trHeight w:val="216" w:hRule="exact"/>
        </w:trPr>
        <w:tc>
          <w:tcPr>
            <w:tcW w:w="9076" w:type="dxa"/>
            <w:gridSpan w:val="5"/>
          </w:tcPr>
          <w:p>
            <w:pPr>
              <w:pStyle w:val="TableParagraph"/>
              <w:spacing w:line="201" w:lineRule="exact"/>
              <w:ind w:left="2870"/>
              <w:rPr>
                <w:rFonts w:ascii="Arial" w:hAnsi="Arial"/>
                <w:b/>
                <w:sz w:val="18"/>
              </w:rPr>
            </w:pPr>
            <w:r>
              <w:rPr>
                <w:rFonts w:ascii="Arial" w:hAnsi="Arial"/>
                <w:b/>
                <w:sz w:val="18"/>
              </w:rPr>
              <w:t>Variables Dependientes (continuación)</w:t>
            </w:r>
          </w:p>
        </w:tc>
      </w:tr>
      <w:tr>
        <w:trPr>
          <w:trHeight w:val="2703" w:hRule="exact"/>
        </w:trPr>
        <w:tc>
          <w:tcPr>
            <w:tcW w:w="1697" w:type="dxa"/>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
              <w:ind w:left="277" w:right="278"/>
              <w:jc w:val="center"/>
              <w:rPr>
                <w:rFonts w:ascii="Arial"/>
                <w:sz w:val="18"/>
              </w:rPr>
            </w:pPr>
            <w:r>
              <w:rPr>
                <w:rFonts w:ascii="Arial"/>
                <w:sz w:val="18"/>
              </w:rPr>
              <w:t>Caries Dental</w:t>
            </w:r>
          </w:p>
        </w:tc>
        <w:tc>
          <w:tcPr>
            <w:tcW w:w="1702" w:type="dxa"/>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04"/>
              <w:ind w:left="352" w:right="65" w:hanging="276"/>
              <w:rPr>
                <w:rFonts w:ascii="Arial" w:hAnsi="Arial"/>
                <w:sz w:val="18"/>
              </w:rPr>
            </w:pPr>
            <w:r>
              <w:rPr>
                <w:rFonts w:ascii="Arial" w:hAnsi="Arial"/>
                <w:sz w:val="18"/>
              </w:rPr>
              <w:t>Proceso patológico posteruptivo</w:t>
            </w:r>
          </w:p>
        </w:tc>
        <w:tc>
          <w:tcPr>
            <w:tcW w:w="3471" w:type="dxa"/>
          </w:tcPr>
          <w:p>
            <w:pPr>
              <w:pStyle w:val="TableParagraph"/>
              <w:ind w:left="64" w:right="125"/>
              <w:rPr>
                <w:rFonts w:ascii="Arial" w:hAnsi="Arial"/>
                <w:sz w:val="18"/>
              </w:rPr>
            </w:pPr>
            <w:r>
              <w:rPr>
                <w:rFonts w:ascii="Arial" w:hAnsi="Arial"/>
                <w:sz w:val="18"/>
              </w:rPr>
              <w:t>Códigos de Restauraciones y Selladores 0= No sellado ni restaurado</w:t>
            </w:r>
          </w:p>
          <w:p>
            <w:pPr>
              <w:pStyle w:val="TableParagraph"/>
              <w:spacing w:line="206" w:lineRule="exact"/>
              <w:ind w:left="64" w:right="125"/>
              <w:rPr>
                <w:rFonts w:ascii="Arial"/>
                <w:sz w:val="18"/>
              </w:rPr>
            </w:pPr>
            <w:r>
              <w:rPr>
                <w:rFonts w:ascii="Arial"/>
                <w:sz w:val="18"/>
              </w:rPr>
              <w:t>1= Sellado parcialmente</w:t>
            </w:r>
          </w:p>
          <w:p>
            <w:pPr>
              <w:pStyle w:val="TableParagraph"/>
              <w:ind w:left="64" w:right="550"/>
              <w:rPr>
                <w:rFonts w:ascii="Arial" w:hAnsi="Arial"/>
                <w:sz w:val="18"/>
              </w:rPr>
            </w:pPr>
            <w:r>
              <w:rPr>
                <w:rFonts w:ascii="Arial" w:hAnsi="Arial"/>
                <w:sz w:val="18"/>
              </w:rPr>
              <w:t>2= Sellado Totalmente 3=Restauración del color del diente 4= Restauración con amalgama</w:t>
            </w:r>
          </w:p>
          <w:p>
            <w:pPr>
              <w:pStyle w:val="TableParagraph"/>
              <w:spacing w:line="207" w:lineRule="exact"/>
              <w:ind w:left="64" w:right="125"/>
              <w:rPr>
                <w:rFonts w:ascii="Arial"/>
                <w:sz w:val="18"/>
              </w:rPr>
            </w:pPr>
            <w:r>
              <w:rPr>
                <w:rFonts w:ascii="Arial"/>
                <w:sz w:val="18"/>
              </w:rPr>
              <w:t>5= Corona de acero cromo</w:t>
            </w:r>
          </w:p>
          <w:p>
            <w:pPr>
              <w:pStyle w:val="TableParagraph"/>
              <w:ind w:left="64" w:right="177"/>
              <w:rPr>
                <w:rFonts w:ascii="Arial"/>
                <w:sz w:val="18"/>
              </w:rPr>
            </w:pPr>
            <w:r>
              <w:rPr>
                <w:rFonts w:ascii="Arial"/>
                <w:sz w:val="18"/>
              </w:rPr>
              <w:t>6=Corona o carilla de porcelana, oro, o meta-porcelana (PFM) o Veneer</w:t>
            </w:r>
          </w:p>
          <w:p>
            <w:pPr>
              <w:pStyle w:val="TableParagraph"/>
              <w:spacing w:before="2"/>
              <w:ind w:left="64" w:right="414"/>
              <w:rPr>
                <w:rFonts w:ascii="Arial" w:hAnsi="Arial"/>
                <w:sz w:val="18"/>
              </w:rPr>
            </w:pPr>
            <w:r>
              <w:rPr>
                <w:rFonts w:ascii="Arial" w:hAnsi="Arial"/>
                <w:sz w:val="18"/>
              </w:rPr>
              <w:t>7.- Restauración perdida o fracturada 8.-Restauración temporal</w:t>
            </w:r>
          </w:p>
          <w:p>
            <w:pPr>
              <w:pStyle w:val="TableParagraph"/>
              <w:ind w:left="64" w:right="125"/>
              <w:rPr>
                <w:rFonts w:ascii="Arial" w:hAnsi="Arial"/>
                <w:sz w:val="18"/>
              </w:rPr>
            </w:pPr>
            <w:r>
              <w:rPr>
                <w:rFonts w:ascii="Arial" w:hAnsi="Arial"/>
                <w:sz w:val="18"/>
              </w:rPr>
              <w:t>A un código de 2 dígitos se debe ser utilizado</w:t>
            </w:r>
          </w:p>
        </w:tc>
        <w:tc>
          <w:tcPr>
            <w:tcW w:w="1198" w:type="dxa"/>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04"/>
              <w:ind w:left="232" w:right="103" w:hanging="118"/>
              <w:rPr>
                <w:rFonts w:ascii="Arial"/>
                <w:sz w:val="18"/>
              </w:rPr>
            </w:pPr>
            <w:r>
              <w:rPr>
                <w:rFonts w:ascii="Arial"/>
                <w:sz w:val="18"/>
              </w:rPr>
              <w:t>Cuantitativa Continua</w:t>
            </w:r>
          </w:p>
        </w:tc>
        <w:tc>
          <w:tcPr>
            <w:tcW w:w="1009" w:type="dxa"/>
          </w:tcPr>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rPr>
                <w:rFonts w:ascii="Arial"/>
                <w:b/>
                <w:sz w:val="18"/>
              </w:rPr>
            </w:pPr>
          </w:p>
          <w:p>
            <w:pPr>
              <w:pStyle w:val="TableParagraph"/>
              <w:spacing w:before="1"/>
              <w:ind w:left="147" w:right="147"/>
              <w:jc w:val="center"/>
              <w:rPr>
                <w:rFonts w:ascii="Arial" w:hAnsi="Arial"/>
                <w:sz w:val="18"/>
              </w:rPr>
            </w:pPr>
            <w:r>
              <w:rPr>
                <w:rFonts w:ascii="Arial" w:hAnsi="Arial"/>
                <w:sz w:val="18"/>
              </w:rPr>
              <w:t>Razón</w:t>
            </w:r>
          </w:p>
        </w:tc>
      </w:tr>
      <w:tr>
        <w:trPr>
          <w:trHeight w:val="216" w:hRule="exact"/>
        </w:trPr>
        <w:tc>
          <w:tcPr>
            <w:tcW w:w="9076" w:type="dxa"/>
            <w:gridSpan w:val="5"/>
          </w:tcPr>
          <w:p>
            <w:pPr>
              <w:pStyle w:val="TableParagraph"/>
              <w:spacing w:line="201" w:lineRule="exact"/>
              <w:ind w:left="3527" w:right="3528"/>
              <w:jc w:val="center"/>
              <w:rPr>
                <w:rFonts w:ascii="Arial"/>
                <w:b/>
                <w:sz w:val="18"/>
              </w:rPr>
            </w:pPr>
            <w:r>
              <w:rPr>
                <w:rFonts w:ascii="Arial"/>
                <w:b/>
                <w:sz w:val="18"/>
              </w:rPr>
              <w:t>Variable Independiente</w:t>
            </w:r>
          </w:p>
        </w:tc>
      </w:tr>
      <w:tr>
        <w:trPr>
          <w:trHeight w:val="425" w:hRule="exact"/>
        </w:trPr>
        <w:tc>
          <w:tcPr>
            <w:tcW w:w="1697" w:type="dxa"/>
          </w:tcPr>
          <w:p>
            <w:pPr>
              <w:pStyle w:val="TableParagraph"/>
              <w:spacing w:before="102"/>
              <w:ind w:left="277" w:right="278"/>
              <w:jc w:val="center"/>
              <w:rPr>
                <w:rFonts w:ascii="Arial"/>
                <w:sz w:val="18"/>
              </w:rPr>
            </w:pPr>
            <w:r>
              <w:rPr>
                <w:rFonts w:ascii="Arial"/>
                <w:sz w:val="18"/>
              </w:rPr>
              <w:t>Edad</w:t>
            </w:r>
          </w:p>
        </w:tc>
        <w:tc>
          <w:tcPr>
            <w:tcW w:w="1702" w:type="dxa"/>
          </w:tcPr>
          <w:p>
            <w:pPr>
              <w:pStyle w:val="TableParagraph"/>
              <w:ind w:left="88" w:right="73" w:firstLine="153"/>
              <w:rPr>
                <w:rFonts w:ascii="Arial"/>
                <w:sz w:val="18"/>
              </w:rPr>
            </w:pPr>
            <w:r>
              <w:rPr>
                <w:rFonts w:ascii="Arial"/>
                <w:sz w:val="18"/>
              </w:rPr>
              <w:t>Tiempo que ha vivido una persona</w:t>
            </w:r>
          </w:p>
        </w:tc>
        <w:tc>
          <w:tcPr>
            <w:tcW w:w="3471" w:type="dxa"/>
          </w:tcPr>
          <w:p>
            <w:pPr>
              <w:pStyle w:val="TableParagraph"/>
              <w:ind w:left="563" w:right="118" w:hanging="432"/>
              <w:rPr>
                <w:rFonts w:ascii="Arial" w:hAnsi="Arial"/>
                <w:sz w:val="18"/>
              </w:rPr>
            </w:pPr>
            <w:r>
              <w:rPr>
                <w:rFonts w:ascii="Arial" w:hAnsi="Arial"/>
                <w:sz w:val="18"/>
              </w:rPr>
              <w:t>Años cumplidos hasta el momento de la recolección de la información</w:t>
            </w:r>
          </w:p>
        </w:tc>
        <w:tc>
          <w:tcPr>
            <w:tcW w:w="1198" w:type="dxa"/>
          </w:tcPr>
          <w:p>
            <w:pPr>
              <w:pStyle w:val="TableParagraph"/>
              <w:ind w:left="261" w:right="103" w:hanging="147"/>
              <w:rPr>
                <w:rFonts w:ascii="Arial"/>
                <w:sz w:val="18"/>
              </w:rPr>
            </w:pPr>
            <w:r>
              <w:rPr>
                <w:rFonts w:ascii="Arial"/>
                <w:sz w:val="18"/>
              </w:rPr>
              <w:t>Cuantitativa Discreta</w:t>
            </w:r>
          </w:p>
        </w:tc>
        <w:tc>
          <w:tcPr>
            <w:tcW w:w="1009" w:type="dxa"/>
          </w:tcPr>
          <w:p>
            <w:pPr>
              <w:pStyle w:val="TableParagraph"/>
              <w:spacing w:before="10"/>
              <w:rPr>
                <w:rFonts w:ascii="Arial"/>
                <w:b/>
                <w:sz w:val="17"/>
              </w:rPr>
            </w:pPr>
          </w:p>
          <w:p>
            <w:pPr>
              <w:pStyle w:val="TableParagraph"/>
              <w:ind w:left="147" w:right="147"/>
              <w:jc w:val="center"/>
              <w:rPr>
                <w:rFonts w:ascii="Arial" w:hAnsi="Arial"/>
                <w:sz w:val="18"/>
              </w:rPr>
            </w:pPr>
            <w:r>
              <w:rPr>
                <w:rFonts w:ascii="Arial" w:hAnsi="Arial"/>
                <w:sz w:val="18"/>
              </w:rPr>
              <w:t>Razón</w:t>
            </w:r>
          </w:p>
        </w:tc>
      </w:tr>
      <w:tr>
        <w:trPr>
          <w:trHeight w:val="838" w:hRule="exact"/>
        </w:trPr>
        <w:tc>
          <w:tcPr>
            <w:tcW w:w="1697" w:type="dxa"/>
          </w:tcPr>
          <w:p>
            <w:pPr>
              <w:pStyle w:val="TableParagraph"/>
              <w:spacing w:before="9"/>
              <w:rPr>
                <w:rFonts w:ascii="Arial"/>
                <w:b/>
                <w:sz w:val="26"/>
              </w:rPr>
            </w:pPr>
          </w:p>
          <w:p>
            <w:pPr>
              <w:pStyle w:val="TableParagraph"/>
              <w:ind w:left="272" w:right="278"/>
              <w:jc w:val="center"/>
              <w:rPr>
                <w:rFonts w:ascii="Arial"/>
                <w:sz w:val="18"/>
              </w:rPr>
            </w:pPr>
            <w:r>
              <w:rPr>
                <w:rFonts w:ascii="Arial"/>
                <w:sz w:val="18"/>
              </w:rPr>
              <w:t>Sexo</w:t>
            </w:r>
          </w:p>
        </w:tc>
        <w:tc>
          <w:tcPr>
            <w:tcW w:w="1702" w:type="dxa"/>
          </w:tcPr>
          <w:p>
            <w:pPr>
              <w:pStyle w:val="TableParagraph"/>
              <w:ind w:left="69" w:right="70" w:hanging="5"/>
              <w:jc w:val="center"/>
              <w:rPr>
                <w:rFonts w:ascii="Arial" w:hAnsi="Arial"/>
                <w:sz w:val="18"/>
              </w:rPr>
            </w:pPr>
            <w:r>
              <w:rPr>
                <w:rFonts w:ascii="Arial" w:hAnsi="Arial"/>
                <w:sz w:val="18"/>
              </w:rPr>
              <w:t>Características biológicas que distinguen al hombre de la mujer</w:t>
            </w:r>
          </w:p>
        </w:tc>
        <w:tc>
          <w:tcPr>
            <w:tcW w:w="3471" w:type="dxa"/>
          </w:tcPr>
          <w:p>
            <w:pPr>
              <w:pStyle w:val="TableParagraph"/>
              <w:spacing w:before="102"/>
              <w:ind w:left="208" w:right="208"/>
              <w:jc w:val="center"/>
              <w:rPr>
                <w:rFonts w:ascii="Arial" w:hAnsi="Arial"/>
                <w:sz w:val="18"/>
              </w:rPr>
            </w:pPr>
            <w:r>
              <w:rPr>
                <w:rFonts w:ascii="Arial" w:hAnsi="Arial"/>
                <w:sz w:val="18"/>
              </w:rPr>
              <w:t>Género al que pertenece una persona 1 Mujer</w:t>
            </w:r>
          </w:p>
          <w:p>
            <w:pPr>
              <w:pStyle w:val="TableParagraph"/>
              <w:spacing w:line="206" w:lineRule="exact"/>
              <w:ind w:left="207" w:right="208"/>
              <w:jc w:val="center"/>
              <w:rPr>
                <w:rFonts w:ascii="Arial"/>
                <w:sz w:val="18"/>
              </w:rPr>
            </w:pPr>
            <w:r>
              <w:rPr>
                <w:rFonts w:ascii="Arial"/>
                <w:sz w:val="18"/>
              </w:rPr>
              <w:t>2 Hombre</w:t>
            </w:r>
          </w:p>
        </w:tc>
        <w:tc>
          <w:tcPr>
            <w:tcW w:w="1198" w:type="dxa"/>
          </w:tcPr>
          <w:p>
            <w:pPr>
              <w:pStyle w:val="TableParagraph"/>
              <w:spacing w:before="9"/>
              <w:rPr>
                <w:rFonts w:ascii="Arial"/>
                <w:b/>
                <w:sz w:val="26"/>
              </w:rPr>
            </w:pPr>
          </w:p>
          <w:p>
            <w:pPr>
              <w:pStyle w:val="TableParagraph"/>
              <w:ind w:left="172" w:right="103"/>
              <w:rPr>
                <w:rFonts w:ascii="Arial"/>
                <w:sz w:val="18"/>
              </w:rPr>
            </w:pPr>
            <w:r>
              <w:rPr>
                <w:rFonts w:ascii="Arial"/>
                <w:sz w:val="18"/>
              </w:rPr>
              <w:t>Cualitativa</w:t>
            </w:r>
          </w:p>
        </w:tc>
        <w:tc>
          <w:tcPr>
            <w:tcW w:w="1009" w:type="dxa"/>
          </w:tcPr>
          <w:p>
            <w:pPr>
              <w:pStyle w:val="TableParagraph"/>
              <w:spacing w:before="9"/>
              <w:rPr>
                <w:rFonts w:ascii="Arial"/>
                <w:b/>
                <w:sz w:val="26"/>
              </w:rPr>
            </w:pPr>
          </w:p>
          <w:p>
            <w:pPr>
              <w:pStyle w:val="TableParagraph"/>
              <w:ind w:left="146" w:right="149"/>
              <w:jc w:val="center"/>
              <w:rPr>
                <w:rFonts w:ascii="Arial"/>
                <w:sz w:val="18"/>
              </w:rPr>
            </w:pPr>
            <w:r>
              <w:rPr>
                <w:rFonts w:ascii="Arial"/>
                <w:sz w:val="18"/>
              </w:rPr>
              <w:t>Nominal</w:t>
            </w:r>
          </w:p>
        </w:tc>
      </w:tr>
      <w:tr>
        <w:trPr>
          <w:trHeight w:val="1251" w:hRule="exact"/>
        </w:trPr>
        <w:tc>
          <w:tcPr>
            <w:tcW w:w="1697" w:type="dxa"/>
          </w:tcPr>
          <w:p>
            <w:pPr>
              <w:pStyle w:val="TableParagraph"/>
              <w:rPr>
                <w:rFonts w:ascii="Arial"/>
                <w:b/>
                <w:sz w:val="18"/>
              </w:rPr>
            </w:pPr>
          </w:p>
          <w:p>
            <w:pPr>
              <w:pStyle w:val="TableParagraph"/>
              <w:rPr>
                <w:rFonts w:ascii="Arial"/>
                <w:b/>
                <w:sz w:val="18"/>
              </w:rPr>
            </w:pPr>
          </w:p>
          <w:p>
            <w:pPr>
              <w:pStyle w:val="TableParagraph"/>
              <w:spacing w:before="104"/>
              <w:ind w:left="274" w:right="278"/>
              <w:jc w:val="center"/>
              <w:rPr>
                <w:rFonts w:ascii="Arial"/>
                <w:sz w:val="18"/>
              </w:rPr>
            </w:pPr>
            <w:r>
              <w:rPr>
                <w:rFonts w:ascii="Arial"/>
                <w:sz w:val="18"/>
              </w:rPr>
              <w:t>Talla</w:t>
            </w:r>
          </w:p>
        </w:tc>
        <w:tc>
          <w:tcPr>
            <w:tcW w:w="1702" w:type="dxa"/>
          </w:tcPr>
          <w:p>
            <w:pPr>
              <w:pStyle w:val="TableParagraph"/>
              <w:ind w:left="71" w:right="77" w:firstLine="2"/>
              <w:jc w:val="center"/>
              <w:rPr>
                <w:rFonts w:ascii="Arial" w:hAnsi="Arial"/>
                <w:sz w:val="18"/>
              </w:rPr>
            </w:pPr>
            <w:r>
              <w:rPr>
                <w:rFonts w:ascii="Arial" w:hAnsi="Arial"/>
                <w:sz w:val="18"/>
              </w:rPr>
              <w:t>Medida de la estatura del cuerpo humano desde los pies hasta el techo de la bóveda del cráneo</w:t>
            </w:r>
          </w:p>
        </w:tc>
        <w:tc>
          <w:tcPr>
            <w:tcW w:w="3471" w:type="dxa"/>
          </w:tcPr>
          <w:p>
            <w:pPr>
              <w:pStyle w:val="TableParagraph"/>
              <w:rPr>
                <w:rFonts w:ascii="Arial"/>
                <w:b/>
                <w:sz w:val="18"/>
              </w:rPr>
            </w:pPr>
          </w:p>
          <w:p>
            <w:pPr>
              <w:pStyle w:val="TableParagraph"/>
              <w:rPr>
                <w:rFonts w:ascii="Arial"/>
                <w:b/>
                <w:sz w:val="18"/>
              </w:rPr>
            </w:pPr>
          </w:p>
          <w:p>
            <w:pPr>
              <w:pStyle w:val="TableParagraph"/>
              <w:spacing w:before="104"/>
              <w:ind w:left="208" w:right="208"/>
              <w:jc w:val="center"/>
              <w:rPr>
                <w:rFonts w:ascii="Arial" w:hAnsi="Arial"/>
                <w:sz w:val="18"/>
              </w:rPr>
            </w:pPr>
            <w:r>
              <w:rPr>
                <w:rFonts w:ascii="Arial" w:hAnsi="Arial"/>
                <w:sz w:val="18"/>
              </w:rPr>
              <w:t>Medida en centímetros</w:t>
            </w:r>
          </w:p>
        </w:tc>
        <w:tc>
          <w:tcPr>
            <w:tcW w:w="1198" w:type="dxa"/>
          </w:tcPr>
          <w:p>
            <w:pPr>
              <w:pStyle w:val="TableParagraph"/>
              <w:rPr>
                <w:rFonts w:ascii="Arial"/>
                <w:b/>
                <w:sz w:val="18"/>
              </w:rPr>
            </w:pPr>
          </w:p>
          <w:p>
            <w:pPr>
              <w:pStyle w:val="TableParagraph"/>
              <w:spacing w:before="10"/>
              <w:rPr>
                <w:rFonts w:ascii="Arial"/>
                <w:b/>
                <w:sz w:val="17"/>
              </w:rPr>
            </w:pPr>
          </w:p>
          <w:p>
            <w:pPr>
              <w:pStyle w:val="TableParagraph"/>
              <w:ind w:left="251" w:right="103" w:hanging="137"/>
              <w:rPr>
                <w:rFonts w:ascii="Arial"/>
                <w:sz w:val="18"/>
              </w:rPr>
            </w:pPr>
            <w:r>
              <w:rPr>
                <w:rFonts w:ascii="Arial"/>
                <w:sz w:val="18"/>
              </w:rPr>
              <w:t>Cuantitativa continua</w:t>
            </w:r>
          </w:p>
        </w:tc>
        <w:tc>
          <w:tcPr>
            <w:tcW w:w="1009" w:type="dxa"/>
          </w:tcPr>
          <w:p>
            <w:pPr>
              <w:pStyle w:val="TableParagraph"/>
              <w:rPr>
                <w:rFonts w:ascii="Arial"/>
                <w:b/>
                <w:sz w:val="18"/>
              </w:rPr>
            </w:pPr>
          </w:p>
          <w:p>
            <w:pPr>
              <w:pStyle w:val="TableParagraph"/>
              <w:rPr>
                <w:rFonts w:ascii="Arial"/>
                <w:b/>
                <w:sz w:val="18"/>
              </w:rPr>
            </w:pPr>
          </w:p>
          <w:p>
            <w:pPr>
              <w:pStyle w:val="TableParagraph"/>
              <w:spacing w:before="104"/>
              <w:ind w:left="147" w:right="147"/>
              <w:jc w:val="center"/>
              <w:rPr>
                <w:rFonts w:ascii="Arial" w:hAnsi="Arial"/>
                <w:sz w:val="18"/>
              </w:rPr>
            </w:pPr>
            <w:r>
              <w:rPr>
                <w:rFonts w:ascii="Arial" w:hAnsi="Arial"/>
                <w:sz w:val="18"/>
              </w:rPr>
              <w:t>Razón</w:t>
            </w:r>
          </w:p>
        </w:tc>
      </w:tr>
      <w:tr>
        <w:trPr>
          <w:trHeight w:val="631" w:hRule="exact"/>
        </w:trPr>
        <w:tc>
          <w:tcPr>
            <w:tcW w:w="1697" w:type="dxa"/>
          </w:tcPr>
          <w:p>
            <w:pPr>
              <w:pStyle w:val="TableParagraph"/>
              <w:rPr>
                <w:rFonts w:ascii="Arial"/>
                <w:b/>
                <w:sz w:val="18"/>
              </w:rPr>
            </w:pPr>
          </w:p>
          <w:p>
            <w:pPr>
              <w:pStyle w:val="TableParagraph"/>
              <w:spacing w:before="1"/>
              <w:ind w:left="277" w:right="278"/>
              <w:jc w:val="center"/>
              <w:rPr>
                <w:rFonts w:ascii="Arial"/>
                <w:sz w:val="18"/>
              </w:rPr>
            </w:pPr>
            <w:r>
              <w:rPr>
                <w:rFonts w:ascii="Arial"/>
                <w:sz w:val="18"/>
              </w:rPr>
              <w:t>Peso</w:t>
            </w:r>
          </w:p>
        </w:tc>
        <w:tc>
          <w:tcPr>
            <w:tcW w:w="1702" w:type="dxa"/>
          </w:tcPr>
          <w:p>
            <w:pPr>
              <w:pStyle w:val="TableParagraph"/>
              <w:spacing w:before="1"/>
              <w:ind w:left="111" w:right="116"/>
              <w:jc w:val="center"/>
              <w:rPr>
                <w:rFonts w:ascii="Arial"/>
                <w:sz w:val="18"/>
              </w:rPr>
            </w:pPr>
            <w:r>
              <w:rPr>
                <w:rFonts w:ascii="Arial"/>
                <w:sz w:val="18"/>
              </w:rPr>
              <w:t>Fuerza con que la Tierra atrae a un cuerpo.</w:t>
            </w:r>
          </w:p>
        </w:tc>
        <w:tc>
          <w:tcPr>
            <w:tcW w:w="3471" w:type="dxa"/>
          </w:tcPr>
          <w:p>
            <w:pPr>
              <w:pStyle w:val="TableParagraph"/>
              <w:rPr>
                <w:rFonts w:ascii="Arial"/>
                <w:b/>
                <w:sz w:val="18"/>
              </w:rPr>
            </w:pPr>
          </w:p>
          <w:p>
            <w:pPr>
              <w:pStyle w:val="TableParagraph"/>
              <w:spacing w:before="1"/>
              <w:ind w:left="208" w:right="208"/>
              <w:jc w:val="center"/>
              <w:rPr>
                <w:rFonts w:ascii="Arial"/>
                <w:sz w:val="18"/>
              </w:rPr>
            </w:pPr>
            <w:r>
              <w:rPr>
                <w:rFonts w:ascii="Arial"/>
                <w:sz w:val="18"/>
              </w:rPr>
              <w:t>Kilogramos y gramos</w:t>
            </w:r>
          </w:p>
        </w:tc>
        <w:tc>
          <w:tcPr>
            <w:tcW w:w="1198" w:type="dxa"/>
          </w:tcPr>
          <w:p>
            <w:pPr>
              <w:pStyle w:val="TableParagraph"/>
              <w:spacing w:before="104"/>
              <w:ind w:left="251" w:right="103" w:hanging="137"/>
              <w:rPr>
                <w:rFonts w:ascii="Arial"/>
                <w:sz w:val="18"/>
              </w:rPr>
            </w:pPr>
            <w:r>
              <w:rPr>
                <w:rFonts w:ascii="Arial"/>
                <w:sz w:val="18"/>
              </w:rPr>
              <w:t>Cuantitativa continua</w:t>
            </w:r>
          </w:p>
        </w:tc>
        <w:tc>
          <w:tcPr>
            <w:tcW w:w="1009" w:type="dxa"/>
          </w:tcPr>
          <w:p>
            <w:pPr>
              <w:pStyle w:val="TableParagraph"/>
              <w:rPr>
                <w:rFonts w:ascii="Arial"/>
                <w:b/>
                <w:sz w:val="18"/>
              </w:rPr>
            </w:pPr>
          </w:p>
          <w:p>
            <w:pPr>
              <w:pStyle w:val="TableParagraph"/>
              <w:spacing w:before="1"/>
              <w:ind w:left="147" w:right="147"/>
              <w:jc w:val="center"/>
              <w:rPr>
                <w:rFonts w:ascii="Arial" w:hAnsi="Arial"/>
                <w:sz w:val="18"/>
              </w:rPr>
            </w:pPr>
            <w:r>
              <w:rPr>
                <w:rFonts w:ascii="Arial" w:hAnsi="Arial"/>
                <w:sz w:val="18"/>
              </w:rPr>
              <w:t>Razón</w:t>
            </w:r>
          </w:p>
        </w:tc>
      </w:tr>
      <w:tr>
        <w:trPr>
          <w:trHeight w:val="1046" w:hRule="exact"/>
        </w:trPr>
        <w:tc>
          <w:tcPr>
            <w:tcW w:w="1697" w:type="dxa"/>
          </w:tcPr>
          <w:p>
            <w:pPr>
              <w:pStyle w:val="TableParagraph"/>
              <w:rPr>
                <w:rFonts w:ascii="Arial"/>
                <w:b/>
                <w:sz w:val="18"/>
              </w:rPr>
            </w:pPr>
          </w:p>
          <w:p>
            <w:pPr>
              <w:pStyle w:val="TableParagraph"/>
              <w:rPr>
                <w:rFonts w:ascii="Arial"/>
                <w:b/>
                <w:sz w:val="18"/>
              </w:rPr>
            </w:pPr>
          </w:p>
          <w:p>
            <w:pPr>
              <w:pStyle w:val="TableParagraph"/>
              <w:ind w:left="276" w:right="278"/>
              <w:jc w:val="center"/>
              <w:rPr>
                <w:rFonts w:ascii="Arial"/>
                <w:sz w:val="18"/>
              </w:rPr>
            </w:pPr>
            <w:r>
              <w:rPr>
                <w:rFonts w:ascii="Arial"/>
                <w:sz w:val="18"/>
              </w:rPr>
              <w:t>Materia Alba</w:t>
            </w:r>
          </w:p>
        </w:tc>
        <w:tc>
          <w:tcPr>
            <w:tcW w:w="1702" w:type="dxa"/>
          </w:tcPr>
          <w:p>
            <w:pPr>
              <w:pStyle w:val="TableParagraph"/>
              <w:ind w:left="112" w:right="116"/>
              <w:jc w:val="center"/>
              <w:rPr>
                <w:rFonts w:ascii="Arial" w:hAnsi="Arial"/>
                <w:sz w:val="18"/>
              </w:rPr>
            </w:pPr>
            <w:r>
              <w:rPr>
                <w:rFonts w:ascii="Arial" w:hAnsi="Arial"/>
                <w:sz w:val="18"/>
              </w:rPr>
              <w:t>Masa de restos alimenticios, células de mamíferos células epiteliales</w:t>
            </w:r>
          </w:p>
        </w:tc>
        <w:tc>
          <w:tcPr>
            <w:tcW w:w="3471" w:type="dxa"/>
          </w:tcPr>
          <w:p>
            <w:pPr>
              <w:pStyle w:val="TableParagraph"/>
              <w:rPr>
                <w:rFonts w:ascii="Arial"/>
                <w:b/>
                <w:sz w:val="18"/>
              </w:rPr>
            </w:pPr>
          </w:p>
          <w:p>
            <w:pPr>
              <w:pStyle w:val="TableParagraph"/>
              <w:numPr>
                <w:ilvl w:val="0"/>
                <w:numId w:val="9"/>
              </w:numPr>
              <w:tabs>
                <w:tab w:pos="1726" w:val="left" w:leader="none"/>
              </w:tabs>
              <w:spacing w:line="207" w:lineRule="exact" w:before="104" w:after="0"/>
              <w:ind w:left="1725" w:right="1" w:hanging="151"/>
              <w:jc w:val="center"/>
              <w:rPr>
                <w:rFonts w:ascii="Arial"/>
                <w:sz w:val="18"/>
              </w:rPr>
            </w:pPr>
            <w:r>
              <w:rPr>
                <w:rFonts w:ascii="Arial"/>
                <w:sz w:val="18"/>
              </w:rPr>
              <w:t>Si</w:t>
            </w:r>
          </w:p>
          <w:p>
            <w:pPr>
              <w:pStyle w:val="TableParagraph"/>
              <w:numPr>
                <w:ilvl w:val="0"/>
                <w:numId w:val="9"/>
              </w:numPr>
              <w:tabs>
                <w:tab w:pos="1743" w:val="left" w:leader="none"/>
              </w:tabs>
              <w:spacing w:line="207" w:lineRule="exact" w:before="0" w:after="0"/>
              <w:ind w:left="1742" w:right="0" w:hanging="202"/>
              <w:jc w:val="left"/>
              <w:rPr>
                <w:rFonts w:ascii="Arial"/>
                <w:sz w:val="18"/>
              </w:rPr>
            </w:pPr>
            <w:r>
              <w:rPr>
                <w:rFonts w:ascii="Arial"/>
                <w:sz w:val="18"/>
              </w:rPr>
              <w:t>No</w:t>
            </w:r>
          </w:p>
        </w:tc>
        <w:tc>
          <w:tcPr>
            <w:tcW w:w="1198" w:type="dxa"/>
          </w:tcPr>
          <w:p>
            <w:pPr>
              <w:pStyle w:val="TableParagraph"/>
              <w:rPr>
                <w:rFonts w:ascii="Arial"/>
                <w:b/>
                <w:sz w:val="18"/>
              </w:rPr>
            </w:pPr>
          </w:p>
          <w:p>
            <w:pPr>
              <w:pStyle w:val="TableParagraph"/>
              <w:rPr>
                <w:rFonts w:ascii="Arial"/>
                <w:b/>
                <w:sz w:val="18"/>
              </w:rPr>
            </w:pPr>
          </w:p>
          <w:p>
            <w:pPr>
              <w:pStyle w:val="TableParagraph"/>
              <w:ind w:left="172" w:right="103"/>
              <w:rPr>
                <w:rFonts w:ascii="Arial"/>
                <w:sz w:val="18"/>
              </w:rPr>
            </w:pPr>
            <w:r>
              <w:rPr>
                <w:rFonts w:ascii="Arial"/>
                <w:sz w:val="18"/>
              </w:rPr>
              <w:t>Cualitativa</w:t>
            </w:r>
          </w:p>
        </w:tc>
        <w:tc>
          <w:tcPr>
            <w:tcW w:w="1009" w:type="dxa"/>
          </w:tcPr>
          <w:p>
            <w:pPr>
              <w:pStyle w:val="TableParagraph"/>
              <w:rPr>
                <w:rFonts w:ascii="Arial"/>
                <w:b/>
                <w:sz w:val="18"/>
              </w:rPr>
            </w:pPr>
          </w:p>
          <w:p>
            <w:pPr>
              <w:pStyle w:val="TableParagraph"/>
              <w:rPr>
                <w:rFonts w:ascii="Arial"/>
                <w:b/>
                <w:sz w:val="18"/>
              </w:rPr>
            </w:pPr>
          </w:p>
          <w:p>
            <w:pPr>
              <w:pStyle w:val="TableParagraph"/>
              <w:ind w:left="147" w:right="147"/>
              <w:jc w:val="center"/>
              <w:rPr>
                <w:rFonts w:ascii="Arial"/>
                <w:sz w:val="18"/>
              </w:rPr>
            </w:pPr>
            <w:r>
              <w:rPr>
                <w:rFonts w:ascii="Arial"/>
                <w:sz w:val="18"/>
              </w:rPr>
              <w:t>Nominal</w:t>
            </w:r>
          </w:p>
        </w:tc>
      </w:tr>
    </w:tbl>
    <w:p>
      <w:pPr>
        <w:spacing w:after="0"/>
        <w:jc w:val="center"/>
        <w:rPr>
          <w:rFonts w:ascii="Arial"/>
          <w:sz w:val="18"/>
        </w:rPr>
        <w:sectPr>
          <w:pgSz w:w="12240" w:h="15840"/>
          <w:pgMar w:header="686" w:footer="964" w:top="1080" w:bottom="1160" w:left="88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3"/>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702"/>
        <w:gridCol w:w="3471"/>
        <w:gridCol w:w="1198"/>
        <w:gridCol w:w="1009"/>
      </w:tblGrid>
      <w:tr>
        <w:trPr>
          <w:trHeight w:val="1044" w:hRule="exact"/>
        </w:trPr>
        <w:tc>
          <w:tcPr>
            <w:tcW w:w="1697" w:type="dxa"/>
          </w:tcPr>
          <w:p>
            <w:pPr/>
          </w:p>
        </w:tc>
        <w:tc>
          <w:tcPr>
            <w:tcW w:w="1702" w:type="dxa"/>
          </w:tcPr>
          <w:p>
            <w:pPr>
              <w:pStyle w:val="TableParagraph"/>
              <w:ind w:left="251" w:right="257" w:firstLine="4"/>
              <w:jc w:val="center"/>
              <w:rPr>
                <w:rFonts w:ascii="Arial"/>
                <w:sz w:val="18"/>
              </w:rPr>
            </w:pPr>
            <w:r>
              <w:rPr>
                <w:rFonts w:ascii="Arial"/>
                <w:sz w:val="18"/>
              </w:rPr>
              <w:t>descamadas y leucocitos adheridos libremente a la placa dental</w:t>
            </w:r>
          </w:p>
        </w:tc>
        <w:tc>
          <w:tcPr>
            <w:tcW w:w="3471" w:type="dxa"/>
          </w:tcPr>
          <w:p>
            <w:pPr/>
          </w:p>
        </w:tc>
        <w:tc>
          <w:tcPr>
            <w:tcW w:w="1198" w:type="dxa"/>
          </w:tcPr>
          <w:p>
            <w:pPr/>
          </w:p>
        </w:tc>
        <w:tc>
          <w:tcPr>
            <w:tcW w:w="1009" w:type="dxa"/>
          </w:tcPr>
          <w:p>
            <w:pPr/>
          </w:p>
        </w:tc>
      </w:tr>
      <w:tr>
        <w:trPr>
          <w:trHeight w:val="838" w:hRule="exact"/>
        </w:trPr>
        <w:tc>
          <w:tcPr>
            <w:tcW w:w="1697" w:type="dxa"/>
          </w:tcPr>
          <w:p>
            <w:pPr>
              <w:pStyle w:val="TableParagraph"/>
              <w:rPr>
                <w:rFonts w:ascii="Times New Roman"/>
                <w:sz w:val="18"/>
              </w:rPr>
            </w:pPr>
          </w:p>
          <w:p>
            <w:pPr>
              <w:pStyle w:val="TableParagraph"/>
              <w:spacing w:before="1"/>
              <w:ind w:left="91" w:right="75" w:firstLine="398"/>
              <w:rPr>
                <w:rFonts w:ascii="Arial" w:hAnsi="Arial"/>
                <w:sz w:val="18"/>
              </w:rPr>
            </w:pPr>
            <w:r>
              <w:rPr>
                <w:rFonts w:ascii="Arial" w:hAnsi="Arial"/>
                <w:sz w:val="18"/>
              </w:rPr>
              <w:t>Factores sociodemográficos</w:t>
            </w:r>
          </w:p>
        </w:tc>
        <w:tc>
          <w:tcPr>
            <w:tcW w:w="1702" w:type="dxa"/>
          </w:tcPr>
          <w:p>
            <w:pPr>
              <w:pStyle w:val="TableParagraph"/>
              <w:ind w:left="112" w:right="113"/>
              <w:jc w:val="center"/>
              <w:rPr>
                <w:rFonts w:ascii="Arial"/>
                <w:sz w:val="18"/>
              </w:rPr>
            </w:pPr>
            <w:r>
              <w:rPr>
                <w:rFonts w:ascii="Arial"/>
                <w:sz w:val="18"/>
              </w:rPr>
              <w:t>Se refiere al nivel educativo de los padres y otros factores</w:t>
            </w:r>
          </w:p>
        </w:tc>
        <w:tc>
          <w:tcPr>
            <w:tcW w:w="3471" w:type="dxa"/>
          </w:tcPr>
          <w:p>
            <w:pPr>
              <w:pStyle w:val="TableParagraph"/>
              <w:spacing w:line="206" w:lineRule="exact"/>
              <w:ind w:left="207" w:right="208"/>
              <w:jc w:val="center"/>
              <w:rPr>
                <w:rFonts w:ascii="Arial" w:hAnsi="Arial"/>
                <w:sz w:val="18"/>
              </w:rPr>
            </w:pPr>
            <w:r>
              <w:rPr>
                <w:rFonts w:ascii="Arial" w:hAnsi="Arial"/>
                <w:sz w:val="18"/>
              </w:rPr>
              <w:t>1.-Sin estudios básicos concluidos.</w:t>
            </w:r>
          </w:p>
          <w:p>
            <w:pPr>
              <w:pStyle w:val="TableParagraph"/>
              <w:spacing w:before="2"/>
              <w:ind w:left="1159" w:right="1141" w:firstLine="156"/>
              <w:rPr>
                <w:rFonts w:ascii="Arial"/>
                <w:sz w:val="18"/>
              </w:rPr>
            </w:pPr>
            <w:r>
              <w:rPr>
                <w:rFonts w:ascii="Arial"/>
                <w:sz w:val="18"/>
              </w:rPr>
              <w:t>2.-Primaria 3.- secundaria</w:t>
            </w:r>
          </w:p>
          <w:p>
            <w:pPr>
              <w:pStyle w:val="TableParagraph"/>
              <w:spacing w:line="206" w:lineRule="exact"/>
              <w:ind w:left="208" w:right="208"/>
              <w:jc w:val="center"/>
              <w:rPr>
                <w:rFonts w:ascii="Arial"/>
                <w:sz w:val="18"/>
              </w:rPr>
            </w:pPr>
            <w:r>
              <w:rPr>
                <w:rFonts w:ascii="Arial"/>
                <w:sz w:val="18"/>
              </w:rPr>
              <w:t>4.- Otro</w:t>
            </w:r>
          </w:p>
        </w:tc>
        <w:tc>
          <w:tcPr>
            <w:tcW w:w="1198" w:type="dxa"/>
          </w:tcPr>
          <w:p>
            <w:pPr>
              <w:pStyle w:val="TableParagraph"/>
              <w:rPr>
                <w:rFonts w:ascii="Times New Roman"/>
                <w:sz w:val="18"/>
              </w:rPr>
            </w:pPr>
          </w:p>
          <w:p>
            <w:pPr>
              <w:pStyle w:val="TableParagraph"/>
              <w:spacing w:before="104"/>
              <w:ind w:left="172" w:right="103"/>
              <w:rPr>
                <w:rFonts w:ascii="Arial"/>
                <w:sz w:val="18"/>
              </w:rPr>
            </w:pPr>
            <w:r>
              <w:rPr>
                <w:rFonts w:ascii="Arial"/>
                <w:sz w:val="18"/>
              </w:rPr>
              <w:t>Cualitativa</w:t>
            </w:r>
          </w:p>
        </w:tc>
        <w:tc>
          <w:tcPr>
            <w:tcW w:w="1009" w:type="dxa"/>
          </w:tcPr>
          <w:p>
            <w:pPr>
              <w:pStyle w:val="TableParagraph"/>
              <w:rPr>
                <w:rFonts w:ascii="Times New Roman"/>
                <w:sz w:val="18"/>
              </w:rPr>
            </w:pPr>
          </w:p>
          <w:p>
            <w:pPr>
              <w:pStyle w:val="TableParagraph"/>
              <w:spacing w:before="104"/>
              <w:ind w:left="127" w:right="67"/>
              <w:rPr>
                <w:rFonts w:ascii="Arial"/>
                <w:sz w:val="18"/>
              </w:rPr>
            </w:pPr>
            <w:r>
              <w:rPr>
                <w:rFonts w:ascii="Arial"/>
                <w:sz w:val="18"/>
              </w:rPr>
              <w:t>Ordinario</w:t>
            </w:r>
          </w:p>
        </w:tc>
      </w:tr>
      <w:tr>
        <w:trPr>
          <w:trHeight w:val="1459" w:hRule="exact"/>
        </w:trPr>
        <w:tc>
          <w:tcPr>
            <w:tcW w:w="1697"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95"/>
              <w:rPr>
                <w:rFonts w:ascii="Arial" w:hAnsi="Arial"/>
                <w:sz w:val="18"/>
              </w:rPr>
            </w:pPr>
            <w:r>
              <w:rPr>
                <w:rFonts w:ascii="Arial" w:hAnsi="Arial"/>
                <w:sz w:val="18"/>
              </w:rPr>
              <w:t>Hábitos Higiénicos</w:t>
            </w:r>
          </w:p>
        </w:tc>
        <w:tc>
          <w:tcPr>
            <w:tcW w:w="1702" w:type="dxa"/>
          </w:tcPr>
          <w:p>
            <w:pPr>
              <w:pStyle w:val="TableParagraph"/>
              <w:ind w:left="88" w:right="89"/>
              <w:jc w:val="center"/>
              <w:rPr>
                <w:rFonts w:ascii="Arial"/>
                <w:sz w:val="18"/>
              </w:rPr>
            </w:pPr>
            <w:r>
              <w:rPr>
                <w:rFonts w:ascii="Arial"/>
                <w:sz w:val="18"/>
              </w:rPr>
              <w:t>Actividades que se deben practicar para mantener en buenas condiciones nuestro cuerpo y nuestra salud.</w:t>
            </w:r>
          </w:p>
        </w:tc>
        <w:tc>
          <w:tcPr>
            <w:tcW w:w="3471" w:type="dxa"/>
          </w:tcPr>
          <w:p>
            <w:pPr>
              <w:pStyle w:val="TableParagraph"/>
              <w:spacing w:line="206" w:lineRule="exact"/>
              <w:ind w:left="208" w:right="208"/>
              <w:jc w:val="center"/>
              <w:rPr>
                <w:rFonts w:ascii="Arial"/>
                <w:sz w:val="18"/>
              </w:rPr>
            </w:pPr>
            <w:r>
              <w:rPr>
                <w:rFonts w:ascii="Arial"/>
                <w:sz w:val="18"/>
              </w:rPr>
              <w:t>Cepillado Dental</w:t>
            </w:r>
          </w:p>
          <w:p>
            <w:pPr>
              <w:pStyle w:val="TableParagraph"/>
              <w:spacing w:before="2"/>
              <w:ind w:left="655" w:right="603"/>
              <w:jc w:val="center"/>
              <w:rPr>
                <w:rFonts w:ascii="Arial"/>
                <w:sz w:val="18"/>
              </w:rPr>
            </w:pPr>
            <w:r>
              <w:rPr>
                <w:rFonts w:ascii="Arial"/>
                <w:sz w:val="18"/>
              </w:rPr>
              <w:t>No. de veces que se cepilla 1 Una vez</w:t>
            </w:r>
          </w:p>
          <w:p>
            <w:pPr>
              <w:pStyle w:val="TableParagraph"/>
              <w:spacing w:line="206" w:lineRule="exact"/>
              <w:ind w:left="208" w:right="208"/>
              <w:jc w:val="center"/>
              <w:rPr>
                <w:rFonts w:ascii="Arial"/>
                <w:sz w:val="18"/>
              </w:rPr>
            </w:pPr>
            <w:r>
              <w:rPr>
                <w:rFonts w:ascii="Arial"/>
                <w:sz w:val="18"/>
              </w:rPr>
              <w:t>2 Dos veces</w:t>
            </w:r>
          </w:p>
          <w:p>
            <w:pPr>
              <w:pStyle w:val="TableParagraph"/>
              <w:ind w:left="883" w:right="873" w:firstLine="84"/>
              <w:rPr>
                <w:rFonts w:ascii="Arial" w:hAnsi="Arial"/>
                <w:sz w:val="18"/>
              </w:rPr>
            </w:pPr>
            <w:r>
              <w:rPr>
                <w:rFonts w:ascii="Arial" w:hAnsi="Arial"/>
                <w:sz w:val="18"/>
              </w:rPr>
              <w:t>3 Tres veces al día 4 Ninguna vez  al día</w:t>
            </w:r>
          </w:p>
          <w:p>
            <w:pPr>
              <w:pStyle w:val="TableParagraph"/>
              <w:spacing w:line="206" w:lineRule="exact"/>
              <w:ind w:left="208" w:right="207"/>
              <w:jc w:val="center"/>
              <w:rPr>
                <w:rFonts w:ascii="Arial"/>
                <w:sz w:val="18"/>
              </w:rPr>
            </w:pPr>
            <w:r>
              <w:rPr>
                <w:rFonts w:ascii="Arial"/>
                <w:sz w:val="18"/>
              </w:rPr>
              <w:t>5 Otro</w:t>
            </w:r>
          </w:p>
        </w:tc>
        <w:tc>
          <w:tcPr>
            <w:tcW w:w="1198"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172" w:right="103"/>
              <w:rPr>
                <w:rFonts w:ascii="Arial"/>
                <w:sz w:val="18"/>
              </w:rPr>
            </w:pPr>
            <w:r>
              <w:rPr>
                <w:rFonts w:ascii="Arial"/>
                <w:sz w:val="18"/>
              </w:rPr>
              <w:t>Cualitativa</w:t>
            </w:r>
          </w:p>
        </w:tc>
        <w:tc>
          <w:tcPr>
            <w:tcW w:w="1009"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ind w:left="168" w:right="67"/>
              <w:rPr>
                <w:rFonts w:ascii="Arial"/>
                <w:sz w:val="18"/>
              </w:rPr>
            </w:pPr>
            <w:r>
              <w:rPr>
                <w:rFonts w:ascii="Arial"/>
                <w:sz w:val="18"/>
              </w:rPr>
              <w:t>Nominal</w:t>
            </w:r>
          </w:p>
        </w:tc>
      </w:tr>
      <w:tr>
        <w:trPr>
          <w:trHeight w:val="2288" w:hRule="exact"/>
        </w:trPr>
        <w:tc>
          <w:tcPr>
            <w:tcW w:w="1697"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8"/>
              </w:rPr>
            </w:pPr>
          </w:p>
          <w:p>
            <w:pPr>
              <w:pStyle w:val="TableParagraph"/>
              <w:ind w:left="117" w:right="75"/>
              <w:rPr>
                <w:rFonts w:ascii="Arial" w:hAnsi="Arial"/>
                <w:sz w:val="18"/>
              </w:rPr>
            </w:pPr>
            <w:r>
              <w:rPr>
                <w:rFonts w:ascii="Arial" w:hAnsi="Arial"/>
                <w:sz w:val="18"/>
              </w:rPr>
              <w:t>Hábitos Dietéticos</w:t>
            </w:r>
          </w:p>
        </w:tc>
        <w:tc>
          <w:tcPr>
            <w:tcW w:w="170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ind w:left="110" w:right="116"/>
              <w:jc w:val="center"/>
              <w:rPr>
                <w:rFonts w:ascii="Arial" w:hAnsi="Arial"/>
                <w:sz w:val="18"/>
              </w:rPr>
            </w:pPr>
            <w:r>
              <w:rPr>
                <w:rFonts w:ascii="Arial" w:hAnsi="Arial"/>
                <w:sz w:val="18"/>
              </w:rPr>
              <w:t>Hábitos dietéticos conforman el patrón de alimentación que sigue a diario,</w:t>
            </w:r>
          </w:p>
        </w:tc>
        <w:tc>
          <w:tcPr>
            <w:tcW w:w="3471" w:type="dxa"/>
          </w:tcPr>
          <w:p>
            <w:pPr>
              <w:pStyle w:val="TableParagraph"/>
              <w:ind w:left="88" w:right="90"/>
              <w:jc w:val="center"/>
              <w:rPr>
                <w:rFonts w:ascii="Arial" w:hAnsi="Arial"/>
                <w:sz w:val="18"/>
              </w:rPr>
            </w:pPr>
            <w:r>
              <w:rPr>
                <w:rFonts w:ascii="Arial" w:hAnsi="Arial"/>
                <w:sz w:val="18"/>
              </w:rPr>
              <w:t>Frecuencia en el consumo de azucares extrínsecos.</w:t>
            </w:r>
          </w:p>
          <w:p>
            <w:pPr>
              <w:pStyle w:val="TableParagraph"/>
              <w:ind w:left="208" w:right="162"/>
              <w:jc w:val="center"/>
              <w:rPr>
                <w:rFonts w:ascii="Arial" w:hAnsi="Arial"/>
                <w:sz w:val="18"/>
              </w:rPr>
            </w:pPr>
            <w:r>
              <w:rPr>
                <w:rFonts w:ascii="Arial" w:hAnsi="Arial"/>
                <w:sz w:val="18"/>
              </w:rPr>
              <w:t>Veces al día que consume azucares extrínsecos</w:t>
            </w:r>
          </w:p>
          <w:p>
            <w:pPr>
              <w:pStyle w:val="TableParagraph"/>
              <w:numPr>
                <w:ilvl w:val="0"/>
                <w:numId w:val="10"/>
              </w:numPr>
              <w:tabs>
                <w:tab w:pos="1476" w:val="left" w:leader="none"/>
              </w:tabs>
              <w:spacing w:line="206" w:lineRule="exact" w:before="0" w:after="0"/>
              <w:ind w:left="967" w:right="0" w:firstLine="357"/>
              <w:jc w:val="center"/>
              <w:rPr>
                <w:rFonts w:ascii="Arial"/>
                <w:sz w:val="18"/>
              </w:rPr>
            </w:pPr>
            <w:r>
              <w:rPr>
                <w:rFonts w:ascii="Arial"/>
                <w:sz w:val="18"/>
              </w:rPr>
              <w:t>Una</w:t>
            </w:r>
            <w:r>
              <w:rPr>
                <w:rFonts w:ascii="Arial"/>
                <w:spacing w:val="-2"/>
                <w:sz w:val="18"/>
              </w:rPr>
              <w:t> </w:t>
            </w:r>
            <w:r>
              <w:rPr>
                <w:rFonts w:ascii="Arial"/>
                <w:sz w:val="18"/>
              </w:rPr>
              <w:t>vez</w:t>
            </w:r>
          </w:p>
          <w:p>
            <w:pPr>
              <w:pStyle w:val="TableParagraph"/>
              <w:numPr>
                <w:ilvl w:val="0"/>
                <w:numId w:val="10"/>
              </w:numPr>
              <w:tabs>
                <w:tab w:pos="1411" w:val="left" w:leader="none"/>
              </w:tabs>
              <w:spacing w:line="207" w:lineRule="exact" w:before="2" w:after="0"/>
              <w:ind w:left="1410" w:right="0" w:hanging="150"/>
              <w:jc w:val="center"/>
              <w:rPr>
                <w:rFonts w:ascii="Arial"/>
                <w:sz w:val="18"/>
              </w:rPr>
            </w:pPr>
            <w:r>
              <w:rPr>
                <w:rFonts w:ascii="Arial"/>
                <w:sz w:val="18"/>
              </w:rPr>
              <w:t>Dos</w:t>
            </w:r>
            <w:r>
              <w:rPr>
                <w:rFonts w:ascii="Arial"/>
                <w:spacing w:val="-2"/>
                <w:sz w:val="18"/>
              </w:rPr>
              <w:t> </w:t>
            </w:r>
            <w:r>
              <w:rPr>
                <w:rFonts w:ascii="Arial"/>
                <w:sz w:val="18"/>
              </w:rPr>
              <w:t>veces</w:t>
            </w:r>
          </w:p>
          <w:p>
            <w:pPr>
              <w:pStyle w:val="TableParagraph"/>
              <w:numPr>
                <w:ilvl w:val="0"/>
                <w:numId w:val="10"/>
              </w:numPr>
              <w:tabs>
                <w:tab w:pos="1118" w:val="left" w:leader="none"/>
              </w:tabs>
              <w:spacing w:line="240" w:lineRule="auto" w:before="0" w:after="0"/>
              <w:ind w:left="967" w:right="970" w:firstLine="0"/>
              <w:jc w:val="center"/>
              <w:rPr>
                <w:rFonts w:ascii="Arial" w:hAnsi="Arial"/>
                <w:sz w:val="18"/>
              </w:rPr>
            </w:pPr>
            <w:r>
              <w:rPr>
                <w:rFonts w:ascii="Arial" w:hAnsi="Arial"/>
                <w:sz w:val="18"/>
              </w:rPr>
              <w:t>Tres veces al</w:t>
            </w:r>
            <w:r>
              <w:rPr>
                <w:rFonts w:ascii="Arial" w:hAnsi="Arial"/>
                <w:spacing w:val="-5"/>
                <w:sz w:val="18"/>
              </w:rPr>
              <w:t> </w:t>
            </w:r>
            <w:r>
              <w:rPr>
                <w:rFonts w:ascii="Arial" w:hAnsi="Arial"/>
                <w:sz w:val="18"/>
              </w:rPr>
              <w:t>día 4</w:t>
            </w:r>
            <w:r>
              <w:rPr>
                <w:rFonts w:ascii="Arial" w:hAnsi="Arial"/>
                <w:spacing w:val="-3"/>
                <w:sz w:val="18"/>
              </w:rPr>
              <w:t> </w:t>
            </w:r>
            <w:r>
              <w:rPr>
                <w:rFonts w:ascii="Arial" w:hAnsi="Arial"/>
                <w:sz w:val="18"/>
              </w:rPr>
              <w:t>Ninguna</w:t>
            </w:r>
          </w:p>
          <w:p>
            <w:pPr>
              <w:pStyle w:val="TableParagraph"/>
              <w:ind w:left="139" w:right="90"/>
              <w:jc w:val="center"/>
              <w:rPr>
                <w:rFonts w:ascii="Arial" w:hAnsi="Arial"/>
                <w:sz w:val="18"/>
              </w:rPr>
            </w:pPr>
            <w:r>
              <w:rPr>
                <w:rFonts w:ascii="Arial" w:hAnsi="Arial"/>
                <w:sz w:val="18"/>
              </w:rPr>
              <w:t>Consume azucares intrínsecos una hora antes de ir a la cama</w:t>
            </w:r>
          </w:p>
          <w:p>
            <w:pPr>
              <w:pStyle w:val="TableParagraph"/>
              <w:numPr>
                <w:ilvl w:val="1"/>
                <w:numId w:val="10"/>
              </w:numPr>
              <w:tabs>
                <w:tab w:pos="1462" w:val="left" w:leader="none"/>
              </w:tabs>
              <w:spacing w:line="240" w:lineRule="auto" w:before="2" w:after="0"/>
              <w:ind w:left="1461" w:right="0" w:hanging="201"/>
              <w:jc w:val="left"/>
              <w:rPr>
                <w:rFonts w:ascii="Arial"/>
                <w:sz w:val="18"/>
              </w:rPr>
            </w:pPr>
            <w:r>
              <w:rPr>
                <w:rFonts w:ascii="Arial"/>
                <w:sz w:val="18"/>
              </w:rPr>
              <w:t>Si   2.</w:t>
            </w:r>
            <w:r>
              <w:rPr>
                <w:rFonts w:ascii="Arial"/>
                <w:spacing w:val="-2"/>
                <w:sz w:val="18"/>
              </w:rPr>
              <w:t> </w:t>
            </w:r>
            <w:r>
              <w:rPr>
                <w:rFonts w:ascii="Arial"/>
                <w:sz w:val="18"/>
              </w:rPr>
              <w:t>No</w:t>
            </w:r>
          </w:p>
        </w:tc>
        <w:tc>
          <w:tcPr>
            <w:tcW w:w="1198"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6"/>
              </w:rPr>
            </w:pPr>
          </w:p>
          <w:p>
            <w:pPr>
              <w:pStyle w:val="TableParagraph"/>
              <w:ind w:left="261" w:right="158" w:hanging="92"/>
              <w:rPr>
                <w:rFonts w:ascii="Arial"/>
                <w:sz w:val="18"/>
              </w:rPr>
            </w:pPr>
            <w:r>
              <w:rPr>
                <w:rFonts w:ascii="Arial"/>
                <w:sz w:val="18"/>
              </w:rPr>
              <w:t>Cualitativa Nominal</w:t>
            </w:r>
          </w:p>
        </w:tc>
        <w:tc>
          <w:tcPr>
            <w:tcW w:w="100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8"/>
              </w:rPr>
            </w:pPr>
          </w:p>
          <w:p>
            <w:pPr>
              <w:pStyle w:val="TableParagraph"/>
              <w:ind w:left="168" w:right="67"/>
              <w:rPr>
                <w:rFonts w:ascii="Arial"/>
                <w:sz w:val="18"/>
              </w:rPr>
            </w:pPr>
            <w:r>
              <w:rPr>
                <w:rFonts w:ascii="Arial"/>
                <w:sz w:val="18"/>
              </w:rPr>
              <w:t>Nominal</w:t>
            </w:r>
          </w:p>
        </w:tc>
      </w:tr>
    </w:tbl>
    <w:p>
      <w:pPr>
        <w:spacing w:after="0"/>
        <w:rPr>
          <w:rFonts w:ascii="Arial"/>
          <w:sz w:val="18"/>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p>
    <w:p>
      <w:pPr>
        <w:pStyle w:val="ListParagraph"/>
        <w:numPr>
          <w:ilvl w:val="1"/>
          <w:numId w:val="11"/>
        </w:numPr>
        <w:tabs>
          <w:tab w:pos="748" w:val="left" w:leader="none"/>
        </w:tabs>
        <w:spacing w:line="240" w:lineRule="auto" w:before="70" w:after="0"/>
        <w:ind w:left="748" w:right="0" w:hanging="468"/>
        <w:jc w:val="both"/>
        <w:rPr>
          <w:rFonts w:ascii="Arial" w:hAnsi="Arial"/>
          <w:b/>
          <w:sz w:val="24"/>
        </w:rPr>
      </w:pPr>
      <w:r>
        <w:rPr>
          <w:rFonts w:ascii="Arial" w:hAnsi="Arial"/>
          <w:b/>
          <w:sz w:val="24"/>
        </w:rPr>
        <w:t>Implicaciones</w:t>
      </w:r>
      <w:r>
        <w:rPr>
          <w:rFonts w:ascii="Arial" w:hAnsi="Arial"/>
          <w:b/>
          <w:spacing w:val="-7"/>
          <w:sz w:val="24"/>
        </w:rPr>
        <w:t> </w:t>
      </w:r>
      <w:r>
        <w:rPr>
          <w:rFonts w:ascii="Arial" w:hAnsi="Arial"/>
          <w:b/>
          <w:sz w:val="24"/>
        </w:rPr>
        <w:t>Bioéticas</w:t>
      </w:r>
    </w:p>
    <w:p>
      <w:pPr>
        <w:pStyle w:val="BodyText"/>
        <w:rPr>
          <w:b/>
        </w:rPr>
      </w:pPr>
    </w:p>
    <w:p>
      <w:pPr>
        <w:pStyle w:val="BodyText"/>
        <w:spacing w:line="480" w:lineRule="auto" w:before="197"/>
        <w:ind w:left="280" w:right="136"/>
        <w:jc w:val="both"/>
      </w:pPr>
      <w:r>
        <w:rPr/>
        <w:t>Por</w:t>
      </w:r>
      <w:r>
        <w:rPr>
          <w:spacing w:val="-10"/>
        </w:rPr>
        <w:t> </w:t>
      </w:r>
      <w:r>
        <w:rPr/>
        <w:t>tratarse</w:t>
      </w:r>
      <w:r>
        <w:rPr>
          <w:spacing w:val="-8"/>
        </w:rPr>
        <w:t> </w:t>
      </w:r>
      <w:r>
        <w:rPr/>
        <w:t>de</w:t>
      </w:r>
      <w:r>
        <w:rPr>
          <w:spacing w:val="-11"/>
        </w:rPr>
        <w:t> </w:t>
      </w:r>
      <w:r>
        <w:rPr/>
        <w:t>una</w:t>
      </w:r>
      <w:r>
        <w:rPr>
          <w:spacing w:val="-8"/>
        </w:rPr>
        <w:t> </w:t>
      </w:r>
      <w:r>
        <w:rPr/>
        <w:t>investigación</w:t>
      </w:r>
      <w:r>
        <w:rPr>
          <w:spacing w:val="-8"/>
        </w:rPr>
        <w:t> </w:t>
      </w:r>
      <w:r>
        <w:rPr/>
        <w:t>con</w:t>
      </w:r>
      <w:r>
        <w:rPr>
          <w:spacing w:val="-8"/>
        </w:rPr>
        <w:t> </w:t>
      </w:r>
      <w:r>
        <w:rPr/>
        <w:t>riesgo</w:t>
      </w:r>
      <w:r>
        <w:rPr>
          <w:spacing w:val="-11"/>
        </w:rPr>
        <w:t> </w:t>
      </w:r>
      <w:r>
        <w:rPr/>
        <w:t>mínimo,</w:t>
      </w:r>
      <w:r>
        <w:rPr>
          <w:spacing w:val="-11"/>
        </w:rPr>
        <w:t> </w:t>
      </w:r>
      <w:r>
        <w:rPr/>
        <w:t>y</w:t>
      </w:r>
      <w:r>
        <w:rPr>
          <w:spacing w:val="-12"/>
        </w:rPr>
        <w:t> </w:t>
      </w:r>
      <w:r>
        <w:rPr/>
        <w:t>de</w:t>
      </w:r>
      <w:r>
        <w:rPr>
          <w:spacing w:val="-8"/>
        </w:rPr>
        <w:t> </w:t>
      </w:r>
      <w:r>
        <w:rPr/>
        <w:t>acuerdo</w:t>
      </w:r>
      <w:r>
        <w:rPr>
          <w:spacing w:val="-11"/>
        </w:rPr>
        <w:t> </w:t>
      </w:r>
      <w:r>
        <w:rPr/>
        <w:t>al</w:t>
      </w:r>
      <w:r>
        <w:rPr>
          <w:spacing w:val="-10"/>
        </w:rPr>
        <w:t> </w:t>
      </w:r>
      <w:r>
        <w:rPr/>
        <w:t>Título</w:t>
      </w:r>
      <w:r>
        <w:rPr>
          <w:spacing w:val="-5"/>
        </w:rPr>
        <w:t> </w:t>
      </w:r>
      <w:r>
        <w:rPr/>
        <w:t>Segundo, De los Aspectos Éticos de la Investigación en Seres Humanos Capítulo I, artículo 23 que menciona que en el caso de investigaciones con riesgo mínimo, la Comisión de Ética, por razones justificadas, podrá autorizar que el consentimiento informado </w:t>
      </w:r>
      <w:r>
        <w:rPr>
          <w:spacing w:val="4"/>
        </w:rPr>
        <w:t>se </w:t>
      </w:r>
      <w:r>
        <w:rPr/>
        <w:t>obtenga sin formularse por escrito, y tratándose de investigaciones sin riesgo, podrá dispensar al investigador la obtención del consentimiento</w:t>
      </w:r>
      <w:r>
        <w:rPr>
          <w:spacing w:val="-27"/>
        </w:rPr>
        <w:t> </w:t>
      </w:r>
      <w:r>
        <w:rPr/>
        <w:t>informado.</w:t>
      </w:r>
    </w:p>
    <w:p>
      <w:pPr>
        <w:pStyle w:val="BodyText"/>
        <w:spacing w:line="480" w:lineRule="auto" w:before="8"/>
        <w:ind w:left="280" w:right="55"/>
      </w:pPr>
      <w:r>
        <w:rPr/>
        <w:t>En el presente trabajo de elaboró se les solicito su consentimiento de manera verbal y los padres estuvieron presentes durante el examen del menor.</w:t>
      </w:r>
    </w:p>
    <w:p>
      <w:pPr>
        <w:pStyle w:val="Heading1"/>
        <w:numPr>
          <w:ilvl w:val="1"/>
          <w:numId w:val="11"/>
        </w:numPr>
        <w:tabs>
          <w:tab w:pos="751" w:val="left" w:leader="none"/>
        </w:tabs>
        <w:spacing w:line="240" w:lineRule="auto" w:before="8" w:after="0"/>
        <w:ind w:left="750" w:right="0" w:hanging="470"/>
        <w:jc w:val="both"/>
      </w:pPr>
      <w:r>
        <w:rPr/>
        <w:t>Recolección de</w:t>
      </w:r>
      <w:r>
        <w:rPr>
          <w:spacing w:val="-11"/>
        </w:rPr>
        <w:t> </w:t>
      </w:r>
      <w:r>
        <w:rPr/>
        <w:t>Datos</w:t>
      </w:r>
    </w:p>
    <w:p>
      <w:pPr>
        <w:pStyle w:val="BodyText"/>
        <w:spacing w:before="2"/>
        <w:rPr>
          <w:b/>
        </w:rPr>
      </w:pPr>
    </w:p>
    <w:p>
      <w:pPr>
        <w:pStyle w:val="BodyText"/>
        <w:ind w:left="273"/>
        <w:jc w:val="both"/>
      </w:pPr>
      <w:r>
        <w:rPr/>
        <w:t>Los datos serán recolectados en los formatos previamente diseñados (Anexo I y II)</w:t>
      </w:r>
    </w:p>
    <w:p>
      <w:pPr>
        <w:pStyle w:val="BodyText"/>
        <w:spacing w:before="5"/>
        <w:rPr>
          <w:sz w:val="29"/>
        </w:rPr>
      </w:pPr>
    </w:p>
    <w:p>
      <w:pPr>
        <w:pStyle w:val="Heading1"/>
        <w:numPr>
          <w:ilvl w:val="1"/>
          <w:numId w:val="11"/>
        </w:numPr>
        <w:tabs>
          <w:tab w:pos="753" w:val="left" w:leader="none"/>
        </w:tabs>
        <w:spacing w:line="240" w:lineRule="auto" w:before="0" w:after="0"/>
        <w:ind w:left="752" w:right="0" w:hanging="472"/>
        <w:jc w:val="both"/>
      </w:pPr>
      <w:r>
        <w:rPr/>
        <w:t>Análisis</w:t>
      </w:r>
      <w:r>
        <w:rPr>
          <w:spacing w:val="-12"/>
        </w:rPr>
        <w:t> </w:t>
      </w:r>
      <w:r>
        <w:rPr/>
        <w:t>Estadístico</w:t>
      </w:r>
    </w:p>
    <w:p>
      <w:pPr>
        <w:pStyle w:val="BodyText"/>
        <w:rPr>
          <w:b/>
          <w:sz w:val="29"/>
        </w:rPr>
      </w:pPr>
    </w:p>
    <w:p>
      <w:pPr>
        <w:pStyle w:val="BodyText"/>
        <w:spacing w:line="480" w:lineRule="auto"/>
        <w:ind w:left="138" w:right="137"/>
        <w:jc w:val="both"/>
      </w:pPr>
      <w:r>
        <w:rPr/>
        <w:t>Para la construcción del modelo y análisis de riesgo se utilizó el paquete estadístico SPSS 21 IBM, (New York, NY, USA). Se aplicó la modelación lineal automatizada en la</w:t>
      </w:r>
      <w:r>
        <w:rPr>
          <w:spacing w:val="-4"/>
        </w:rPr>
        <w:t> </w:t>
      </w:r>
      <w:r>
        <w:rPr/>
        <w:t>construcción</w:t>
      </w:r>
      <w:r>
        <w:rPr>
          <w:spacing w:val="-4"/>
        </w:rPr>
        <w:t> </w:t>
      </w:r>
      <w:r>
        <w:rPr/>
        <w:t>del</w:t>
      </w:r>
      <w:r>
        <w:rPr>
          <w:spacing w:val="-5"/>
        </w:rPr>
        <w:t> </w:t>
      </w:r>
      <w:r>
        <w:rPr/>
        <w:t>modelo</w:t>
      </w:r>
      <w:r>
        <w:rPr>
          <w:spacing w:val="-2"/>
        </w:rPr>
        <w:t> </w:t>
      </w:r>
      <w:r>
        <w:rPr/>
        <w:t>y</w:t>
      </w:r>
      <w:r>
        <w:rPr>
          <w:spacing w:val="-7"/>
        </w:rPr>
        <w:t> </w:t>
      </w:r>
      <w:r>
        <w:rPr/>
        <w:t>el</w:t>
      </w:r>
      <w:r>
        <w:rPr>
          <w:spacing w:val="-5"/>
        </w:rPr>
        <w:t> </w:t>
      </w:r>
      <w:r>
        <w:rPr/>
        <w:t>análisis</w:t>
      </w:r>
      <w:r>
        <w:rPr>
          <w:spacing w:val="-5"/>
        </w:rPr>
        <w:t> </w:t>
      </w:r>
      <w:r>
        <w:rPr/>
        <w:t>se</w:t>
      </w:r>
      <w:r>
        <w:rPr>
          <w:spacing w:val="-4"/>
        </w:rPr>
        <w:t> </w:t>
      </w:r>
      <w:r>
        <w:rPr/>
        <w:t>ejecutó</w:t>
      </w:r>
      <w:r>
        <w:rPr>
          <w:spacing w:val="-6"/>
        </w:rPr>
        <w:t> </w:t>
      </w:r>
      <w:r>
        <w:rPr/>
        <w:t>utilizando</w:t>
      </w:r>
      <w:r>
        <w:rPr>
          <w:spacing w:val="-4"/>
        </w:rPr>
        <w:t> </w:t>
      </w:r>
      <w:r>
        <w:rPr/>
        <w:t>todas</w:t>
      </w:r>
      <w:r>
        <w:rPr>
          <w:spacing w:val="-7"/>
        </w:rPr>
        <w:t> </w:t>
      </w:r>
      <w:r>
        <w:rPr/>
        <w:t>las</w:t>
      </w:r>
      <w:r>
        <w:rPr>
          <w:spacing w:val="-4"/>
        </w:rPr>
        <w:t> </w:t>
      </w:r>
      <w:r>
        <w:rPr/>
        <w:t>variables</w:t>
      </w:r>
      <w:r>
        <w:rPr>
          <w:spacing w:val="-4"/>
        </w:rPr>
        <w:t> </w:t>
      </w:r>
      <w:r>
        <w:rPr/>
        <w:t>de</w:t>
      </w:r>
      <w:r>
        <w:rPr>
          <w:spacing w:val="-4"/>
        </w:rPr>
        <w:t> </w:t>
      </w:r>
      <w:r>
        <w:rPr/>
        <w:t>las respuestas obtenidas en el cuestionario (edad, sexo, peso, talla, hábitos higiénicos, dietéticos,</w:t>
      </w:r>
      <w:r>
        <w:rPr>
          <w:spacing w:val="-15"/>
        </w:rPr>
        <w:t> </w:t>
      </w:r>
      <w:r>
        <w:rPr/>
        <w:t>presencia</w:t>
      </w:r>
      <w:r>
        <w:rPr>
          <w:spacing w:val="-15"/>
        </w:rPr>
        <w:t> </w:t>
      </w:r>
      <w:r>
        <w:rPr/>
        <w:t>de</w:t>
      </w:r>
      <w:r>
        <w:rPr>
          <w:spacing w:val="-15"/>
        </w:rPr>
        <w:t> </w:t>
      </w:r>
      <w:r>
        <w:rPr/>
        <w:t>materia</w:t>
      </w:r>
      <w:r>
        <w:rPr>
          <w:spacing w:val="-13"/>
        </w:rPr>
        <w:t> </w:t>
      </w:r>
      <w:r>
        <w:rPr/>
        <w:t>alba</w:t>
      </w:r>
      <w:r>
        <w:rPr>
          <w:spacing w:val="-15"/>
        </w:rPr>
        <w:t> </w:t>
      </w:r>
      <w:r>
        <w:rPr/>
        <w:t>o</w:t>
      </w:r>
      <w:r>
        <w:rPr>
          <w:spacing w:val="-13"/>
        </w:rPr>
        <w:t> </w:t>
      </w:r>
      <w:r>
        <w:rPr/>
        <w:t>cálculo</w:t>
      </w:r>
      <w:r>
        <w:rPr>
          <w:spacing w:val="-13"/>
        </w:rPr>
        <w:t> </w:t>
      </w:r>
      <w:r>
        <w:rPr/>
        <w:t>dental,</w:t>
      </w:r>
      <w:r>
        <w:rPr>
          <w:spacing w:val="-16"/>
        </w:rPr>
        <w:t> </w:t>
      </w:r>
      <w:r>
        <w:rPr/>
        <w:t>nivel</w:t>
      </w:r>
      <w:r>
        <w:rPr>
          <w:spacing w:val="-14"/>
        </w:rPr>
        <w:t> </w:t>
      </w:r>
      <w:r>
        <w:rPr/>
        <w:t>educativo</w:t>
      </w:r>
      <w:r>
        <w:rPr>
          <w:spacing w:val="-13"/>
        </w:rPr>
        <w:t> </w:t>
      </w:r>
      <w:r>
        <w:rPr/>
        <w:t>del</w:t>
      </w:r>
      <w:r>
        <w:rPr>
          <w:spacing w:val="-14"/>
        </w:rPr>
        <w:t> </w:t>
      </w:r>
      <w:r>
        <w:rPr/>
        <w:t>padre,</w:t>
      </w:r>
      <w:r>
        <w:rPr>
          <w:spacing w:val="-18"/>
        </w:rPr>
        <w:t> </w:t>
      </w:r>
      <w:r>
        <w:rPr/>
        <w:t>madre o cuidador principal, caries en el cuidador principal, entre otros). Se utilizó como objetivo la variable cpos y la variable sexo como variable de ponderación del análisis, usando  la  preparación  automática  de  datos  con  lo  que  las  siguientes </w:t>
      </w:r>
      <w:r>
        <w:rPr>
          <w:spacing w:val="29"/>
        </w:rPr>
        <w:t> </w:t>
      </w:r>
      <w:r>
        <w:rPr/>
        <w:t>variables</w:t>
      </w:r>
    </w:p>
    <w:p>
      <w:pPr>
        <w:spacing w:after="0" w:line="48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BodyText"/>
        <w:spacing w:line="480" w:lineRule="auto" w:before="69"/>
        <w:ind w:left="138" w:right="135"/>
      </w:pPr>
      <w:r>
        <w:rPr/>
        <w:t>transformadas para el análisis, excluyendo sus correspondientes variables originales (Tabla 2).</w:t>
      </w:r>
    </w:p>
    <w:p>
      <w:pPr>
        <w:pStyle w:val="BodyText"/>
      </w:pPr>
    </w:p>
    <w:p>
      <w:pPr>
        <w:pStyle w:val="BodyText"/>
      </w:pPr>
    </w:p>
    <w:p>
      <w:pPr>
        <w:pStyle w:val="BodyText"/>
        <w:spacing w:before="6"/>
        <w:rPr>
          <w:sz w:val="35"/>
        </w:rPr>
      </w:pPr>
    </w:p>
    <w:p>
      <w:pPr>
        <w:pStyle w:val="Heading1"/>
        <w:ind w:left="3177" w:right="630"/>
        <w:jc w:val="left"/>
      </w:pPr>
      <w:r>
        <w:rPr/>
        <w:t>Tabla 2. Variables transformadas</w:t>
      </w:r>
    </w:p>
    <w:p>
      <w:pPr>
        <w:pStyle w:val="BodyText"/>
        <w:rPr>
          <w:b/>
          <w:sz w:val="20"/>
        </w:rPr>
      </w:pPr>
    </w:p>
    <w:p>
      <w:pPr>
        <w:pStyle w:val="BodyText"/>
        <w:spacing w:before="10"/>
        <w:rPr>
          <w:b/>
          <w:sz w:val="12"/>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5"/>
        <w:gridCol w:w="1560"/>
        <w:gridCol w:w="3586"/>
      </w:tblGrid>
      <w:tr>
        <w:trPr>
          <w:trHeight w:val="319" w:hRule="exact"/>
        </w:trPr>
        <w:tc>
          <w:tcPr>
            <w:tcW w:w="3965" w:type="dxa"/>
          </w:tcPr>
          <w:p>
            <w:pPr>
              <w:pStyle w:val="TableParagraph"/>
              <w:spacing w:line="201" w:lineRule="exact"/>
              <w:ind w:left="1557" w:right="1557"/>
              <w:jc w:val="center"/>
              <w:rPr>
                <w:rFonts w:ascii="Arial"/>
                <w:b/>
                <w:sz w:val="18"/>
              </w:rPr>
            </w:pPr>
            <w:r>
              <w:rPr>
                <w:rFonts w:ascii="Arial"/>
                <w:b/>
                <w:sz w:val="18"/>
              </w:rPr>
              <w:t>Variables</w:t>
            </w:r>
          </w:p>
        </w:tc>
        <w:tc>
          <w:tcPr>
            <w:tcW w:w="1560" w:type="dxa"/>
          </w:tcPr>
          <w:p>
            <w:pPr>
              <w:pStyle w:val="TableParagraph"/>
              <w:spacing w:line="201" w:lineRule="exact"/>
              <w:ind w:left="393" w:right="394"/>
              <w:jc w:val="center"/>
              <w:rPr>
                <w:rFonts w:ascii="Arial"/>
                <w:b/>
                <w:sz w:val="18"/>
              </w:rPr>
            </w:pPr>
            <w:r>
              <w:rPr>
                <w:rFonts w:ascii="Arial"/>
                <w:b/>
                <w:sz w:val="18"/>
              </w:rPr>
              <w:t>Rol</w:t>
            </w:r>
          </w:p>
        </w:tc>
        <w:tc>
          <w:tcPr>
            <w:tcW w:w="3586" w:type="dxa"/>
          </w:tcPr>
          <w:p>
            <w:pPr>
              <w:pStyle w:val="TableParagraph"/>
              <w:spacing w:line="201" w:lineRule="exact"/>
              <w:ind w:left="928" w:right="371"/>
              <w:rPr>
                <w:rFonts w:ascii="Arial"/>
                <w:b/>
                <w:sz w:val="18"/>
              </w:rPr>
            </w:pPr>
            <w:r>
              <w:rPr>
                <w:rFonts w:ascii="Arial"/>
                <w:b/>
                <w:sz w:val="18"/>
              </w:rPr>
              <w:t>Acciones realizadas</w:t>
            </w:r>
          </w:p>
        </w:tc>
      </w:tr>
      <w:tr>
        <w:trPr>
          <w:trHeight w:val="692" w:hRule="exact"/>
        </w:trPr>
        <w:tc>
          <w:tcPr>
            <w:tcW w:w="3965" w:type="dxa"/>
          </w:tcPr>
          <w:p>
            <w:pPr>
              <w:pStyle w:val="TableParagraph"/>
              <w:spacing w:line="360" w:lineRule="auto" w:before="30"/>
              <w:ind w:left="103" w:right="161"/>
              <w:rPr>
                <w:rFonts w:ascii="Arial" w:hAnsi="Arial"/>
                <w:sz w:val="18"/>
              </w:rPr>
            </w:pPr>
            <w:r>
              <w:rPr>
                <w:rFonts w:ascii="Arial" w:hAnsi="Arial"/>
                <w:sz w:val="18"/>
              </w:rPr>
              <w:t>Número de veces que el niño está expuesto a azúcares durante las comidas. (transformado)</w:t>
            </w:r>
          </w:p>
        </w:tc>
        <w:tc>
          <w:tcPr>
            <w:tcW w:w="1560" w:type="dxa"/>
          </w:tcPr>
          <w:p>
            <w:pPr>
              <w:pStyle w:val="TableParagraph"/>
              <w:spacing w:before="2"/>
              <w:rPr>
                <w:rFonts w:ascii="Arial"/>
                <w:b/>
                <w:sz w:val="16"/>
              </w:rPr>
            </w:pPr>
          </w:p>
          <w:p>
            <w:pPr>
              <w:pStyle w:val="TableParagraph"/>
              <w:spacing w:before="1"/>
              <w:ind w:left="395" w:right="394"/>
              <w:jc w:val="center"/>
              <w:rPr>
                <w:rFonts w:ascii="Arial"/>
                <w:sz w:val="18"/>
              </w:rPr>
            </w:pPr>
            <w:r>
              <w:rPr>
                <w:rFonts w:ascii="Arial"/>
                <w:sz w:val="18"/>
              </w:rPr>
              <w:t>Predictor</w:t>
            </w:r>
          </w:p>
        </w:tc>
        <w:tc>
          <w:tcPr>
            <w:tcW w:w="3586" w:type="dxa"/>
          </w:tcPr>
          <w:p>
            <w:pPr>
              <w:pStyle w:val="TableParagraph"/>
              <w:spacing w:line="360" w:lineRule="auto" w:before="30"/>
              <w:ind w:left="103" w:right="371"/>
              <w:rPr>
                <w:rFonts w:ascii="Arial" w:hAnsi="Arial"/>
                <w:sz w:val="18"/>
              </w:rPr>
            </w:pPr>
            <w:r>
              <w:rPr>
                <w:rFonts w:ascii="Arial" w:hAnsi="Arial"/>
                <w:sz w:val="18"/>
              </w:rPr>
              <w:t>Combinar categorías para aumentar al máximo la asociación con el destino.</w:t>
            </w:r>
          </w:p>
        </w:tc>
      </w:tr>
      <w:tr>
        <w:trPr>
          <w:trHeight w:val="689" w:hRule="exact"/>
        </w:trPr>
        <w:tc>
          <w:tcPr>
            <w:tcW w:w="3965" w:type="dxa"/>
          </w:tcPr>
          <w:p>
            <w:pPr>
              <w:pStyle w:val="TableParagraph"/>
              <w:spacing w:line="362" w:lineRule="auto" w:before="28"/>
              <w:ind w:left="103" w:right="170"/>
              <w:rPr>
                <w:rFonts w:ascii="Arial" w:hAnsi="Arial"/>
                <w:sz w:val="18"/>
              </w:rPr>
            </w:pPr>
            <w:r>
              <w:rPr>
                <w:rFonts w:ascii="Arial" w:hAnsi="Arial"/>
                <w:sz w:val="18"/>
              </w:rPr>
              <w:t>Número de veces que el niño está expuesto a azúcares entre comidas. (transformado)</w:t>
            </w:r>
          </w:p>
        </w:tc>
        <w:tc>
          <w:tcPr>
            <w:tcW w:w="1560" w:type="dxa"/>
          </w:tcPr>
          <w:p>
            <w:pPr>
              <w:pStyle w:val="TableParagraph"/>
              <w:spacing w:before="11"/>
              <w:rPr>
                <w:rFonts w:ascii="Arial"/>
                <w:b/>
                <w:sz w:val="15"/>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line="362" w:lineRule="auto" w:before="28"/>
              <w:ind w:left="103" w:right="371"/>
              <w:rPr>
                <w:rFonts w:ascii="Arial" w:hAnsi="Arial"/>
                <w:sz w:val="18"/>
              </w:rPr>
            </w:pPr>
            <w:r>
              <w:rPr>
                <w:rFonts w:ascii="Arial" w:hAnsi="Arial"/>
                <w:sz w:val="18"/>
              </w:rPr>
              <w:t>Combinar categorías para aumentar al máximo la asociación con el destino.</w:t>
            </w:r>
          </w:p>
        </w:tc>
      </w:tr>
      <w:tr>
        <w:trPr>
          <w:trHeight w:val="691" w:hRule="exact"/>
        </w:trPr>
        <w:tc>
          <w:tcPr>
            <w:tcW w:w="3965" w:type="dxa"/>
          </w:tcPr>
          <w:p>
            <w:pPr>
              <w:pStyle w:val="TableParagraph"/>
              <w:spacing w:before="2"/>
              <w:rPr>
                <w:rFonts w:ascii="Arial"/>
                <w:b/>
                <w:sz w:val="16"/>
              </w:rPr>
            </w:pPr>
          </w:p>
          <w:p>
            <w:pPr>
              <w:pStyle w:val="TableParagraph"/>
              <w:ind w:left="103" w:right="161"/>
              <w:rPr>
                <w:rFonts w:ascii="Arial"/>
                <w:sz w:val="18"/>
              </w:rPr>
            </w:pPr>
            <w:r>
              <w:rPr>
                <w:rFonts w:ascii="Arial"/>
                <w:sz w:val="18"/>
              </w:rPr>
              <w:t>Peso (transformado)</w:t>
            </w:r>
          </w:p>
        </w:tc>
        <w:tc>
          <w:tcPr>
            <w:tcW w:w="1560" w:type="dxa"/>
          </w:tcPr>
          <w:p>
            <w:pPr>
              <w:pStyle w:val="TableParagraph"/>
              <w:spacing w:before="2"/>
              <w:rPr>
                <w:rFonts w:ascii="Arial"/>
                <w:b/>
                <w:sz w:val="16"/>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before="2"/>
              <w:rPr>
                <w:rFonts w:ascii="Arial"/>
                <w:b/>
                <w:sz w:val="16"/>
              </w:rPr>
            </w:pPr>
          </w:p>
          <w:p>
            <w:pPr>
              <w:pStyle w:val="TableParagraph"/>
              <w:ind w:left="103" w:right="371"/>
              <w:rPr>
                <w:rFonts w:ascii="Arial" w:hAnsi="Arial"/>
                <w:sz w:val="18"/>
              </w:rPr>
            </w:pPr>
            <w:r>
              <w:rPr>
                <w:rFonts w:ascii="Arial" w:hAnsi="Arial"/>
                <w:sz w:val="18"/>
              </w:rPr>
              <w:t>Recortar valores atípicos.</w:t>
            </w:r>
          </w:p>
        </w:tc>
      </w:tr>
      <w:tr>
        <w:trPr>
          <w:trHeight w:val="689" w:hRule="exact"/>
        </w:trPr>
        <w:tc>
          <w:tcPr>
            <w:tcW w:w="3965" w:type="dxa"/>
          </w:tcPr>
          <w:p>
            <w:pPr>
              <w:pStyle w:val="TableParagraph"/>
              <w:spacing w:line="362" w:lineRule="auto" w:before="28"/>
              <w:ind w:left="103" w:right="790"/>
              <w:rPr>
                <w:rFonts w:ascii="Arial" w:hAnsi="Arial"/>
                <w:sz w:val="18"/>
              </w:rPr>
            </w:pPr>
            <w:r>
              <w:rPr>
                <w:rFonts w:ascii="Arial" w:hAnsi="Arial"/>
                <w:sz w:val="18"/>
              </w:rPr>
              <w:t>Duración de la alimentación con leche materna (transformado)</w:t>
            </w:r>
          </w:p>
        </w:tc>
        <w:tc>
          <w:tcPr>
            <w:tcW w:w="1560" w:type="dxa"/>
          </w:tcPr>
          <w:p>
            <w:pPr>
              <w:pStyle w:val="TableParagraph"/>
              <w:spacing w:before="11"/>
              <w:rPr>
                <w:rFonts w:ascii="Arial"/>
                <w:b/>
                <w:sz w:val="15"/>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before="6"/>
              <w:rPr>
                <w:rFonts w:ascii="Arial"/>
                <w:b/>
                <w:sz w:val="20"/>
              </w:rPr>
            </w:pPr>
          </w:p>
          <w:p>
            <w:pPr>
              <w:pStyle w:val="TableParagraph"/>
              <w:ind w:left="103" w:right="371"/>
              <w:rPr>
                <w:rFonts w:ascii="Arial" w:hAnsi="Arial"/>
                <w:sz w:val="18"/>
              </w:rPr>
            </w:pPr>
            <w:r>
              <w:rPr>
                <w:rFonts w:ascii="Arial" w:hAnsi="Arial"/>
                <w:sz w:val="18"/>
              </w:rPr>
              <w:t>Recortar valores atípicos.</w:t>
            </w:r>
          </w:p>
        </w:tc>
      </w:tr>
      <w:tr>
        <w:trPr>
          <w:trHeight w:val="691" w:hRule="exact"/>
        </w:trPr>
        <w:tc>
          <w:tcPr>
            <w:tcW w:w="3965" w:type="dxa"/>
          </w:tcPr>
          <w:p>
            <w:pPr>
              <w:pStyle w:val="TableParagraph"/>
              <w:spacing w:line="360" w:lineRule="auto" w:before="30"/>
              <w:ind w:left="103" w:right="620"/>
              <w:rPr>
                <w:rFonts w:ascii="Arial" w:hAnsi="Arial"/>
                <w:sz w:val="18"/>
              </w:rPr>
            </w:pPr>
            <w:r>
              <w:rPr>
                <w:rFonts w:ascii="Arial" w:hAnsi="Arial"/>
                <w:sz w:val="18"/>
              </w:rPr>
              <w:t>Duración de la alimentación con biberón (transformado)</w:t>
            </w:r>
          </w:p>
        </w:tc>
        <w:tc>
          <w:tcPr>
            <w:tcW w:w="1560" w:type="dxa"/>
          </w:tcPr>
          <w:p>
            <w:pPr>
              <w:pStyle w:val="TableParagraph"/>
              <w:spacing w:before="2"/>
              <w:rPr>
                <w:rFonts w:ascii="Arial"/>
                <w:b/>
                <w:sz w:val="16"/>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before="6"/>
              <w:rPr>
                <w:rFonts w:ascii="Arial"/>
                <w:b/>
                <w:sz w:val="20"/>
              </w:rPr>
            </w:pPr>
          </w:p>
          <w:p>
            <w:pPr>
              <w:pStyle w:val="TableParagraph"/>
              <w:ind w:left="103" w:right="371"/>
              <w:rPr>
                <w:rFonts w:ascii="Arial" w:hAnsi="Arial"/>
                <w:sz w:val="18"/>
              </w:rPr>
            </w:pPr>
            <w:r>
              <w:rPr>
                <w:rFonts w:ascii="Arial" w:hAnsi="Arial"/>
                <w:sz w:val="18"/>
              </w:rPr>
              <w:t>Recortar valores atípicos.</w:t>
            </w:r>
          </w:p>
        </w:tc>
      </w:tr>
      <w:tr>
        <w:trPr>
          <w:trHeight w:val="689" w:hRule="exact"/>
        </w:trPr>
        <w:tc>
          <w:tcPr>
            <w:tcW w:w="3965" w:type="dxa"/>
          </w:tcPr>
          <w:p>
            <w:pPr>
              <w:pStyle w:val="TableParagraph"/>
              <w:spacing w:before="11"/>
              <w:rPr>
                <w:rFonts w:ascii="Arial"/>
                <w:b/>
                <w:sz w:val="15"/>
              </w:rPr>
            </w:pPr>
          </w:p>
          <w:p>
            <w:pPr>
              <w:pStyle w:val="TableParagraph"/>
              <w:ind w:left="103" w:right="161"/>
              <w:rPr>
                <w:rFonts w:ascii="Arial"/>
                <w:sz w:val="18"/>
              </w:rPr>
            </w:pPr>
            <w:r>
              <w:rPr>
                <w:rFonts w:ascii="Arial"/>
                <w:sz w:val="18"/>
              </w:rPr>
              <w:t>Cuidador principal (transformado)</w:t>
            </w:r>
          </w:p>
        </w:tc>
        <w:tc>
          <w:tcPr>
            <w:tcW w:w="1560" w:type="dxa"/>
          </w:tcPr>
          <w:p>
            <w:pPr>
              <w:pStyle w:val="TableParagraph"/>
              <w:spacing w:before="11"/>
              <w:rPr>
                <w:rFonts w:ascii="Arial"/>
                <w:b/>
                <w:sz w:val="15"/>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line="362" w:lineRule="auto" w:before="28"/>
              <w:ind w:left="103" w:right="371"/>
              <w:rPr>
                <w:rFonts w:ascii="Arial" w:hAnsi="Arial"/>
                <w:sz w:val="18"/>
              </w:rPr>
            </w:pPr>
            <w:r>
              <w:rPr>
                <w:rFonts w:ascii="Arial" w:hAnsi="Arial"/>
                <w:sz w:val="18"/>
              </w:rPr>
              <w:t>Combinar categorías para aumentar al máximo la asociación con el destino.</w:t>
            </w:r>
          </w:p>
        </w:tc>
      </w:tr>
      <w:tr>
        <w:trPr>
          <w:trHeight w:val="691" w:hRule="exact"/>
        </w:trPr>
        <w:tc>
          <w:tcPr>
            <w:tcW w:w="3965" w:type="dxa"/>
          </w:tcPr>
          <w:p>
            <w:pPr>
              <w:pStyle w:val="TableParagraph"/>
              <w:spacing w:before="2"/>
              <w:rPr>
                <w:rFonts w:ascii="Arial"/>
                <w:b/>
                <w:sz w:val="16"/>
              </w:rPr>
            </w:pPr>
          </w:p>
          <w:p>
            <w:pPr>
              <w:pStyle w:val="TableParagraph"/>
              <w:ind w:left="103" w:right="161"/>
              <w:rPr>
                <w:rFonts w:ascii="Arial"/>
                <w:sz w:val="18"/>
              </w:rPr>
            </w:pPr>
            <w:r>
              <w:rPr>
                <w:rFonts w:ascii="Arial"/>
                <w:sz w:val="18"/>
              </w:rPr>
              <w:t>Nivel educativo de la madre (transformado)</w:t>
            </w:r>
          </w:p>
        </w:tc>
        <w:tc>
          <w:tcPr>
            <w:tcW w:w="1560" w:type="dxa"/>
          </w:tcPr>
          <w:p>
            <w:pPr>
              <w:pStyle w:val="TableParagraph"/>
              <w:spacing w:before="2"/>
              <w:rPr>
                <w:rFonts w:ascii="Arial"/>
                <w:b/>
                <w:sz w:val="16"/>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line="360" w:lineRule="auto" w:before="30"/>
              <w:ind w:left="103" w:right="371"/>
              <w:rPr>
                <w:rFonts w:ascii="Arial" w:hAnsi="Arial"/>
                <w:sz w:val="18"/>
              </w:rPr>
            </w:pPr>
            <w:r>
              <w:rPr>
                <w:rFonts w:ascii="Arial" w:hAnsi="Arial"/>
                <w:sz w:val="18"/>
              </w:rPr>
              <w:t>Combinar categorías para aumentar al máximo la asociación con el destino.</w:t>
            </w:r>
          </w:p>
        </w:tc>
      </w:tr>
      <w:tr>
        <w:trPr>
          <w:trHeight w:val="689" w:hRule="exact"/>
        </w:trPr>
        <w:tc>
          <w:tcPr>
            <w:tcW w:w="3965" w:type="dxa"/>
          </w:tcPr>
          <w:p>
            <w:pPr>
              <w:pStyle w:val="TableParagraph"/>
              <w:spacing w:line="362" w:lineRule="auto" w:before="28"/>
              <w:ind w:left="103" w:right="901"/>
              <w:rPr>
                <w:rFonts w:ascii="Arial"/>
                <w:sz w:val="18"/>
              </w:rPr>
            </w:pPr>
            <w:r>
              <w:rPr>
                <w:rFonts w:ascii="Arial"/>
                <w:sz w:val="18"/>
              </w:rPr>
              <w:t>Nivel educativo de cuidador principal (transformado)</w:t>
            </w:r>
          </w:p>
        </w:tc>
        <w:tc>
          <w:tcPr>
            <w:tcW w:w="1560" w:type="dxa"/>
          </w:tcPr>
          <w:p>
            <w:pPr>
              <w:pStyle w:val="TableParagraph"/>
              <w:spacing w:before="11"/>
              <w:rPr>
                <w:rFonts w:ascii="Arial"/>
                <w:b/>
                <w:sz w:val="15"/>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line="362" w:lineRule="auto" w:before="28"/>
              <w:ind w:left="103" w:right="371"/>
              <w:rPr>
                <w:rFonts w:ascii="Arial" w:hAnsi="Arial"/>
                <w:sz w:val="18"/>
              </w:rPr>
            </w:pPr>
            <w:r>
              <w:rPr>
                <w:rFonts w:ascii="Arial" w:hAnsi="Arial"/>
                <w:sz w:val="18"/>
              </w:rPr>
              <w:t>Combinar categorías para aumentar al máximo la asociación con el destino.</w:t>
            </w:r>
          </w:p>
        </w:tc>
      </w:tr>
      <w:tr>
        <w:trPr>
          <w:trHeight w:val="691" w:hRule="exact"/>
        </w:trPr>
        <w:tc>
          <w:tcPr>
            <w:tcW w:w="3965" w:type="dxa"/>
          </w:tcPr>
          <w:p>
            <w:pPr>
              <w:pStyle w:val="TableParagraph"/>
              <w:spacing w:before="2"/>
              <w:rPr>
                <w:rFonts w:ascii="Arial"/>
                <w:b/>
                <w:sz w:val="16"/>
              </w:rPr>
            </w:pPr>
          </w:p>
          <w:p>
            <w:pPr>
              <w:pStyle w:val="TableParagraph"/>
              <w:ind w:left="103" w:right="161"/>
              <w:rPr>
                <w:rFonts w:ascii="Arial" w:hAnsi="Arial"/>
                <w:sz w:val="18"/>
              </w:rPr>
            </w:pPr>
            <w:r>
              <w:rPr>
                <w:rFonts w:ascii="Arial" w:hAnsi="Arial"/>
                <w:sz w:val="18"/>
              </w:rPr>
              <w:t>Ocupación del padre (transformado)</w:t>
            </w:r>
          </w:p>
        </w:tc>
        <w:tc>
          <w:tcPr>
            <w:tcW w:w="1560" w:type="dxa"/>
          </w:tcPr>
          <w:p>
            <w:pPr>
              <w:pStyle w:val="TableParagraph"/>
              <w:spacing w:before="2"/>
              <w:rPr>
                <w:rFonts w:ascii="Arial"/>
                <w:b/>
                <w:sz w:val="16"/>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line="360" w:lineRule="auto" w:before="30"/>
              <w:ind w:left="103" w:right="371"/>
              <w:rPr>
                <w:rFonts w:ascii="Arial" w:hAnsi="Arial"/>
                <w:sz w:val="18"/>
              </w:rPr>
            </w:pPr>
            <w:r>
              <w:rPr>
                <w:rFonts w:ascii="Arial" w:hAnsi="Arial"/>
                <w:sz w:val="18"/>
              </w:rPr>
              <w:t>Combinar categorías para aumentar al máximo la asociación con el destino.</w:t>
            </w:r>
          </w:p>
        </w:tc>
      </w:tr>
      <w:tr>
        <w:trPr>
          <w:trHeight w:val="691" w:hRule="exact"/>
        </w:trPr>
        <w:tc>
          <w:tcPr>
            <w:tcW w:w="3965" w:type="dxa"/>
          </w:tcPr>
          <w:p>
            <w:pPr>
              <w:pStyle w:val="TableParagraph"/>
              <w:spacing w:before="11"/>
              <w:rPr>
                <w:rFonts w:ascii="Arial"/>
                <w:b/>
                <w:sz w:val="15"/>
              </w:rPr>
            </w:pPr>
          </w:p>
          <w:p>
            <w:pPr>
              <w:pStyle w:val="TableParagraph"/>
              <w:ind w:left="103" w:right="161"/>
              <w:rPr>
                <w:rFonts w:ascii="Arial"/>
                <w:sz w:val="18"/>
              </w:rPr>
            </w:pPr>
            <w:r>
              <w:rPr>
                <w:rFonts w:ascii="Arial"/>
                <w:sz w:val="18"/>
              </w:rPr>
              <w:t>Talla (trasformado)</w:t>
            </w:r>
          </w:p>
        </w:tc>
        <w:tc>
          <w:tcPr>
            <w:tcW w:w="1560" w:type="dxa"/>
          </w:tcPr>
          <w:p>
            <w:pPr>
              <w:pStyle w:val="TableParagraph"/>
              <w:spacing w:before="11"/>
              <w:rPr>
                <w:rFonts w:ascii="Arial"/>
                <w:b/>
                <w:sz w:val="15"/>
              </w:rPr>
            </w:pPr>
          </w:p>
          <w:p>
            <w:pPr>
              <w:pStyle w:val="TableParagraph"/>
              <w:ind w:left="395" w:right="394"/>
              <w:jc w:val="center"/>
              <w:rPr>
                <w:rFonts w:ascii="Arial"/>
                <w:sz w:val="18"/>
              </w:rPr>
            </w:pPr>
            <w:r>
              <w:rPr>
                <w:rFonts w:ascii="Arial"/>
                <w:sz w:val="18"/>
              </w:rPr>
              <w:t>Predictor</w:t>
            </w:r>
          </w:p>
        </w:tc>
        <w:tc>
          <w:tcPr>
            <w:tcW w:w="3586" w:type="dxa"/>
          </w:tcPr>
          <w:p>
            <w:pPr>
              <w:pStyle w:val="TableParagraph"/>
              <w:spacing w:before="11"/>
              <w:rPr>
                <w:rFonts w:ascii="Arial"/>
                <w:b/>
                <w:sz w:val="15"/>
              </w:rPr>
            </w:pPr>
          </w:p>
          <w:p>
            <w:pPr>
              <w:pStyle w:val="TableParagraph"/>
              <w:ind w:left="103" w:right="371"/>
              <w:rPr>
                <w:rFonts w:ascii="Arial" w:hAnsi="Arial"/>
                <w:sz w:val="18"/>
              </w:rPr>
            </w:pPr>
            <w:r>
              <w:rPr>
                <w:rFonts w:ascii="Arial" w:hAnsi="Arial"/>
                <w:sz w:val="18"/>
              </w:rPr>
              <w:t>Recortar valores atípicos.</w:t>
            </w:r>
          </w:p>
        </w:tc>
      </w:tr>
    </w:tbl>
    <w:p>
      <w:pPr>
        <w:spacing w:after="0"/>
        <w:rPr>
          <w:rFonts w:ascii="Arial" w:hAnsi="Arial"/>
          <w:sz w:val="18"/>
        </w:rPr>
        <w:sectPr>
          <w:pgSz w:w="12240" w:h="15840"/>
          <w:pgMar w:header="686" w:footer="964" w:top="1080" w:bottom="1160" w:left="1280" w:right="1560"/>
        </w:sectPr>
      </w:pPr>
    </w:p>
    <w:p>
      <w:pPr>
        <w:pStyle w:val="BodyText"/>
        <w:rPr>
          <w:b/>
          <w:sz w:val="20"/>
        </w:rPr>
      </w:pPr>
    </w:p>
    <w:p>
      <w:pPr>
        <w:pStyle w:val="BodyText"/>
        <w:spacing w:before="5"/>
        <w:rPr>
          <w:b/>
          <w:sz w:val="27"/>
        </w:rPr>
      </w:pPr>
    </w:p>
    <w:p>
      <w:pPr>
        <w:pStyle w:val="BodyText"/>
        <w:spacing w:line="360" w:lineRule="auto" w:before="70"/>
        <w:ind w:left="138" w:right="136"/>
        <w:jc w:val="both"/>
      </w:pPr>
      <w:r>
        <w:rPr/>
        <w:t>La Tabla ANOVA muestra que todas las variables excepto la duración de la alimentación con biberón fueron significativas para la construcción del modelo (0.05 nivel de significancia), por lo que esta variable fue excluida del análisis. Además la variable</w:t>
      </w:r>
      <w:r>
        <w:rPr>
          <w:spacing w:val="-5"/>
        </w:rPr>
        <w:t> </w:t>
      </w:r>
      <w:r>
        <w:rPr/>
        <w:t>del</w:t>
      </w:r>
      <w:r>
        <w:rPr>
          <w:spacing w:val="-6"/>
        </w:rPr>
        <w:t> </w:t>
      </w:r>
      <w:r>
        <w:rPr/>
        <w:t>número</w:t>
      </w:r>
      <w:r>
        <w:rPr>
          <w:spacing w:val="-5"/>
        </w:rPr>
        <w:t> </w:t>
      </w:r>
      <w:r>
        <w:rPr/>
        <w:t>de</w:t>
      </w:r>
      <w:r>
        <w:rPr>
          <w:spacing w:val="-7"/>
        </w:rPr>
        <w:t> </w:t>
      </w:r>
      <w:r>
        <w:rPr/>
        <w:t>veces</w:t>
      </w:r>
      <w:r>
        <w:rPr>
          <w:spacing w:val="-5"/>
        </w:rPr>
        <w:t> </w:t>
      </w:r>
      <w:r>
        <w:rPr/>
        <w:t>que</w:t>
      </w:r>
      <w:r>
        <w:rPr>
          <w:spacing w:val="-5"/>
        </w:rPr>
        <w:t> </w:t>
      </w:r>
      <w:r>
        <w:rPr/>
        <w:t>el</w:t>
      </w:r>
      <w:r>
        <w:rPr>
          <w:spacing w:val="-6"/>
        </w:rPr>
        <w:t> </w:t>
      </w:r>
      <w:r>
        <w:rPr/>
        <w:t>niño</w:t>
      </w:r>
      <w:r>
        <w:rPr>
          <w:spacing w:val="-5"/>
        </w:rPr>
        <w:t> </w:t>
      </w:r>
      <w:r>
        <w:rPr/>
        <w:t>está</w:t>
      </w:r>
      <w:r>
        <w:rPr>
          <w:spacing w:val="-7"/>
        </w:rPr>
        <w:t> </w:t>
      </w:r>
      <w:r>
        <w:rPr/>
        <w:t>expuesto</w:t>
      </w:r>
      <w:r>
        <w:rPr>
          <w:spacing w:val="-7"/>
        </w:rPr>
        <w:t> </w:t>
      </w:r>
      <w:r>
        <w:rPr/>
        <w:t>a</w:t>
      </w:r>
      <w:r>
        <w:rPr>
          <w:spacing w:val="-5"/>
        </w:rPr>
        <w:t> </w:t>
      </w:r>
      <w:r>
        <w:rPr/>
        <w:t>azúcares</w:t>
      </w:r>
      <w:r>
        <w:rPr>
          <w:spacing w:val="-8"/>
        </w:rPr>
        <w:t> </w:t>
      </w:r>
      <w:r>
        <w:rPr/>
        <w:t>entre</w:t>
      </w:r>
      <w:r>
        <w:rPr>
          <w:spacing w:val="-5"/>
        </w:rPr>
        <w:t> </w:t>
      </w:r>
      <w:r>
        <w:rPr/>
        <w:t>comidas</w:t>
      </w:r>
      <w:r>
        <w:rPr>
          <w:spacing w:val="-8"/>
        </w:rPr>
        <w:t> </w:t>
      </w:r>
      <w:r>
        <w:rPr/>
        <w:t>fue transformada por la combinación de categorías y mostro un nivel significativo</w:t>
      </w:r>
      <w:r>
        <w:rPr>
          <w:spacing w:val="-25"/>
        </w:rPr>
        <w:t> </w:t>
      </w:r>
      <w:r>
        <w:rPr/>
        <w:t>cercano al 0.05, razón por la cual también fue excluida del análisis, como se observa en la Tabla</w:t>
      </w:r>
      <w:r>
        <w:rPr>
          <w:spacing w:val="-4"/>
        </w:rPr>
        <w:t> </w:t>
      </w:r>
      <w:r>
        <w:rPr/>
        <w:t>3.</w:t>
      </w:r>
    </w:p>
    <w:p>
      <w:pPr>
        <w:pStyle w:val="Heading1"/>
        <w:spacing w:before="202"/>
        <w:ind w:left="3419" w:right="3420"/>
        <w:jc w:val="center"/>
      </w:pPr>
      <w:r>
        <w:rPr/>
        <w:t>Tabla 3. Tabla ANOVA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1"/>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3"/>
        <w:gridCol w:w="1418"/>
        <w:gridCol w:w="566"/>
        <w:gridCol w:w="1277"/>
        <w:gridCol w:w="850"/>
        <w:gridCol w:w="718"/>
        <w:gridCol w:w="1285"/>
      </w:tblGrid>
      <w:tr>
        <w:trPr>
          <w:trHeight w:val="631" w:hRule="exact"/>
        </w:trPr>
        <w:tc>
          <w:tcPr>
            <w:tcW w:w="2943" w:type="dxa"/>
          </w:tcPr>
          <w:p>
            <w:pPr>
              <w:pStyle w:val="TableParagraph"/>
              <w:spacing w:before="155"/>
              <w:ind w:left="1176" w:right="1177"/>
              <w:jc w:val="center"/>
              <w:rPr>
                <w:rFonts w:ascii="Arial"/>
                <w:sz w:val="18"/>
              </w:rPr>
            </w:pPr>
            <w:r>
              <w:rPr>
                <w:rFonts w:ascii="Arial"/>
                <w:sz w:val="18"/>
              </w:rPr>
              <w:t>Origen</w:t>
            </w:r>
          </w:p>
        </w:tc>
        <w:tc>
          <w:tcPr>
            <w:tcW w:w="1418" w:type="dxa"/>
          </w:tcPr>
          <w:p>
            <w:pPr>
              <w:pStyle w:val="TableParagraph"/>
              <w:spacing w:line="362" w:lineRule="auto"/>
              <w:ind w:left="283" w:right="265" w:firstLine="60"/>
              <w:rPr>
                <w:rFonts w:ascii="Arial"/>
                <w:sz w:val="18"/>
              </w:rPr>
            </w:pPr>
            <w:r>
              <w:rPr>
                <w:rFonts w:ascii="Arial"/>
                <w:sz w:val="18"/>
              </w:rPr>
              <w:t>Suma de cuadrados</w:t>
            </w:r>
          </w:p>
        </w:tc>
        <w:tc>
          <w:tcPr>
            <w:tcW w:w="566" w:type="dxa"/>
          </w:tcPr>
          <w:p>
            <w:pPr>
              <w:pStyle w:val="TableParagraph"/>
              <w:spacing w:before="155"/>
              <w:ind w:left="82" w:right="82"/>
              <w:jc w:val="center"/>
              <w:rPr>
                <w:rFonts w:ascii="Arial"/>
                <w:sz w:val="18"/>
              </w:rPr>
            </w:pPr>
            <w:r>
              <w:rPr>
                <w:rFonts w:ascii="Arial"/>
                <w:sz w:val="18"/>
              </w:rPr>
              <w:t>df</w:t>
            </w:r>
          </w:p>
        </w:tc>
        <w:tc>
          <w:tcPr>
            <w:tcW w:w="1277" w:type="dxa"/>
          </w:tcPr>
          <w:p>
            <w:pPr>
              <w:pStyle w:val="TableParagraph"/>
              <w:spacing w:line="362" w:lineRule="auto"/>
              <w:ind w:left="256" w:right="181" w:hanging="60"/>
              <w:rPr>
                <w:rFonts w:ascii="Arial" w:hAnsi="Arial"/>
                <w:sz w:val="18"/>
              </w:rPr>
            </w:pPr>
            <w:r>
              <w:rPr>
                <w:rFonts w:ascii="Arial" w:hAnsi="Arial"/>
                <w:sz w:val="18"/>
              </w:rPr>
              <w:t>Cuadrático promedio</w:t>
            </w:r>
          </w:p>
        </w:tc>
        <w:tc>
          <w:tcPr>
            <w:tcW w:w="850" w:type="dxa"/>
          </w:tcPr>
          <w:p>
            <w:pPr>
              <w:pStyle w:val="TableParagraph"/>
              <w:spacing w:before="155"/>
              <w:jc w:val="center"/>
              <w:rPr>
                <w:rFonts w:ascii="Arial"/>
                <w:sz w:val="18"/>
              </w:rPr>
            </w:pPr>
            <w:r>
              <w:rPr>
                <w:rFonts w:ascii="Arial"/>
                <w:w w:val="100"/>
                <w:sz w:val="18"/>
              </w:rPr>
              <w:t>F</w:t>
            </w:r>
          </w:p>
        </w:tc>
        <w:tc>
          <w:tcPr>
            <w:tcW w:w="718" w:type="dxa"/>
          </w:tcPr>
          <w:p>
            <w:pPr>
              <w:pStyle w:val="TableParagraph"/>
              <w:spacing w:before="155"/>
              <w:ind w:left="199"/>
              <w:rPr>
                <w:rFonts w:ascii="Arial"/>
                <w:sz w:val="18"/>
              </w:rPr>
            </w:pPr>
            <w:r>
              <w:rPr>
                <w:rFonts w:ascii="Arial"/>
                <w:sz w:val="18"/>
              </w:rPr>
              <w:t>Sig.</w:t>
            </w:r>
          </w:p>
        </w:tc>
        <w:tc>
          <w:tcPr>
            <w:tcW w:w="1285" w:type="dxa"/>
          </w:tcPr>
          <w:p>
            <w:pPr>
              <w:pStyle w:val="TableParagraph"/>
              <w:spacing w:before="155"/>
              <w:ind w:left="147" w:right="147"/>
              <w:jc w:val="center"/>
              <w:rPr>
                <w:rFonts w:ascii="Arial"/>
                <w:sz w:val="18"/>
              </w:rPr>
            </w:pPr>
            <w:r>
              <w:rPr>
                <w:rFonts w:ascii="Arial"/>
                <w:sz w:val="18"/>
              </w:rPr>
              <w:t>Importancia</w:t>
            </w:r>
          </w:p>
        </w:tc>
      </w:tr>
      <w:tr>
        <w:trPr>
          <w:trHeight w:val="319" w:hRule="exact"/>
        </w:trPr>
        <w:tc>
          <w:tcPr>
            <w:tcW w:w="2943" w:type="dxa"/>
          </w:tcPr>
          <w:p>
            <w:pPr>
              <w:pStyle w:val="TableParagraph"/>
              <w:spacing w:line="206" w:lineRule="exact"/>
              <w:ind w:left="103" w:right="117"/>
              <w:rPr>
                <w:rFonts w:ascii="Arial"/>
                <w:sz w:val="18"/>
              </w:rPr>
            </w:pPr>
            <w:r>
              <w:rPr>
                <w:rFonts w:ascii="Arial"/>
                <w:sz w:val="18"/>
              </w:rPr>
              <w:t>Modelo corregido</w:t>
            </w:r>
          </w:p>
        </w:tc>
        <w:tc>
          <w:tcPr>
            <w:tcW w:w="1418" w:type="dxa"/>
          </w:tcPr>
          <w:p>
            <w:pPr>
              <w:pStyle w:val="TableParagraph"/>
              <w:spacing w:line="206" w:lineRule="exact"/>
              <w:ind w:left="233" w:right="233"/>
              <w:jc w:val="center"/>
              <w:rPr>
                <w:rFonts w:ascii="Arial"/>
                <w:sz w:val="18"/>
              </w:rPr>
            </w:pPr>
            <w:r>
              <w:rPr>
                <w:rFonts w:ascii="Arial"/>
                <w:sz w:val="18"/>
              </w:rPr>
              <w:t>4183.978</w:t>
            </w:r>
          </w:p>
        </w:tc>
        <w:tc>
          <w:tcPr>
            <w:tcW w:w="566" w:type="dxa"/>
          </w:tcPr>
          <w:p>
            <w:pPr>
              <w:pStyle w:val="TableParagraph"/>
              <w:spacing w:line="206" w:lineRule="exact"/>
              <w:jc w:val="center"/>
              <w:rPr>
                <w:rFonts w:ascii="Arial"/>
                <w:sz w:val="18"/>
              </w:rPr>
            </w:pPr>
            <w:r>
              <w:rPr>
                <w:rFonts w:ascii="Arial"/>
                <w:w w:val="99"/>
                <w:sz w:val="18"/>
              </w:rPr>
              <w:t>6</w:t>
            </w:r>
          </w:p>
        </w:tc>
        <w:tc>
          <w:tcPr>
            <w:tcW w:w="1277" w:type="dxa"/>
          </w:tcPr>
          <w:p>
            <w:pPr>
              <w:pStyle w:val="TableParagraph"/>
              <w:spacing w:line="206" w:lineRule="exact"/>
              <w:ind w:left="287" w:right="288"/>
              <w:jc w:val="center"/>
              <w:rPr>
                <w:rFonts w:ascii="Arial"/>
                <w:sz w:val="18"/>
              </w:rPr>
            </w:pPr>
            <w:r>
              <w:rPr>
                <w:rFonts w:ascii="Arial"/>
                <w:sz w:val="18"/>
              </w:rPr>
              <w:t>697.330</w:t>
            </w:r>
          </w:p>
        </w:tc>
        <w:tc>
          <w:tcPr>
            <w:tcW w:w="850" w:type="dxa"/>
          </w:tcPr>
          <w:p>
            <w:pPr>
              <w:pStyle w:val="TableParagraph"/>
              <w:spacing w:line="206" w:lineRule="exact"/>
              <w:ind w:left="175" w:right="174"/>
              <w:jc w:val="center"/>
              <w:rPr>
                <w:rFonts w:ascii="Arial"/>
                <w:sz w:val="18"/>
              </w:rPr>
            </w:pPr>
            <w:r>
              <w:rPr>
                <w:rFonts w:ascii="Arial"/>
                <w:sz w:val="18"/>
              </w:rPr>
              <w:t>6.249</w:t>
            </w:r>
          </w:p>
        </w:tc>
        <w:tc>
          <w:tcPr>
            <w:tcW w:w="718" w:type="dxa"/>
          </w:tcPr>
          <w:p>
            <w:pPr>
              <w:pStyle w:val="TableParagraph"/>
              <w:spacing w:line="206" w:lineRule="exact"/>
              <w:ind w:left="177"/>
              <w:rPr>
                <w:rFonts w:ascii="Arial"/>
                <w:sz w:val="18"/>
              </w:rPr>
            </w:pPr>
            <w:r>
              <w:rPr>
                <w:rFonts w:ascii="Arial"/>
                <w:sz w:val="18"/>
              </w:rPr>
              <w:t>.000</w:t>
            </w:r>
          </w:p>
        </w:tc>
        <w:tc>
          <w:tcPr>
            <w:tcW w:w="1285" w:type="dxa"/>
          </w:tcPr>
          <w:p>
            <w:pPr/>
          </w:p>
        </w:tc>
      </w:tr>
      <w:tr>
        <w:trPr>
          <w:trHeight w:val="943" w:hRule="exact"/>
        </w:trPr>
        <w:tc>
          <w:tcPr>
            <w:tcW w:w="2943" w:type="dxa"/>
          </w:tcPr>
          <w:p>
            <w:pPr>
              <w:pStyle w:val="TableParagraph"/>
              <w:spacing w:line="360" w:lineRule="auto" w:before="1"/>
              <w:ind w:left="103" w:right="117"/>
              <w:rPr>
                <w:rFonts w:ascii="Arial" w:hAnsi="Arial"/>
                <w:sz w:val="18"/>
              </w:rPr>
            </w:pPr>
            <w:r>
              <w:rPr>
                <w:rFonts w:ascii="Arial" w:hAnsi="Arial"/>
                <w:sz w:val="18"/>
              </w:rPr>
              <w:t>Número de veces que el niño está expuesto a azúcares</w:t>
            </w:r>
            <w:r>
              <w:rPr>
                <w:rFonts w:ascii="Arial" w:hAnsi="Arial"/>
                <w:spacing w:val="-14"/>
                <w:sz w:val="18"/>
              </w:rPr>
              <w:t> </w:t>
            </w:r>
            <w:r>
              <w:rPr>
                <w:rFonts w:ascii="Arial" w:hAnsi="Arial"/>
                <w:sz w:val="18"/>
              </w:rPr>
              <w:t>durante las</w:t>
            </w:r>
            <w:r>
              <w:rPr>
                <w:rFonts w:ascii="Arial" w:hAnsi="Arial"/>
                <w:spacing w:val="-3"/>
                <w:sz w:val="18"/>
              </w:rPr>
              <w:t> </w:t>
            </w:r>
            <w:r>
              <w:rPr>
                <w:rFonts w:ascii="Arial" w:hAnsi="Arial"/>
                <w:sz w:val="18"/>
              </w:rPr>
              <w:t>comidas.</w:t>
            </w:r>
          </w:p>
        </w:tc>
        <w:tc>
          <w:tcPr>
            <w:tcW w:w="1418" w:type="dxa"/>
          </w:tcPr>
          <w:p>
            <w:pPr>
              <w:pStyle w:val="TableParagraph"/>
              <w:rPr>
                <w:rFonts w:ascii="Arial"/>
                <w:b/>
                <w:sz w:val="18"/>
              </w:rPr>
            </w:pPr>
          </w:p>
          <w:p>
            <w:pPr>
              <w:pStyle w:val="TableParagraph"/>
              <w:spacing w:before="104"/>
              <w:ind w:left="233" w:right="232"/>
              <w:jc w:val="center"/>
              <w:rPr>
                <w:rFonts w:ascii="Arial"/>
                <w:sz w:val="18"/>
              </w:rPr>
            </w:pPr>
            <w:r>
              <w:rPr>
                <w:rFonts w:ascii="Arial"/>
                <w:sz w:val="18"/>
              </w:rPr>
              <w:t>755.949</w:t>
            </w:r>
          </w:p>
        </w:tc>
        <w:tc>
          <w:tcPr>
            <w:tcW w:w="566" w:type="dxa"/>
          </w:tcPr>
          <w:p>
            <w:pPr>
              <w:pStyle w:val="TableParagraph"/>
              <w:rPr>
                <w:rFonts w:ascii="Arial"/>
                <w:b/>
                <w:sz w:val="18"/>
              </w:rPr>
            </w:pPr>
          </w:p>
          <w:p>
            <w:pPr>
              <w:pStyle w:val="TableParagraph"/>
              <w:spacing w:before="104"/>
              <w:jc w:val="center"/>
              <w:rPr>
                <w:rFonts w:ascii="Arial"/>
                <w:sz w:val="18"/>
              </w:rPr>
            </w:pPr>
            <w:r>
              <w:rPr>
                <w:rFonts w:ascii="Arial"/>
                <w:w w:val="99"/>
                <w:sz w:val="18"/>
              </w:rPr>
              <w:t>1</w:t>
            </w:r>
          </w:p>
        </w:tc>
        <w:tc>
          <w:tcPr>
            <w:tcW w:w="1277" w:type="dxa"/>
          </w:tcPr>
          <w:p>
            <w:pPr>
              <w:pStyle w:val="TableParagraph"/>
              <w:rPr>
                <w:rFonts w:ascii="Arial"/>
                <w:b/>
                <w:sz w:val="18"/>
              </w:rPr>
            </w:pPr>
          </w:p>
          <w:p>
            <w:pPr>
              <w:pStyle w:val="TableParagraph"/>
              <w:spacing w:before="104"/>
              <w:ind w:left="287" w:right="288"/>
              <w:jc w:val="center"/>
              <w:rPr>
                <w:rFonts w:ascii="Arial"/>
                <w:sz w:val="18"/>
              </w:rPr>
            </w:pPr>
            <w:r>
              <w:rPr>
                <w:rFonts w:ascii="Arial"/>
                <w:sz w:val="18"/>
              </w:rPr>
              <w:t>755.949</w:t>
            </w:r>
          </w:p>
        </w:tc>
        <w:tc>
          <w:tcPr>
            <w:tcW w:w="850" w:type="dxa"/>
          </w:tcPr>
          <w:p>
            <w:pPr>
              <w:pStyle w:val="TableParagraph"/>
              <w:rPr>
                <w:rFonts w:ascii="Arial"/>
                <w:b/>
                <w:sz w:val="18"/>
              </w:rPr>
            </w:pPr>
          </w:p>
          <w:p>
            <w:pPr>
              <w:pStyle w:val="TableParagraph"/>
              <w:spacing w:before="104"/>
              <w:ind w:left="175" w:right="174"/>
              <w:jc w:val="center"/>
              <w:rPr>
                <w:rFonts w:ascii="Arial"/>
                <w:sz w:val="18"/>
              </w:rPr>
            </w:pPr>
            <w:r>
              <w:rPr>
                <w:rFonts w:ascii="Arial"/>
                <w:sz w:val="18"/>
              </w:rPr>
              <w:t>6.774</w:t>
            </w:r>
          </w:p>
        </w:tc>
        <w:tc>
          <w:tcPr>
            <w:tcW w:w="718" w:type="dxa"/>
          </w:tcPr>
          <w:p>
            <w:pPr>
              <w:pStyle w:val="TableParagraph"/>
              <w:rPr>
                <w:rFonts w:ascii="Arial"/>
                <w:b/>
                <w:sz w:val="18"/>
              </w:rPr>
            </w:pPr>
          </w:p>
          <w:p>
            <w:pPr>
              <w:pStyle w:val="TableParagraph"/>
              <w:spacing w:before="104"/>
              <w:ind w:left="177"/>
              <w:rPr>
                <w:rFonts w:ascii="Arial"/>
                <w:sz w:val="18"/>
              </w:rPr>
            </w:pPr>
            <w:r>
              <w:rPr>
                <w:rFonts w:ascii="Arial"/>
                <w:sz w:val="18"/>
              </w:rPr>
              <w:t>.010</w:t>
            </w:r>
          </w:p>
        </w:tc>
        <w:tc>
          <w:tcPr>
            <w:tcW w:w="1285" w:type="dxa"/>
          </w:tcPr>
          <w:p>
            <w:pPr>
              <w:pStyle w:val="TableParagraph"/>
              <w:rPr>
                <w:rFonts w:ascii="Arial"/>
                <w:b/>
                <w:sz w:val="18"/>
              </w:rPr>
            </w:pPr>
          </w:p>
          <w:p>
            <w:pPr>
              <w:pStyle w:val="TableParagraph"/>
              <w:spacing w:before="104"/>
              <w:ind w:left="147" w:right="147"/>
              <w:jc w:val="center"/>
              <w:rPr>
                <w:rFonts w:ascii="Arial"/>
                <w:sz w:val="18"/>
              </w:rPr>
            </w:pPr>
            <w:r>
              <w:rPr>
                <w:rFonts w:ascii="Arial"/>
                <w:sz w:val="18"/>
              </w:rPr>
              <w:t>0.254</w:t>
            </w:r>
          </w:p>
        </w:tc>
      </w:tr>
      <w:tr>
        <w:trPr>
          <w:trHeight w:val="632" w:hRule="exact"/>
        </w:trPr>
        <w:tc>
          <w:tcPr>
            <w:tcW w:w="2943" w:type="dxa"/>
          </w:tcPr>
          <w:p>
            <w:pPr>
              <w:pStyle w:val="TableParagraph"/>
              <w:spacing w:line="360" w:lineRule="auto"/>
              <w:ind w:left="103" w:right="559"/>
              <w:rPr>
                <w:rFonts w:ascii="Arial"/>
                <w:sz w:val="18"/>
              </w:rPr>
            </w:pPr>
            <w:r>
              <w:rPr>
                <w:rFonts w:ascii="Arial"/>
                <w:sz w:val="18"/>
              </w:rPr>
              <w:t>Nivel educativo del cuidador principal</w:t>
            </w:r>
          </w:p>
        </w:tc>
        <w:tc>
          <w:tcPr>
            <w:tcW w:w="1418" w:type="dxa"/>
          </w:tcPr>
          <w:p>
            <w:pPr>
              <w:pStyle w:val="TableParagraph"/>
              <w:spacing w:before="155"/>
              <w:ind w:left="233" w:right="232"/>
              <w:jc w:val="center"/>
              <w:rPr>
                <w:rFonts w:ascii="Arial"/>
                <w:sz w:val="18"/>
              </w:rPr>
            </w:pPr>
            <w:r>
              <w:rPr>
                <w:rFonts w:ascii="Arial"/>
                <w:sz w:val="18"/>
              </w:rPr>
              <w:t>547.913</w:t>
            </w:r>
          </w:p>
        </w:tc>
        <w:tc>
          <w:tcPr>
            <w:tcW w:w="566" w:type="dxa"/>
          </w:tcPr>
          <w:p>
            <w:pPr>
              <w:pStyle w:val="TableParagraph"/>
              <w:spacing w:before="155"/>
              <w:jc w:val="center"/>
              <w:rPr>
                <w:rFonts w:ascii="Arial"/>
                <w:sz w:val="18"/>
              </w:rPr>
            </w:pPr>
            <w:r>
              <w:rPr>
                <w:rFonts w:ascii="Arial"/>
                <w:w w:val="99"/>
                <w:sz w:val="18"/>
              </w:rPr>
              <w:t>1</w:t>
            </w:r>
          </w:p>
        </w:tc>
        <w:tc>
          <w:tcPr>
            <w:tcW w:w="1277" w:type="dxa"/>
          </w:tcPr>
          <w:p>
            <w:pPr>
              <w:pStyle w:val="TableParagraph"/>
              <w:spacing w:before="155"/>
              <w:ind w:left="287" w:right="288"/>
              <w:jc w:val="center"/>
              <w:rPr>
                <w:rFonts w:ascii="Arial"/>
                <w:sz w:val="18"/>
              </w:rPr>
            </w:pPr>
            <w:r>
              <w:rPr>
                <w:rFonts w:ascii="Arial"/>
                <w:sz w:val="18"/>
              </w:rPr>
              <w:t>547.913</w:t>
            </w:r>
          </w:p>
        </w:tc>
        <w:tc>
          <w:tcPr>
            <w:tcW w:w="850" w:type="dxa"/>
          </w:tcPr>
          <w:p>
            <w:pPr>
              <w:pStyle w:val="TableParagraph"/>
              <w:spacing w:before="155"/>
              <w:ind w:left="175" w:right="174"/>
              <w:jc w:val="center"/>
              <w:rPr>
                <w:rFonts w:ascii="Arial"/>
                <w:sz w:val="18"/>
              </w:rPr>
            </w:pPr>
            <w:r>
              <w:rPr>
                <w:rFonts w:ascii="Arial"/>
                <w:sz w:val="18"/>
              </w:rPr>
              <w:t>4.910</w:t>
            </w:r>
          </w:p>
        </w:tc>
        <w:tc>
          <w:tcPr>
            <w:tcW w:w="718" w:type="dxa"/>
          </w:tcPr>
          <w:p>
            <w:pPr>
              <w:pStyle w:val="TableParagraph"/>
              <w:spacing w:before="155"/>
              <w:ind w:left="177"/>
              <w:rPr>
                <w:rFonts w:ascii="Arial"/>
                <w:sz w:val="18"/>
              </w:rPr>
            </w:pPr>
            <w:r>
              <w:rPr>
                <w:rFonts w:ascii="Arial"/>
                <w:sz w:val="18"/>
              </w:rPr>
              <w:t>.029</w:t>
            </w:r>
          </w:p>
        </w:tc>
        <w:tc>
          <w:tcPr>
            <w:tcW w:w="1285" w:type="dxa"/>
          </w:tcPr>
          <w:p>
            <w:pPr>
              <w:pStyle w:val="TableParagraph"/>
              <w:spacing w:before="155"/>
              <w:ind w:left="147" w:right="147"/>
              <w:jc w:val="center"/>
              <w:rPr>
                <w:rFonts w:ascii="Arial"/>
                <w:sz w:val="18"/>
              </w:rPr>
            </w:pPr>
            <w:r>
              <w:rPr>
                <w:rFonts w:ascii="Arial"/>
                <w:sz w:val="18"/>
              </w:rPr>
              <w:t>0.184</w:t>
            </w:r>
          </w:p>
        </w:tc>
      </w:tr>
      <w:tr>
        <w:trPr>
          <w:trHeight w:val="319" w:hRule="exact"/>
        </w:trPr>
        <w:tc>
          <w:tcPr>
            <w:tcW w:w="2943" w:type="dxa"/>
          </w:tcPr>
          <w:p>
            <w:pPr>
              <w:pStyle w:val="TableParagraph"/>
              <w:spacing w:line="204" w:lineRule="exact"/>
              <w:ind w:left="103" w:right="117"/>
              <w:rPr>
                <w:rFonts w:ascii="Arial"/>
                <w:i/>
                <w:sz w:val="18"/>
              </w:rPr>
            </w:pPr>
            <w:r>
              <w:rPr>
                <w:rFonts w:ascii="Arial"/>
                <w:sz w:val="18"/>
              </w:rPr>
              <w:t>Presencia de </w:t>
            </w:r>
            <w:r>
              <w:rPr>
                <w:rFonts w:ascii="Arial"/>
                <w:i/>
                <w:sz w:val="18"/>
              </w:rPr>
              <w:t>materia alba</w:t>
            </w:r>
          </w:p>
        </w:tc>
        <w:tc>
          <w:tcPr>
            <w:tcW w:w="1418" w:type="dxa"/>
          </w:tcPr>
          <w:p>
            <w:pPr>
              <w:pStyle w:val="TableParagraph"/>
              <w:spacing w:line="206" w:lineRule="exact"/>
              <w:ind w:left="233" w:right="232"/>
              <w:jc w:val="center"/>
              <w:rPr>
                <w:rFonts w:ascii="Arial"/>
                <w:sz w:val="18"/>
              </w:rPr>
            </w:pPr>
            <w:r>
              <w:rPr>
                <w:rFonts w:ascii="Arial"/>
                <w:sz w:val="18"/>
              </w:rPr>
              <w:t>491.358</w:t>
            </w:r>
          </w:p>
        </w:tc>
        <w:tc>
          <w:tcPr>
            <w:tcW w:w="566" w:type="dxa"/>
          </w:tcPr>
          <w:p>
            <w:pPr>
              <w:pStyle w:val="TableParagraph"/>
              <w:spacing w:line="206" w:lineRule="exact"/>
              <w:jc w:val="center"/>
              <w:rPr>
                <w:rFonts w:ascii="Arial"/>
                <w:sz w:val="18"/>
              </w:rPr>
            </w:pPr>
            <w:r>
              <w:rPr>
                <w:rFonts w:ascii="Arial"/>
                <w:w w:val="99"/>
                <w:sz w:val="18"/>
              </w:rPr>
              <w:t>1</w:t>
            </w:r>
          </w:p>
        </w:tc>
        <w:tc>
          <w:tcPr>
            <w:tcW w:w="1277" w:type="dxa"/>
          </w:tcPr>
          <w:p>
            <w:pPr>
              <w:pStyle w:val="TableParagraph"/>
              <w:spacing w:line="206" w:lineRule="exact"/>
              <w:ind w:left="287" w:right="288"/>
              <w:jc w:val="center"/>
              <w:rPr>
                <w:rFonts w:ascii="Arial"/>
                <w:sz w:val="18"/>
              </w:rPr>
            </w:pPr>
            <w:r>
              <w:rPr>
                <w:rFonts w:ascii="Arial"/>
                <w:sz w:val="18"/>
              </w:rPr>
              <w:t>491.358</w:t>
            </w:r>
          </w:p>
        </w:tc>
        <w:tc>
          <w:tcPr>
            <w:tcW w:w="850" w:type="dxa"/>
          </w:tcPr>
          <w:p>
            <w:pPr>
              <w:pStyle w:val="TableParagraph"/>
              <w:spacing w:line="206" w:lineRule="exact"/>
              <w:ind w:left="175" w:right="174"/>
              <w:jc w:val="center"/>
              <w:rPr>
                <w:rFonts w:ascii="Arial"/>
                <w:sz w:val="18"/>
              </w:rPr>
            </w:pPr>
            <w:r>
              <w:rPr>
                <w:rFonts w:ascii="Arial"/>
                <w:sz w:val="18"/>
              </w:rPr>
              <w:t>4.403</w:t>
            </w:r>
          </w:p>
        </w:tc>
        <w:tc>
          <w:tcPr>
            <w:tcW w:w="718" w:type="dxa"/>
          </w:tcPr>
          <w:p>
            <w:pPr>
              <w:pStyle w:val="TableParagraph"/>
              <w:spacing w:line="206" w:lineRule="exact"/>
              <w:ind w:left="177"/>
              <w:rPr>
                <w:rFonts w:ascii="Arial"/>
                <w:sz w:val="18"/>
              </w:rPr>
            </w:pPr>
            <w:r>
              <w:rPr>
                <w:rFonts w:ascii="Arial"/>
                <w:sz w:val="18"/>
              </w:rPr>
              <w:t>.038</w:t>
            </w:r>
          </w:p>
        </w:tc>
        <w:tc>
          <w:tcPr>
            <w:tcW w:w="1285" w:type="dxa"/>
          </w:tcPr>
          <w:p>
            <w:pPr>
              <w:pStyle w:val="TableParagraph"/>
              <w:spacing w:line="206" w:lineRule="exact"/>
              <w:ind w:left="147" w:right="147"/>
              <w:jc w:val="center"/>
              <w:rPr>
                <w:rFonts w:ascii="Arial"/>
                <w:sz w:val="18"/>
              </w:rPr>
            </w:pPr>
            <w:r>
              <w:rPr>
                <w:rFonts w:ascii="Arial"/>
                <w:sz w:val="18"/>
              </w:rPr>
              <w:t>0.165</w:t>
            </w:r>
          </w:p>
        </w:tc>
      </w:tr>
      <w:tr>
        <w:trPr>
          <w:trHeight w:val="631" w:hRule="exact"/>
        </w:trPr>
        <w:tc>
          <w:tcPr>
            <w:tcW w:w="2943" w:type="dxa"/>
          </w:tcPr>
          <w:p>
            <w:pPr>
              <w:pStyle w:val="TableParagraph"/>
              <w:spacing w:line="362" w:lineRule="auto"/>
              <w:ind w:left="103" w:right="459"/>
              <w:rPr>
                <w:rFonts w:ascii="Arial" w:hAnsi="Arial"/>
                <w:sz w:val="18"/>
              </w:rPr>
            </w:pPr>
            <w:r>
              <w:rPr>
                <w:rFonts w:ascii="Arial" w:hAnsi="Arial"/>
                <w:sz w:val="18"/>
              </w:rPr>
              <w:t>Adición de azúcar / miel en el biberón</w:t>
            </w:r>
          </w:p>
        </w:tc>
        <w:tc>
          <w:tcPr>
            <w:tcW w:w="1418" w:type="dxa"/>
          </w:tcPr>
          <w:p>
            <w:pPr>
              <w:pStyle w:val="TableParagraph"/>
              <w:spacing w:before="155"/>
              <w:ind w:left="233" w:right="232"/>
              <w:jc w:val="center"/>
              <w:rPr>
                <w:rFonts w:ascii="Arial"/>
                <w:sz w:val="18"/>
              </w:rPr>
            </w:pPr>
            <w:r>
              <w:rPr>
                <w:rFonts w:ascii="Arial"/>
                <w:sz w:val="18"/>
              </w:rPr>
              <w:t>490.263</w:t>
            </w:r>
          </w:p>
        </w:tc>
        <w:tc>
          <w:tcPr>
            <w:tcW w:w="566" w:type="dxa"/>
          </w:tcPr>
          <w:p>
            <w:pPr>
              <w:pStyle w:val="TableParagraph"/>
              <w:spacing w:before="155"/>
              <w:jc w:val="center"/>
              <w:rPr>
                <w:rFonts w:ascii="Arial"/>
                <w:sz w:val="18"/>
              </w:rPr>
            </w:pPr>
            <w:r>
              <w:rPr>
                <w:rFonts w:ascii="Arial"/>
                <w:w w:val="99"/>
                <w:sz w:val="18"/>
              </w:rPr>
              <w:t>1</w:t>
            </w:r>
          </w:p>
        </w:tc>
        <w:tc>
          <w:tcPr>
            <w:tcW w:w="1277" w:type="dxa"/>
          </w:tcPr>
          <w:p>
            <w:pPr>
              <w:pStyle w:val="TableParagraph"/>
              <w:spacing w:before="155"/>
              <w:ind w:left="287" w:right="288"/>
              <w:jc w:val="center"/>
              <w:rPr>
                <w:rFonts w:ascii="Arial"/>
                <w:sz w:val="18"/>
              </w:rPr>
            </w:pPr>
            <w:r>
              <w:rPr>
                <w:rFonts w:ascii="Arial"/>
                <w:sz w:val="18"/>
              </w:rPr>
              <w:t>490.263</w:t>
            </w:r>
          </w:p>
        </w:tc>
        <w:tc>
          <w:tcPr>
            <w:tcW w:w="850" w:type="dxa"/>
          </w:tcPr>
          <w:p>
            <w:pPr>
              <w:pStyle w:val="TableParagraph"/>
              <w:spacing w:before="155"/>
              <w:ind w:left="175" w:right="174"/>
              <w:jc w:val="center"/>
              <w:rPr>
                <w:rFonts w:ascii="Arial"/>
                <w:sz w:val="18"/>
              </w:rPr>
            </w:pPr>
            <w:r>
              <w:rPr>
                <w:rFonts w:ascii="Arial"/>
                <w:sz w:val="18"/>
              </w:rPr>
              <w:t>4.393</w:t>
            </w:r>
          </w:p>
        </w:tc>
        <w:tc>
          <w:tcPr>
            <w:tcW w:w="718" w:type="dxa"/>
          </w:tcPr>
          <w:p>
            <w:pPr>
              <w:pStyle w:val="TableParagraph"/>
              <w:spacing w:before="155"/>
              <w:ind w:left="177"/>
              <w:rPr>
                <w:rFonts w:ascii="Arial"/>
                <w:sz w:val="18"/>
              </w:rPr>
            </w:pPr>
            <w:r>
              <w:rPr>
                <w:rFonts w:ascii="Arial"/>
                <w:sz w:val="18"/>
              </w:rPr>
              <w:t>.038</w:t>
            </w:r>
          </w:p>
        </w:tc>
        <w:tc>
          <w:tcPr>
            <w:tcW w:w="1285" w:type="dxa"/>
          </w:tcPr>
          <w:p>
            <w:pPr>
              <w:pStyle w:val="TableParagraph"/>
              <w:spacing w:before="155"/>
              <w:ind w:left="147" w:right="147"/>
              <w:jc w:val="center"/>
              <w:rPr>
                <w:rFonts w:ascii="Arial"/>
                <w:sz w:val="18"/>
              </w:rPr>
            </w:pPr>
            <w:r>
              <w:rPr>
                <w:rFonts w:ascii="Arial"/>
                <w:sz w:val="18"/>
              </w:rPr>
              <w:t>0.165</w:t>
            </w:r>
          </w:p>
        </w:tc>
      </w:tr>
      <w:tr>
        <w:trPr>
          <w:trHeight w:val="941" w:hRule="exact"/>
        </w:trPr>
        <w:tc>
          <w:tcPr>
            <w:tcW w:w="2943" w:type="dxa"/>
          </w:tcPr>
          <w:p>
            <w:pPr>
              <w:pStyle w:val="TableParagraph"/>
              <w:spacing w:line="360" w:lineRule="auto"/>
              <w:ind w:left="103" w:right="298"/>
              <w:rPr>
                <w:rFonts w:ascii="Arial" w:hAnsi="Arial"/>
                <w:sz w:val="18"/>
              </w:rPr>
            </w:pPr>
            <w:r>
              <w:rPr>
                <w:rFonts w:ascii="Arial" w:hAnsi="Arial"/>
                <w:sz w:val="18"/>
              </w:rPr>
              <w:t>Número de veces que el niño está expuesto a azúcares entre comidas</w:t>
            </w:r>
          </w:p>
        </w:tc>
        <w:tc>
          <w:tcPr>
            <w:tcW w:w="1418" w:type="dxa"/>
          </w:tcPr>
          <w:p>
            <w:pPr>
              <w:pStyle w:val="TableParagraph"/>
              <w:rPr>
                <w:rFonts w:ascii="Arial"/>
                <w:b/>
                <w:sz w:val="18"/>
              </w:rPr>
            </w:pPr>
          </w:p>
          <w:p>
            <w:pPr>
              <w:pStyle w:val="TableParagraph"/>
              <w:spacing w:before="104"/>
              <w:ind w:left="233" w:right="232"/>
              <w:jc w:val="center"/>
              <w:rPr>
                <w:rFonts w:ascii="Arial"/>
                <w:sz w:val="18"/>
              </w:rPr>
            </w:pPr>
            <w:r>
              <w:rPr>
                <w:rFonts w:ascii="Arial"/>
                <w:sz w:val="18"/>
              </w:rPr>
              <w:t>447.602</w:t>
            </w:r>
          </w:p>
        </w:tc>
        <w:tc>
          <w:tcPr>
            <w:tcW w:w="566" w:type="dxa"/>
          </w:tcPr>
          <w:p>
            <w:pPr>
              <w:pStyle w:val="TableParagraph"/>
              <w:rPr>
                <w:rFonts w:ascii="Arial"/>
                <w:b/>
                <w:sz w:val="18"/>
              </w:rPr>
            </w:pPr>
          </w:p>
          <w:p>
            <w:pPr>
              <w:pStyle w:val="TableParagraph"/>
              <w:spacing w:before="104"/>
              <w:jc w:val="center"/>
              <w:rPr>
                <w:rFonts w:ascii="Arial"/>
                <w:sz w:val="18"/>
              </w:rPr>
            </w:pPr>
            <w:r>
              <w:rPr>
                <w:rFonts w:ascii="Arial"/>
                <w:w w:val="99"/>
                <w:sz w:val="18"/>
              </w:rPr>
              <w:t>1</w:t>
            </w:r>
          </w:p>
        </w:tc>
        <w:tc>
          <w:tcPr>
            <w:tcW w:w="1277" w:type="dxa"/>
          </w:tcPr>
          <w:p>
            <w:pPr>
              <w:pStyle w:val="TableParagraph"/>
              <w:rPr>
                <w:rFonts w:ascii="Arial"/>
                <w:b/>
                <w:sz w:val="18"/>
              </w:rPr>
            </w:pPr>
          </w:p>
          <w:p>
            <w:pPr>
              <w:pStyle w:val="TableParagraph"/>
              <w:spacing w:before="104"/>
              <w:ind w:left="287" w:right="288"/>
              <w:jc w:val="center"/>
              <w:rPr>
                <w:rFonts w:ascii="Arial"/>
                <w:sz w:val="18"/>
              </w:rPr>
            </w:pPr>
            <w:r>
              <w:rPr>
                <w:rFonts w:ascii="Arial"/>
                <w:sz w:val="18"/>
              </w:rPr>
              <w:t>447.602</w:t>
            </w:r>
          </w:p>
        </w:tc>
        <w:tc>
          <w:tcPr>
            <w:tcW w:w="850" w:type="dxa"/>
          </w:tcPr>
          <w:p>
            <w:pPr>
              <w:pStyle w:val="TableParagraph"/>
              <w:rPr>
                <w:rFonts w:ascii="Arial"/>
                <w:b/>
                <w:sz w:val="18"/>
              </w:rPr>
            </w:pPr>
          </w:p>
          <w:p>
            <w:pPr>
              <w:pStyle w:val="TableParagraph"/>
              <w:spacing w:before="104"/>
              <w:ind w:left="175" w:right="174"/>
              <w:jc w:val="center"/>
              <w:rPr>
                <w:rFonts w:ascii="Arial"/>
                <w:sz w:val="18"/>
              </w:rPr>
            </w:pPr>
            <w:r>
              <w:rPr>
                <w:rFonts w:ascii="Arial"/>
                <w:sz w:val="18"/>
              </w:rPr>
              <w:t>4.011</w:t>
            </w:r>
          </w:p>
        </w:tc>
        <w:tc>
          <w:tcPr>
            <w:tcW w:w="718" w:type="dxa"/>
          </w:tcPr>
          <w:p>
            <w:pPr>
              <w:pStyle w:val="TableParagraph"/>
              <w:rPr>
                <w:rFonts w:ascii="Arial"/>
                <w:b/>
                <w:sz w:val="18"/>
              </w:rPr>
            </w:pPr>
          </w:p>
          <w:p>
            <w:pPr>
              <w:pStyle w:val="TableParagraph"/>
              <w:spacing w:before="104"/>
              <w:ind w:left="177"/>
              <w:rPr>
                <w:rFonts w:ascii="Arial"/>
                <w:sz w:val="18"/>
              </w:rPr>
            </w:pPr>
            <w:r>
              <w:rPr>
                <w:rFonts w:ascii="Arial"/>
                <w:sz w:val="18"/>
              </w:rPr>
              <w:t>.047</w:t>
            </w:r>
          </w:p>
        </w:tc>
        <w:tc>
          <w:tcPr>
            <w:tcW w:w="1285" w:type="dxa"/>
          </w:tcPr>
          <w:p>
            <w:pPr>
              <w:pStyle w:val="TableParagraph"/>
              <w:rPr>
                <w:rFonts w:ascii="Arial"/>
                <w:b/>
                <w:sz w:val="18"/>
              </w:rPr>
            </w:pPr>
          </w:p>
          <w:p>
            <w:pPr>
              <w:pStyle w:val="TableParagraph"/>
              <w:spacing w:before="104"/>
              <w:ind w:left="147" w:right="147"/>
              <w:jc w:val="center"/>
              <w:rPr>
                <w:rFonts w:ascii="Arial"/>
                <w:sz w:val="18"/>
              </w:rPr>
            </w:pPr>
            <w:r>
              <w:rPr>
                <w:rFonts w:ascii="Arial"/>
                <w:sz w:val="18"/>
              </w:rPr>
              <w:t>0.151</w:t>
            </w:r>
          </w:p>
        </w:tc>
      </w:tr>
      <w:tr>
        <w:trPr>
          <w:trHeight w:val="631" w:hRule="exact"/>
        </w:trPr>
        <w:tc>
          <w:tcPr>
            <w:tcW w:w="2943" w:type="dxa"/>
          </w:tcPr>
          <w:p>
            <w:pPr>
              <w:pStyle w:val="TableParagraph"/>
              <w:spacing w:line="362" w:lineRule="auto"/>
              <w:ind w:left="103" w:right="248"/>
              <w:rPr>
                <w:rFonts w:ascii="Arial" w:hAnsi="Arial"/>
                <w:sz w:val="18"/>
              </w:rPr>
            </w:pPr>
            <w:r>
              <w:rPr>
                <w:rFonts w:ascii="Arial" w:hAnsi="Arial"/>
                <w:sz w:val="18"/>
              </w:rPr>
              <w:t>Duración de la alimentación con biberón</w:t>
            </w:r>
          </w:p>
        </w:tc>
        <w:tc>
          <w:tcPr>
            <w:tcW w:w="1418" w:type="dxa"/>
          </w:tcPr>
          <w:p>
            <w:pPr>
              <w:pStyle w:val="TableParagraph"/>
              <w:spacing w:before="155"/>
              <w:ind w:left="233" w:right="232"/>
              <w:jc w:val="center"/>
              <w:rPr>
                <w:rFonts w:ascii="Arial"/>
                <w:sz w:val="18"/>
              </w:rPr>
            </w:pPr>
            <w:r>
              <w:rPr>
                <w:rFonts w:ascii="Arial"/>
                <w:sz w:val="18"/>
              </w:rPr>
              <w:t>239.465</w:t>
            </w:r>
          </w:p>
        </w:tc>
        <w:tc>
          <w:tcPr>
            <w:tcW w:w="566" w:type="dxa"/>
          </w:tcPr>
          <w:p>
            <w:pPr>
              <w:pStyle w:val="TableParagraph"/>
              <w:spacing w:before="155"/>
              <w:jc w:val="center"/>
              <w:rPr>
                <w:rFonts w:ascii="Arial"/>
                <w:sz w:val="18"/>
              </w:rPr>
            </w:pPr>
            <w:r>
              <w:rPr>
                <w:rFonts w:ascii="Arial"/>
                <w:w w:val="99"/>
                <w:sz w:val="18"/>
              </w:rPr>
              <w:t>1</w:t>
            </w:r>
          </w:p>
        </w:tc>
        <w:tc>
          <w:tcPr>
            <w:tcW w:w="1277" w:type="dxa"/>
          </w:tcPr>
          <w:p>
            <w:pPr>
              <w:pStyle w:val="TableParagraph"/>
              <w:spacing w:before="155"/>
              <w:ind w:left="287" w:right="288"/>
              <w:jc w:val="center"/>
              <w:rPr>
                <w:rFonts w:ascii="Arial"/>
                <w:sz w:val="18"/>
              </w:rPr>
            </w:pPr>
            <w:r>
              <w:rPr>
                <w:rFonts w:ascii="Arial"/>
                <w:sz w:val="18"/>
              </w:rPr>
              <w:t>239.465</w:t>
            </w:r>
          </w:p>
        </w:tc>
        <w:tc>
          <w:tcPr>
            <w:tcW w:w="850" w:type="dxa"/>
          </w:tcPr>
          <w:p>
            <w:pPr>
              <w:pStyle w:val="TableParagraph"/>
              <w:spacing w:before="155"/>
              <w:ind w:left="175" w:right="174"/>
              <w:jc w:val="center"/>
              <w:rPr>
                <w:rFonts w:ascii="Arial"/>
                <w:sz w:val="18"/>
              </w:rPr>
            </w:pPr>
            <w:r>
              <w:rPr>
                <w:rFonts w:ascii="Arial"/>
                <w:sz w:val="18"/>
              </w:rPr>
              <w:t>2.146</w:t>
            </w:r>
          </w:p>
        </w:tc>
        <w:tc>
          <w:tcPr>
            <w:tcW w:w="718" w:type="dxa"/>
          </w:tcPr>
          <w:p>
            <w:pPr>
              <w:pStyle w:val="TableParagraph"/>
              <w:spacing w:before="155"/>
              <w:ind w:left="177"/>
              <w:rPr>
                <w:rFonts w:ascii="Arial"/>
                <w:sz w:val="18"/>
              </w:rPr>
            </w:pPr>
            <w:r>
              <w:rPr>
                <w:rFonts w:ascii="Arial"/>
                <w:sz w:val="18"/>
              </w:rPr>
              <w:t>.145</w:t>
            </w:r>
          </w:p>
        </w:tc>
        <w:tc>
          <w:tcPr>
            <w:tcW w:w="1285" w:type="dxa"/>
          </w:tcPr>
          <w:p>
            <w:pPr>
              <w:pStyle w:val="TableParagraph"/>
              <w:spacing w:before="155"/>
              <w:ind w:left="147" w:right="147"/>
              <w:jc w:val="center"/>
              <w:rPr>
                <w:rFonts w:ascii="Arial"/>
                <w:sz w:val="18"/>
              </w:rPr>
            </w:pPr>
            <w:r>
              <w:rPr>
                <w:rFonts w:ascii="Arial"/>
                <w:sz w:val="18"/>
              </w:rPr>
              <w:t>0.081</w:t>
            </w:r>
          </w:p>
        </w:tc>
      </w:tr>
      <w:tr>
        <w:trPr>
          <w:trHeight w:val="322" w:hRule="exact"/>
        </w:trPr>
        <w:tc>
          <w:tcPr>
            <w:tcW w:w="2943" w:type="dxa"/>
          </w:tcPr>
          <w:p>
            <w:pPr>
              <w:pStyle w:val="TableParagraph"/>
              <w:spacing w:line="206" w:lineRule="exact"/>
              <w:ind w:left="103" w:right="117"/>
              <w:rPr>
                <w:rFonts w:ascii="Arial"/>
                <w:sz w:val="18"/>
              </w:rPr>
            </w:pPr>
            <w:r>
              <w:rPr>
                <w:rFonts w:ascii="Arial"/>
                <w:sz w:val="18"/>
              </w:rPr>
              <w:t>Residuo.</w:t>
            </w:r>
          </w:p>
        </w:tc>
        <w:tc>
          <w:tcPr>
            <w:tcW w:w="1418" w:type="dxa"/>
          </w:tcPr>
          <w:p>
            <w:pPr>
              <w:pStyle w:val="TableParagraph"/>
              <w:spacing w:line="206" w:lineRule="exact"/>
              <w:ind w:left="233" w:right="233"/>
              <w:jc w:val="center"/>
              <w:rPr>
                <w:rFonts w:ascii="Arial"/>
                <w:sz w:val="18"/>
              </w:rPr>
            </w:pPr>
            <w:r>
              <w:rPr>
                <w:rFonts w:ascii="Arial"/>
                <w:sz w:val="18"/>
              </w:rPr>
              <w:t>13,837.342</w:t>
            </w:r>
          </w:p>
        </w:tc>
        <w:tc>
          <w:tcPr>
            <w:tcW w:w="566" w:type="dxa"/>
          </w:tcPr>
          <w:p>
            <w:pPr>
              <w:pStyle w:val="TableParagraph"/>
              <w:spacing w:line="206" w:lineRule="exact"/>
              <w:ind w:left="82" w:right="82"/>
              <w:jc w:val="center"/>
              <w:rPr>
                <w:rFonts w:ascii="Arial"/>
                <w:sz w:val="18"/>
              </w:rPr>
            </w:pPr>
            <w:r>
              <w:rPr>
                <w:rFonts w:ascii="Arial"/>
                <w:sz w:val="18"/>
              </w:rPr>
              <w:t>124</w:t>
            </w:r>
          </w:p>
        </w:tc>
        <w:tc>
          <w:tcPr>
            <w:tcW w:w="1277" w:type="dxa"/>
          </w:tcPr>
          <w:p>
            <w:pPr>
              <w:pStyle w:val="TableParagraph"/>
              <w:spacing w:line="206" w:lineRule="exact"/>
              <w:ind w:left="287" w:right="288"/>
              <w:jc w:val="center"/>
              <w:rPr>
                <w:rFonts w:ascii="Arial"/>
                <w:sz w:val="18"/>
              </w:rPr>
            </w:pPr>
            <w:r>
              <w:rPr>
                <w:rFonts w:ascii="Arial"/>
                <w:sz w:val="18"/>
              </w:rPr>
              <w:t>111.591</w:t>
            </w:r>
          </w:p>
        </w:tc>
        <w:tc>
          <w:tcPr>
            <w:tcW w:w="850" w:type="dxa"/>
          </w:tcPr>
          <w:p>
            <w:pPr/>
          </w:p>
        </w:tc>
        <w:tc>
          <w:tcPr>
            <w:tcW w:w="718" w:type="dxa"/>
          </w:tcPr>
          <w:p>
            <w:pPr/>
          </w:p>
        </w:tc>
        <w:tc>
          <w:tcPr>
            <w:tcW w:w="1285" w:type="dxa"/>
          </w:tcPr>
          <w:p>
            <w:pPr/>
          </w:p>
        </w:tc>
      </w:tr>
      <w:tr>
        <w:trPr>
          <w:trHeight w:val="319" w:hRule="exact"/>
        </w:trPr>
        <w:tc>
          <w:tcPr>
            <w:tcW w:w="2943" w:type="dxa"/>
          </w:tcPr>
          <w:p>
            <w:pPr>
              <w:pStyle w:val="TableParagraph"/>
              <w:spacing w:line="206" w:lineRule="exact"/>
              <w:ind w:left="103" w:right="117"/>
              <w:rPr>
                <w:rFonts w:ascii="Arial"/>
                <w:sz w:val="18"/>
              </w:rPr>
            </w:pPr>
            <w:r>
              <w:rPr>
                <w:rFonts w:ascii="Arial"/>
                <w:sz w:val="18"/>
              </w:rPr>
              <w:t>Total corregido.</w:t>
            </w:r>
          </w:p>
        </w:tc>
        <w:tc>
          <w:tcPr>
            <w:tcW w:w="1418" w:type="dxa"/>
          </w:tcPr>
          <w:p>
            <w:pPr>
              <w:pStyle w:val="TableParagraph"/>
              <w:spacing w:line="206" w:lineRule="exact"/>
              <w:ind w:left="233" w:right="233"/>
              <w:jc w:val="center"/>
              <w:rPr>
                <w:rFonts w:ascii="Arial"/>
                <w:sz w:val="18"/>
              </w:rPr>
            </w:pPr>
            <w:r>
              <w:rPr>
                <w:rFonts w:ascii="Arial"/>
                <w:sz w:val="18"/>
              </w:rPr>
              <w:t>18.021.320</w:t>
            </w:r>
          </w:p>
        </w:tc>
        <w:tc>
          <w:tcPr>
            <w:tcW w:w="566" w:type="dxa"/>
          </w:tcPr>
          <w:p>
            <w:pPr>
              <w:pStyle w:val="TableParagraph"/>
              <w:spacing w:line="206" w:lineRule="exact"/>
              <w:ind w:left="108" w:right="56"/>
              <w:jc w:val="center"/>
              <w:rPr>
                <w:rFonts w:ascii="Arial"/>
                <w:sz w:val="18"/>
              </w:rPr>
            </w:pPr>
            <w:r>
              <w:rPr>
                <w:rFonts w:ascii="Arial"/>
                <w:sz w:val="18"/>
              </w:rPr>
              <w:t>130</w:t>
            </w:r>
          </w:p>
        </w:tc>
        <w:tc>
          <w:tcPr>
            <w:tcW w:w="1277" w:type="dxa"/>
          </w:tcPr>
          <w:p>
            <w:pPr/>
          </w:p>
        </w:tc>
        <w:tc>
          <w:tcPr>
            <w:tcW w:w="850" w:type="dxa"/>
          </w:tcPr>
          <w:p>
            <w:pPr/>
          </w:p>
        </w:tc>
        <w:tc>
          <w:tcPr>
            <w:tcW w:w="718" w:type="dxa"/>
          </w:tcPr>
          <w:p>
            <w:pPr/>
          </w:p>
        </w:tc>
        <w:tc>
          <w:tcPr>
            <w:tcW w:w="1285" w:type="dxa"/>
          </w:tcPr>
          <w:p>
            <w:pPr/>
          </w:p>
        </w:tc>
      </w:tr>
    </w:tbl>
    <w:p>
      <w:pPr>
        <w:spacing w:after="0"/>
        <w:sectPr>
          <w:pgSz w:w="12240" w:h="15840"/>
          <w:pgMar w:header="686" w:footer="964" w:top="1080" w:bottom="1160" w:left="1280" w:right="1560"/>
        </w:sectPr>
      </w:pPr>
    </w:p>
    <w:p>
      <w:pPr>
        <w:pStyle w:val="BodyText"/>
        <w:rPr>
          <w:b/>
          <w:sz w:val="20"/>
        </w:rPr>
      </w:pPr>
    </w:p>
    <w:p>
      <w:pPr>
        <w:pStyle w:val="BodyText"/>
        <w:spacing w:before="5"/>
        <w:rPr>
          <w:b/>
          <w:sz w:val="27"/>
        </w:rPr>
      </w:pPr>
    </w:p>
    <w:p>
      <w:pPr>
        <w:pStyle w:val="BodyText"/>
        <w:spacing w:line="360" w:lineRule="auto" w:before="70"/>
        <w:ind w:left="138" w:right="516"/>
      </w:pPr>
      <w:r>
        <w:rPr/>
        <w:t>Método de selección de modelo pasó a paso, asignando importancia relativa a las siguientes variables. Figura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group style="position:absolute;margin-left:91.544998pt;margin-top:13.926694pt;width:406.5pt;height:254.2pt;mso-position-horizontal-relative:page;mso-position-vertical-relative:paragraph;z-index:1432;mso-wrap-distance-left:0;mso-wrap-distance-right:0" coordorigin="1831,279" coordsize="8130,5084">
            <v:line style="position:absolute" from="5731,504" to="5731,771" stroked="true" strokeweight=".72pt" strokecolor="#f1f1f1"/>
            <v:line style="position:absolute" from="5731,970" to="5731,1503" stroked="true" strokeweight=".72pt" strokecolor="#f1f1f1"/>
            <v:line style="position:absolute" from="5731,1700" to="5731,2235" stroked="true" strokeweight=".72pt" strokecolor="#f1f1f1"/>
            <v:line style="position:absolute" from="5731,2432" to="5731,2964" stroked="true" strokeweight=".72pt" strokecolor="#f1f1f1"/>
            <v:line style="position:absolute" from="5731,3164" to="5731,3696" stroked="true" strokeweight=".72pt" strokecolor="#f1f1f1"/>
            <v:line style="position:absolute" from="5731,3893" to="5731,4426" stroked="true" strokeweight=".72pt" strokecolor="#f1f1f1"/>
            <v:line style="position:absolute" from="5731,4625" to="5731,4892" stroked="true" strokeweight=".72pt" strokecolor="#f1f1f1"/>
            <v:line style="position:absolute" from="6010,3893" to="6010,4426" stroked="true" strokeweight=".72pt" strokecolor="#f1f1f1"/>
            <v:line style="position:absolute" from="6010,4625" to="6010,4892" stroked="true" strokeweight=".72pt" strokecolor="#f1f1f1"/>
            <v:line style="position:absolute" from="6286,3893" to="6286,4426" stroked="true" strokeweight=".72pt" strokecolor="#f1f1f1"/>
            <v:line style="position:absolute" from="6286,4625" to="6286,4892" stroked="true" strokeweight=".72pt" strokecolor="#f1f1f1"/>
            <v:line style="position:absolute" from="6564,3893" to="6564,4892" stroked="true" strokeweight=".72pt" strokecolor="#f1f1f1"/>
            <v:rect style="position:absolute;left:5453;top:4426;width:1111;height:199" filled="true" fillcolor="#7e7e7e" stroked="false">
              <v:fill type="solid"/>
            </v:rect>
            <v:line style="position:absolute" from="6010,3164" to="6010,3696" stroked="true" strokeweight=".72pt" strokecolor="#f1f1f1"/>
            <v:line style="position:absolute" from="6286,3164" to="6286,3696" stroked="true" strokeweight=".72pt" strokecolor="#f1f1f1"/>
            <v:line style="position:absolute" from="6564,3164" to="6564,3696" stroked="true" strokeweight=".72pt" strokecolor="#f1f1f1"/>
            <v:line style="position:absolute" from="7121,3164" to="7121,3696" stroked="true" strokeweight=".72pt" strokecolor="#f1f1f1"/>
            <v:line style="position:absolute" from="7121,3893" to="7121,4892" stroked="true" strokeweight=".72pt" strokecolor="#f1f1f1"/>
            <v:line style="position:absolute" from="7397,3164" to="7397,3696" stroked="true" strokeweight=".72pt" strokecolor="#f1f1f1"/>
            <v:line style="position:absolute" from="7397,3893" to="7397,4892" stroked="true" strokeweight=".72pt" strokecolor="#f1f1f1"/>
            <v:line style="position:absolute" from="6842,3164" to="6842,3696" stroked="true" strokeweight=".72pt" strokecolor="#d9d9d9"/>
            <v:line style="position:absolute" from="6842,3893" to="6842,4892" stroked="true" strokeweight=".72pt" strokecolor="#d9d9d9"/>
            <v:rect style="position:absolute;left:5453;top:3696;width:2083;height:197" filled="true" fillcolor="#7e7e7e" stroked="false">
              <v:fill type="solid"/>
            </v:rect>
            <v:line style="position:absolute" from="6010,2432" to="6010,2964" stroked="true" strokeweight=".72pt" strokecolor="#f1f1f1"/>
            <v:line style="position:absolute" from="6286,2432" to="6286,2964" stroked="true" strokeweight=".72pt" strokecolor="#f1f1f1"/>
            <v:line style="position:absolute" from="6564,2432" to="6564,2964" stroked="true" strokeweight=".72pt" strokecolor="#f1f1f1"/>
            <v:line style="position:absolute" from="7121,2432" to="7121,2964" stroked="true" strokeweight=".72pt" strokecolor="#f1f1f1"/>
            <v:line style="position:absolute" from="7397,2432" to="7397,2964" stroked="true" strokeweight=".72pt" strokecolor="#f1f1f1"/>
            <v:line style="position:absolute" from="7675,2432" to="7675,4892" stroked="true" strokeweight=".72pt" strokecolor="#f1f1f1"/>
            <v:line style="position:absolute" from="6842,2432" to="6842,2964" stroked="true" strokeweight=".72pt" strokecolor="#d9d9d9"/>
            <v:rect style="position:absolute;left:5453;top:2964;width:2222;height:199" filled="true" fillcolor="#7e7e7e" stroked="false">
              <v:fill type="solid"/>
            </v:rect>
            <v:line style="position:absolute" from="6010,1700" to="6010,2235" stroked="true" strokeweight=".72pt" strokecolor="#f1f1f1"/>
            <v:line style="position:absolute" from="6286,1700" to="6286,2235" stroked="true" strokeweight=".72pt" strokecolor="#f1f1f1"/>
            <v:line style="position:absolute" from="6564,1700" to="6564,2235" stroked="true" strokeweight=".72pt" strokecolor="#f1f1f1"/>
            <v:line style="position:absolute" from="7121,1700" to="7121,2235" stroked="true" strokeweight=".72pt" strokecolor="#f1f1f1"/>
            <v:line style="position:absolute" from="7397,1700" to="7397,2235" stroked="true" strokeweight=".72pt" strokecolor="#f1f1f1"/>
            <v:line style="position:absolute" from="7675,1700" to="7675,2235" stroked="true" strokeweight=".72pt" strokecolor="#f1f1f1"/>
            <v:line style="position:absolute" from="6842,1700" to="6842,2235" stroked="true" strokeweight=".72pt" strokecolor="#d9d9d9"/>
            <v:rect style="position:absolute;left:5453;top:2235;width:2362;height:197" filled="true" fillcolor="#7e7e7e" stroked="false">
              <v:fill type="solid"/>
            </v:rect>
            <v:line style="position:absolute" from="6010,970" to="6010,1503" stroked="true" strokeweight=".72pt" strokecolor="#f1f1f1"/>
            <v:line style="position:absolute" from="6286,970" to="6286,1503" stroked="true" strokeweight=".72pt" strokecolor="#f1f1f1"/>
            <v:line style="position:absolute" from="6564,970" to="6564,1503" stroked="true" strokeweight=".72pt" strokecolor="#f1f1f1"/>
            <v:line style="position:absolute" from="7121,970" to="7121,1503" stroked="true" strokeweight=".72pt" strokecolor="#f1f1f1"/>
            <v:line style="position:absolute" from="7397,970" to="7397,1503" stroked="true" strokeweight=".72pt" strokecolor="#f1f1f1"/>
            <v:line style="position:absolute" from="7675,970" to="7675,1503" stroked="true" strokeweight=".72pt" strokecolor="#f1f1f1"/>
            <v:line style="position:absolute" from="7954,970" to="7954,4892" stroked="true" strokeweight=".72pt" strokecolor="#f1f1f1"/>
            <v:line style="position:absolute" from="6842,970" to="6842,1503" stroked="true" strokeweight=".72pt" strokecolor="#d9d9d9"/>
            <v:rect style="position:absolute;left:5453;top:1503;width:2501;height:197" filled="true" fillcolor="#7e7e7e" stroked="false">
              <v:fill type="solid"/>
            </v:rect>
            <v:line style="position:absolute" from="6010,504" to="6010,771" stroked="true" strokeweight=".72pt" strokecolor="#f1f1f1"/>
            <v:line style="position:absolute" from="6286,504" to="6286,771" stroked="true" strokeweight=".72pt" strokecolor="#f1f1f1"/>
            <v:line style="position:absolute" from="6564,504" to="6564,771" stroked="true" strokeweight=".72pt" strokecolor="#f1f1f1"/>
            <v:line style="position:absolute" from="7121,504" to="7121,771" stroked="true" strokeweight=".72pt" strokecolor="#f1f1f1"/>
            <v:line style="position:absolute" from="7397,504" to="7397,771" stroked="true" strokeweight=".72pt" strokecolor="#f1f1f1"/>
            <v:line style="position:absolute" from="7675,504" to="7675,771" stroked="true" strokeweight=".72pt" strokecolor="#f1f1f1"/>
            <v:line style="position:absolute" from="7954,504" to="7954,771" stroked="true" strokeweight=".72pt" strokecolor="#f1f1f1"/>
            <v:line style="position:absolute" from="8508,504" to="8508,771" stroked="true" strokeweight=".72pt" strokecolor="#f1f1f1"/>
            <v:line style="position:absolute" from="8508,970" to="8508,4892" stroked="true" strokeweight=".72pt" strokecolor="#f1f1f1"/>
            <v:line style="position:absolute" from="8786,504" to="8786,771" stroked="true" strokeweight=".72pt" strokecolor="#f1f1f1"/>
            <v:line style="position:absolute" from="8786,970" to="8786,4892" stroked="true" strokeweight=".72pt" strokecolor="#f1f1f1"/>
            <v:line style="position:absolute" from="6842,504" to="6842,771" stroked="true" strokeweight=".72pt" strokecolor="#d9d9d9"/>
            <v:line style="position:absolute" from="8230,504" to="8230,771" stroked="true" strokeweight=".72pt" strokecolor="#d9d9d9"/>
            <v:line style="position:absolute" from="8230,970" to="8230,4892" stroked="true" strokeweight=".72pt" strokecolor="#d9d9d9"/>
            <v:rect style="position:absolute;left:5453;top:771;width:3473;height:199" filled="true" fillcolor="#7e7e7e" stroked="false">
              <v:fill type="solid"/>
            </v:rect>
            <v:line style="position:absolute" from="5453,4892" to="5453,504" stroked="true" strokeweight=".72pt" strokecolor="#d9d9d9"/>
            <v:line style="position:absolute" from="5395,4892" to="5453,4892" stroked="true" strokeweight=".72pt" strokecolor="#d9d9d9"/>
            <v:line style="position:absolute" from="5395,4160" to="5453,4160" stroked="true" strokeweight=".72pt" strokecolor="#d9d9d9"/>
            <v:line style="position:absolute" from="5395,3430" to="5453,3430" stroked="true" strokeweight=".72pt" strokecolor="#d9d9d9"/>
            <v:line style="position:absolute" from="5395,2698" to="5453,2698" stroked="true" strokeweight=".72pt" strokecolor="#d9d9d9"/>
            <v:line style="position:absolute" from="5395,1968" to="5453,1968" stroked="true" strokeweight=".72pt" strokecolor="#d9d9d9"/>
            <v:line style="position:absolute" from="5395,1236" to="5453,1236" stroked="true" strokeweight=".72pt" strokecolor="#d9d9d9"/>
            <v:line style="position:absolute" from="5395,504" to="5453,504" stroked="true" strokeweight=".72pt" strokecolor="#d9d9d9"/>
            <v:line style="position:absolute" from="9065,504" to="9065,4892" stroked="true" strokeweight=".72pt" strokecolor="#f1f1f1"/>
            <v:line style="position:absolute" from="9341,504" to="9341,4892" stroked="true" strokeweight=".72pt" strokecolor="#f1f1f1"/>
            <v:line style="position:absolute" from="9619,504" to="9619,4892" stroked="true" strokeweight=".72pt" strokecolor="#d9d9d9"/>
            <v:rect style="position:absolute;left:1838;top:286;width:8114;height:5069" filled="false" stroked="true" strokeweight=".72pt" strokecolor="#d9d9d9"/>
            <v:shape style="position:absolute;left:1968;top:677;width:3317;height:400" type="#_x0000_t202" filled="false" stroked="false">
              <v:textbox inset="0,0,0,0">
                <w:txbxContent>
                  <w:p>
                    <w:pPr>
                      <w:spacing w:line="183" w:lineRule="exact" w:before="0"/>
                      <w:ind w:left="0" w:right="0" w:firstLine="0"/>
                      <w:jc w:val="center"/>
                      <w:rPr>
                        <w:rFonts w:ascii="Calibri" w:hAnsi="Calibri"/>
                        <w:sz w:val="18"/>
                      </w:rPr>
                    </w:pPr>
                    <w:r>
                      <w:rPr>
                        <w:rFonts w:ascii="Calibri" w:hAnsi="Calibri"/>
                        <w:color w:val="585858"/>
                        <w:sz w:val="18"/>
                      </w:rPr>
                      <w:t>Número de veces que el niño está expuesto</w:t>
                    </w:r>
                    <w:r>
                      <w:rPr>
                        <w:rFonts w:ascii="Calibri" w:hAnsi="Calibri"/>
                        <w:color w:val="585858"/>
                        <w:spacing w:val="-11"/>
                        <w:sz w:val="18"/>
                      </w:rPr>
                      <w:t> </w:t>
                    </w:r>
                    <w:r>
                      <w:rPr>
                        <w:rFonts w:ascii="Calibri" w:hAnsi="Calibri"/>
                        <w:color w:val="585858"/>
                        <w:sz w:val="18"/>
                      </w:rPr>
                      <w:t>a</w:t>
                    </w:r>
                  </w:p>
                  <w:p>
                    <w:pPr>
                      <w:spacing w:line="216" w:lineRule="exact" w:before="0"/>
                      <w:ind w:left="1" w:right="0" w:firstLine="0"/>
                      <w:jc w:val="center"/>
                      <w:rPr>
                        <w:rFonts w:ascii="Calibri"/>
                        <w:sz w:val="18"/>
                      </w:rPr>
                    </w:pPr>
                    <w:r>
                      <w:rPr>
                        <w:rFonts w:ascii="Calibri"/>
                        <w:color w:val="585858"/>
                        <w:sz w:val="18"/>
                      </w:rPr>
                      <w:t>azucares durante las comidas.</w:t>
                    </w:r>
                  </w:p>
                </w:txbxContent>
              </v:textbox>
              <w10:wrap type="none"/>
            </v:shape>
            <v:shape style="position:absolute;left:9045;top:797;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0.25</w:t>
                    </w:r>
                  </w:p>
                </w:txbxContent>
              </v:textbox>
              <w10:wrap type="none"/>
            </v:shape>
            <v:shape style="position:absolute;left:2487;top:1518;width:2800;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Nivel educativo del cuidador principal.</w:t>
                    </w:r>
                  </w:p>
                </w:txbxContent>
              </v:textbox>
              <w10:wrap type="none"/>
            </v:shape>
            <v:shape style="position:absolute;left:8073;top:1528;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0.18</w:t>
                    </w:r>
                  </w:p>
                </w:txbxContent>
              </v:textbox>
              <w10:wrap type="none"/>
            </v:shape>
            <v:shape style="position:absolute;left:3325;top:2249;width:1969;height:181" type="#_x0000_t202" filled="false" stroked="false">
              <v:textbox inset="0,0,0,0">
                <w:txbxContent>
                  <w:p>
                    <w:pPr>
                      <w:spacing w:line="180" w:lineRule="exact" w:before="0"/>
                      <w:ind w:left="0" w:right="-13" w:firstLine="0"/>
                      <w:jc w:val="left"/>
                      <w:rPr>
                        <w:rFonts w:ascii="Calibri"/>
                        <w:sz w:val="18"/>
                      </w:rPr>
                    </w:pPr>
                    <w:r>
                      <w:rPr>
                        <w:rFonts w:ascii="Calibri"/>
                        <w:color w:val="585858"/>
                        <w:sz w:val="18"/>
                      </w:rPr>
                      <w:t>Presencia de Materia Alba.</w:t>
                    </w:r>
                  </w:p>
                </w:txbxContent>
              </v:textbox>
              <w10:wrap type="none"/>
            </v:shape>
            <v:shape style="position:absolute;left:7934;top:2259;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0.17</w:t>
                    </w:r>
                  </w:p>
                </w:txbxContent>
              </v:textbox>
              <w10:wrap type="none"/>
            </v:shape>
            <v:shape style="position:absolute;left:2557;top:2981;width:2730;height:180" type="#_x0000_t202" filled="false" stroked="false">
              <v:textbox inset="0,0,0,0">
                <w:txbxContent>
                  <w:p>
                    <w:pPr>
                      <w:spacing w:line="180" w:lineRule="exact" w:before="0"/>
                      <w:ind w:left="0" w:right="-20" w:firstLine="0"/>
                      <w:jc w:val="left"/>
                      <w:rPr>
                        <w:rFonts w:ascii="Calibri" w:hAnsi="Calibri"/>
                        <w:sz w:val="18"/>
                      </w:rPr>
                    </w:pPr>
                    <w:r>
                      <w:rPr>
                        <w:rFonts w:ascii="Calibri" w:hAnsi="Calibri"/>
                        <w:color w:val="585858"/>
                        <w:sz w:val="18"/>
                      </w:rPr>
                      <w:t>Adición de azúcar/miel en el biberón.</w:t>
                    </w:r>
                  </w:p>
                </w:txbxContent>
              </v:textbox>
              <w10:wrap type="none"/>
            </v:shape>
            <v:shape style="position:absolute;left:7795;top:2990;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0.16</w:t>
                    </w:r>
                  </w:p>
                </w:txbxContent>
              </v:textbox>
              <w10:wrap type="none"/>
            </v:shape>
            <v:shape style="position:absolute;left:1968;top:3602;width:3317;height:400" type="#_x0000_t202" filled="false" stroked="false">
              <v:textbox inset="0,0,0,0">
                <w:txbxContent>
                  <w:p>
                    <w:pPr>
                      <w:spacing w:line="183" w:lineRule="exact" w:before="0"/>
                      <w:ind w:left="0" w:right="0" w:firstLine="0"/>
                      <w:jc w:val="center"/>
                      <w:rPr>
                        <w:rFonts w:ascii="Calibri" w:hAnsi="Calibri"/>
                        <w:sz w:val="18"/>
                      </w:rPr>
                    </w:pPr>
                    <w:r>
                      <w:rPr>
                        <w:rFonts w:ascii="Calibri" w:hAnsi="Calibri"/>
                        <w:color w:val="585858"/>
                        <w:sz w:val="18"/>
                      </w:rPr>
                      <w:t>Número de veces que el niño está expuesto</w:t>
                    </w:r>
                    <w:r>
                      <w:rPr>
                        <w:rFonts w:ascii="Calibri" w:hAnsi="Calibri"/>
                        <w:color w:val="585858"/>
                        <w:spacing w:val="-11"/>
                        <w:sz w:val="18"/>
                      </w:rPr>
                      <w:t> </w:t>
                    </w:r>
                    <w:r>
                      <w:rPr>
                        <w:rFonts w:ascii="Calibri" w:hAnsi="Calibri"/>
                        <w:color w:val="585858"/>
                        <w:sz w:val="18"/>
                      </w:rPr>
                      <w:t>a</w:t>
                    </w:r>
                  </w:p>
                  <w:p>
                    <w:pPr>
                      <w:spacing w:line="216" w:lineRule="exact" w:before="0"/>
                      <w:ind w:left="0" w:right="0" w:firstLine="0"/>
                      <w:jc w:val="center"/>
                      <w:rPr>
                        <w:rFonts w:ascii="Calibri"/>
                        <w:sz w:val="18"/>
                      </w:rPr>
                    </w:pPr>
                    <w:r>
                      <w:rPr>
                        <w:rFonts w:ascii="Calibri"/>
                        <w:color w:val="585858"/>
                        <w:sz w:val="18"/>
                      </w:rPr>
                      <w:t>azucares entre las comidas.</w:t>
                    </w:r>
                  </w:p>
                </w:txbxContent>
              </v:textbox>
              <w10:wrap type="none"/>
            </v:shape>
            <v:shape style="position:absolute;left:7656;top:3721;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0.15</w:t>
                    </w:r>
                  </w:p>
                </w:txbxContent>
              </v:textbox>
              <w10:wrap type="none"/>
            </v:shape>
            <v:shape style="position:absolute;left:2277;top:4443;width:3008;height:180" type="#_x0000_t202" filled="false" stroked="false">
              <v:textbox inset="0,0,0,0">
                <w:txbxContent>
                  <w:p>
                    <w:pPr>
                      <w:spacing w:line="180" w:lineRule="exact" w:before="0"/>
                      <w:ind w:left="0" w:right="-7" w:firstLine="0"/>
                      <w:jc w:val="left"/>
                      <w:rPr>
                        <w:rFonts w:ascii="Calibri" w:hAnsi="Calibri"/>
                        <w:sz w:val="18"/>
                      </w:rPr>
                    </w:pPr>
                    <w:r>
                      <w:rPr>
                        <w:rFonts w:ascii="Calibri" w:hAnsi="Calibri"/>
                        <w:color w:val="585858"/>
                        <w:sz w:val="18"/>
                      </w:rPr>
                      <w:t>Duración de la alimentación con</w:t>
                    </w:r>
                    <w:r>
                      <w:rPr>
                        <w:rFonts w:ascii="Calibri" w:hAnsi="Calibri"/>
                        <w:color w:val="585858"/>
                        <w:spacing w:val="-15"/>
                        <w:sz w:val="18"/>
                      </w:rPr>
                      <w:t> </w:t>
                    </w:r>
                    <w:r>
                      <w:rPr>
                        <w:rFonts w:ascii="Calibri" w:hAnsi="Calibri"/>
                        <w:color w:val="585858"/>
                        <w:sz w:val="18"/>
                      </w:rPr>
                      <w:t>biberón.</w:t>
                    </w:r>
                  </w:p>
                </w:txbxContent>
              </v:textbox>
              <w10:wrap type="none"/>
            </v:shape>
            <v:shape style="position:absolute;left:6684;top:4453;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0.08</w:t>
                    </w:r>
                  </w:p>
                </w:txbxContent>
              </v:textbox>
              <w10:wrap type="none"/>
            </v:shape>
            <v:shape style="position:absolute;left:5409;top:5042;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6729;top:5042;width:228;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0.1</w:t>
                    </w:r>
                  </w:p>
                </w:txbxContent>
              </v:textbox>
              <w10:wrap type="none"/>
            </v:shape>
            <v:shape style="position:absolute;left:8118;top:5042;width:228;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0.2</w:t>
                    </w:r>
                  </w:p>
                </w:txbxContent>
              </v:textbox>
              <w10:wrap type="none"/>
            </v:shape>
            <v:shape style="position:absolute;left:9507;top:5042;width:228;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0.3</w:t>
                    </w:r>
                  </w:p>
                </w:txbxContent>
              </v:textbox>
              <w10:wrap type="none"/>
            </v:shape>
            <w10:wrap type="topAndBottom"/>
          </v:group>
        </w:pict>
      </w:r>
    </w:p>
    <w:p>
      <w:pPr>
        <w:pStyle w:val="BodyText"/>
        <w:spacing w:before="10"/>
        <w:rPr>
          <w:sz w:val="18"/>
        </w:rPr>
      </w:pPr>
    </w:p>
    <w:p>
      <w:pPr>
        <w:pStyle w:val="Heading1"/>
        <w:ind w:left="1576" w:right="630"/>
        <w:jc w:val="left"/>
      </w:pPr>
      <w:r>
        <w:rPr/>
        <w:t>Figura 1. Estimación del modelo y efectos individuales</w:t>
      </w:r>
    </w:p>
    <w:p>
      <w:pPr>
        <w:pStyle w:val="BodyText"/>
        <w:rPr>
          <w:b/>
        </w:rPr>
      </w:pPr>
    </w:p>
    <w:p>
      <w:pPr>
        <w:pStyle w:val="BodyText"/>
        <w:rPr>
          <w:b/>
        </w:rPr>
      </w:pPr>
    </w:p>
    <w:p>
      <w:pPr>
        <w:pStyle w:val="BodyText"/>
        <w:rPr>
          <w:b/>
        </w:rPr>
      </w:pPr>
    </w:p>
    <w:p>
      <w:pPr>
        <w:pStyle w:val="BodyText"/>
        <w:rPr>
          <w:b/>
        </w:rPr>
      </w:pPr>
    </w:p>
    <w:p>
      <w:pPr>
        <w:pStyle w:val="BodyText"/>
        <w:spacing w:line="360" w:lineRule="auto" w:before="173"/>
        <w:ind w:left="138" w:right="139"/>
        <w:jc w:val="both"/>
      </w:pPr>
      <w:r>
        <w:rPr/>
        <w:t>Para el análisis de riesgo se utilizaron tablas de contingencia, se aplicó la razón de momios, con una significancia de p ≤ 0.05. Lo anterior para confirmar los resultados del modelo.</w:t>
      </w:r>
    </w:p>
    <w:p>
      <w:pPr>
        <w:spacing w:after="0" w:line="360" w:lineRule="auto"/>
        <w:jc w:val="both"/>
        <w:sectPr>
          <w:pgSz w:w="12240" w:h="15840"/>
          <w:pgMar w:header="686" w:footer="964" w:top="1080" w:bottom="1160" w:left="1280" w:right="1560"/>
        </w:sectPr>
      </w:pPr>
    </w:p>
    <w:p>
      <w:pPr>
        <w:pStyle w:val="BodyText"/>
        <w:rPr>
          <w:sz w:val="20"/>
        </w:rPr>
      </w:pPr>
    </w:p>
    <w:p>
      <w:pPr>
        <w:pStyle w:val="BodyText"/>
        <w:spacing w:before="5"/>
        <w:rPr>
          <w:sz w:val="27"/>
        </w:rPr>
      </w:pPr>
    </w:p>
    <w:p>
      <w:pPr>
        <w:pStyle w:val="Heading1"/>
        <w:numPr>
          <w:ilvl w:val="0"/>
          <w:numId w:val="8"/>
        </w:numPr>
        <w:tabs>
          <w:tab w:pos="4189" w:val="left" w:leader="none"/>
        </w:tabs>
        <w:spacing w:line="240" w:lineRule="auto" w:before="70" w:after="0"/>
        <w:ind w:left="4188" w:right="0" w:hanging="269"/>
        <w:jc w:val="left"/>
      </w:pPr>
      <w:r>
        <w:rPr/>
        <w:t>Resultados</w:t>
      </w:r>
    </w:p>
    <w:p>
      <w:pPr>
        <w:pStyle w:val="BodyText"/>
        <w:spacing w:before="10"/>
        <w:rPr>
          <w:b/>
          <w:sz w:val="20"/>
        </w:rPr>
      </w:pPr>
    </w:p>
    <w:p>
      <w:pPr>
        <w:pStyle w:val="ListParagraph"/>
        <w:numPr>
          <w:ilvl w:val="1"/>
          <w:numId w:val="12"/>
        </w:numPr>
        <w:tabs>
          <w:tab w:pos="542" w:val="left" w:leader="none"/>
        </w:tabs>
        <w:spacing w:line="240" w:lineRule="auto" w:before="0" w:after="0"/>
        <w:ind w:left="541" w:right="0" w:hanging="403"/>
        <w:jc w:val="left"/>
        <w:rPr>
          <w:rFonts w:ascii="Arial" w:hAnsi="Arial"/>
          <w:b/>
          <w:sz w:val="24"/>
        </w:rPr>
      </w:pPr>
      <w:r>
        <w:rPr>
          <w:rFonts w:ascii="Arial" w:hAnsi="Arial"/>
          <w:b/>
          <w:sz w:val="24"/>
        </w:rPr>
        <w:t>Carta de envío de artículo</w:t>
      </w:r>
      <w:r>
        <w:rPr>
          <w:rFonts w:ascii="Arial" w:hAnsi="Arial"/>
          <w:b/>
          <w:spacing w:val="-9"/>
          <w:sz w:val="24"/>
        </w:rPr>
        <w:t> </w:t>
      </w:r>
      <w:r>
        <w:rPr>
          <w:rFonts w:ascii="Arial" w:hAnsi="Arial"/>
          <w:b/>
          <w:sz w:val="24"/>
        </w:rPr>
        <w:t>científico</w:t>
      </w:r>
    </w:p>
    <w:p>
      <w:pPr>
        <w:pStyle w:val="BodyText"/>
        <w:rPr>
          <w:b/>
          <w:sz w:val="20"/>
        </w:rPr>
      </w:pPr>
    </w:p>
    <w:p>
      <w:pPr>
        <w:pStyle w:val="BodyText"/>
        <w:spacing w:before="1"/>
        <w:rPr>
          <w:b/>
          <w:sz w:val="25"/>
        </w:rPr>
      </w:pPr>
      <w:r>
        <w:rPr/>
        <w:drawing>
          <wp:anchor distT="0" distB="0" distL="0" distR="0" allowOverlap="1" layoutInCell="1" locked="0" behindDoc="0" simplePos="0" relativeHeight="1456">
            <wp:simplePos x="0" y="0"/>
            <wp:positionH relativeFrom="page">
              <wp:posOffset>900683</wp:posOffset>
            </wp:positionH>
            <wp:positionV relativeFrom="paragraph">
              <wp:posOffset>208508</wp:posOffset>
            </wp:positionV>
            <wp:extent cx="5902294" cy="7015733"/>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7" cstate="print"/>
                    <a:stretch>
                      <a:fillRect/>
                    </a:stretch>
                  </pic:blipFill>
                  <pic:spPr>
                    <a:xfrm>
                      <a:off x="0" y="0"/>
                      <a:ext cx="5902294" cy="7015733"/>
                    </a:xfrm>
                    <a:prstGeom prst="rect">
                      <a:avLst/>
                    </a:prstGeom>
                  </pic:spPr>
                </pic:pic>
              </a:graphicData>
            </a:graphic>
          </wp:anchor>
        </w:drawing>
      </w:r>
    </w:p>
    <w:p>
      <w:pPr>
        <w:spacing w:after="0"/>
        <w:rPr>
          <w:sz w:val="25"/>
        </w:rPr>
        <w:sectPr>
          <w:footerReference w:type="default" r:id="rId16"/>
          <w:pgSz w:w="12240" w:h="15840"/>
          <w:pgMar w:footer="964" w:header="686" w:top="1080" w:bottom="1160" w:left="1280" w:right="1420"/>
        </w:sectPr>
      </w:pPr>
    </w:p>
    <w:p>
      <w:pPr>
        <w:pStyle w:val="BodyText"/>
        <w:rPr>
          <w:b/>
          <w:sz w:val="20"/>
        </w:rPr>
      </w:pPr>
    </w:p>
    <w:p>
      <w:pPr>
        <w:pStyle w:val="BodyText"/>
        <w:spacing w:before="10"/>
        <w:rPr>
          <w:b/>
          <w:sz w:val="26"/>
        </w:rPr>
      </w:pPr>
    </w:p>
    <w:p>
      <w:pPr>
        <w:pStyle w:val="ListParagraph"/>
        <w:numPr>
          <w:ilvl w:val="1"/>
          <w:numId w:val="12"/>
        </w:numPr>
        <w:tabs>
          <w:tab w:pos="511" w:val="left" w:leader="none"/>
        </w:tabs>
        <w:spacing w:line="240" w:lineRule="auto" w:before="73" w:after="0"/>
        <w:ind w:left="510" w:right="0" w:hanging="372"/>
        <w:jc w:val="both"/>
        <w:rPr>
          <w:rFonts w:ascii="Arial" w:hAnsi="Arial"/>
          <w:b/>
          <w:sz w:val="22"/>
        </w:rPr>
      </w:pPr>
      <w:r>
        <w:rPr>
          <w:rFonts w:ascii="Arial" w:hAnsi="Arial"/>
          <w:b/>
          <w:sz w:val="22"/>
        </w:rPr>
        <w:t>Artículo científico</w:t>
      </w:r>
      <w:r>
        <w:rPr>
          <w:rFonts w:ascii="Arial" w:hAnsi="Arial"/>
          <w:b/>
          <w:spacing w:val="-16"/>
          <w:sz w:val="22"/>
        </w:rPr>
        <w:t> </w:t>
      </w:r>
      <w:r>
        <w:rPr>
          <w:rFonts w:ascii="Arial" w:hAnsi="Arial"/>
          <w:b/>
          <w:sz w:val="22"/>
        </w:rPr>
        <w:t>enviado</w:t>
      </w:r>
    </w:p>
    <w:p>
      <w:pPr>
        <w:pStyle w:val="BodyText"/>
        <w:rPr>
          <w:b/>
          <w:sz w:val="22"/>
        </w:rPr>
      </w:pPr>
    </w:p>
    <w:p>
      <w:pPr>
        <w:pStyle w:val="BodyText"/>
        <w:spacing w:before="7"/>
        <w:rPr>
          <w:b/>
          <w:sz w:val="27"/>
        </w:rPr>
      </w:pPr>
    </w:p>
    <w:p>
      <w:pPr>
        <w:spacing w:before="0"/>
        <w:ind w:left="138" w:right="0" w:firstLine="0"/>
        <w:jc w:val="both"/>
        <w:rPr>
          <w:rFonts w:ascii="Times New Roman"/>
          <w:b/>
          <w:sz w:val="20"/>
        </w:rPr>
      </w:pPr>
      <w:r>
        <w:rPr>
          <w:rFonts w:ascii="Times New Roman"/>
          <w:b/>
          <w:sz w:val="20"/>
        </w:rPr>
        <w:t>Title</w:t>
      </w:r>
    </w:p>
    <w:p>
      <w:pPr>
        <w:spacing w:before="108"/>
        <w:ind w:left="138" w:right="0" w:firstLine="0"/>
        <w:jc w:val="both"/>
        <w:rPr>
          <w:rFonts w:ascii="Times New Roman"/>
          <w:sz w:val="20"/>
        </w:rPr>
      </w:pPr>
      <w:r>
        <w:rPr>
          <w:rFonts w:ascii="Times New Roman"/>
          <w:sz w:val="20"/>
        </w:rPr>
        <w:t>Caries experience and predictors in preschool children of a Mazahua Community in the state of Mexico</w:t>
      </w:r>
    </w:p>
    <w:p>
      <w:pPr>
        <w:pStyle w:val="BodyText"/>
        <w:rPr>
          <w:rFonts w:ascii="Times New Roman"/>
          <w:sz w:val="20"/>
        </w:rPr>
      </w:pPr>
    </w:p>
    <w:p>
      <w:pPr>
        <w:pStyle w:val="BodyText"/>
        <w:rPr>
          <w:rFonts w:ascii="Times New Roman"/>
          <w:sz w:val="20"/>
        </w:rPr>
      </w:pPr>
    </w:p>
    <w:p>
      <w:pPr>
        <w:pStyle w:val="BodyText"/>
        <w:spacing w:before="6"/>
        <w:rPr>
          <w:rFonts w:ascii="Times New Roman"/>
          <w:sz w:val="20"/>
        </w:rPr>
      </w:pPr>
    </w:p>
    <w:p>
      <w:pPr>
        <w:spacing w:before="0"/>
        <w:ind w:left="138" w:right="0" w:firstLine="0"/>
        <w:jc w:val="both"/>
        <w:rPr>
          <w:rFonts w:ascii="Times New Roman"/>
          <w:b/>
          <w:sz w:val="20"/>
        </w:rPr>
      </w:pPr>
      <w:r>
        <w:rPr>
          <w:rFonts w:ascii="Times New Roman"/>
          <w:b/>
          <w:sz w:val="20"/>
        </w:rPr>
        <w:t>Names of Authors:</w:t>
      </w:r>
    </w:p>
    <w:p>
      <w:pPr>
        <w:pStyle w:val="BodyText"/>
        <w:spacing w:before="5"/>
        <w:rPr>
          <w:rFonts w:ascii="Times New Roman"/>
          <w:b/>
          <w:sz w:val="19"/>
        </w:rPr>
      </w:pPr>
    </w:p>
    <w:p>
      <w:pPr>
        <w:spacing w:line="480" w:lineRule="auto" w:before="0"/>
        <w:ind w:left="138" w:right="549" w:firstLine="0"/>
        <w:jc w:val="left"/>
        <w:rPr>
          <w:rFonts w:ascii="Times New Roman" w:hAnsi="Times New Roman"/>
          <w:sz w:val="20"/>
        </w:rPr>
      </w:pPr>
      <w:r>
        <w:rPr>
          <w:rFonts w:ascii="Times New Roman" w:hAnsi="Times New Roman"/>
          <w:sz w:val="20"/>
        </w:rPr>
        <w:t>Mercedes Maldonado-Sánchez, Laura Emma Rodríguez-Vilchis, Rosalía Contreras-Bulnes, José Luis Rubí - Jiménez, Liliana Gutiérrez- Romero, Judith Arjona-Serrano.</w:t>
      </w:r>
    </w:p>
    <w:p>
      <w:pPr>
        <w:spacing w:line="480" w:lineRule="auto" w:before="10"/>
        <w:ind w:left="138" w:right="137" w:firstLine="0"/>
        <w:jc w:val="both"/>
        <w:rPr>
          <w:rFonts w:ascii="Times New Roman" w:hAnsi="Times New Roman"/>
          <w:sz w:val="20"/>
        </w:rPr>
      </w:pPr>
      <w:r>
        <w:rPr>
          <w:rFonts w:ascii="Times New Roman" w:hAnsi="Times New Roman"/>
          <w:sz w:val="20"/>
        </w:rPr>
        <w:t>Universidad Autónoma del Estado de México, Facultad de Odontología, Centro de Investigación y Estudios Avanzados en Odontología (CIEAO), Jesús Carranza esq. Paseo Tollocan, Col. Universidad, C.P. 50130, Toluca, Estado de México, México. Telephoe and fax: 52 722 2 12 43 51, Extensions 110, 111, 113, and 120</w:t>
      </w:r>
    </w:p>
    <w:p>
      <w:pPr>
        <w:pStyle w:val="BodyText"/>
        <w:rPr>
          <w:rFonts w:ascii="Times New Roman"/>
          <w:sz w:val="20"/>
        </w:rPr>
      </w:pPr>
    </w:p>
    <w:p>
      <w:pPr>
        <w:pStyle w:val="BodyText"/>
        <w:spacing w:before="7"/>
        <w:rPr>
          <w:rFonts w:ascii="Times New Roman"/>
          <w:sz w:val="20"/>
        </w:rPr>
      </w:pPr>
    </w:p>
    <w:p>
      <w:pPr>
        <w:spacing w:before="0"/>
        <w:ind w:left="138" w:right="0" w:firstLine="0"/>
        <w:jc w:val="both"/>
        <w:rPr>
          <w:rFonts w:ascii="Times New Roman"/>
          <w:sz w:val="20"/>
        </w:rPr>
      </w:pPr>
      <w:r>
        <w:rPr>
          <w:rFonts w:ascii="Times New Roman"/>
          <w:b/>
          <w:sz w:val="20"/>
        </w:rPr>
        <w:t>Running Title of Paper: </w:t>
      </w:r>
      <w:r>
        <w:rPr>
          <w:rFonts w:ascii="Times New Roman"/>
          <w:sz w:val="20"/>
        </w:rPr>
        <w:t>Caries, predictors, Mazahua community Mexico</w:t>
      </w:r>
    </w:p>
    <w:p>
      <w:pPr>
        <w:pStyle w:val="BodyText"/>
        <w:rPr>
          <w:rFonts w:ascii="Times New Roman"/>
          <w:sz w:val="20"/>
        </w:rPr>
      </w:pPr>
    </w:p>
    <w:p>
      <w:pPr>
        <w:spacing w:before="1"/>
        <w:ind w:left="138" w:right="0" w:firstLine="0"/>
        <w:jc w:val="both"/>
        <w:rPr>
          <w:rFonts w:ascii="Times New Roman"/>
          <w:sz w:val="20"/>
        </w:rPr>
      </w:pPr>
      <w:r>
        <w:rPr>
          <w:rFonts w:ascii="Times New Roman"/>
          <w:b/>
          <w:sz w:val="20"/>
        </w:rPr>
        <w:t>Keywords: </w:t>
      </w:r>
      <w:r>
        <w:rPr>
          <w:rFonts w:ascii="Times New Roman"/>
          <w:sz w:val="20"/>
        </w:rPr>
        <w:t>Caries, predictors, Mazahua community.</w:t>
      </w:r>
    </w:p>
    <w:p>
      <w:pPr>
        <w:pStyle w:val="BodyText"/>
        <w:rPr>
          <w:rFonts w:ascii="Times New Roman"/>
          <w:sz w:val="20"/>
        </w:rPr>
      </w:pPr>
    </w:p>
    <w:p>
      <w:pPr>
        <w:pStyle w:val="BodyText"/>
        <w:rPr>
          <w:rFonts w:ascii="Times New Roman"/>
          <w:sz w:val="20"/>
        </w:rPr>
      </w:pPr>
    </w:p>
    <w:p>
      <w:pPr>
        <w:pStyle w:val="BodyText"/>
        <w:spacing w:before="4"/>
        <w:rPr>
          <w:rFonts w:ascii="Times New Roman"/>
          <w:sz w:val="20"/>
        </w:rPr>
      </w:pPr>
    </w:p>
    <w:p>
      <w:pPr>
        <w:spacing w:before="0"/>
        <w:ind w:left="138" w:right="0" w:firstLine="0"/>
        <w:jc w:val="both"/>
        <w:rPr>
          <w:rFonts w:ascii="Times New Roman"/>
          <w:b/>
          <w:sz w:val="20"/>
        </w:rPr>
      </w:pPr>
      <w:r>
        <w:rPr>
          <w:rFonts w:ascii="Times New Roman"/>
          <w:b/>
          <w:sz w:val="20"/>
        </w:rPr>
        <w:t>Corresponding Author:</w:t>
      </w:r>
    </w:p>
    <w:p>
      <w:pPr>
        <w:pStyle w:val="BodyText"/>
        <w:spacing w:before="7"/>
        <w:rPr>
          <w:rFonts w:ascii="Times New Roman"/>
          <w:b/>
          <w:sz w:val="19"/>
        </w:rPr>
      </w:pPr>
    </w:p>
    <w:p>
      <w:pPr>
        <w:spacing w:before="0"/>
        <w:ind w:left="138" w:right="0" w:firstLine="0"/>
        <w:jc w:val="both"/>
        <w:rPr>
          <w:rFonts w:ascii="Times New Roman" w:hAnsi="Times New Roman"/>
          <w:sz w:val="20"/>
        </w:rPr>
      </w:pPr>
      <w:r>
        <w:rPr>
          <w:rFonts w:ascii="Times New Roman" w:hAnsi="Times New Roman"/>
          <w:sz w:val="20"/>
        </w:rPr>
        <w:t>Laura Emma Rodríguez-Vilchis;</w:t>
      </w:r>
    </w:p>
    <w:p>
      <w:pPr>
        <w:pStyle w:val="BodyText"/>
        <w:spacing w:before="9"/>
        <w:rPr>
          <w:rFonts w:ascii="Times New Roman"/>
          <w:sz w:val="19"/>
        </w:rPr>
      </w:pPr>
    </w:p>
    <w:p>
      <w:pPr>
        <w:spacing w:before="1"/>
        <w:ind w:left="138" w:right="0" w:firstLine="0"/>
        <w:jc w:val="both"/>
        <w:rPr>
          <w:rFonts w:ascii="Times New Roman" w:hAnsi="Times New Roman"/>
          <w:sz w:val="20"/>
        </w:rPr>
      </w:pPr>
      <w:r>
        <w:rPr>
          <w:rFonts w:ascii="Times New Roman" w:hAnsi="Times New Roman"/>
          <w:sz w:val="20"/>
        </w:rPr>
        <w:t>Centro de Investigación y Estudios Avanzados en Odontología</w:t>
      </w:r>
    </w:p>
    <w:p>
      <w:pPr>
        <w:pStyle w:val="BodyText"/>
        <w:rPr>
          <w:rFonts w:ascii="Times New Roman"/>
          <w:sz w:val="20"/>
        </w:rPr>
      </w:pPr>
    </w:p>
    <w:p>
      <w:pPr>
        <w:spacing w:before="1"/>
        <w:ind w:left="138" w:right="0" w:firstLine="0"/>
        <w:jc w:val="both"/>
        <w:rPr>
          <w:rFonts w:ascii="Times New Roman" w:hAnsi="Times New Roman"/>
          <w:sz w:val="20"/>
        </w:rPr>
      </w:pPr>
      <w:r>
        <w:rPr>
          <w:rFonts w:ascii="Times New Roman" w:hAnsi="Times New Roman"/>
          <w:sz w:val="20"/>
        </w:rPr>
        <w:t>Facultad de Odontología de la Universidad Autónoma del Estado de México.</w:t>
      </w:r>
    </w:p>
    <w:p>
      <w:pPr>
        <w:pStyle w:val="BodyText"/>
        <w:rPr>
          <w:rFonts w:ascii="Times New Roman"/>
          <w:sz w:val="20"/>
        </w:rPr>
      </w:pPr>
    </w:p>
    <w:p>
      <w:pPr>
        <w:spacing w:line="477" w:lineRule="auto" w:before="1"/>
        <w:ind w:left="138" w:right="492" w:firstLine="0"/>
        <w:jc w:val="left"/>
        <w:rPr>
          <w:rFonts w:ascii="Times New Roman" w:hAnsi="Times New Roman"/>
          <w:sz w:val="20"/>
        </w:rPr>
      </w:pPr>
      <w:r>
        <w:rPr>
          <w:rFonts w:ascii="Times New Roman" w:hAnsi="Times New Roman"/>
          <w:sz w:val="20"/>
        </w:rPr>
        <w:t>Jesús Carranza Esq. Paseo Tollocan. Col. Universidad. Toluca, Estado de México, México. C.P. 50130. Telephone and fax: 52 722 2 12 43 51 Ext. 111. E-mail: E-mail </w:t>
      </w:r>
      <w:hyperlink r:id="rId19">
        <w:r>
          <w:rPr>
            <w:rFonts w:ascii="Times New Roman" w:hAnsi="Times New Roman"/>
            <w:color w:val="0000FF"/>
            <w:sz w:val="20"/>
            <w:u w:val="single" w:color="0000FF"/>
          </w:rPr>
          <w:t>rovilaster@gmail.com</w:t>
        </w:r>
      </w:hyperlink>
      <w:r>
        <w:rPr>
          <w:rFonts w:ascii="Times New Roman" w:hAnsi="Times New Roman"/>
          <w:color w:val="0000FF"/>
          <w:sz w:val="20"/>
          <w:u w:val="single" w:color="0000FF"/>
        </w:rPr>
        <w:t> </w:t>
      </w:r>
      <w:r>
        <w:rPr>
          <w:rFonts w:ascii="Times New Roman" w:hAnsi="Times New Roman"/>
          <w:sz w:val="20"/>
        </w:rPr>
        <w:t>or </w:t>
      </w:r>
      <w:hyperlink r:id="rId20">
        <w:r>
          <w:rPr>
            <w:rFonts w:ascii="Times New Roman" w:hAnsi="Times New Roman"/>
            <w:color w:val="0000FF"/>
            <w:sz w:val="20"/>
            <w:u w:val="single" w:color="0000FF"/>
          </w:rPr>
          <w:t>rovila@uaemex.mx</w:t>
        </w:r>
      </w:hyperlink>
    </w:p>
    <w:p>
      <w:pPr>
        <w:spacing w:before="16"/>
        <w:ind w:left="138" w:right="630" w:firstLine="0"/>
        <w:jc w:val="left"/>
        <w:rPr>
          <w:rFonts w:ascii="Times New Roman"/>
          <w:b/>
          <w:sz w:val="20"/>
        </w:rPr>
      </w:pPr>
      <w:r>
        <w:rPr>
          <w:rFonts w:ascii="Times New Roman"/>
          <w:b/>
          <w:sz w:val="20"/>
        </w:rPr>
        <w:t>e-mail address:</w:t>
      </w:r>
    </w:p>
    <w:p>
      <w:pPr>
        <w:pStyle w:val="BodyText"/>
        <w:spacing w:before="7"/>
        <w:rPr>
          <w:rFonts w:ascii="Times New Roman"/>
          <w:b/>
          <w:sz w:val="19"/>
        </w:rPr>
      </w:pPr>
    </w:p>
    <w:p>
      <w:pPr>
        <w:spacing w:before="0"/>
        <w:ind w:left="138" w:right="630" w:firstLine="0"/>
        <w:jc w:val="left"/>
        <w:rPr>
          <w:rFonts w:ascii="Times New Roman" w:hAnsi="Times New Roman"/>
          <w:sz w:val="20"/>
        </w:rPr>
      </w:pPr>
      <w:r>
        <w:rPr>
          <w:rFonts w:ascii="Times New Roman" w:hAnsi="Times New Roman"/>
          <w:sz w:val="20"/>
        </w:rPr>
        <w:t>Mercedes Maldonado-Sánchez </w:t>
      </w:r>
      <w:hyperlink r:id="rId21">
        <w:r>
          <w:rPr>
            <w:rFonts w:ascii="Times New Roman" w:hAnsi="Times New Roman"/>
            <w:color w:val="0000FF"/>
            <w:sz w:val="20"/>
            <w:u w:val="single" w:color="0000FF"/>
          </w:rPr>
          <w:t>mechems@yahoo.com.mx</w:t>
        </w:r>
      </w:hyperlink>
    </w:p>
    <w:p>
      <w:pPr>
        <w:pStyle w:val="BodyText"/>
        <w:spacing w:before="5"/>
        <w:rPr>
          <w:rFonts w:ascii="Times New Roman"/>
          <w:sz w:val="13"/>
        </w:rPr>
      </w:pPr>
    </w:p>
    <w:p>
      <w:pPr>
        <w:spacing w:before="74"/>
        <w:ind w:left="138" w:right="630" w:firstLine="0"/>
        <w:jc w:val="left"/>
        <w:rPr>
          <w:rFonts w:ascii="Times New Roman" w:hAnsi="Times New Roman"/>
          <w:sz w:val="20"/>
        </w:rPr>
      </w:pPr>
      <w:r>
        <w:rPr>
          <w:rFonts w:ascii="Times New Roman" w:hAnsi="Times New Roman"/>
          <w:sz w:val="20"/>
        </w:rPr>
        <w:t>Rosalía Contreras-Bulnes </w:t>
      </w:r>
      <w:hyperlink r:id="rId22">
        <w:r>
          <w:rPr>
            <w:rFonts w:ascii="Times New Roman" w:hAnsi="Times New Roman"/>
            <w:color w:val="0000FF"/>
            <w:sz w:val="20"/>
            <w:u w:val="single" w:color="0000FF"/>
          </w:rPr>
          <w:t>rcb0209@yahoo.com.mx</w:t>
        </w:r>
      </w:hyperlink>
    </w:p>
    <w:p>
      <w:pPr>
        <w:pStyle w:val="BodyText"/>
        <w:spacing w:before="7"/>
        <w:rPr>
          <w:rFonts w:ascii="Times New Roman"/>
          <w:sz w:val="13"/>
        </w:rPr>
      </w:pPr>
    </w:p>
    <w:p>
      <w:pPr>
        <w:spacing w:line="480" w:lineRule="auto" w:before="74"/>
        <w:ind w:left="138" w:right="5114" w:firstLine="0"/>
        <w:jc w:val="left"/>
        <w:rPr>
          <w:rFonts w:ascii="Times New Roman" w:hAnsi="Times New Roman"/>
          <w:sz w:val="20"/>
        </w:rPr>
      </w:pPr>
      <w:r>
        <w:rPr>
          <w:rFonts w:ascii="Times New Roman" w:hAnsi="Times New Roman"/>
          <w:sz w:val="20"/>
        </w:rPr>
        <w:t>José Luis Rubí –Jiménez </w:t>
      </w:r>
      <w:hyperlink r:id="rId23">
        <w:r>
          <w:rPr>
            <w:rFonts w:ascii="Times New Roman" w:hAnsi="Times New Roman"/>
            <w:sz w:val="20"/>
          </w:rPr>
          <w:t>nefo99@hotmail.com</w:t>
        </w:r>
      </w:hyperlink>
      <w:r>
        <w:rPr>
          <w:rFonts w:ascii="Times New Roman" w:hAnsi="Times New Roman"/>
          <w:sz w:val="20"/>
        </w:rPr>
        <w:t> Liliana Gutiérrez- Romero </w:t>
      </w:r>
      <w:hyperlink r:id="rId24">
        <w:r>
          <w:rPr>
            <w:rFonts w:ascii="Times New Roman" w:hAnsi="Times New Roman"/>
            <w:color w:val="0000FF"/>
            <w:sz w:val="20"/>
            <w:u w:val="single" w:color="0000FF"/>
          </w:rPr>
          <w:t>scorp_lili@hotmail.com</w:t>
        </w:r>
      </w:hyperlink>
    </w:p>
    <w:p>
      <w:pPr>
        <w:spacing w:before="7"/>
        <w:ind w:left="138" w:right="630" w:firstLine="0"/>
        <w:jc w:val="left"/>
        <w:rPr>
          <w:rFonts w:ascii="Times New Roman"/>
          <w:sz w:val="20"/>
        </w:rPr>
      </w:pPr>
      <w:r>
        <w:rPr>
          <w:rFonts w:ascii="Times New Roman"/>
          <w:sz w:val="20"/>
        </w:rPr>
        <w:t>Judith Arjona-Serrano </w:t>
      </w:r>
      <w:hyperlink r:id="rId25">
        <w:r>
          <w:rPr>
            <w:rFonts w:ascii="Times New Roman"/>
            <w:color w:val="0000FF"/>
            <w:sz w:val="20"/>
            <w:u w:val="single" w:color="0000FF"/>
          </w:rPr>
          <w:t>arjona139@yahoo.com.</w:t>
        </w:r>
      </w:hyperlink>
      <w:r>
        <w:rPr>
          <w:rFonts w:ascii="Times New Roman"/>
          <w:color w:val="0000FF"/>
          <w:sz w:val="20"/>
          <w:u w:val="single" w:color="0000FF"/>
        </w:rPr>
        <w:t>mx</w:t>
      </w:r>
    </w:p>
    <w:p>
      <w:pPr>
        <w:spacing w:after="0"/>
        <w:jc w:val="left"/>
        <w:rPr>
          <w:rFonts w:ascii="Times New Roman"/>
          <w:sz w:val="20"/>
        </w:rPr>
        <w:sectPr>
          <w:footerReference w:type="default" r:id="rId18"/>
          <w:pgSz w:w="12240" w:h="15840"/>
          <w:pgMar w:footer="964" w:header="686" w:top="1080" w:bottom="1160" w:left="1280" w:right="1560"/>
          <w:pgNumType w:start="41"/>
        </w:sectPr>
      </w:pPr>
    </w:p>
    <w:p>
      <w:pPr>
        <w:pStyle w:val="BodyText"/>
        <w:rPr>
          <w:rFonts w:ascii="Times New Roman"/>
          <w:sz w:val="20"/>
        </w:rPr>
      </w:pPr>
    </w:p>
    <w:p>
      <w:pPr>
        <w:pStyle w:val="BodyText"/>
        <w:spacing w:before="8"/>
        <w:rPr>
          <w:rFonts w:ascii="Times New Roman"/>
          <w:sz w:val="28"/>
        </w:rPr>
      </w:pPr>
    </w:p>
    <w:p>
      <w:pPr>
        <w:spacing w:before="56"/>
        <w:ind w:left="138" w:right="0" w:firstLine="0"/>
        <w:jc w:val="both"/>
        <w:rPr>
          <w:rFonts w:ascii="Calibri"/>
          <w:b/>
          <w:sz w:val="22"/>
        </w:rPr>
      </w:pPr>
      <w:r>
        <w:rPr>
          <w:rFonts w:ascii="Calibri"/>
          <w:b/>
          <w:sz w:val="22"/>
        </w:rPr>
        <w:t>Abstract</w:t>
      </w:r>
    </w:p>
    <w:p>
      <w:pPr>
        <w:pStyle w:val="BodyText"/>
        <w:rPr>
          <w:rFonts w:ascii="Calibri"/>
          <w:b/>
          <w:sz w:val="19"/>
        </w:rPr>
      </w:pPr>
    </w:p>
    <w:p>
      <w:pPr>
        <w:pStyle w:val="BodyText"/>
        <w:spacing w:line="480" w:lineRule="auto" w:before="1"/>
        <w:ind w:left="138" w:right="136"/>
        <w:jc w:val="both"/>
        <w:rPr>
          <w:rFonts w:ascii="Times New Roman" w:hAnsi="Times New Roman"/>
        </w:rPr>
      </w:pPr>
      <w:r>
        <w:rPr>
          <w:rFonts w:ascii="Times New Roman" w:hAnsi="Times New Roman"/>
          <w:b/>
        </w:rPr>
        <w:t>Objetive:</w:t>
      </w:r>
      <w:r>
        <w:rPr>
          <w:rFonts w:ascii="Times New Roman" w:hAnsi="Times New Roman"/>
          <w:b/>
          <w:spacing w:val="-7"/>
        </w:rPr>
        <w:t> </w:t>
      </w:r>
      <w:r>
        <w:rPr>
          <w:rFonts w:ascii="Times New Roman" w:hAnsi="Times New Roman"/>
        </w:rPr>
        <w:t>The</w:t>
      </w:r>
      <w:r>
        <w:rPr>
          <w:rFonts w:ascii="Times New Roman" w:hAnsi="Times New Roman"/>
          <w:spacing w:val="-5"/>
        </w:rPr>
        <w:t> </w:t>
      </w:r>
      <w:r>
        <w:rPr>
          <w:rFonts w:ascii="Times New Roman" w:hAnsi="Times New Roman"/>
        </w:rPr>
        <w:t>purpose</w:t>
      </w:r>
      <w:r>
        <w:rPr>
          <w:rFonts w:ascii="Times New Roman" w:hAnsi="Times New Roman"/>
          <w:spacing w:val="-7"/>
        </w:rPr>
        <w:t> </w:t>
      </w:r>
      <w:r>
        <w:rPr>
          <w:rFonts w:ascii="Times New Roman" w:hAnsi="Times New Roman"/>
        </w:rPr>
        <w:t>of</w:t>
      </w:r>
      <w:r>
        <w:rPr>
          <w:rFonts w:ascii="Times New Roman" w:hAnsi="Times New Roman"/>
          <w:spacing w:val="-7"/>
        </w:rPr>
        <w:t> </w:t>
      </w:r>
      <w:r>
        <w:rPr>
          <w:rFonts w:ascii="Times New Roman" w:hAnsi="Times New Roman"/>
        </w:rPr>
        <w:t>this</w:t>
      </w:r>
      <w:r>
        <w:rPr>
          <w:rFonts w:ascii="Times New Roman" w:hAnsi="Times New Roman"/>
          <w:spacing w:val="-6"/>
        </w:rPr>
        <w:t> </w:t>
      </w:r>
      <w:r>
        <w:rPr>
          <w:rFonts w:ascii="Times New Roman" w:hAnsi="Times New Roman"/>
        </w:rPr>
        <w:t>study</w:t>
      </w:r>
      <w:r>
        <w:rPr>
          <w:rFonts w:ascii="Times New Roman" w:hAnsi="Times New Roman"/>
          <w:spacing w:val="-11"/>
        </w:rPr>
        <w:t> </w:t>
      </w:r>
      <w:r>
        <w:rPr>
          <w:rFonts w:ascii="Times New Roman" w:hAnsi="Times New Roman"/>
        </w:rPr>
        <w:t>was</w:t>
      </w:r>
      <w:r>
        <w:rPr>
          <w:rFonts w:ascii="Times New Roman" w:hAnsi="Times New Roman"/>
          <w:spacing w:val="-6"/>
        </w:rPr>
        <w:t> </w:t>
      </w:r>
      <w:r>
        <w:rPr>
          <w:rFonts w:ascii="Times New Roman" w:hAnsi="Times New Roman"/>
        </w:rPr>
        <w:t>to</w:t>
      </w:r>
      <w:r>
        <w:rPr>
          <w:rFonts w:ascii="Times New Roman" w:hAnsi="Times New Roman"/>
          <w:spacing w:val="-6"/>
        </w:rPr>
        <w:t> </w:t>
      </w:r>
      <w:r>
        <w:rPr>
          <w:rFonts w:ascii="Times New Roman" w:hAnsi="Times New Roman"/>
        </w:rPr>
        <w:t>determine</w:t>
      </w:r>
      <w:r>
        <w:rPr>
          <w:rFonts w:ascii="Times New Roman" w:hAnsi="Times New Roman"/>
          <w:spacing w:val="-7"/>
        </w:rPr>
        <w:t> </w:t>
      </w:r>
      <w:r>
        <w:rPr>
          <w:rFonts w:ascii="Times New Roman" w:hAnsi="Times New Roman"/>
        </w:rPr>
        <w:t>the</w:t>
      </w:r>
      <w:r>
        <w:rPr>
          <w:rFonts w:ascii="Times New Roman" w:hAnsi="Times New Roman"/>
          <w:spacing w:val="-7"/>
        </w:rPr>
        <w:t> </w:t>
      </w:r>
      <w:r>
        <w:rPr>
          <w:rFonts w:ascii="Times New Roman" w:hAnsi="Times New Roman"/>
        </w:rPr>
        <w:t>caries</w:t>
      </w:r>
      <w:r>
        <w:rPr>
          <w:rFonts w:ascii="Times New Roman" w:hAnsi="Times New Roman"/>
          <w:spacing w:val="-6"/>
        </w:rPr>
        <w:t> </w:t>
      </w:r>
      <w:r>
        <w:rPr>
          <w:rFonts w:ascii="Times New Roman" w:hAnsi="Times New Roman"/>
        </w:rPr>
        <w:t>experience</w:t>
      </w:r>
      <w:r>
        <w:rPr>
          <w:rFonts w:ascii="Times New Roman" w:hAnsi="Times New Roman"/>
          <w:spacing w:val="-5"/>
        </w:rPr>
        <w:t> </w:t>
      </w:r>
      <w:r>
        <w:rPr>
          <w:rFonts w:ascii="Times New Roman" w:hAnsi="Times New Roman"/>
        </w:rPr>
        <w:t>and</w:t>
      </w:r>
      <w:r>
        <w:rPr>
          <w:rFonts w:ascii="Times New Roman" w:hAnsi="Times New Roman"/>
          <w:spacing w:val="-6"/>
        </w:rPr>
        <w:t> </w:t>
      </w:r>
      <w:r>
        <w:rPr>
          <w:rFonts w:ascii="Times New Roman" w:hAnsi="Times New Roman"/>
        </w:rPr>
        <w:t>its</w:t>
      </w:r>
      <w:r>
        <w:rPr>
          <w:rFonts w:ascii="Times New Roman" w:hAnsi="Times New Roman"/>
          <w:spacing w:val="-6"/>
        </w:rPr>
        <w:t> </w:t>
      </w:r>
      <w:r>
        <w:rPr>
          <w:rFonts w:ascii="Times New Roman" w:hAnsi="Times New Roman"/>
        </w:rPr>
        <w:t>predictors</w:t>
      </w:r>
      <w:r>
        <w:rPr>
          <w:rFonts w:ascii="Times New Roman" w:hAnsi="Times New Roman"/>
          <w:spacing w:val="-6"/>
        </w:rPr>
        <w:t> </w:t>
      </w:r>
      <w:r>
        <w:rPr>
          <w:rFonts w:ascii="Times New Roman" w:hAnsi="Times New Roman"/>
        </w:rPr>
        <w:t>in preschool</w:t>
      </w:r>
      <w:r>
        <w:rPr>
          <w:rFonts w:ascii="Times New Roman" w:hAnsi="Times New Roman"/>
          <w:spacing w:val="-2"/>
        </w:rPr>
        <w:t> </w:t>
      </w:r>
      <w:r>
        <w:rPr>
          <w:rFonts w:ascii="Times New Roman" w:hAnsi="Times New Roman"/>
        </w:rPr>
        <w:t>children</w:t>
      </w:r>
      <w:r>
        <w:rPr>
          <w:rFonts w:ascii="Times New Roman" w:hAnsi="Times New Roman"/>
          <w:spacing w:val="-3"/>
        </w:rPr>
        <w:t> </w:t>
      </w:r>
      <w:r>
        <w:rPr>
          <w:rFonts w:ascii="Times New Roman" w:hAnsi="Times New Roman"/>
        </w:rPr>
        <w:t>of a</w:t>
      </w:r>
      <w:r>
        <w:rPr>
          <w:rFonts w:ascii="Times New Roman" w:hAnsi="Times New Roman"/>
          <w:spacing w:val="-2"/>
        </w:rPr>
        <w:t> </w:t>
      </w:r>
      <w:r>
        <w:rPr>
          <w:rFonts w:ascii="Times New Roman" w:hAnsi="Times New Roman"/>
        </w:rPr>
        <w:t>Mazahua</w:t>
      </w:r>
      <w:r>
        <w:rPr>
          <w:rFonts w:ascii="Times New Roman" w:hAnsi="Times New Roman"/>
          <w:spacing w:val="-4"/>
        </w:rPr>
        <w:t> </w:t>
      </w:r>
      <w:r>
        <w:rPr>
          <w:rFonts w:ascii="Times New Roman" w:hAnsi="Times New Roman"/>
        </w:rPr>
        <w:t>community</w:t>
      </w:r>
      <w:r>
        <w:rPr>
          <w:rFonts w:ascii="Times New Roman" w:hAnsi="Times New Roman"/>
          <w:spacing w:val="-8"/>
        </w:rPr>
        <w:t> </w:t>
      </w:r>
      <w:r>
        <w:rPr>
          <w:rFonts w:ascii="Times New Roman" w:hAnsi="Times New Roman"/>
        </w:rPr>
        <w:t>in</w:t>
      </w:r>
      <w:r>
        <w:rPr>
          <w:rFonts w:ascii="Times New Roman" w:hAnsi="Times New Roman"/>
          <w:spacing w:val="-2"/>
        </w:rPr>
        <w:t> </w:t>
      </w:r>
      <w:r>
        <w:rPr>
          <w:rFonts w:ascii="Times New Roman" w:hAnsi="Times New Roman"/>
        </w:rPr>
        <w:t>the</w:t>
      </w:r>
      <w:r>
        <w:rPr>
          <w:rFonts w:ascii="Times New Roman" w:hAnsi="Times New Roman"/>
          <w:spacing w:val="-4"/>
        </w:rPr>
        <w:t> </w:t>
      </w:r>
      <w:r>
        <w:rPr>
          <w:rFonts w:ascii="Times New Roman" w:hAnsi="Times New Roman"/>
        </w:rPr>
        <w:t>state</w:t>
      </w:r>
      <w:r>
        <w:rPr>
          <w:rFonts w:ascii="Times New Roman" w:hAnsi="Times New Roman"/>
          <w:spacing w:val="-3"/>
        </w:rPr>
        <w:t> </w:t>
      </w:r>
      <w:r>
        <w:rPr>
          <w:rFonts w:ascii="Times New Roman" w:hAnsi="Times New Roman"/>
        </w:rPr>
        <w:t>of</w:t>
      </w:r>
      <w:r>
        <w:rPr>
          <w:rFonts w:ascii="Times New Roman" w:hAnsi="Times New Roman"/>
          <w:spacing w:val="-4"/>
        </w:rPr>
        <w:t> </w:t>
      </w:r>
      <w:r>
        <w:rPr>
          <w:rFonts w:ascii="Times New Roman" w:hAnsi="Times New Roman"/>
        </w:rPr>
        <w:t>Mexico.</w:t>
      </w:r>
      <w:r>
        <w:rPr>
          <w:rFonts w:ascii="Times New Roman" w:hAnsi="Times New Roman"/>
          <w:spacing w:val="-1"/>
        </w:rPr>
        <w:t> </w:t>
      </w:r>
      <w:r>
        <w:rPr>
          <w:rFonts w:ascii="Times New Roman" w:hAnsi="Times New Roman"/>
          <w:b/>
        </w:rPr>
        <w:t>Methods:</w:t>
      </w:r>
      <w:r>
        <w:rPr>
          <w:rFonts w:ascii="Times New Roman" w:hAnsi="Times New Roman"/>
          <w:b/>
          <w:spacing w:val="-3"/>
        </w:rPr>
        <w:t> </w:t>
      </w:r>
      <w:r>
        <w:rPr>
          <w:rFonts w:ascii="Times New Roman" w:hAnsi="Times New Roman"/>
        </w:rPr>
        <w:t>The</w:t>
      </w:r>
      <w:r>
        <w:rPr>
          <w:rFonts w:ascii="Times New Roman" w:hAnsi="Times New Roman"/>
          <w:spacing w:val="-4"/>
        </w:rPr>
        <w:t> </w:t>
      </w:r>
      <w:r>
        <w:rPr>
          <w:rFonts w:ascii="Times New Roman" w:hAnsi="Times New Roman"/>
        </w:rPr>
        <w:t>sample</w:t>
      </w:r>
      <w:r>
        <w:rPr>
          <w:rFonts w:ascii="Times New Roman" w:hAnsi="Times New Roman"/>
          <w:spacing w:val="-4"/>
        </w:rPr>
        <w:t> </w:t>
      </w:r>
      <w:r>
        <w:rPr>
          <w:rFonts w:ascii="Times New Roman" w:hAnsi="Times New Roman"/>
        </w:rPr>
        <w:t>was selected by a convenience non-probabilistic sampling method that included 131 Mazahua descent children, aged between 3-5 years. Clinical examination was performed using International Caries Detection and Assessment System (ICDAS). Socio-demographic information, dietary habits, and oral health hygiene variables were obtained through an interview with the parents or primary caregivers of children. An automated linear model was built to identify the predictors. </w:t>
      </w:r>
      <w:r>
        <w:rPr>
          <w:rFonts w:ascii="Times New Roman" w:hAnsi="Times New Roman"/>
          <w:b/>
        </w:rPr>
        <w:t>Results: </w:t>
      </w:r>
      <w:r>
        <w:rPr>
          <w:rFonts w:ascii="Times New Roman" w:hAnsi="Times New Roman"/>
        </w:rPr>
        <w:t>Caries prevalence was 86.3%, 63.4% of the children with early childhood caries (ECC), while only 22.9% had severe decay early childhood (S- ECC). The model showed that the dmfs depend on the number of times that child is exposed to sugary</w:t>
      </w:r>
      <w:r>
        <w:rPr>
          <w:rFonts w:ascii="Times New Roman" w:hAnsi="Times New Roman"/>
          <w:spacing w:val="-16"/>
        </w:rPr>
        <w:t> </w:t>
      </w:r>
      <w:r>
        <w:rPr>
          <w:rFonts w:ascii="Times New Roman" w:hAnsi="Times New Roman"/>
        </w:rPr>
        <w:t>foods</w:t>
      </w:r>
      <w:r>
        <w:rPr>
          <w:rFonts w:ascii="Times New Roman" w:hAnsi="Times New Roman"/>
          <w:spacing w:val="-12"/>
        </w:rPr>
        <w:t> </w:t>
      </w:r>
      <w:r>
        <w:rPr>
          <w:rFonts w:ascii="Times New Roman" w:hAnsi="Times New Roman"/>
        </w:rPr>
        <w:t>during</w:t>
      </w:r>
      <w:r>
        <w:rPr>
          <w:rFonts w:ascii="Times New Roman" w:hAnsi="Times New Roman"/>
          <w:spacing w:val="-13"/>
        </w:rPr>
        <w:t> </w:t>
      </w:r>
      <w:r>
        <w:rPr>
          <w:rFonts w:ascii="Times New Roman" w:hAnsi="Times New Roman"/>
        </w:rPr>
        <w:t>meals,</w:t>
      </w:r>
      <w:r>
        <w:rPr>
          <w:rFonts w:ascii="Times New Roman" w:hAnsi="Times New Roman"/>
          <w:spacing w:val="-11"/>
        </w:rPr>
        <w:t> </w:t>
      </w:r>
      <w:r>
        <w:rPr>
          <w:rFonts w:ascii="Times New Roman" w:hAnsi="Times New Roman"/>
        </w:rPr>
        <w:t>the</w:t>
      </w:r>
      <w:r>
        <w:rPr>
          <w:rFonts w:ascii="Times New Roman" w:hAnsi="Times New Roman"/>
          <w:spacing w:val="-12"/>
        </w:rPr>
        <w:t> </w:t>
      </w:r>
      <w:r>
        <w:rPr>
          <w:rFonts w:ascii="Times New Roman" w:hAnsi="Times New Roman"/>
        </w:rPr>
        <w:t>primary</w:t>
      </w:r>
      <w:r>
        <w:rPr>
          <w:rFonts w:ascii="Times New Roman" w:hAnsi="Times New Roman"/>
          <w:spacing w:val="-13"/>
        </w:rPr>
        <w:t> </w:t>
      </w:r>
      <w:r>
        <w:rPr>
          <w:rFonts w:ascii="Times New Roman" w:hAnsi="Times New Roman"/>
        </w:rPr>
        <w:t>caregiver’s</w:t>
      </w:r>
      <w:r>
        <w:rPr>
          <w:rFonts w:ascii="Times New Roman" w:hAnsi="Times New Roman"/>
          <w:spacing w:val="-9"/>
        </w:rPr>
        <w:t> </w:t>
      </w:r>
      <w:r>
        <w:rPr>
          <w:rFonts w:ascii="Times New Roman" w:hAnsi="Times New Roman"/>
        </w:rPr>
        <w:t>education,</w:t>
      </w:r>
      <w:r>
        <w:rPr>
          <w:rFonts w:ascii="Times New Roman" w:hAnsi="Times New Roman"/>
          <w:spacing w:val="-11"/>
        </w:rPr>
        <w:t> </w:t>
      </w:r>
      <w:r>
        <w:rPr>
          <w:rFonts w:ascii="Times New Roman" w:hAnsi="Times New Roman"/>
        </w:rPr>
        <w:t>presence</w:t>
      </w:r>
      <w:r>
        <w:rPr>
          <w:rFonts w:ascii="Times New Roman" w:hAnsi="Times New Roman"/>
          <w:spacing w:val="-12"/>
        </w:rPr>
        <w:t> </w:t>
      </w:r>
      <w:r>
        <w:rPr>
          <w:rFonts w:ascii="Times New Roman" w:hAnsi="Times New Roman"/>
        </w:rPr>
        <w:t>of</w:t>
      </w:r>
      <w:r>
        <w:rPr>
          <w:rFonts w:ascii="Times New Roman" w:hAnsi="Times New Roman"/>
          <w:spacing w:val="-8"/>
        </w:rPr>
        <w:t> </w:t>
      </w:r>
      <w:r>
        <w:rPr>
          <w:rFonts w:ascii="Times New Roman" w:hAnsi="Times New Roman"/>
          <w:i/>
        </w:rPr>
        <w:t>materia</w:t>
      </w:r>
      <w:r>
        <w:rPr>
          <w:rFonts w:ascii="Times New Roman" w:hAnsi="Times New Roman"/>
          <w:i/>
          <w:spacing w:val="-11"/>
        </w:rPr>
        <w:t> </w:t>
      </w:r>
      <w:r>
        <w:rPr>
          <w:rFonts w:ascii="Times New Roman" w:hAnsi="Times New Roman"/>
          <w:i/>
        </w:rPr>
        <w:t>alba</w:t>
      </w:r>
      <w:r>
        <w:rPr>
          <w:rFonts w:ascii="Times New Roman" w:hAnsi="Times New Roman"/>
        </w:rPr>
        <w:t>,</w:t>
      </w:r>
      <w:r>
        <w:rPr>
          <w:rFonts w:ascii="Times New Roman" w:hAnsi="Times New Roman"/>
          <w:spacing w:val="-11"/>
        </w:rPr>
        <w:t> </w:t>
      </w:r>
      <w:r>
        <w:rPr>
          <w:rFonts w:ascii="Times New Roman" w:hAnsi="Times New Roman"/>
        </w:rPr>
        <w:t>and</w:t>
      </w:r>
      <w:r>
        <w:rPr>
          <w:rFonts w:ascii="Times New Roman" w:hAnsi="Times New Roman"/>
          <w:spacing w:val="-11"/>
        </w:rPr>
        <w:t> </w:t>
      </w:r>
      <w:r>
        <w:rPr>
          <w:rFonts w:ascii="Times New Roman" w:hAnsi="Times New Roman"/>
        </w:rPr>
        <w:t>use of sugar and/or honey in the feeding bottle. </w:t>
      </w:r>
      <w:r>
        <w:rPr>
          <w:rFonts w:ascii="Times New Roman" w:hAnsi="Times New Roman"/>
          <w:b/>
        </w:rPr>
        <w:t>Conclusions: </w:t>
      </w:r>
      <w:r>
        <w:rPr>
          <w:rFonts w:ascii="Times New Roman" w:hAnsi="Times New Roman"/>
        </w:rPr>
        <w:t>High prevalence of untreated caries; the dmfs increase in children who are exposed more times to sugars during meals, those with the presence of </w:t>
      </w:r>
      <w:r>
        <w:rPr>
          <w:rFonts w:ascii="Times New Roman" w:hAnsi="Times New Roman"/>
          <w:i/>
        </w:rPr>
        <w:t>materia alba, </w:t>
      </w:r>
      <w:r>
        <w:rPr>
          <w:rFonts w:ascii="Times New Roman" w:hAnsi="Times New Roman"/>
        </w:rPr>
        <w:t>and those who were given a feeding bottle with added sugar or honey.</w:t>
      </w:r>
      <w:r>
        <w:rPr>
          <w:rFonts w:ascii="Times New Roman" w:hAnsi="Times New Roman"/>
          <w:spacing w:val="-12"/>
        </w:rPr>
        <w:t> </w:t>
      </w:r>
      <w:r>
        <w:rPr>
          <w:rFonts w:ascii="Times New Roman" w:hAnsi="Times New Roman"/>
        </w:rPr>
        <w:t>The</w:t>
      </w:r>
      <w:r>
        <w:rPr>
          <w:rFonts w:ascii="Times New Roman" w:hAnsi="Times New Roman"/>
          <w:spacing w:val="-13"/>
        </w:rPr>
        <w:t> </w:t>
      </w:r>
      <w:r>
        <w:rPr>
          <w:rFonts w:ascii="Times New Roman" w:hAnsi="Times New Roman"/>
        </w:rPr>
        <w:t>dmfs</w:t>
      </w:r>
      <w:r>
        <w:rPr>
          <w:rFonts w:ascii="Times New Roman" w:hAnsi="Times New Roman"/>
          <w:spacing w:val="-12"/>
        </w:rPr>
        <w:t> </w:t>
      </w:r>
      <w:r>
        <w:rPr>
          <w:rFonts w:ascii="Times New Roman" w:hAnsi="Times New Roman"/>
        </w:rPr>
        <w:t>were</w:t>
      </w:r>
      <w:r>
        <w:rPr>
          <w:rFonts w:ascii="Times New Roman" w:hAnsi="Times New Roman"/>
          <w:spacing w:val="-14"/>
        </w:rPr>
        <w:t> </w:t>
      </w:r>
      <w:r>
        <w:rPr>
          <w:rFonts w:ascii="Times New Roman" w:hAnsi="Times New Roman"/>
        </w:rPr>
        <w:t>lower</w:t>
      </w:r>
      <w:r>
        <w:rPr>
          <w:rFonts w:ascii="Times New Roman" w:hAnsi="Times New Roman"/>
          <w:spacing w:val="-13"/>
        </w:rPr>
        <w:t> </w:t>
      </w:r>
      <w:r>
        <w:rPr>
          <w:rFonts w:ascii="Times New Roman" w:hAnsi="Times New Roman"/>
        </w:rPr>
        <w:t>among</w:t>
      </w:r>
      <w:r>
        <w:rPr>
          <w:rFonts w:ascii="Times New Roman" w:hAnsi="Times New Roman"/>
          <w:spacing w:val="-14"/>
        </w:rPr>
        <w:t> </w:t>
      </w:r>
      <w:r>
        <w:rPr>
          <w:rFonts w:ascii="Times New Roman" w:hAnsi="Times New Roman"/>
        </w:rPr>
        <w:t>children</w:t>
      </w:r>
      <w:r>
        <w:rPr>
          <w:rFonts w:ascii="Times New Roman" w:hAnsi="Times New Roman"/>
          <w:spacing w:val="-12"/>
        </w:rPr>
        <w:t> </w:t>
      </w:r>
      <w:r>
        <w:rPr>
          <w:rFonts w:ascii="Times New Roman" w:hAnsi="Times New Roman"/>
        </w:rPr>
        <w:t>whose</w:t>
      </w:r>
      <w:r>
        <w:rPr>
          <w:rFonts w:ascii="Times New Roman" w:hAnsi="Times New Roman"/>
          <w:spacing w:val="-13"/>
        </w:rPr>
        <w:t> </w:t>
      </w:r>
      <w:r>
        <w:rPr>
          <w:rFonts w:ascii="Times New Roman" w:hAnsi="Times New Roman"/>
        </w:rPr>
        <w:t>primary</w:t>
      </w:r>
      <w:r>
        <w:rPr>
          <w:rFonts w:ascii="Times New Roman" w:hAnsi="Times New Roman"/>
          <w:spacing w:val="-17"/>
        </w:rPr>
        <w:t> </w:t>
      </w:r>
      <w:r>
        <w:rPr>
          <w:rFonts w:ascii="Times New Roman" w:hAnsi="Times New Roman"/>
        </w:rPr>
        <w:t>caregivers</w:t>
      </w:r>
      <w:r>
        <w:rPr>
          <w:rFonts w:ascii="Times New Roman" w:hAnsi="Times New Roman"/>
          <w:spacing w:val="-12"/>
        </w:rPr>
        <w:t> </w:t>
      </w:r>
      <w:r>
        <w:rPr>
          <w:rFonts w:ascii="Times New Roman" w:hAnsi="Times New Roman"/>
        </w:rPr>
        <w:t>have</w:t>
      </w:r>
      <w:r>
        <w:rPr>
          <w:rFonts w:ascii="Times New Roman" w:hAnsi="Times New Roman"/>
          <w:spacing w:val="-11"/>
        </w:rPr>
        <w:t> </w:t>
      </w:r>
      <w:r>
        <w:rPr>
          <w:rFonts w:ascii="Times New Roman" w:hAnsi="Times New Roman"/>
        </w:rPr>
        <w:t>a</w:t>
      </w:r>
      <w:r>
        <w:rPr>
          <w:rFonts w:ascii="Times New Roman" w:hAnsi="Times New Roman"/>
          <w:spacing w:val="-13"/>
        </w:rPr>
        <w:t> </w:t>
      </w:r>
      <w:r>
        <w:rPr>
          <w:rFonts w:ascii="Times New Roman" w:hAnsi="Times New Roman"/>
        </w:rPr>
        <w:t>higher</w:t>
      </w:r>
      <w:r>
        <w:rPr>
          <w:rFonts w:ascii="Times New Roman" w:hAnsi="Times New Roman"/>
          <w:spacing w:val="-13"/>
        </w:rPr>
        <w:t> </w:t>
      </w:r>
      <w:r>
        <w:rPr>
          <w:rFonts w:ascii="Times New Roman" w:hAnsi="Times New Roman"/>
        </w:rPr>
        <w:t>education.</w:t>
      </w:r>
    </w:p>
    <w:p>
      <w:pPr>
        <w:spacing w:after="0" w:line="480" w:lineRule="auto"/>
        <w:jc w:val="both"/>
        <w:rPr>
          <w:rFonts w:ascii="Times New Roman" w:hAnsi="Times New Roman"/>
        </w:rPr>
        <w:sectPr>
          <w:pgSz w:w="12240" w:h="15840"/>
          <w:pgMar w:header="686" w:footer="964" w:top="1080" w:bottom="1160" w:left="1280" w:right="1560"/>
        </w:sectPr>
      </w:pPr>
    </w:p>
    <w:p>
      <w:pPr>
        <w:pStyle w:val="BodyText"/>
        <w:rPr>
          <w:rFonts w:ascii="Times New Roman"/>
          <w:sz w:val="20"/>
        </w:rPr>
      </w:pPr>
    </w:p>
    <w:p>
      <w:pPr>
        <w:pStyle w:val="BodyText"/>
        <w:spacing w:before="6"/>
        <w:rPr>
          <w:rFonts w:ascii="Times New Roman"/>
          <w:sz w:val="27"/>
        </w:rPr>
      </w:pPr>
    </w:p>
    <w:p>
      <w:pPr>
        <w:pStyle w:val="Heading1"/>
        <w:spacing w:before="70"/>
        <w:rPr>
          <w:rFonts w:ascii="Times New Roman"/>
        </w:rPr>
      </w:pPr>
      <w:r>
        <w:rPr>
          <w:rFonts w:ascii="Times New Roman"/>
        </w:rPr>
        <w:t>INTRODUCTION</w:t>
      </w:r>
    </w:p>
    <w:p>
      <w:pPr>
        <w:pStyle w:val="BodyText"/>
        <w:spacing w:before="2"/>
        <w:rPr>
          <w:rFonts w:ascii="Times New Roman"/>
          <w:b/>
          <w:sz w:val="20"/>
        </w:rPr>
      </w:pPr>
    </w:p>
    <w:p>
      <w:pPr>
        <w:pStyle w:val="BodyText"/>
        <w:spacing w:line="472" w:lineRule="auto" w:before="1"/>
        <w:ind w:left="138" w:right="134"/>
        <w:rPr>
          <w:rFonts w:ascii="Times New Roman" w:hAnsi="Times New Roman"/>
        </w:rPr>
      </w:pPr>
      <w:r>
        <w:rPr>
          <w:rFonts w:ascii="Times New Roman" w:hAnsi="Times New Roman"/>
        </w:rPr>
        <w:t>According to the World Health Organization, the dental caries is still a major public health problem in most industrialized countries, affecting 60–90% of schoolchildren and the vast majority of adults. </w:t>
      </w:r>
      <w:r>
        <w:rPr>
          <w:rFonts w:ascii="Times New Roman" w:hAnsi="Times New Roman"/>
          <w:position w:val="9"/>
          <w:sz w:val="16"/>
        </w:rPr>
        <w:t>1 </w:t>
      </w:r>
      <w:r>
        <w:rPr>
          <w:rFonts w:ascii="Times New Roman" w:hAnsi="Times New Roman"/>
          <w:spacing w:val="-3"/>
        </w:rPr>
        <w:t>In </w:t>
      </w:r>
      <w:r>
        <w:rPr>
          <w:rFonts w:ascii="Times New Roman" w:hAnsi="Times New Roman"/>
        </w:rPr>
        <w:t>many countries, changes in the prevalence of caries have been very important, especially seen in the permanent dentition for youths, adolescents, and adults.</w:t>
      </w:r>
      <w:r>
        <w:rPr>
          <w:rFonts w:ascii="Times New Roman" w:hAnsi="Times New Roman"/>
          <w:position w:val="9"/>
          <w:sz w:val="16"/>
        </w:rPr>
        <w:t>2-6 </w:t>
      </w:r>
      <w:r>
        <w:rPr>
          <w:rFonts w:ascii="Times New Roman" w:hAnsi="Times New Roman"/>
        </w:rPr>
        <w:t>However, less pronounced changes have been reported for 5-year-olds in United Kingdom.</w:t>
      </w:r>
      <w:r>
        <w:rPr>
          <w:rFonts w:ascii="Times New Roman" w:hAnsi="Times New Roman"/>
          <w:position w:val="9"/>
          <w:sz w:val="16"/>
        </w:rPr>
        <w:t>6 </w:t>
      </w:r>
      <w:r>
        <w:rPr>
          <w:rFonts w:ascii="Times New Roman" w:hAnsi="Times New Roman"/>
        </w:rPr>
        <w:t>On</w:t>
      </w:r>
      <w:r>
        <w:rPr>
          <w:rFonts w:ascii="Times New Roman" w:hAnsi="Times New Roman"/>
          <w:spacing w:val="-9"/>
        </w:rPr>
        <w:t> </w:t>
      </w:r>
      <w:r>
        <w:rPr>
          <w:rFonts w:ascii="Times New Roman" w:hAnsi="Times New Roman"/>
        </w:rPr>
        <w:t>the</w:t>
      </w:r>
      <w:r>
        <w:rPr>
          <w:rFonts w:ascii="Times New Roman" w:hAnsi="Times New Roman"/>
          <w:spacing w:val="-9"/>
        </w:rPr>
        <w:t> </w:t>
      </w:r>
      <w:r>
        <w:rPr>
          <w:rFonts w:ascii="Times New Roman" w:hAnsi="Times New Roman"/>
        </w:rPr>
        <w:t>other</w:t>
      </w:r>
      <w:r>
        <w:rPr>
          <w:rFonts w:ascii="Times New Roman" w:hAnsi="Times New Roman"/>
          <w:spacing w:val="-10"/>
        </w:rPr>
        <w:t> </w:t>
      </w:r>
      <w:r>
        <w:rPr>
          <w:rFonts w:ascii="Times New Roman" w:hAnsi="Times New Roman"/>
        </w:rPr>
        <w:t>hand,</w:t>
      </w:r>
      <w:r>
        <w:rPr>
          <w:rFonts w:ascii="Times New Roman" w:hAnsi="Times New Roman"/>
          <w:spacing w:val="-9"/>
        </w:rPr>
        <w:t> </w:t>
      </w:r>
      <w:r>
        <w:rPr>
          <w:rFonts w:ascii="Times New Roman" w:hAnsi="Times New Roman"/>
        </w:rPr>
        <w:t>in</w:t>
      </w:r>
      <w:r>
        <w:rPr>
          <w:rFonts w:ascii="Times New Roman" w:hAnsi="Times New Roman"/>
          <w:spacing w:val="-8"/>
        </w:rPr>
        <w:t> </w:t>
      </w:r>
      <w:r>
        <w:rPr>
          <w:rFonts w:ascii="Times New Roman" w:hAnsi="Times New Roman"/>
        </w:rPr>
        <w:t>the</w:t>
      </w:r>
      <w:r>
        <w:rPr>
          <w:rFonts w:ascii="Times New Roman" w:hAnsi="Times New Roman"/>
          <w:spacing w:val="-12"/>
        </w:rPr>
        <w:t> </w:t>
      </w:r>
      <w:r>
        <w:rPr>
          <w:rFonts w:ascii="Times New Roman" w:hAnsi="Times New Roman"/>
        </w:rPr>
        <w:t>United</w:t>
      </w:r>
      <w:r>
        <w:rPr>
          <w:rFonts w:ascii="Times New Roman" w:hAnsi="Times New Roman"/>
          <w:spacing w:val="-9"/>
        </w:rPr>
        <w:t> </w:t>
      </w:r>
      <w:r>
        <w:rPr>
          <w:rFonts w:ascii="Times New Roman" w:hAnsi="Times New Roman"/>
        </w:rPr>
        <w:t>States</w:t>
      </w:r>
      <w:r>
        <w:rPr>
          <w:rFonts w:ascii="Times New Roman" w:hAnsi="Times New Roman"/>
          <w:spacing w:val="-8"/>
        </w:rPr>
        <w:t> </w:t>
      </w:r>
      <w:r>
        <w:rPr>
          <w:rFonts w:ascii="Times New Roman" w:hAnsi="Times New Roman"/>
        </w:rPr>
        <w:t>of</w:t>
      </w:r>
      <w:r>
        <w:rPr>
          <w:rFonts w:ascii="Times New Roman" w:hAnsi="Times New Roman"/>
          <w:spacing w:val="-9"/>
        </w:rPr>
        <w:t> </w:t>
      </w:r>
      <w:r>
        <w:rPr>
          <w:rFonts w:ascii="Times New Roman" w:hAnsi="Times New Roman"/>
        </w:rPr>
        <w:t>North</w:t>
      </w:r>
      <w:r>
        <w:rPr>
          <w:rFonts w:ascii="Times New Roman" w:hAnsi="Times New Roman"/>
          <w:spacing w:val="-8"/>
        </w:rPr>
        <w:t> </w:t>
      </w:r>
      <w:r>
        <w:rPr>
          <w:rFonts w:ascii="Times New Roman" w:hAnsi="Times New Roman"/>
        </w:rPr>
        <w:t>America,</w:t>
      </w:r>
      <w:r>
        <w:rPr>
          <w:rFonts w:ascii="Times New Roman" w:hAnsi="Times New Roman"/>
          <w:spacing w:val="-9"/>
        </w:rPr>
        <w:t> </w:t>
      </w:r>
      <w:r>
        <w:rPr>
          <w:rFonts w:ascii="Times New Roman" w:hAnsi="Times New Roman"/>
        </w:rPr>
        <w:t>prevalence</w:t>
      </w:r>
      <w:r>
        <w:rPr>
          <w:rFonts w:ascii="Times New Roman" w:hAnsi="Times New Roman"/>
          <w:spacing w:val="-10"/>
        </w:rPr>
        <w:t> </w:t>
      </w:r>
      <w:r>
        <w:rPr>
          <w:rFonts w:ascii="Times New Roman" w:hAnsi="Times New Roman"/>
        </w:rPr>
        <w:t>of</w:t>
      </w:r>
      <w:r>
        <w:rPr>
          <w:rFonts w:ascii="Times New Roman" w:hAnsi="Times New Roman"/>
          <w:spacing w:val="-9"/>
        </w:rPr>
        <w:t> </w:t>
      </w:r>
      <w:r>
        <w:rPr>
          <w:rFonts w:ascii="Times New Roman" w:hAnsi="Times New Roman"/>
        </w:rPr>
        <w:t>dental</w:t>
      </w:r>
      <w:r>
        <w:rPr>
          <w:rFonts w:ascii="Times New Roman" w:hAnsi="Times New Roman"/>
          <w:spacing w:val="-9"/>
        </w:rPr>
        <w:t> </w:t>
      </w:r>
      <w:r>
        <w:rPr>
          <w:rFonts w:ascii="Times New Roman" w:hAnsi="Times New Roman"/>
        </w:rPr>
        <w:t>caries</w:t>
      </w:r>
      <w:r>
        <w:rPr>
          <w:rFonts w:ascii="Times New Roman" w:hAnsi="Times New Roman"/>
          <w:spacing w:val="-8"/>
        </w:rPr>
        <w:t> </w:t>
      </w:r>
      <w:r>
        <w:rPr>
          <w:rFonts w:ascii="Times New Roman" w:hAnsi="Times New Roman"/>
        </w:rPr>
        <w:t>in</w:t>
      </w:r>
      <w:r>
        <w:rPr>
          <w:rFonts w:ascii="Times New Roman" w:hAnsi="Times New Roman"/>
          <w:spacing w:val="-8"/>
        </w:rPr>
        <w:t> </w:t>
      </w:r>
      <w:r>
        <w:rPr>
          <w:rFonts w:ascii="Times New Roman" w:hAnsi="Times New Roman"/>
        </w:rPr>
        <w:t>primary teeth</w:t>
      </w:r>
      <w:r>
        <w:rPr>
          <w:rFonts w:ascii="Times New Roman" w:hAnsi="Times New Roman"/>
          <w:spacing w:val="-16"/>
        </w:rPr>
        <w:t> </w:t>
      </w:r>
      <w:r>
        <w:rPr>
          <w:rFonts w:ascii="Times New Roman" w:hAnsi="Times New Roman"/>
        </w:rPr>
        <w:t>of</w:t>
      </w:r>
      <w:r>
        <w:rPr>
          <w:rFonts w:ascii="Times New Roman" w:hAnsi="Times New Roman"/>
          <w:spacing w:val="-18"/>
        </w:rPr>
        <w:t> </w:t>
      </w:r>
      <w:r>
        <w:rPr>
          <w:rFonts w:ascii="Times New Roman" w:hAnsi="Times New Roman"/>
        </w:rPr>
        <w:t>children</w:t>
      </w:r>
      <w:r>
        <w:rPr>
          <w:rFonts w:ascii="Times New Roman" w:hAnsi="Times New Roman"/>
          <w:spacing w:val="-17"/>
        </w:rPr>
        <w:t> </w:t>
      </w:r>
      <w:r>
        <w:rPr>
          <w:rFonts w:ascii="Times New Roman" w:hAnsi="Times New Roman"/>
        </w:rPr>
        <w:t>aged</w:t>
      </w:r>
      <w:r>
        <w:rPr>
          <w:rFonts w:ascii="Times New Roman" w:hAnsi="Times New Roman"/>
          <w:spacing w:val="-17"/>
        </w:rPr>
        <w:t> </w:t>
      </w:r>
      <w:r>
        <w:rPr>
          <w:rFonts w:ascii="Times New Roman" w:hAnsi="Times New Roman"/>
        </w:rPr>
        <w:t>2–4</w:t>
      </w:r>
      <w:r>
        <w:rPr>
          <w:rFonts w:ascii="Times New Roman" w:hAnsi="Times New Roman"/>
          <w:spacing w:val="-12"/>
        </w:rPr>
        <w:t> </w:t>
      </w:r>
      <w:r>
        <w:rPr>
          <w:rFonts w:ascii="Times New Roman" w:hAnsi="Times New Roman"/>
        </w:rPr>
        <w:t>years</w:t>
      </w:r>
      <w:r>
        <w:rPr>
          <w:rFonts w:ascii="Times New Roman" w:hAnsi="Times New Roman"/>
          <w:spacing w:val="-17"/>
        </w:rPr>
        <w:t> </w:t>
      </w:r>
      <w:r>
        <w:rPr>
          <w:rFonts w:ascii="Times New Roman" w:hAnsi="Times New Roman"/>
        </w:rPr>
        <w:t>increased</w:t>
      </w:r>
      <w:r>
        <w:rPr>
          <w:rFonts w:ascii="Times New Roman" w:hAnsi="Times New Roman"/>
          <w:spacing w:val="-17"/>
        </w:rPr>
        <w:t> </w:t>
      </w:r>
      <w:r>
        <w:rPr>
          <w:rFonts w:ascii="Times New Roman" w:hAnsi="Times New Roman"/>
        </w:rPr>
        <w:t>from</w:t>
      </w:r>
      <w:r>
        <w:rPr>
          <w:rFonts w:ascii="Times New Roman" w:hAnsi="Times New Roman"/>
          <w:spacing w:val="-16"/>
        </w:rPr>
        <w:t> </w:t>
      </w:r>
      <w:r>
        <w:rPr>
          <w:rFonts w:ascii="Times New Roman" w:hAnsi="Times New Roman"/>
        </w:rPr>
        <w:t>18%</w:t>
      </w:r>
      <w:r>
        <w:rPr>
          <w:rFonts w:ascii="Times New Roman" w:hAnsi="Times New Roman"/>
          <w:spacing w:val="-18"/>
        </w:rPr>
        <w:t> </w:t>
      </w:r>
      <w:r>
        <w:rPr>
          <w:rFonts w:ascii="Times New Roman" w:hAnsi="Times New Roman"/>
        </w:rPr>
        <w:t>between</w:t>
      </w:r>
      <w:r>
        <w:rPr>
          <w:rFonts w:ascii="Times New Roman" w:hAnsi="Times New Roman"/>
          <w:spacing w:val="-17"/>
        </w:rPr>
        <w:t> </w:t>
      </w:r>
      <w:r>
        <w:rPr>
          <w:rFonts w:ascii="Times New Roman" w:hAnsi="Times New Roman"/>
        </w:rPr>
        <w:t>1988–1994</w:t>
      </w:r>
      <w:r>
        <w:rPr>
          <w:rFonts w:ascii="Times New Roman" w:hAnsi="Times New Roman"/>
          <w:spacing w:val="-17"/>
        </w:rPr>
        <w:t> </w:t>
      </w:r>
      <w:r>
        <w:rPr>
          <w:rFonts w:ascii="Times New Roman" w:hAnsi="Times New Roman"/>
        </w:rPr>
        <w:t>to</w:t>
      </w:r>
      <w:r>
        <w:rPr>
          <w:rFonts w:ascii="Times New Roman" w:hAnsi="Times New Roman"/>
          <w:spacing w:val="-16"/>
        </w:rPr>
        <w:t> </w:t>
      </w:r>
      <w:r>
        <w:rPr>
          <w:rFonts w:ascii="Times New Roman" w:hAnsi="Times New Roman"/>
        </w:rPr>
        <w:t>24%</w:t>
      </w:r>
      <w:r>
        <w:rPr>
          <w:rFonts w:ascii="Times New Roman" w:hAnsi="Times New Roman"/>
          <w:spacing w:val="-18"/>
        </w:rPr>
        <w:t> </w:t>
      </w:r>
      <w:r>
        <w:rPr>
          <w:rFonts w:ascii="Times New Roman" w:hAnsi="Times New Roman"/>
        </w:rPr>
        <w:t>between</w:t>
      </w:r>
      <w:r>
        <w:rPr>
          <w:rFonts w:ascii="Times New Roman" w:hAnsi="Times New Roman"/>
          <w:spacing w:val="-17"/>
        </w:rPr>
        <w:t> </w:t>
      </w:r>
      <w:r>
        <w:rPr>
          <w:rFonts w:ascii="Times New Roman" w:hAnsi="Times New Roman"/>
        </w:rPr>
        <w:t>1999–</w:t>
      </w:r>
    </w:p>
    <w:p>
      <w:pPr>
        <w:spacing w:before="3"/>
        <w:ind w:left="138" w:right="0" w:firstLine="0"/>
        <w:jc w:val="both"/>
        <w:rPr>
          <w:rFonts w:ascii="Times New Roman"/>
          <w:sz w:val="16"/>
        </w:rPr>
      </w:pPr>
      <w:r>
        <w:rPr>
          <w:rFonts w:ascii="Times New Roman"/>
          <w:sz w:val="24"/>
        </w:rPr>
        <w:t>2004.</w:t>
      </w:r>
      <w:r>
        <w:rPr>
          <w:rFonts w:ascii="Times New Roman"/>
          <w:position w:val="9"/>
          <w:sz w:val="16"/>
        </w:rPr>
        <w:t>4, 5</w:t>
      </w:r>
    </w:p>
    <w:p>
      <w:pPr>
        <w:pStyle w:val="BodyText"/>
        <w:rPr>
          <w:rFonts w:ascii="Times New Roman"/>
        </w:rPr>
      </w:pPr>
    </w:p>
    <w:p>
      <w:pPr>
        <w:pStyle w:val="BodyText"/>
        <w:spacing w:line="475" w:lineRule="auto"/>
        <w:ind w:left="138" w:right="135"/>
        <w:jc w:val="both"/>
        <w:rPr>
          <w:rFonts w:ascii="Times New Roman"/>
          <w:sz w:val="16"/>
        </w:rPr>
      </w:pPr>
      <w:r>
        <w:rPr>
          <w:rFonts w:ascii="Times New Roman"/>
        </w:rPr>
        <w:t>Regarding indigenous communities in several developed countries, historical data has shown that indigenous people generally have good oral health; nevertheless, reports of the past two decades indicate a high prevalence of caries in indigenous children between 2 - 5 years old compared with non-indigenous. Furthermore, severe early childhood caries (S-ECC) is particularly prevalent.</w:t>
      </w:r>
      <w:r>
        <w:rPr>
          <w:rFonts w:ascii="Times New Roman"/>
          <w:position w:val="9"/>
          <w:sz w:val="16"/>
        </w:rPr>
        <w:t>7-15 </w:t>
      </w:r>
      <w:r>
        <w:rPr>
          <w:rFonts w:ascii="Times New Roman"/>
        </w:rPr>
        <w:t>Studies in Brazilian indigenous children also indicate a high caries experience.</w:t>
      </w:r>
      <w:r>
        <w:rPr>
          <w:rFonts w:ascii="Times New Roman"/>
          <w:position w:val="9"/>
          <w:sz w:val="16"/>
        </w:rPr>
        <w:t>16</w:t>
      </w:r>
    </w:p>
    <w:p>
      <w:pPr>
        <w:pStyle w:val="BodyText"/>
        <w:spacing w:line="477" w:lineRule="auto"/>
        <w:ind w:left="138" w:right="137"/>
        <w:jc w:val="both"/>
        <w:rPr>
          <w:rFonts w:ascii="Times New Roman"/>
          <w:sz w:val="16"/>
        </w:rPr>
      </w:pPr>
      <w:r>
        <w:rPr>
          <w:rFonts w:ascii="Times New Roman"/>
        </w:rPr>
        <w:t>Several predictive risk factors for caries high prevalence in 3-5 years old children have been described</w:t>
      </w:r>
      <w:r>
        <w:rPr>
          <w:rFonts w:ascii="Times New Roman"/>
          <w:spacing w:val="-7"/>
        </w:rPr>
        <w:t> </w:t>
      </w:r>
      <w:r>
        <w:rPr>
          <w:rFonts w:ascii="Times New Roman"/>
        </w:rPr>
        <w:t>in</w:t>
      </w:r>
      <w:r>
        <w:rPr>
          <w:rFonts w:ascii="Times New Roman"/>
          <w:spacing w:val="-8"/>
        </w:rPr>
        <w:t> </w:t>
      </w:r>
      <w:r>
        <w:rPr>
          <w:rFonts w:ascii="Times New Roman"/>
        </w:rPr>
        <w:t>literature.</w:t>
      </w:r>
      <w:r>
        <w:rPr>
          <w:rFonts w:ascii="Times New Roman"/>
          <w:spacing w:val="-9"/>
        </w:rPr>
        <w:t> </w:t>
      </w:r>
      <w:r>
        <w:rPr>
          <w:rFonts w:ascii="Times New Roman"/>
        </w:rPr>
        <w:t>The</w:t>
      </w:r>
      <w:r>
        <w:rPr>
          <w:rFonts w:ascii="Times New Roman"/>
          <w:spacing w:val="-10"/>
        </w:rPr>
        <w:t> </w:t>
      </w:r>
      <w:r>
        <w:rPr>
          <w:rFonts w:ascii="Times New Roman"/>
        </w:rPr>
        <w:t>first</w:t>
      </w:r>
      <w:r>
        <w:rPr>
          <w:rFonts w:ascii="Times New Roman"/>
          <w:spacing w:val="-6"/>
        </w:rPr>
        <w:t> </w:t>
      </w:r>
      <w:r>
        <w:rPr>
          <w:rFonts w:ascii="Times New Roman"/>
        </w:rPr>
        <w:t>can</w:t>
      </w:r>
      <w:r>
        <w:rPr>
          <w:rFonts w:ascii="Times New Roman"/>
          <w:spacing w:val="-9"/>
        </w:rPr>
        <w:t> </w:t>
      </w:r>
      <w:r>
        <w:rPr>
          <w:rFonts w:ascii="Times New Roman"/>
        </w:rPr>
        <w:t>be</w:t>
      </w:r>
      <w:r>
        <w:rPr>
          <w:rFonts w:ascii="Times New Roman"/>
          <w:spacing w:val="-7"/>
        </w:rPr>
        <w:t> </w:t>
      </w:r>
      <w:r>
        <w:rPr>
          <w:rFonts w:ascii="Times New Roman"/>
        </w:rPr>
        <w:t>categorized</w:t>
      </w:r>
      <w:r>
        <w:rPr>
          <w:rFonts w:ascii="Times New Roman"/>
          <w:spacing w:val="-9"/>
        </w:rPr>
        <w:t> </w:t>
      </w:r>
      <w:r>
        <w:rPr>
          <w:rFonts w:ascii="Times New Roman"/>
        </w:rPr>
        <w:t>as</w:t>
      </w:r>
      <w:r>
        <w:rPr>
          <w:rFonts w:ascii="Times New Roman"/>
          <w:spacing w:val="-8"/>
        </w:rPr>
        <w:t> </w:t>
      </w:r>
      <w:r>
        <w:rPr>
          <w:rFonts w:ascii="Times New Roman"/>
        </w:rPr>
        <w:t>sociodemografic,</w:t>
      </w:r>
      <w:r>
        <w:rPr>
          <w:rFonts w:ascii="Times New Roman"/>
          <w:spacing w:val="-9"/>
        </w:rPr>
        <w:t> </w:t>
      </w:r>
      <w:r>
        <w:rPr>
          <w:rFonts w:ascii="Times New Roman"/>
        </w:rPr>
        <w:t>which</w:t>
      </w:r>
      <w:r>
        <w:rPr>
          <w:rFonts w:ascii="Times New Roman"/>
          <w:spacing w:val="-9"/>
        </w:rPr>
        <w:t> </w:t>
      </w:r>
      <w:r>
        <w:rPr>
          <w:rFonts w:ascii="Times New Roman"/>
        </w:rPr>
        <w:t>includes</w:t>
      </w:r>
      <w:r>
        <w:rPr>
          <w:rFonts w:ascii="Times New Roman"/>
          <w:spacing w:val="-8"/>
        </w:rPr>
        <w:t> </w:t>
      </w:r>
      <w:r>
        <w:rPr>
          <w:rFonts w:ascii="Times New Roman"/>
        </w:rPr>
        <w:t>mothers with</w:t>
      </w:r>
      <w:r>
        <w:rPr>
          <w:rFonts w:ascii="Times New Roman"/>
          <w:spacing w:val="-3"/>
        </w:rPr>
        <w:t> </w:t>
      </w:r>
      <w:r>
        <w:rPr>
          <w:rFonts w:ascii="Times New Roman"/>
        </w:rPr>
        <w:t>low</w:t>
      </w:r>
      <w:r>
        <w:rPr>
          <w:rFonts w:ascii="Times New Roman"/>
          <w:spacing w:val="-4"/>
        </w:rPr>
        <w:t> </w:t>
      </w:r>
      <w:r>
        <w:rPr>
          <w:rFonts w:ascii="Times New Roman"/>
        </w:rPr>
        <w:t>education,</w:t>
      </w:r>
      <w:r>
        <w:rPr>
          <w:rFonts w:ascii="Times New Roman"/>
          <w:spacing w:val="-4"/>
        </w:rPr>
        <w:t> </w:t>
      </w:r>
      <w:r>
        <w:rPr>
          <w:rFonts w:ascii="Times New Roman"/>
        </w:rPr>
        <w:t>family</w:t>
      </w:r>
      <w:r>
        <w:rPr>
          <w:rFonts w:ascii="Times New Roman"/>
          <w:spacing w:val="-9"/>
        </w:rPr>
        <w:t> </w:t>
      </w:r>
      <w:r>
        <w:rPr>
          <w:rFonts w:ascii="Times New Roman"/>
        </w:rPr>
        <w:t>income,</w:t>
      </w:r>
      <w:r>
        <w:rPr>
          <w:rFonts w:ascii="Times New Roman"/>
          <w:spacing w:val="-2"/>
        </w:rPr>
        <w:t> </w:t>
      </w:r>
      <w:r>
        <w:rPr>
          <w:rFonts w:ascii="Times New Roman"/>
        </w:rPr>
        <w:t>place</w:t>
      </w:r>
      <w:r>
        <w:rPr>
          <w:rFonts w:ascii="Times New Roman"/>
          <w:spacing w:val="-5"/>
        </w:rPr>
        <w:t> </w:t>
      </w:r>
      <w:r>
        <w:rPr>
          <w:rFonts w:ascii="Times New Roman"/>
        </w:rPr>
        <w:t>of</w:t>
      </w:r>
      <w:r>
        <w:rPr>
          <w:rFonts w:ascii="Times New Roman"/>
          <w:spacing w:val="-1"/>
        </w:rPr>
        <w:t> </w:t>
      </w:r>
      <w:r>
        <w:rPr>
          <w:rFonts w:ascii="Times New Roman"/>
        </w:rPr>
        <w:t>origin</w:t>
      </w:r>
      <w:r>
        <w:rPr>
          <w:rFonts w:ascii="Times New Roman"/>
          <w:spacing w:val="-3"/>
        </w:rPr>
        <w:t> </w:t>
      </w:r>
      <w:r>
        <w:rPr>
          <w:rFonts w:ascii="Times New Roman"/>
        </w:rPr>
        <w:t>and</w:t>
      </w:r>
      <w:r>
        <w:rPr>
          <w:rFonts w:ascii="Times New Roman"/>
          <w:spacing w:val="-4"/>
        </w:rPr>
        <w:t> </w:t>
      </w:r>
      <w:r>
        <w:rPr>
          <w:rFonts w:ascii="Times New Roman"/>
        </w:rPr>
        <w:t>ethnicity.</w:t>
      </w:r>
      <w:r>
        <w:rPr>
          <w:rFonts w:ascii="Times New Roman"/>
          <w:spacing w:val="-4"/>
        </w:rPr>
        <w:t> </w:t>
      </w:r>
      <w:r>
        <w:rPr>
          <w:rFonts w:ascii="Times New Roman"/>
        </w:rPr>
        <w:t>The</w:t>
      </w:r>
      <w:r>
        <w:rPr>
          <w:rFonts w:ascii="Times New Roman"/>
          <w:spacing w:val="-5"/>
        </w:rPr>
        <w:t> </w:t>
      </w:r>
      <w:r>
        <w:rPr>
          <w:rFonts w:ascii="Times New Roman"/>
        </w:rPr>
        <w:t>second</w:t>
      </w:r>
      <w:r>
        <w:rPr>
          <w:rFonts w:ascii="Times New Roman"/>
          <w:spacing w:val="-4"/>
        </w:rPr>
        <w:t> </w:t>
      </w:r>
      <w:r>
        <w:rPr>
          <w:rFonts w:ascii="Times New Roman"/>
        </w:rPr>
        <w:t>category</w:t>
      </w:r>
      <w:r>
        <w:rPr>
          <w:rFonts w:ascii="Times New Roman"/>
          <w:spacing w:val="-9"/>
        </w:rPr>
        <w:t> </w:t>
      </w:r>
      <w:r>
        <w:rPr>
          <w:rFonts w:ascii="Times New Roman"/>
        </w:rPr>
        <w:t>includes dietary habits, such as the consumption of sugary juices and soft drinks between meals or</w:t>
      </w:r>
      <w:r>
        <w:rPr>
          <w:rFonts w:ascii="Times New Roman"/>
          <w:spacing w:val="-21"/>
        </w:rPr>
        <w:t> </w:t>
      </w:r>
      <w:r>
        <w:rPr>
          <w:rFonts w:ascii="Times New Roman"/>
        </w:rPr>
        <w:t>other sugary drinks ingested at night. Other factors include; maternal weight and sugar intake and</w:t>
      </w:r>
      <w:r>
        <w:rPr>
          <w:rFonts w:ascii="Times New Roman"/>
          <w:spacing w:val="-19"/>
        </w:rPr>
        <w:t> </w:t>
      </w:r>
      <w:r>
        <w:rPr>
          <w:rFonts w:ascii="Times New Roman"/>
        </w:rPr>
        <w:t>fat during pregnancy and the presence of visible dental plaque, among others. </w:t>
      </w:r>
      <w:r>
        <w:rPr>
          <w:rFonts w:ascii="Times New Roman"/>
          <w:position w:val="9"/>
          <w:sz w:val="16"/>
        </w:rPr>
        <w:t>17-</w:t>
      </w:r>
      <w:r>
        <w:rPr>
          <w:rFonts w:ascii="Times New Roman"/>
          <w:spacing w:val="-13"/>
          <w:position w:val="9"/>
          <w:sz w:val="16"/>
        </w:rPr>
        <w:t> </w:t>
      </w:r>
      <w:r>
        <w:rPr>
          <w:rFonts w:ascii="Times New Roman"/>
          <w:position w:val="9"/>
          <w:sz w:val="16"/>
        </w:rPr>
        <w:t>26</w:t>
      </w:r>
    </w:p>
    <w:p>
      <w:pPr>
        <w:pStyle w:val="BodyText"/>
        <w:spacing w:line="480" w:lineRule="auto"/>
        <w:ind w:left="138" w:right="138"/>
        <w:jc w:val="both"/>
        <w:rPr>
          <w:rFonts w:ascii="Times New Roman"/>
        </w:rPr>
      </w:pPr>
      <w:r>
        <w:rPr>
          <w:rFonts w:ascii="Times New Roman"/>
        </w:rPr>
        <w:t>The risk factors identified in an indigenous population included; a higher intake of added</w:t>
      </w:r>
      <w:r>
        <w:rPr>
          <w:rFonts w:ascii="Times New Roman"/>
          <w:spacing w:val="-19"/>
        </w:rPr>
        <w:t> </w:t>
      </w:r>
      <w:r>
        <w:rPr>
          <w:rFonts w:ascii="Times New Roman"/>
        </w:rPr>
        <w:t>sugar drink, younger maternal age, higher maternal DMFS, and a greater number of people living </w:t>
      </w:r>
      <w:r>
        <w:rPr>
          <w:rFonts w:ascii="Times New Roman"/>
          <w:spacing w:val="25"/>
        </w:rPr>
        <w:t> </w:t>
      </w:r>
      <w:r>
        <w:rPr>
          <w:rFonts w:ascii="Times New Roman"/>
        </w:rPr>
        <w:t>at</w:t>
      </w:r>
    </w:p>
    <w:p>
      <w:pPr>
        <w:spacing w:after="0" w:line="480" w:lineRule="auto"/>
        <w:jc w:val="both"/>
        <w:rPr>
          <w:rFonts w:ascii="Times New Roman"/>
        </w:rPr>
        <w:sectPr>
          <w:pgSz w:w="12240" w:h="15840"/>
          <w:pgMar w:header="686" w:footer="964" w:top="1080" w:bottom="1160" w:left="1280" w:right="1560"/>
        </w:sectPr>
      </w:pPr>
    </w:p>
    <w:p>
      <w:pPr>
        <w:pStyle w:val="BodyText"/>
        <w:rPr>
          <w:rFonts w:ascii="Times New Roman"/>
          <w:sz w:val="20"/>
        </w:rPr>
      </w:pPr>
    </w:p>
    <w:p>
      <w:pPr>
        <w:pStyle w:val="BodyText"/>
        <w:spacing w:before="6"/>
        <w:rPr>
          <w:rFonts w:ascii="Times New Roman"/>
        </w:rPr>
      </w:pPr>
    </w:p>
    <w:p>
      <w:pPr>
        <w:pStyle w:val="BodyText"/>
        <w:spacing w:line="475" w:lineRule="auto" w:before="82"/>
        <w:ind w:left="138" w:right="138"/>
        <w:jc w:val="both"/>
        <w:rPr>
          <w:rFonts w:ascii="Times New Roman" w:hAnsi="Times New Roman"/>
          <w:sz w:val="16"/>
        </w:rPr>
      </w:pPr>
      <w:r>
        <w:rPr>
          <w:rFonts w:ascii="Times New Roman" w:hAnsi="Times New Roman"/>
        </w:rPr>
        <w:t>home.</w:t>
      </w:r>
      <w:r>
        <w:rPr>
          <w:rFonts w:ascii="Times New Roman" w:hAnsi="Times New Roman"/>
          <w:position w:val="9"/>
          <w:sz w:val="16"/>
        </w:rPr>
        <w:t>27 </w:t>
      </w:r>
      <w:r>
        <w:rPr>
          <w:rFonts w:ascii="Times New Roman" w:hAnsi="Times New Roman"/>
        </w:rPr>
        <w:t>Specifically for S-ECC the risk factors included child’s age, the caregiver’s education and employment levels, and maternal smoking during pregnancy. Breastfeeding was found to be protective against severe caries while dietary consumptions of sweets, fast foods and sugary drinks increase the risk.</w:t>
      </w:r>
      <w:r>
        <w:rPr>
          <w:rFonts w:ascii="Times New Roman" w:hAnsi="Times New Roman"/>
          <w:position w:val="9"/>
          <w:sz w:val="16"/>
        </w:rPr>
        <w:t>7</w:t>
      </w:r>
    </w:p>
    <w:p>
      <w:pPr>
        <w:pStyle w:val="BodyText"/>
        <w:spacing w:line="273" w:lineRule="exact"/>
        <w:ind w:left="138"/>
        <w:jc w:val="both"/>
        <w:rPr>
          <w:rFonts w:ascii="Times New Roman"/>
        </w:rPr>
      </w:pPr>
      <w:r>
        <w:rPr>
          <w:rFonts w:ascii="Times New Roman"/>
        </w:rPr>
        <w:t>In Mexico there are 62 officially recognized indigenous communities.</w:t>
      </w:r>
      <w:r>
        <w:rPr>
          <w:rFonts w:ascii="Times New Roman"/>
          <w:position w:val="9"/>
          <w:sz w:val="16"/>
        </w:rPr>
        <w:t>28   </w:t>
      </w:r>
      <w:r>
        <w:rPr>
          <w:rFonts w:ascii="Times New Roman"/>
        </w:rPr>
        <w:t>In the state of Mexico</w:t>
      </w:r>
    </w:p>
    <w:p>
      <w:pPr>
        <w:pStyle w:val="BodyText"/>
        <w:rPr>
          <w:rFonts w:ascii="Times New Roman"/>
        </w:rPr>
      </w:pPr>
    </w:p>
    <w:p>
      <w:pPr>
        <w:pStyle w:val="BodyText"/>
        <w:spacing w:line="472" w:lineRule="auto"/>
        <w:ind w:left="138" w:right="142"/>
        <w:jc w:val="both"/>
        <w:rPr>
          <w:rFonts w:ascii="Times New Roman" w:hAnsi="Times New Roman"/>
          <w:sz w:val="16"/>
        </w:rPr>
      </w:pPr>
      <w:r>
        <w:rPr>
          <w:rFonts w:ascii="Times New Roman" w:hAnsi="Times New Roman"/>
        </w:rPr>
        <w:t>five different indigenous communities are found; including the Mazahua, who are the most numerous</w:t>
      </w:r>
      <w:r>
        <w:rPr>
          <w:rFonts w:ascii="Times New Roman" w:hAnsi="Times New Roman"/>
          <w:spacing w:val="-6"/>
        </w:rPr>
        <w:t> </w:t>
      </w:r>
      <w:r>
        <w:rPr>
          <w:rFonts w:ascii="Times New Roman" w:hAnsi="Times New Roman"/>
        </w:rPr>
        <w:t>in</w:t>
      </w:r>
      <w:r>
        <w:rPr>
          <w:rFonts w:ascii="Times New Roman" w:hAnsi="Times New Roman"/>
          <w:spacing w:val="-6"/>
        </w:rPr>
        <w:t> </w:t>
      </w:r>
      <w:r>
        <w:rPr>
          <w:rFonts w:ascii="Times New Roman" w:hAnsi="Times New Roman"/>
        </w:rPr>
        <w:t>the</w:t>
      </w:r>
      <w:r>
        <w:rPr>
          <w:rFonts w:ascii="Times New Roman" w:hAnsi="Times New Roman"/>
          <w:spacing w:val="-7"/>
        </w:rPr>
        <w:t> </w:t>
      </w:r>
      <w:r>
        <w:rPr>
          <w:rFonts w:ascii="Times New Roman" w:hAnsi="Times New Roman"/>
        </w:rPr>
        <w:t>state.</w:t>
      </w:r>
      <w:r>
        <w:rPr>
          <w:rFonts w:ascii="Times New Roman" w:hAnsi="Times New Roman"/>
          <w:spacing w:val="-4"/>
        </w:rPr>
        <w:t> </w:t>
      </w:r>
      <w:r>
        <w:rPr>
          <w:rFonts w:ascii="Times New Roman" w:hAnsi="Times New Roman"/>
        </w:rPr>
        <w:t>They</w:t>
      </w:r>
      <w:r>
        <w:rPr>
          <w:rFonts w:ascii="Times New Roman" w:hAnsi="Times New Roman"/>
          <w:spacing w:val="-9"/>
        </w:rPr>
        <w:t> </w:t>
      </w:r>
      <w:r>
        <w:rPr>
          <w:rFonts w:ascii="Times New Roman" w:hAnsi="Times New Roman"/>
        </w:rPr>
        <w:t>concentrate</w:t>
      </w:r>
      <w:r>
        <w:rPr>
          <w:rFonts w:ascii="Times New Roman" w:hAnsi="Times New Roman"/>
          <w:spacing w:val="-5"/>
        </w:rPr>
        <w:t> </w:t>
      </w:r>
      <w:r>
        <w:rPr>
          <w:rFonts w:ascii="Times New Roman" w:hAnsi="Times New Roman"/>
        </w:rPr>
        <w:t>in</w:t>
      </w:r>
      <w:r>
        <w:rPr>
          <w:rFonts w:ascii="Times New Roman" w:hAnsi="Times New Roman"/>
          <w:spacing w:val="-6"/>
        </w:rPr>
        <w:t> </w:t>
      </w:r>
      <w:r>
        <w:rPr>
          <w:rFonts w:ascii="Times New Roman" w:hAnsi="Times New Roman"/>
        </w:rPr>
        <w:t>thirteen</w:t>
      </w:r>
      <w:r>
        <w:rPr>
          <w:rFonts w:ascii="Times New Roman" w:hAnsi="Times New Roman"/>
          <w:spacing w:val="-4"/>
        </w:rPr>
        <w:t> </w:t>
      </w:r>
      <w:r>
        <w:rPr>
          <w:rFonts w:ascii="Times New Roman" w:hAnsi="Times New Roman"/>
        </w:rPr>
        <w:t>municipalities,</w:t>
      </w:r>
      <w:r>
        <w:rPr>
          <w:rFonts w:ascii="Times New Roman" w:hAnsi="Times New Roman"/>
          <w:spacing w:val="-7"/>
        </w:rPr>
        <w:t> </w:t>
      </w:r>
      <w:r>
        <w:rPr>
          <w:rFonts w:ascii="Times New Roman" w:hAnsi="Times New Roman"/>
        </w:rPr>
        <w:t>nine</w:t>
      </w:r>
      <w:r>
        <w:rPr>
          <w:rFonts w:ascii="Times New Roman" w:hAnsi="Times New Roman"/>
          <w:spacing w:val="-7"/>
        </w:rPr>
        <w:t> </w:t>
      </w:r>
      <w:r>
        <w:rPr>
          <w:rFonts w:ascii="Times New Roman" w:hAnsi="Times New Roman"/>
        </w:rPr>
        <w:t>of</w:t>
      </w:r>
      <w:r>
        <w:rPr>
          <w:rFonts w:ascii="Times New Roman" w:hAnsi="Times New Roman"/>
          <w:spacing w:val="-7"/>
        </w:rPr>
        <w:t> </w:t>
      </w:r>
      <w:r>
        <w:rPr>
          <w:rFonts w:ascii="Times New Roman" w:hAnsi="Times New Roman"/>
        </w:rPr>
        <w:t>which</w:t>
      </w:r>
      <w:r>
        <w:rPr>
          <w:rFonts w:ascii="Times New Roman" w:hAnsi="Times New Roman"/>
          <w:spacing w:val="-7"/>
        </w:rPr>
        <w:t> </w:t>
      </w:r>
      <w:r>
        <w:rPr>
          <w:rFonts w:ascii="Times New Roman" w:hAnsi="Times New Roman"/>
        </w:rPr>
        <w:t>are</w:t>
      </w:r>
      <w:r>
        <w:rPr>
          <w:rFonts w:ascii="Times New Roman" w:hAnsi="Times New Roman"/>
          <w:spacing w:val="-6"/>
        </w:rPr>
        <w:t> </w:t>
      </w:r>
      <w:r>
        <w:rPr>
          <w:rFonts w:ascii="Times New Roman" w:hAnsi="Times New Roman"/>
        </w:rPr>
        <w:t>considered with a high degree of marginalization, including San José del</w:t>
      </w:r>
      <w:r>
        <w:rPr>
          <w:rFonts w:ascii="Times New Roman" w:hAnsi="Times New Roman"/>
          <w:spacing w:val="-8"/>
        </w:rPr>
        <w:t> </w:t>
      </w:r>
      <w:r>
        <w:rPr>
          <w:rFonts w:ascii="Times New Roman" w:hAnsi="Times New Roman"/>
        </w:rPr>
        <w:t>Rincón.</w:t>
      </w:r>
      <w:r>
        <w:rPr>
          <w:rFonts w:ascii="Times New Roman" w:hAnsi="Times New Roman"/>
          <w:position w:val="9"/>
          <w:sz w:val="16"/>
        </w:rPr>
        <w:t>29</w:t>
      </w:r>
    </w:p>
    <w:p>
      <w:pPr>
        <w:pStyle w:val="BodyText"/>
        <w:spacing w:line="276" w:lineRule="exact"/>
        <w:ind w:left="138"/>
        <w:jc w:val="both"/>
        <w:rPr>
          <w:rFonts w:ascii="Times New Roman"/>
        </w:rPr>
      </w:pPr>
      <w:r>
        <w:rPr>
          <w:rFonts w:ascii="Times New Roman"/>
        </w:rPr>
        <w:t>There are few studies on indigenous Mexican communities</w:t>
      </w:r>
      <w:r>
        <w:rPr>
          <w:rFonts w:ascii="Times New Roman"/>
          <w:position w:val="9"/>
          <w:sz w:val="16"/>
        </w:rPr>
        <w:t>30  </w:t>
      </w:r>
      <w:r>
        <w:rPr>
          <w:rFonts w:ascii="Times New Roman"/>
        </w:rPr>
        <w:t>and even fewer about the   caries</w:t>
      </w:r>
    </w:p>
    <w:p>
      <w:pPr>
        <w:pStyle w:val="BodyText"/>
        <w:rPr>
          <w:rFonts w:ascii="Times New Roman"/>
        </w:rPr>
      </w:pPr>
    </w:p>
    <w:p>
      <w:pPr>
        <w:pStyle w:val="BodyText"/>
        <w:spacing w:line="480" w:lineRule="auto"/>
        <w:ind w:left="138" w:right="137"/>
        <w:jc w:val="both"/>
        <w:rPr>
          <w:rFonts w:ascii="Times New Roman"/>
        </w:rPr>
      </w:pPr>
      <w:r>
        <w:rPr>
          <w:rFonts w:ascii="Times New Roman"/>
        </w:rPr>
        <w:t>predictors.</w:t>
      </w:r>
      <w:r>
        <w:rPr>
          <w:rFonts w:ascii="Times New Roman"/>
          <w:spacing w:val="-4"/>
        </w:rPr>
        <w:t> </w:t>
      </w:r>
      <w:r>
        <w:rPr>
          <w:rFonts w:ascii="Times New Roman"/>
        </w:rPr>
        <w:t>For</w:t>
      </w:r>
      <w:r>
        <w:rPr>
          <w:rFonts w:ascii="Times New Roman"/>
          <w:spacing w:val="-5"/>
        </w:rPr>
        <w:t> </w:t>
      </w:r>
      <w:r>
        <w:rPr>
          <w:rFonts w:ascii="Times New Roman"/>
        </w:rPr>
        <w:t>this</w:t>
      </w:r>
      <w:r>
        <w:rPr>
          <w:rFonts w:ascii="Times New Roman"/>
          <w:spacing w:val="-4"/>
        </w:rPr>
        <w:t> </w:t>
      </w:r>
      <w:r>
        <w:rPr>
          <w:rFonts w:ascii="Times New Roman"/>
        </w:rPr>
        <w:t>reason,</w:t>
      </w:r>
      <w:r>
        <w:rPr>
          <w:rFonts w:ascii="Times New Roman"/>
          <w:spacing w:val="-4"/>
        </w:rPr>
        <w:t> </w:t>
      </w:r>
      <w:r>
        <w:rPr>
          <w:rFonts w:ascii="Times New Roman"/>
        </w:rPr>
        <w:t>the</w:t>
      </w:r>
      <w:r>
        <w:rPr>
          <w:rFonts w:ascii="Times New Roman"/>
          <w:spacing w:val="-4"/>
        </w:rPr>
        <w:t> </w:t>
      </w:r>
      <w:r>
        <w:rPr>
          <w:rFonts w:ascii="Times New Roman"/>
        </w:rPr>
        <w:t>purpose</w:t>
      </w:r>
      <w:r>
        <w:rPr>
          <w:rFonts w:ascii="Times New Roman"/>
          <w:spacing w:val="-5"/>
        </w:rPr>
        <w:t> </w:t>
      </w:r>
      <w:r>
        <w:rPr>
          <w:rFonts w:ascii="Times New Roman"/>
        </w:rPr>
        <w:t>of</w:t>
      </w:r>
      <w:r>
        <w:rPr>
          <w:rFonts w:ascii="Times New Roman"/>
          <w:spacing w:val="-5"/>
        </w:rPr>
        <w:t> </w:t>
      </w:r>
      <w:r>
        <w:rPr>
          <w:rFonts w:ascii="Times New Roman"/>
        </w:rPr>
        <w:t>this</w:t>
      </w:r>
      <w:r>
        <w:rPr>
          <w:rFonts w:ascii="Times New Roman"/>
          <w:spacing w:val="-4"/>
        </w:rPr>
        <w:t> </w:t>
      </w:r>
      <w:r>
        <w:rPr>
          <w:rFonts w:ascii="Times New Roman"/>
        </w:rPr>
        <w:t>study</w:t>
      </w:r>
      <w:r>
        <w:rPr>
          <w:rFonts w:ascii="Times New Roman"/>
          <w:spacing w:val="-9"/>
        </w:rPr>
        <w:t> </w:t>
      </w:r>
      <w:r>
        <w:rPr>
          <w:rFonts w:ascii="Times New Roman"/>
        </w:rPr>
        <w:t>was</w:t>
      </w:r>
      <w:r>
        <w:rPr>
          <w:rFonts w:ascii="Times New Roman"/>
          <w:spacing w:val="-4"/>
        </w:rPr>
        <w:t> </w:t>
      </w:r>
      <w:r>
        <w:rPr>
          <w:rFonts w:ascii="Times New Roman"/>
        </w:rPr>
        <w:t>to</w:t>
      </w:r>
      <w:r>
        <w:rPr>
          <w:rFonts w:ascii="Times New Roman"/>
          <w:spacing w:val="-3"/>
        </w:rPr>
        <w:t> </w:t>
      </w:r>
      <w:r>
        <w:rPr>
          <w:rFonts w:ascii="Times New Roman"/>
        </w:rPr>
        <w:t>determine</w:t>
      </w:r>
      <w:r>
        <w:rPr>
          <w:rFonts w:ascii="Times New Roman"/>
          <w:spacing w:val="-4"/>
        </w:rPr>
        <w:t> </w:t>
      </w:r>
      <w:r>
        <w:rPr>
          <w:rFonts w:ascii="Times New Roman"/>
        </w:rPr>
        <w:t>the</w:t>
      </w:r>
      <w:r>
        <w:rPr>
          <w:rFonts w:ascii="Times New Roman"/>
          <w:spacing w:val="-4"/>
        </w:rPr>
        <w:t> </w:t>
      </w:r>
      <w:r>
        <w:rPr>
          <w:rFonts w:ascii="Times New Roman"/>
        </w:rPr>
        <w:t>caries</w:t>
      </w:r>
      <w:r>
        <w:rPr>
          <w:rFonts w:ascii="Times New Roman"/>
          <w:spacing w:val="-4"/>
        </w:rPr>
        <w:t> </w:t>
      </w:r>
      <w:r>
        <w:rPr>
          <w:rFonts w:ascii="Times New Roman"/>
        </w:rPr>
        <w:t>experience</w:t>
      </w:r>
      <w:r>
        <w:rPr>
          <w:rFonts w:ascii="Times New Roman"/>
          <w:spacing w:val="-1"/>
        </w:rPr>
        <w:t> </w:t>
      </w:r>
      <w:r>
        <w:rPr>
          <w:rFonts w:ascii="Times New Roman"/>
        </w:rPr>
        <w:t>and its predictors in preschool children of a Mazahua community in the state of</w:t>
      </w:r>
      <w:r>
        <w:rPr>
          <w:rFonts w:ascii="Times New Roman"/>
          <w:spacing w:val="-11"/>
        </w:rPr>
        <w:t> </w:t>
      </w:r>
      <w:r>
        <w:rPr>
          <w:rFonts w:ascii="Times New Roman"/>
        </w:rPr>
        <w:t>Mexico.</w:t>
      </w:r>
    </w:p>
    <w:p>
      <w:pPr>
        <w:pStyle w:val="BodyText"/>
        <w:rPr>
          <w:rFonts w:ascii="Times New Roman"/>
        </w:rPr>
      </w:pPr>
    </w:p>
    <w:p>
      <w:pPr>
        <w:pStyle w:val="BodyText"/>
        <w:spacing w:before="4"/>
        <w:rPr>
          <w:rFonts w:ascii="Times New Roman"/>
          <w:sz w:val="22"/>
        </w:rPr>
      </w:pPr>
    </w:p>
    <w:p>
      <w:pPr>
        <w:pStyle w:val="Heading1"/>
        <w:rPr>
          <w:rFonts w:ascii="Times New Roman"/>
        </w:rPr>
      </w:pPr>
      <w:r>
        <w:rPr>
          <w:rFonts w:ascii="Times New Roman"/>
        </w:rPr>
        <w:t>METHODS</w:t>
      </w:r>
    </w:p>
    <w:p>
      <w:pPr>
        <w:pStyle w:val="BodyText"/>
        <w:spacing w:before="5"/>
        <w:rPr>
          <w:rFonts w:ascii="Times New Roman"/>
          <w:b/>
          <w:sz w:val="20"/>
        </w:rPr>
      </w:pPr>
    </w:p>
    <w:p>
      <w:pPr>
        <w:pStyle w:val="BodyText"/>
        <w:spacing w:line="477" w:lineRule="auto"/>
        <w:ind w:left="138" w:right="139"/>
        <w:jc w:val="both"/>
        <w:rPr>
          <w:rFonts w:ascii="Times New Roman" w:hAnsi="Times New Roman"/>
        </w:rPr>
      </w:pPr>
      <w:r>
        <w:rPr>
          <w:rFonts w:ascii="Times New Roman" w:hAnsi="Times New Roman"/>
        </w:rPr>
        <w:t>The</w:t>
      </w:r>
      <w:r>
        <w:rPr>
          <w:rFonts w:ascii="Times New Roman" w:hAnsi="Times New Roman"/>
          <w:spacing w:val="-7"/>
        </w:rPr>
        <w:t> </w:t>
      </w:r>
      <w:r>
        <w:rPr>
          <w:rFonts w:ascii="Times New Roman" w:hAnsi="Times New Roman"/>
        </w:rPr>
        <w:t>present</w:t>
      </w:r>
      <w:r>
        <w:rPr>
          <w:rFonts w:ascii="Times New Roman" w:hAnsi="Times New Roman"/>
          <w:spacing w:val="-6"/>
        </w:rPr>
        <w:t> </w:t>
      </w:r>
      <w:r>
        <w:rPr>
          <w:rFonts w:ascii="Times New Roman" w:hAnsi="Times New Roman"/>
        </w:rPr>
        <w:t>is</w:t>
      </w:r>
      <w:r>
        <w:rPr>
          <w:rFonts w:ascii="Times New Roman" w:hAnsi="Times New Roman"/>
          <w:spacing w:val="-6"/>
        </w:rPr>
        <w:t> </w:t>
      </w:r>
      <w:r>
        <w:rPr>
          <w:rFonts w:ascii="Times New Roman" w:hAnsi="Times New Roman"/>
        </w:rPr>
        <w:t>a</w:t>
      </w:r>
      <w:r>
        <w:rPr>
          <w:rFonts w:ascii="Times New Roman" w:hAnsi="Times New Roman"/>
          <w:spacing w:val="-5"/>
        </w:rPr>
        <w:t> </w:t>
      </w:r>
      <w:r>
        <w:rPr>
          <w:rFonts w:ascii="Times New Roman" w:hAnsi="Times New Roman"/>
        </w:rPr>
        <w:t>cross-sectional</w:t>
      </w:r>
      <w:r>
        <w:rPr>
          <w:rFonts w:ascii="Times New Roman" w:hAnsi="Times New Roman"/>
          <w:spacing w:val="-6"/>
        </w:rPr>
        <w:t> </w:t>
      </w:r>
      <w:r>
        <w:rPr>
          <w:rFonts w:ascii="Times New Roman" w:hAnsi="Times New Roman"/>
        </w:rPr>
        <w:t>study,</w:t>
      </w:r>
      <w:r>
        <w:rPr>
          <w:rFonts w:ascii="Times New Roman" w:hAnsi="Times New Roman"/>
          <w:spacing w:val="-6"/>
        </w:rPr>
        <w:t> </w:t>
      </w:r>
      <w:r>
        <w:rPr>
          <w:rFonts w:ascii="Times New Roman" w:hAnsi="Times New Roman"/>
        </w:rPr>
        <w:t>the</w:t>
      </w:r>
      <w:r>
        <w:rPr>
          <w:rFonts w:ascii="Times New Roman" w:hAnsi="Times New Roman"/>
          <w:spacing w:val="-5"/>
        </w:rPr>
        <w:t> </w:t>
      </w:r>
      <w:r>
        <w:rPr>
          <w:rFonts w:ascii="Times New Roman" w:hAnsi="Times New Roman"/>
        </w:rPr>
        <w:t>protocol</w:t>
      </w:r>
      <w:r>
        <w:rPr>
          <w:rFonts w:ascii="Times New Roman" w:hAnsi="Times New Roman"/>
          <w:spacing w:val="-3"/>
        </w:rPr>
        <w:t> </w:t>
      </w:r>
      <w:r>
        <w:rPr>
          <w:rFonts w:ascii="Times New Roman" w:hAnsi="Times New Roman"/>
        </w:rPr>
        <w:t>was</w:t>
      </w:r>
      <w:r>
        <w:rPr>
          <w:rFonts w:ascii="Times New Roman" w:hAnsi="Times New Roman"/>
          <w:spacing w:val="-6"/>
        </w:rPr>
        <w:t> </w:t>
      </w:r>
      <w:r>
        <w:rPr>
          <w:rFonts w:ascii="Times New Roman" w:hAnsi="Times New Roman"/>
        </w:rPr>
        <w:t>reviewed</w:t>
      </w:r>
      <w:r>
        <w:rPr>
          <w:rFonts w:ascii="Times New Roman" w:hAnsi="Times New Roman"/>
          <w:spacing w:val="-4"/>
        </w:rPr>
        <w:t> </w:t>
      </w:r>
      <w:r>
        <w:rPr>
          <w:rFonts w:ascii="Times New Roman" w:hAnsi="Times New Roman"/>
        </w:rPr>
        <w:t>and</w:t>
      </w:r>
      <w:r>
        <w:rPr>
          <w:rFonts w:ascii="Times New Roman" w:hAnsi="Times New Roman"/>
          <w:spacing w:val="-4"/>
        </w:rPr>
        <w:t> </w:t>
      </w:r>
      <w:r>
        <w:rPr>
          <w:rFonts w:ascii="Times New Roman" w:hAnsi="Times New Roman"/>
        </w:rPr>
        <w:t>approved</w:t>
      </w:r>
      <w:r>
        <w:rPr>
          <w:rFonts w:ascii="Times New Roman" w:hAnsi="Times New Roman"/>
          <w:spacing w:val="-6"/>
        </w:rPr>
        <w:t> </w:t>
      </w:r>
      <w:r>
        <w:rPr>
          <w:rFonts w:ascii="Times New Roman" w:hAnsi="Times New Roman"/>
        </w:rPr>
        <w:t>by</w:t>
      </w:r>
      <w:r>
        <w:rPr>
          <w:rFonts w:ascii="Times New Roman" w:hAnsi="Times New Roman"/>
          <w:spacing w:val="-11"/>
        </w:rPr>
        <w:t> </w:t>
      </w:r>
      <w:r>
        <w:rPr>
          <w:rFonts w:ascii="Times New Roman" w:hAnsi="Times New Roman"/>
        </w:rPr>
        <w:t>the</w:t>
      </w:r>
      <w:r>
        <w:rPr>
          <w:rFonts w:ascii="Times New Roman" w:hAnsi="Times New Roman"/>
          <w:spacing w:val="-5"/>
        </w:rPr>
        <w:t> </w:t>
      </w:r>
      <w:r>
        <w:rPr>
          <w:rFonts w:ascii="Times New Roman" w:hAnsi="Times New Roman"/>
        </w:rPr>
        <w:t>Research and Ethics Committee of Autonomous University of the State of Mexico. The sample was selected by a convenience non-probabilistic sampling method, it included 131 Mazahua preschool children from the municipality of San José del Rincón. The inclusion criteria were Mazahua descent children (whose parents, grandparents and/or great grandparents speak the Mazahua language and claimed belonging to the ethnic group),</w:t>
      </w:r>
      <w:r>
        <w:rPr>
          <w:rFonts w:ascii="Times New Roman" w:hAnsi="Times New Roman"/>
          <w:position w:val="9"/>
          <w:sz w:val="16"/>
        </w:rPr>
        <w:t>31 </w:t>
      </w:r>
      <w:r>
        <w:rPr>
          <w:rFonts w:ascii="Times New Roman" w:hAnsi="Times New Roman"/>
        </w:rPr>
        <w:t>aged 3-5 years, whose</w:t>
      </w:r>
      <w:r>
        <w:rPr>
          <w:rFonts w:ascii="Times New Roman" w:hAnsi="Times New Roman"/>
          <w:spacing w:val="-38"/>
        </w:rPr>
        <w:t> </w:t>
      </w:r>
      <w:r>
        <w:rPr>
          <w:rFonts w:ascii="Times New Roman" w:hAnsi="Times New Roman"/>
        </w:rPr>
        <w:t>parents gave consent; also, the children themselves accepted to be</w:t>
      </w:r>
      <w:r>
        <w:rPr>
          <w:rFonts w:ascii="Times New Roman" w:hAnsi="Times New Roman"/>
          <w:spacing w:val="-7"/>
        </w:rPr>
        <w:t> </w:t>
      </w:r>
      <w:r>
        <w:rPr>
          <w:rFonts w:ascii="Times New Roman" w:hAnsi="Times New Roman"/>
        </w:rPr>
        <w:t>examined.</w:t>
      </w:r>
    </w:p>
    <w:p>
      <w:pPr>
        <w:spacing w:before="13"/>
        <w:ind w:left="138" w:right="0" w:firstLine="0"/>
        <w:jc w:val="both"/>
        <w:rPr>
          <w:rFonts w:ascii="Times New Roman"/>
          <w:i/>
          <w:sz w:val="24"/>
        </w:rPr>
      </w:pPr>
      <w:r>
        <w:rPr>
          <w:rFonts w:ascii="Times New Roman"/>
          <w:i/>
          <w:sz w:val="24"/>
        </w:rPr>
        <w:t>Clinical examination of the children</w:t>
      </w:r>
    </w:p>
    <w:p>
      <w:pPr>
        <w:pStyle w:val="BodyText"/>
        <w:rPr>
          <w:rFonts w:ascii="Times New Roman"/>
          <w:i/>
        </w:rPr>
      </w:pPr>
    </w:p>
    <w:p>
      <w:pPr>
        <w:pStyle w:val="BodyText"/>
        <w:spacing w:line="480" w:lineRule="auto"/>
        <w:ind w:left="138" w:right="138"/>
        <w:jc w:val="both"/>
        <w:rPr>
          <w:rFonts w:ascii="Times New Roman" w:hAnsi="Times New Roman"/>
        </w:rPr>
      </w:pPr>
      <w:r>
        <w:rPr>
          <w:rFonts w:ascii="Times New Roman" w:hAnsi="Times New Roman"/>
        </w:rPr>
        <w:t>The</w:t>
      </w:r>
      <w:r>
        <w:rPr>
          <w:rFonts w:ascii="Times New Roman" w:hAnsi="Times New Roman"/>
          <w:spacing w:val="-8"/>
        </w:rPr>
        <w:t> </w:t>
      </w:r>
      <w:r>
        <w:rPr>
          <w:rFonts w:ascii="Times New Roman" w:hAnsi="Times New Roman"/>
        </w:rPr>
        <w:t>children</w:t>
      </w:r>
      <w:r>
        <w:rPr>
          <w:rFonts w:ascii="Times New Roman" w:hAnsi="Times New Roman"/>
          <w:spacing w:val="-7"/>
        </w:rPr>
        <w:t> </w:t>
      </w:r>
      <w:r>
        <w:rPr>
          <w:rFonts w:ascii="Times New Roman" w:hAnsi="Times New Roman"/>
        </w:rPr>
        <w:t>were</w:t>
      </w:r>
      <w:r>
        <w:rPr>
          <w:rFonts w:ascii="Times New Roman" w:hAnsi="Times New Roman"/>
          <w:spacing w:val="-8"/>
        </w:rPr>
        <w:t> </w:t>
      </w:r>
      <w:r>
        <w:rPr>
          <w:rFonts w:ascii="Times New Roman" w:hAnsi="Times New Roman"/>
        </w:rPr>
        <w:t>examined</w:t>
      </w:r>
      <w:r>
        <w:rPr>
          <w:rFonts w:ascii="Times New Roman" w:hAnsi="Times New Roman"/>
          <w:spacing w:val="-7"/>
        </w:rPr>
        <w:t> </w:t>
      </w:r>
      <w:r>
        <w:rPr>
          <w:rFonts w:ascii="Times New Roman" w:hAnsi="Times New Roman"/>
        </w:rPr>
        <w:t>in</w:t>
      </w:r>
      <w:r>
        <w:rPr>
          <w:rFonts w:ascii="Times New Roman" w:hAnsi="Times New Roman"/>
          <w:spacing w:val="-7"/>
        </w:rPr>
        <w:t> </w:t>
      </w:r>
      <w:r>
        <w:rPr>
          <w:rFonts w:ascii="Times New Roman" w:hAnsi="Times New Roman"/>
        </w:rPr>
        <w:t>the</w:t>
      </w:r>
      <w:r>
        <w:rPr>
          <w:rFonts w:ascii="Times New Roman" w:hAnsi="Times New Roman"/>
          <w:spacing w:val="-8"/>
        </w:rPr>
        <w:t> </w:t>
      </w:r>
      <w:r>
        <w:rPr>
          <w:rFonts w:ascii="Times New Roman" w:hAnsi="Times New Roman"/>
        </w:rPr>
        <w:t>kindergarten</w:t>
      </w:r>
      <w:r>
        <w:rPr>
          <w:rFonts w:ascii="Times New Roman" w:hAnsi="Times New Roman"/>
          <w:spacing w:val="-7"/>
        </w:rPr>
        <w:t> </w:t>
      </w:r>
      <w:r>
        <w:rPr>
          <w:rFonts w:ascii="Times New Roman" w:hAnsi="Times New Roman"/>
        </w:rPr>
        <w:t>facilities</w:t>
      </w:r>
      <w:r>
        <w:rPr>
          <w:rFonts w:ascii="Times New Roman" w:hAnsi="Times New Roman"/>
          <w:spacing w:val="-8"/>
        </w:rPr>
        <w:t> </w:t>
      </w:r>
      <w:r>
        <w:rPr>
          <w:rFonts w:ascii="Times New Roman" w:hAnsi="Times New Roman"/>
        </w:rPr>
        <w:t>in</w:t>
      </w:r>
      <w:r>
        <w:rPr>
          <w:rFonts w:ascii="Times New Roman" w:hAnsi="Times New Roman"/>
          <w:spacing w:val="-7"/>
        </w:rPr>
        <w:t> </w:t>
      </w:r>
      <w:r>
        <w:rPr>
          <w:rFonts w:ascii="Times New Roman" w:hAnsi="Times New Roman"/>
        </w:rPr>
        <w:t>a</w:t>
      </w:r>
      <w:r>
        <w:rPr>
          <w:rFonts w:ascii="Times New Roman" w:hAnsi="Times New Roman"/>
          <w:spacing w:val="-11"/>
        </w:rPr>
        <w:t> </w:t>
      </w:r>
      <w:r>
        <w:rPr>
          <w:rFonts w:ascii="Times New Roman" w:hAnsi="Times New Roman"/>
        </w:rPr>
        <w:t>dental</w:t>
      </w:r>
      <w:r>
        <w:rPr>
          <w:rFonts w:ascii="Times New Roman" w:hAnsi="Times New Roman"/>
          <w:spacing w:val="-7"/>
        </w:rPr>
        <w:t> </w:t>
      </w:r>
      <w:r>
        <w:rPr>
          <w:rFonts w:ascii="Times New Roman" w:hAnsi="Times New Roman"/>
        </w:rPr>
        <w:t>mobile</w:t>
      </w:r>
      <w:r>
        <w:rPr>
          <w:rFonts w:ascii="Times New Roman" w:hAnsi="Times New Roman"/>
          <w:spacing w:val="-10"/>
        </w:rPr>
        <w:t> </w:t>
      </w:r>
      <w:r>
        <w:rPr>
          <w:rFonts w:ascii="Times New Roman" w:hAnsi="Times New Roman"/>
        </w:rPr>
        <w:t>unit,</w:t>
      </w:r>
      <w:r>
        <w:rPr>
          <w:rFonts w:ascii="Times New Roman" w:hAnsi="Times New Roman"/>
          <w:spacing w:val="-7"/>
        </w:rPr>
        <w:t> </w:t>
      </w:r>
      <w:r>
        <w:rPr>
          <w:rFonts w:ascii="Times New Roman" w:hAnsi="Times New Roman"/>
        </w:rPr>
        <w:t>equipped</w:t>
      </w:r>
      <w:r>
        <w:rPr>
          <w:rFonts w:ascii="Times New Roman" w:hAnsi="Times New Roman"/>
          <w:spacing w:val="-8"/>
        </w:rPr>
        <w:t> </w:t>
      </w:r>
      <w:r>
        <w:rPr>
          <w:rFonts w:ascii="Times New Roman" w:hAnsi="Times New Roman"/>
        </w:rPr>
        <w:t>with two</w:t>
      </w:r>
      <w:r>
        <w:rPr>
          <w:rFonts w:ascii="Times New Roman" w:hAnsi="Times New Roman"/>
          <w:spacing w:val="33"/>
        </w:rPr>
        <w:t> </w:t>
      </w:r>
      <w:r>
        <w:rPr>
          <w:rFonts w:ascii="Times New Roman" w:hAnsi="Times New Roman"/>
        </w:rPr>
        <w:t>dental</w:t>
      </w:r>
      <w:r>
        <w:rPr>
          <w:rFonts w:ascii="Times New Roman" w:hAnsi="Times New Roman"/>
          <w:spacing w:val="33"/>
        </w:rPr>
        <w:t> </w:t>
      </w:r>
      <w:r>
        <w:rPr>
          <w:rFonts w:ascii="Times New Roman" w:hAnsi="Times New Roman"/>
        </w:rPr>
        <w:t>chairs,</w:t>
      </w:r>
      <w:r>
        <w:rPr>
          <w:rFonts w:ascii="Times New Roman" w:hAnsi="Times New Roman"/>
          <w:spacing w:val="33"/>
        </w:rPr>
        <w:t> </w:t>
      </w:r>
      <w:r>
        <w:rPr>
          <w:rFonts w:ascii="Times New Roman" w:hAnsi="Times New Roman"/>
        </w:rPr>
        <w:t>artificial</w:t>
      </w:r>
      <w:r>
        <w:rPr>
          <w:rFonts w:ascii="Times New Roman" w:hAnsi="Times New Roman"/>
          <w:spacing w:val="33"/>
        </w:rPr>
        <w:t> </w:t>
      </w:r>
      <w:r>
        <w:rPr>
          <w:rFonts w:ascii="Times New Roman" w:hAnsi="Times New Roman"/>
        </w:rPr>
        <w:t>light</w:t>
      </w:r>
      <w:r>
        <w:rPr>
          <w:rFonts w:ascii="Times New Roman" w:hAnsi="Times New Roman"/>
          <w:spacing w:val="34"/>
        </w:rPr>
        <w:t> </w:t>
      </w:r>
      <w:r>
        <w:rPr>
          <w:rFonts w:ascii="Times New Roman" w:hAnsi="Times New Roman"/>
        </w:rPr>
        <w:t>and</w:t>
      </w:r>
      <w:r>
        <w:rPr>
          <w:rFonts w:ascii="Times New Roman" w:hAnsi="Times New Roman"/>
          <w:spacing w:val="36"/>
        </w:rPr>
        <w:t> </w:t>
      </w:r>
      <w:r>
        <w:rPr>
          <w:rFonts w:ascii="Times New Roman" w:hAnsi="Times New Roman"/>
        </w:rPr>
        <w:t>an</w:t>
      </w:r>
      <w:r>
        <w:rPr>
          <w:rFonts w:ascii="Times New Roman" w:hAnsi="Times New Roman"/>
          <w:spacing w:val="34"/>
        </w:rPr>
        <w:t> </w:t>
      </w:r>
      <w:r>
        <w:rPr>
          <w:rFonts w:ascii="Times New Roman" w:hAnsi="Times New Roman"/>
        </w:rPr>
        <w:t>air</w:t>
      </w:r>
      <w:r>
        <w:rPr>
          <w:rFonts w:ascii="Times New Roman" w:hAnsi="Times New Roman"/>
          <w:spacing w:val="33"/>
        </w:rPr>
        <w:t> </w:t>
      </w:r>
      <w:r>
        <w:rPr>
          <w:rFonts w:ascii="Times New Roman" w:hAnsi="Times New Roman"/>
        </w:rPr>
        <w:t>compressor.</w:t>
      </w:r>
      <w:r>
        <w:rPr>
          <w:rFonts w:ascii="Times New Roman" w:hAnsi="Times New Roman"/>
          <w:spacing w:val="34"/>
        </w:rPr>
        <w:t> </w:t>
      </w:r>
      <w:r>
        <w:rPr>
          <w:rFonts w:ascii="Times New Roman" w:hAnsi="Times New Roman"/>
        </w:rPr>
        <w:t>Before</w:t>
      </w:r>
      <w:r>
        <w:rPr>
          <w:rFonts w:ascii="Times New Roman" w:hAnsi="Times New Roman"/>
          <w:spacing w:val="33"/>
        </w:rPr>
        <w:t> </w:t>
      </w:r>
      <w:r>
        <w:rPr>
          <w:rFonts w:ascii="Times New Roman" w:hAnsi="Times New Roman"/>
        </w:rPr>
        <w:t>the</w:t>
      </w:r>
      <w:r>
        <w:rPr>
          <w:rFonts w:ascii="Times New Roman" w:hAnsi="Times New Roman"/>
          <w:spacing w:val="33"/>
        </w:rPr>
        <w:t> </w:t>
      </w:r>
      <w:r>
        <w:rPr>
          <w:rFonts w:ascii="Times New Roman" w:hAnsi="Times New Roman"/>
        </w:rPr>
        <w:t>children’s</w:t>
      </w:r>
      <w:r>
        <w:rPr>
          <w:rFonts w:ascii="Times New Roman" w:hAnsi="Times New Roman"/>
          <w:spacing w:val="33"/>
        </w:rPr>
        <w:t> </w:t>
      </w:r>
      <w:r>
        <w:rPr>
          <w:rFonts w:ascii="Times New Roman" w:hAnsi="Times New Roman"/>
        </w:rPr>
        <w:t>examination,</w:t>
      </w:r>
    </w:p>
    <w:p>
      <w:pPr>
        <w:spacing w:after="0" w:line="480" w:lineRule="auto"/>
        <w:jc w:val="both"/>
        <w:rPr>
          <w:rFonts w:ascii="Times New Roman" w:hAnsi="Times New Roman"/>
        </w:rPr>
        <w:sectPr>
          <w:pgSz w:w="12240" w:h="15840"/>
          <w:pgMar w:header="686" w:footer="964" w:top="1080" w:bottom="1160" w:left="1280" w:right="1560"/>
        </w:sectPr>
      </w:pPr>
    </w:p>
    <w:p>
      <w:pPr>
        <w:pStyle w:val="BodyText"/>
        <w:rPr>
          <w:rFonts w:ascii="Times New Roman"/>
          <w:sz w:val="20"/>
        </w:rPr>
      </w:pPr>
    </w:p>
    <w:p>
      <w:pPr>
        <w:pStyle w:val="BodyText"/>
        <w:spacing w:before="6"/>
        <w:rPr>
          <w:rFonts w:ascii="Times New Roman"/>
        </w:rPr>
      </w:pPr>
    </w:p>
    <w:p>
      <w:pPr>
        <w:pStyle w:val="BodyText"/>
        <w:spacing w:line="475" w:lineRule="auto" w:before="82"/>
        <w:ind w:left="138" w:right="135"/>
        <w:jc w:val="both"/>
        <w:rPr>
          <w:rFonts w:ascii="Times New Roman" w:hAnsi="Times New Roman"/>
          <w:sz w:val="16"/>
        </w:rPr>
      </w:pPr>
      <w:r>
        <w:rPr>
          <w:rFonts w:ascii="Times New Roman" w:hAnsi="Times New Roman"/>
        </w:rPr>
        <w:t>height and weight were measured and recorded. Moreover, the presence of </w:t>
      </w:r>
      <w:r>
        <w:rPr>
          <w:rFonts w:ascii="Times New Roman" w:hAnsi="Times New Roman"/>
          <w:i/>
        </w:rPr>
        <w:t>materia alba </w:t>
      </w:r>
      <w:r>
        <w:rPr>
          <w:rFonts w:ascii="Times New Roman" w:hAnsi="Times New Roman"/>
          <w:position w:val="9"/>
          <w:sz w:val="16"/>
        </w:rPr>
        <w:t>32 </w:t>
      </w:r>
      <w:r>
        <w:rPr>
          <w:rFonts w:ascii="Times New Roman" w:hAnsi="Times New Roman"/>
        </w:rPr>
        <w:t>in the</w:t>
      </w:r>
      <w:r>
        <w:rPr>
          <w:rFonts w:ascii="Times New Roman" w:hAnsi="Times New Roman"/>
          <w:spacing w:val="-8"/>
        </w:rPr>
        <w:t> </w:t>
      </w:r>
      <w:r>
        <w:rPr>
          <w:rFonts w:ascii="Times New Roman" w:hAnsi="Times New Roman"/>
        </w:rPr>
        <w:t>anterior</w:t>
      </w:r>
      <w:r>
        <w:rPr>
          <w:rFonts w:ascii="Times New Roman" w:hAnsi="Times New Roman"/>
          <w:spacing w:val="-8"/>
        </w:rPr>
        <w:t> </w:t>
      </w:r>
      <w:r>
        <w:rPr>
          <w:rFonts w:ascii="Times New Roman" w:hAnsi="Times New Roman"/>
        </w:rPr>
        <w:t>and</w:t>
      </w:r>
      <w:r>
        <w:rPr>
          <w:rFonts w:ascii="Times New Roman" w:hAnsi="Times New Roman"/>
          <w:spacing w:val="-7"/>
        </w:rPr>
        <w:t> </w:t>
      </w:r>
      <w:r>
        <w:rPr>
          <w:rFonts w:ascii="Times New Roman" w:hAnsi="Times New Roman"/>
        </w:rPr>
        <w:t>posterior</w:t>
      </w:r>
      <w:r>
        <w:rPr>
          <w:rFonts w:ascii="Times New Roman" w:hAnsi="Times New Roman"/>
          <w:spacing w:val="-6"/>
        </w:rPr>
        <w:t> </w:t>
      </w:r>
      <w:r>
        <w:rPr>
          <w:rFonts w:ascii="Times New Roman" w:hAnsi="Times New Roman"/>
        </w:rPr>
        <w:t>tooth</w:t>
      </w:r>
      <w:r>
        <w:rPr>
          <w:rFonts w:ascii="Times New Roman" w:hAnsi="Times New Roman"/>
          <w:spacing w:val="-7"/>
        </w:rPr>
        <w:t> </w:t>
      </w:r>
      <w:r>
        <w:rPr>
          <w:rFonts w:ascii="Times New Roman" w:hAnsi="Times New Roman"/>
        </w:rPr>
        <w:t>surfaces</w:t>
      </w:r>
      <w:r>
        <w:rPr>
          <w:rFonts w:ascii="Times New Roman" w:hAnsi="Times New Roman"/>
          <w:spacing w:val="-6"/>
        </w:rPr>
        <w:t> </w:t>
      </w:r>
      <w:r>
        <w:rPr>
          <w:rFonts w:ascii="Times New Roman" w:hAnsi="Times New Roman"/>
        </w:rPr>
        <w:t>was</w:t>
      </w:r>
      <w:r>
        <w:rPr>
          <w:rFonts w:ascii="Times New Roman" w:hAnsi="Times New Roman"/>
          <w:spacing w:val="-7"/>
        </w:rPr>
        <w:t> </w:t>
      </w:r>
      <w:r>
        <w:rPr>
          <w:rFonts w:ascii="Times New Roman" w:hAnsi="Times New Roman"/>
        </w:rPr>
        <w:t>recorded</w:t>
      </w:r>
      <w:r>
        <w:rPr>
          <w:rFonts w:ascii="Times New Roman" w:hAnsi="Times New Roman"/>
          <w:spacing w:val="-7"/>
        </w:rPr>
        <w:t> </w:t>
      </w:r>
      <w:r>
        <w:rPr>
          <w:rFonts w:ascii="Times New Roman" w:hAnsi="Times New Roman"/>
        </w:rPr>
        <w:t>with</w:t>
      </w:r>
      <w:r>
        <w:rPr>
          <w:rFonts w:ascii="Times New Roman" w:hAnsi="Times New Roman"/>
          <w:spacing w:val="-7"/>
        </w:rPr>
        <w:t> </w:t>
      </w:r>
      <w:r>
        <w:rPr>
          <w:rFonts w:ascii="Times New Roman" w:hAnsi="Times New Roman"/>
        </w:rPr>
        <w:t>the</w:t>
      </w:r>
      <w:r>
        <w:rPr>
          <w:rFonts w:ascii="Times New Roman" w:hAnsi="Times New Roman"/>
          <w:spacing w:val="-8"/>
        </w:rPr>
        <w:t> </w:t>
      </w:r>
      <w:r>
        <w:rPr>
          <w:rFonts w:ascii="Times New Roman" w:hAnsi="Times New Roman"/>
        </w:rPr>
        <w:t>assistance</w:t>
      </w:r>
      <w:r>
        <w:rPr>
          <w:rFonts w:ascii="Times New Roman" w:hAnsi="Times New Roman"/>
          <w:spacing w:val="-8"/>
        </w:rPr>
        <w:t> </w:t>
      </w:r>
      <w:r>
        <w:rPr>
          <w:rFonts w:ascii="Times New Roman" w:hAnsi="Times New Roman"/>
        </w:rPr>
        <w:t>of</w:t>
      </w:r>
      <w:r>
        <w:rPr>
          <w:rFonts w:ascii="Times New Roman" w:hAnsi="Times New Roman"/>
          <w:spacing w:val="-6"/>
        </w:rPr>
        <w:t> </w:t>
      </w:r>
      <w:r>
        <w:rPr>
          <w:rFonts w:ascii="Times New Roman" w:hAnsi="Times New Roman"/>
        </w:rPr>
        <w:t>a</w:t>
      </w:r>
      <w:r>
        <w:rPr>
          <w:rFonts w:ascii="Times New Roman" w:hAnsi="Times New Roman"/>
          <w:spacing w:val="-8"/>
        </w:rPr>
        <w:t> </w:t>
      </w:r>
      <w:r>
        <w:rPr>
          <w:rFonts w:ascii="Times New Roman" w:hAnsi="Times New Roman"/>
        </w:rPr>
        <w:t>periodontal</w:t>
      </w:r>
      <w:r>
        <w:rPr>
          <w:rFonts w:ascii="Times New Roman" w:hAnsi="Times New Roman"/>
          <w:spacing w:val="-7"/>
        </w:rPr>
        <w:t> </w:t>
      </w:r>
      <w:r>
        <w:rPr>
          <w:rFonts w:ascii="Times New Roman" w:hAnsi="Times New Roman"/>
        </w:rPr>
        <w:t>probe CPITN-E to determine their dental hygiene. Afterwards, dental brush of each child and examination with a periodontal probe and a number 5 dental mirror was carried out by a dentist.The International Caries Detection and Assessment System ICDAS</w:t>
      </w:r>
      <w:r>
        <w:rPr>
          <w:rFonts w:ascii="Times New Roman" w:hAnsi="Times New Roman"/>
          <w:position w:val="9"/>
          <w:sz w:val="16"/>
        </w:rPr>
        <w:t>33 </w:t>
      </w:r>
      <w:r>
        <w:rPr>
          <w:rFonts w:ascii="Times New Roman" w:hAnsi="Times New Roman"/>
        </w:rPr>
        <w:t>was registered. Previous</w:t>
      </w:r>
      <w:r>
        <w:rPr>
          <w:rFonts w:ascii="Times New Roman" w:hAnsi="Times New Roman"/>
          <w:spacing w:val="-9"/>
        </w:rPr>
        <w:t> </w:t>
      </w:r>
      <w:r>
        <w:rPr>
          <w:rFonts w:ascii="Times New Roman" w:hAnsi="Times New Roman"/>
        </w:rPr>
        <w:t>calibration</w:t>
      </w:r>
      <w:r>
        <w:rPr>
          <w:rFonts w:ascii="Times New Roman" w:hAnsi="Times New Roman"/>
          <w:spacing w:val="-10"/>
        </w:rPr>
        <w:t> </w:t>
      </w:r>
      <w:r>
        <w:rPr>
          <w:rFonts w:ascii="Times New Roman" w:hAnsi="Times New Roman"/>
        </w:rPr>
        <w:t>sessions</w:t>
      </w:r>
      <w:r>
        <w:rPr>
          <w:rFonts w:ascii="Times New Roman" w:hAnsi="Times New Roman"/>
          <w:spacing w:val="-9"/>
        </w:rPr>
        <w:t> </w:t>
      </w:r>
      <w:r>
        <w:rPr>
          <w:rFonts w:ascii="Times New Roman" w:hAnsi="Times New Roman"/>
        </w:rPr>
        <w:t>included</w:t>
      </w:r>
      <w:r>
        <w:rPr>
          <w:rFonts w:ascii="Times New Roman" w:hAnsi="Times New Roman"/>
          <w:spacing w:val="-10"/>
        </w:rPr>
        <w:t> </w:t>
      </w:r>
      <w:r>
        <w:rPr>
          <w:rFonts w:ascii="Times New Roman" w:hAnsi="Times New Roman"/>
        </w:rPr>
        <w:t>theoretical</w:t>
      </w:r>
      <w:r>
        <w:rPr>
          <w:rFonts w:ascii="Times New Roman" w:hAnsi="Times New Roman"/>
          <w:spacing w:val="-9"/>
        </w:rPr>
        <w:t> </w:t>
      </w:r>
      <w:r>
        <w:rPr>
          <w:rFonts w:ascii="Times New Roman" w:hAnsi="Times New Roman"/>
        </w:rPr>
        <w:t>and</w:t>
      </w:r>
      <w:r>
        <w:rPr>
          <w:rFonts w:ascii="Times New Roman" w:hAnsi="Times New Roman"/>
          <w:spacing w:val="-10"/>
        </w:rPr>
        <w:t> </w:t>
      </w:r>
      <w:r>
        <w:rPr>
          <w:rFonts w:ascii="Times New Roman" w:hAnsi="Times New Roman"/>
        </w:rPr>
        <w:t>practical</w:t>
      </w:r>
      <w:r>
        <w:rPr>
          <w:rFonts w:ascii="Times New Roman" w:hAnsi="Times New Roman"/>
          <w:spacing w:val="-9"/>
        </w:rPr>
        <w:t> </w:t>
      </w:r>
      <w:r>
        <w:rPr>
          <w:rFonts w:ascii="Times New Roman" w:hAnsi="Times New Roman"/>
        </w:rPr>
        <w:t>sessions,</w:t>
      </w:r>
      <w:r>
        <w:rPr>
          <w:rFonts w:ascii="Times New Roman" w:hAnsi="Times New Roman"/>
          <w:spacing w:val="-9"/>
        </w:rPr>
        <w:t> </w:t>
      </w:r>
      <w:r>
        <w:rPr>
          <w:rFonts w:ascii="Times New Roman" w:hAnsi="Times New Roman"/>
        </w:rPr>
        <w:t>with</w:t>
      </w:r>
      <w:r>
        <w:rPr>
          <w:rFonts w:ascii="Times New Roman" w:hAnsi="Times New Roman"/>
          <w:spacing w:val="-9"/>
        </w:rPr>
        <w:t> </w:t>
      </w:r>
      <w:r>
        <w:rPr>
          <w:rFonts w:ascii="Times New Roman" w:hAnsi="Times New Roman"/>
        </w:rPr>
        <w:t>help</w:t>
      </w:r>
      <w:r>
        <w:rPr>
          <w:rFonts w:ascii="Times New Roman" w:hAnsi="Times New Roman"/>
          <w:spacing w:val="-9"/>
        </w:rPr>
        <w:t> </w:t>
      </w:r>
      <w:r>
        <w:rPr>
          <w:rFonts w:ascii="Times New Roman" w:hAnsi="Times New Roman"/>
        </w:rPr>
        <w:t>from</w:t>
      </w:r>
      <w:r>
        <w:rPr>
          <w:rFonts w:ascii="Times New Roman" w:hAnsi="Times New Roman"/>
          <w:spacing w:val="-7"/>
        </w:rPr>
        <w:t> </w:t>
      </w:r>
      <w:r>
        <w:rPr>
          <w:rFonts w:ascii="Times New Roman" w:hAnsi="Times New Roman"/>
        </w:rPr>
        <w:t>ICDAS website’s educational software,</w:t>
      </w:r>
      <w:r>
        <w:rPr>
          <w:rFonts w:ascii="Times New Roman" w:hAnsi="Times New Roman"/>
          <w:position w:val="9"/>
          <w:sz w:val="16"/>
        </w:rPr>
        <w:t>34 </w:t>
      </w:r>
      <w:r>
        <w:rPr>
          <w:rFonts w:ascii="Times New Roman" w:hAnsi="Times New Roman"/>
        </w:rPr>
        <w:t>and a training session was carried out in a Kindergarten with children</w:t>
      </w:r>
      <w:r>
        <w:rPr>
          <w:rFonts w:ascii="Times New Roman" w:hAnsi="Times New Roman"/>
          <w:spacing w:val="-10"/>
        </w:rPr>
        <w:t> </w:t>
      </w:r>
      <w:r>
        <w:rPr>
          <w:rFonts w:ascii="Times New Roman" w:hAnsi="Times New Roman"/>
        </w:rPr>
        <w:t>between</w:t>
      </w:r>
      <w:r>
        <w:rPr>
          <w:rFonts w:ascii="Times New Roman" w:hAnsi="Times New Roman"/>
          <w:spacing w:val="-10"/>
        </w:rPr>
        <w:t> </w:t>
      </w:r>
      <w:r>
        <w:rPr>
          <w:rFonts w:ascii="Times New Roman" w:hAnsi="Times New Roman"/>
        </w:rPr>
        <w:t>3-5</w:t>
      </w:r>
      <w:r>
        <w:rPr>
          <w:rFonts w:ascii="Times New Roman" w:hAnsi="Times New Roman"/>
          <w:spacing w:val="-5"/>
        </w:rPr>
        <w:t> </w:t>
      </w:r>
      <w:r>
        <w:rPr>
          <w:rFonts w:ascii="Times New Roman" w:hAnsi="Times New Roman"/>
        </w:rPr>
        <w:t>years</w:t>
      </w:r>
      <w:r>
        <w:rPr>
          <w:rFonts w:ascii="Times New Roman" w:hAnsi="Times New Roman"/>
          <w:spacing w:val="-10"/>
        </w:rPr>
        <w:t> </w:t>
      </w:r>
      <w:r>
        <w:rPr>
          <w:rFonts w:ascii="Times New Roman" w:hAnsi="Times New Roman"/>
        </w:rPr>
        <w:t>old</w:t>
      </w:r>
      <w:r>
        <w:rPr>
          <w:rFonts w:ascii="Times New Roman" w:hAnsi="Times New Roman"/>
          <w:spacing w:val="-8"/>
        </w:rPr>
        <w:t> </w:t>
      </w:r>
      <w:r>
        <w:rPr>
          <w:rFonts w:ascii="Times New Roman" w:hAnsi="Times New Roman"/>
        </w:rPr>
        <w:t>until</w:t>
      </w:r>
      <w:r>
        <w:rPr>
          <w:rFonts w:ascii="Times New Roman" w:hAnsi="Times New Roman"/>
          <w:spacing w:val="-9"/>
        </w:rPr>
        <w:t> </w:t>
      </w:r>
      <w:r>
        <w:rPr>
          <w:rFonts w:ascii="Times New Roman" w:hAnsi="Times New Roman"/>
        </w:rPr>
        <w:t>the</w:t>
      </w:r>
      <w:r>
        <w:rPr>
          <w:rFonts w:ascii="Times New Roman" w:hAnsi="Times New Roman"/>
          <w:spacing w:val="-10"/>
        </w:rPr>
        <w:t> </w:t>
      </w:r>
      <w:r>
        <w:rPr>
          <w:rFonts w:ascii="Times New Roman" w:hAnsi="Times New Roman"/>
        </w:rPr>
        <w:t>intra-examiner</w:t>
      </w:r>
      <w:r>
        <w:rPr>
          <w:rFonts w:ascii="Times New Roman" w:hAnsi="Times New Roman"/>
          <w:spacing w:val="-10"/>
        </w:rPr>
        <w:t> </w:t>
      </w:r>
      <w:r>
        <w:rPr>
          <w:rFonts w:ascii="Times New Roman" w:hAnsi="Times New Roman"/>
        </w:rPr>
        <w:t>reliability</w:t>
      </w:r>
      <w:r>
        <w:rPr>
          <w:rFonts w:ascii="Times New Roman" w:hAnsi="Times New Roman"/>
          <w:spacing w:val="-14"/>
        </w:rPr>
        <w:t> </w:t>
      </w:r>
      <w:r>
        <w:rPr>
          <w:rFonts w:ascii="Times New Roman" w:hAnsi="Times New Roman"/>
        </w:rPr>
        <w:t>was</w:t>
      </w:r>
      <w:r>
        <w:rPr>
          <w:rFonts w:ascii="Times New Roman" w:hAnsi="Times New Roman"/>
          <w:spacing w:val="-8"/>
        </w:rPr>
        <w:t> </w:t>
      </w:r>
      <w:r>
        <w:rPr>
          <w:rFonts w:ascii="Times New Roman" w:hAnsi="Times New Roman"/>
        </w:rPr>
        <w:t>guaranteed</w:t>
      </w:r>
      <w:r>
        <w:rPr>
          <w:rFonts w:ascii="Times New Roman" w:hAnsi="Times New Roman"/>
          <w:spacing w:val="-10"/>
        </w:rPr>
        <w:t> </w:t>
      </w:r>
      <w:r>
        <w:rPr>
          <w:rFonts w:ascii="Times New Roman" w:hAnsi="Times New Roman"/>
        </w:rPr>
        <w:t>(Kappa</w:t>
      </w:r>
      <w:r>
        <w:rPr>
          <w:rFonts w:ascii="Times New Roman" w:hAnsi="Times New Roman"/>
          <w:spacing w:val="-11"/>
        </w:rPr>
        <w:t> </w:t>
      </w:r>
      <w:r>
        <w:rPr>
          <w:rFonts w:ascii="Times New Roman" w:hAnsi="Times New Roman"/>
        </w:rPr>
        <w:t>0.98). Early childhood caries (ECC) and severe early childhood caries (S-ECC) was obtained from children´s</w:t>
      </w:r>
      <w:r>
        <w:rPr>
          <w:rFonts w:ascii="Times New Roman" w:hAnsi="Times New Roman"/>
          <w:spacing w:val="-17"/>
        </w:rPr>
        <w:t> </w:t>
      </w:r>
      <w:r>
        <w:rPr>
          <w:rFonts w:ascii="Times New Roman" w:hAnsi="Times New Roman"/>
        </w:rPr>
        <w:t>caries</w:t>
      </w:r>
      <w:r>
        <w:rPr>
          <w:rFonts w:ascii="Times New Roman" w:hAnsi="Times New Roman"/>
          <w:spacing w:val="-17"/>
        </w:rPr>
        <w:t> </w:t>
      </w:r>
      <w:r>
        <w:rPr>
          <w:rFonts w:ascii="Times New Roman" w:hAnsi="Times New Roman"/>
        </w:rPr>
        <w:t>experience,</w:t>
      </w:r>
      <w:r>
        <w:rPr>
          <w:rFonts w:ascii="Times New Roman" w:hAnsi="Times New Roman"/>
          <w:spacing w:val="-17"/>
        </w:rPr>
        <w:t> </w:t>
      </w:r>
      <w:r>
        <w:rPr>
          <w:rFonts w:ascii="Times New Roman" w:hAnsi="Times New Roman"/>
        </w:rPr>
        <w:t>according</w:t>
      </w:r>
      <w:r>
        <w:rPr>
          <w:rFonts w:ascii="Times New Roman" w:hAnsi="Times New Roman"/>
          <w:spacing w:val="-19"/>
        </w:rPr>
        <w:t> </w:t>
      </w:r>
      <w:r>
        <w:rPr>
          <w:rFonts w:ascii="Times New Roman" w:hAnsi="Times New Roman"/>
        </w:rPr>
        <w:t>to</w:t>
      </w:r>
      <w:r>
        <w:rPr>
          <w:rFonts w:ascii="Times New Roman" w:hAnsi="Times New Roman"/>
          <w:spacing w:val="-16"/>
        </w:rPr>
        <w:t> </w:t>
      </w:r>
      <w:r>
        <w:rPr>
          <w:rFonts w:ascii="Times New Roman" w:hAnsi="Times New Roman"/>
        </w:rPr>
        <w:t>the</w:t>
      </w:r>
      <w:r>
        <w:rPr>
          <w:rFonts w:ascii="Times New Roman" w:hAnsi="Times New Roman"/>
          <w:spacing w:val="-17"/>
        </w:rPr>
        <w:t> </w:t>
      </w:r>
      <w:r>
        <w:rPr>
          <w:rFonts w:ascii="Times New Roman" w:hAnsi="Times New Roman"/>
        </w:rPr>
        <w:t>criteria</w:t>
      </w:r>
      <w:r>
        <w:rPr>
          <w:rFonts w:ascii="Times New Roman" w:hAnsi="Times New Roman"/>
          <w:spacing w:val="-18"/>
        </w:rPr>
        <w:t> </w:t>
      </w:r>
      <w:r>
        <w:rPr>
          <w:rFonts w:ascii="Times New Roman" w:hAnsi="Times New Roman"/>
        </w:rPr>
        <w:t>established</w:t>
      </w:r>
      <w:r>
        <w:rPr>
          <w:rFonts w:ascii="Times New Roman" w:hAnsi="Times New Roman"/>
          <w:spacing w:val="-17"/>
        </w:rPr>
        <w:t> </w:t>
      </w:r>
      <w:r>
        <w:rPr>
          <w:rFonts w:ascii="Times New Roman" w:hAnsi="Times New Roman"/>
        </w:rPr>
        <w:t>by</w:t>
      </w:r>
      <w:r>
        <w:rPr>
          <w:rFonts w:ascii="Times New Roman" w:hAnsi="Times New Roman"/>
          <w:spacing w:val="-21"/>
        </w:rPr>
        <w:t> </w:t>
      </w:r>
      <w:r>
        <w:rPr>
          <w:rFonts w:ascii="Times New Roman" w:hAnsi="Times New Roman"/>
        </w:rPr>
        <w:t>National</w:t>
      </w:r>
      <w:r>
        <w:rPr>
          <w:rFonts w:ascii="Times New Roman" w:hAnsi="Times New Roman"/>
          <w:spacing w:val="-14"/>
        </w:rPr>
        <w:t> </w:t>
      </w:r>
      <w:r>
        <w:rPr>
          <w:rFonts w:ascii="Times New Roman" w:hAnsi="Times New Roman"/>
        </w:rPr>
        <w:t>Institutes</w:t>
      </w:r>
      <w:r>
        <w:rPr>
          <w:rFonts w:ascii="Times New Roman" w:hAnsi="Times New Roman"/>
          <w:spacing w:val="-17"/>
        </w:rPr>
        <w:t> </w:t>
      </w:r>
      <w:r>
        <w:rPr>
          <w:rFonts w:ascii="Times New Roman" w:hAnsi="Times New Roman"/>
        </w:rPr>
        <w:t>of</w:t>
      </w:r>
      <w:r>
        <w:rPr>
          <w:rFonts w:ascii="Times New Roman" w:hAnsi="Times New Roman"/>
          <w:spacing w:val="-18"/>
        </w:rPr>
        <w:t> </w:t>
      </w:r>
      <w:r>
        <w:rPr>
          <w:rFonts w:ascii="Times New Roman" w:hAnsi="Times New Roman"/>
        </w:rPr>
        <w:t>Health (NIH) in</w:t>
      </w:r>
      <w:r>
        <w:rPr>
          <w:rFonts w:ascii="Times New Roman" w:hAnsi="Times New Roman"/>
          <w:spacing w:val="-4"/>
        </w:rPr>
        <w:t> </w:t>
      </w:r>
      <w:r>
        <w:rPr>
          <w:rFonts w:ascii="Times New Roman" w:hAnsi="Times New Roman"/>
        </w:rPr>
        <w:t>1999.</w:t>
      </w:r>
      <w:r>
        <w:rPr>
          <w:rFonts w:ascii="Times New Roman" w:hAnsi="Times New Roman"/>
          <w:position w:val="9"/>
          <w:sz w:val="16"/>
        </w:rPr>
        <w:t>35</w:t>
      </w:r>
    </w:p>
    <w:p>
      <w:pPr>
        <w:spacing w:line="273" w:lineRule="exact" w:before="0"/>
        <w:ind w:left="138" w:right="0" w:firstLine="0"/>
        <w:jc w:val="both"/>
        <w:rPr>
          <w:rFonts w:ascii="Times New Roman"/>
          <w:i/>
          <w:sz w:val="24"/>
        </w:rPr>
      </w:pPr>
      <w:r>
        <w:rPr>
          <w:rFonts w:ascii="Times New Roman"/>
          <w:i/>
          <w:sz w:val="24"/>
        </w:rPr>
        <w:t>Questionnaires and interviews</w:t>
      </w:r>
    </w:p>
    <w:p>
      <w:pPr>
        <w:pStyle w:val="BodyText"/>
        <w:rPr>
          <w:rFonts w:ascii="Times New Roman"/>
          <w:i/>
        </w:rPr>
      </w:pPr>
    </w:p>
    <w:p>
      <w:pPr>
        <w:pStyle w:val="BodyText"/>
        <w:spacing w:line="480" w:lineRule="auto"/>
        <w:ind w:left="138" w:right="136"/>
        <w:jc w:val="both"/>
        <w:rPr>
          <w:rFonts w:ascii="Times New Roman" w:hAnsi="Times New Roman"/>
        </w:rPr>
      </w:pPr>
      <w:r>
        <w:rPr>
          <w:rFonts w:ascii="Times New Roman" w:hAnsi="Times New Roman"/>
        </w:rPr>
        <w:t>A questionnaire was structured, it was previously validated to the interview to parents or children´s primary caregivers of the children. Questions regarding to socio-demographic variables as well as hygiene and dietary habits to determine the children’s exposure to sugars. Parents were asked to list all food consumed for children (including between and during the meals) the day before the interview. Then, trained personnel conducted the interview after the children’s clinical examination.</w:t>
      </w:r>
    </w:p>
    <w:p>
      <w:pPr>
        <w:spacing w:before="10"/>
        <w:ind w:left="138" w:right="0" w:firstLine="0"/>
        <w:jc w:val="both"/>
        <w:rPr>
          <w:rFonts w:ascii="Times New Roman"/>
          <w:i/>
          <w:sz w:val="24"/>
        </w:rPr>
      </w:pPr>
      <w:r>
        <w:rPr>
          <w:rFonts w:ascii="Times New Roman"/>
          <w:i/>
          <w:sz w:val="24"/>
        </w:rPr>
        <w:t>Clinical examination of the parents or primary caregivers</w:t>
      </w:r>
    </w:p>
    <w:p>
      <w:pPr>
        <w:pStyle w:val="BodyText"/>
        <w:rPr>
          <w:rFonts w:ascii="Times New Roman"/>
          <w:i/>
        </w:rPr>
      </w:pPr>
    </w:p>
    <w:p>
      <w:pPr>
        <w:pStyle w:val="BodyText"/>
        <w:spacing w:line="480" w:lineRule="auto"/>
        <w:ind w:left="138" w:right="136"/>
        <w:jc w:val="both"/>
        <w:rPr>
          <w:rFonts w:ascii="Times New Roman"/>
        </w:rPr>
      </w:pPr>
      <w:r>
        <w:rPr>
          <w:rFonts w:ascii="Times New Roman"/>
        </w:rPr>
        <w:t>Clinical</w:t>
      </w:r>
      <w:r>
        <w:rPr>
          <w:rFonts w:ascii="Times New Roman"/>
          <w:spacing w:val="-6"/>
        </w:rPr>
        <w:t> </w:t>
      </w:r>
      <w:r>
        <w:rPr>
          <w:rFonts w:ascii="Times New Roman"/>
        </w:rPr>
        <w:t>examination</w:t>
      </w:r>
      <w:r>
        <w:rPr>
          <w:rFonts w:ascii="Times New Roman"/>
          <w:spacing w:val="-6"/>
        </w:rPr>
        <w:t> </w:t>
      </w:r>
      <w:r>
        <w:rPr>
          <w:rFonts w:ascii="Times New Roman"/>
        </w:rPr>
        <w:t>of</w:t>
      </w:r>
      <w:r>
        <w:rPr>
          <w:rFonts w:ascii="Times New Roman"/>
          <w:spacing w:val="-7"/>
        </w:rPr>
        <w:t> </w:t>
      </w:r>
      <w:r>
        <w:rPr>
          <w:rFonts w:ascii="Times New Roman"/>
        </w:rPr>
        <w:t>each</w:t>
      </w:r>
      <w:r>
        <w:rPr>
          <w:rFonts w:ascii="Times New Roman"/>
          <w:spacing w:val="-6"/>
        </w:rPr>
        <w:t> </w:t>
      </w:r>
      <w:r>
        <w:rPr>
          <w:rFonts w:ascii="Times New Roman"/>
        </w:rPr>
        <w:t>parent</w:t>
      </w:r>
      <w:r>
        <w:rPr>
          <w:rFonts w:ascii="Times New Roman"/>
          <w:spacing w:val="-3"/>
        </w:rPr>
        <w:t> </w:t>
      </w:r>
      <w:r>
        <w:rPr>
          <w:rFonts w:ascii="Times New Roman"/>
        </w:rPr>
        <w:t>was</w:t>
      </w:r>
      <w:r>
        <w:rPr>
          <w:rFonts w:ascii="Times New Roman"/>
          <w:spacing w:val="-4"/>
        </w:rPr>
        <w:t> </w:t>
      </w:r>
      <w:r>
        <w:rPr>
          <w:rFonts w:ascii="Times New Roman"/>
        </w:rPr>
        <w:t>conducted</w:t>
      </w:r>
      <w:r>
        <w:rPr>
          <w:rFonts w:ascii="Times New Roman"/>
          <w:spacing w:val="-6"/>
        </w:rPr>
        <w:t> </w:t>
      </w:r>
      <w:r>
        <w:rPr>
          <w:rFonts w:ascii="Times New Roman"/>
        </w:rPr>
        <w:t>after</w:t>
      </w:r>
      <w:r>
        <w:rPr>
          <w:rFonts w:ascii="Times New Roman"/>
          <w:spacing w:val="-7"/>
        </w:rPr>
        <w:t> </w:t>
      </w:r>
      <w:r>
        <w:rPr>
          <w:rFonts w:ascii="Times New Roman"/>
        </w:rPr>
        <w:t>the</w:t>
      </w:r>
      <w:r>
        <w:rPr>
          <w:rFonts w:ascii="Times New Roman"/>
          <w:spacing w:val="-7"/>
        </w:rPr>
        <w:t> </w:t>
      </w:r>
      <w:r>
        <w:rPr>
          <w:rFonts w:ascii="Times New Roman"/>
        </w:rPr>
        <w:t>interview</w:t>
      </w:r>
      <w:r>
        <w:rPr>
          <w:rFonts w:ascii="Times New Roman"/>
          <w:spacing w:val="-2"/>
        </w:rPr>
        <w:t> </w:t>
      </w:r>
      <w:r>
        <w:rPr>
          <w:rFonts w:ascii="Times New Roman"/>
        </w:rPr>
        <w:t>with</w:t>
      </w:r>
      <w:r>
        <w:rPr>
          <w:rFonts w:ascii="Times New Roman"/>
          <w:spacing w:val="-6"/>
        </w:rPr>
        <w:t> </w:t>
      </w:r>
      <w:r>
        <w:rPr>
          <w:rFonts w:ascii="Times New Roman"/>
        </w:rPr>
        <w:t>a</w:t>
      </w:r>
      <w:r>
        <w:rPr>
          <w:rFonts w:ascii="Times New Roman"/>
          <w:spacing w:val="-7"/>
        </w:rPr>
        <w:t> </w:t>
      </w:r>
      <w:r>
        <w:rPr>
          <w:rFonts w:ascii="Times New Roman"/>
        </w:rPr>
        <w:t>mirror,</w:t>
      </w:r>
      <w:r>
        <w:rPr>
          <w:rFonts w:ascii="Times New Roman"/>
          <w:spacing w:val="-6"/>
        </w:rPr>
        <w:t> </w:t>
      </w:r>
      <w:r>
        <w:rPr>
          <w:rFonts w:ascii="Times New Roman"/>
        </w:rPr>
        <w:t>and</w:t>
      </w:r>
      <w:r>
        <w:rPr>
          <w:rFonts w:ascii="Times New Roman"/>
          <w:spacing w:val="-3"/>
        </w:rPr>
        <w:t> </w:t>
      </w:r>
      <w:r>
        <w:rPr>
          <w:rFonts w:ascii="Times New Roman"/>
        </w:rPr>
        <w:t>unlike children; only the presence or absence of cavitated caries lesions was</w:t>
      </w:r>
      <w:r>
        <w:rPr>
          <w:rFonts w:ascii="Times New Roman"/>
          <w:spacing w:val="-12"/>
        </w:rPr>
        <w:t> </w:t>
      </w:r>
      <w:r>
        <w:rPr>
          <w:rFonts w:ascii="Times New Roman"/>
        </w:rPr>
        <w:t>recorded.</w:t>
      </w:r>
    </w:p>
    <w:p>
      <w:pPr>
        <w:pStyle w:val="BodyText"/>
        <w:spacing w:line="480" w:lineRule="auto" w:before="10"/>
        <w:ind w:left="138" w:right="139"/>
        <w:jc w:val="both"/>
        <w:rPr>
          <w:rFonts w:ascii="Times New Roman"/>
        </w:rPr>
      </w:pPr>
      <w:r>
        <w:rPr>
          <w:rFonts w:ascii="Times New Roman"/>
        </w:rPr>
        <w:t>Parents or primary</w:t>
      </w:r>
      <w:r>
        <w:rPr>
          <w:rFonts w:ascii="Times New Roman"/>
          <w:spacing w:val="-42"/>
        </w:rPr>
        <w:t> </w:t>
      </w:r>
      <w:r>
        <w:rPr>
          <w:rFonts w:ascii="Times New Roman"/>
        </w:rPr>
        <w:t>caregivers received information regarding to preventive measures, their oral conditions</w:t>
      </w:r>
      <w:r>
        <w:rPr>
          <w:rFonts w:ascii="Times New Roman"/>
          <w:spacing w:val="-6"/>
        </w:rPr>
        <w:t> </w:t>
      </w:r>
      <w:r>
        <w:rPr>
          <w:rFonts w:ascii="Times New Roman"/>
        </w:rPr>
        <w:t>and</w:t>
      </w:r>
      <w:r>
        <w:rPr>
          <w:rFonts w:ascii="Times New Roman"/>
          <w:spacing w:val="-6"/>
        </w:rPr>
        <w:t> </w:t>
      </w:r>
      <w:r>
        <w:rPr>
          <w:rFonts w:ascii="Times New Roman"/>
        </w:rPr>
        <w:t>required</w:t>
      </w:r>
      <w:r>
        <w:rPr>
          <w:rFonts w:ascii="Times New Roman"/>
          <w:spacing w:val="-6"/>
        </w:rPr>
        <w:t> </w:t>
      </w:r>
      <w:r>
        <w:rPr>
          <w:rFonts w:ascii="Times New Roman"/>
        </w:rPr>
        <w:t>treatments.</w:t>
      </w:r>
      <w:r>
        <w:rPr>
          <w:rFonts w:ascii="Times New Roman"/>
          <w:spacing w:val="-6"/>
        </w:rPr>
        <w:t> </w:t>
      </w:r>
      <w:r>
        <w:rPr>
          <w:rFonts w:ascii="Times New Roman"/>
        </w:rPr>
        <w:t>Also,</w:t>
      </w:r>
      <w:r>
        <w:rPr>
          <w:rFonts w:ascii="Times New Roman"/>
          <w:spacing w:val="-5"/>
        </w:rPr>
        <w:t> </w:t>
      </w:r>
      <w:r>
        <w:rPr>
          <w:rFonts w:ascii="Times New Roman"/>
        </w:rPr>
        <w:t>the</w:t>
      </w:r>
      <w:r>
        <w:rPr>
          <w:rFonts w:ascii="Times New Roman"/>
          <w:spacing w:val="-7"/>
        </w:rPr>
        <w:t> </w:t>
      </w:r>
      <w:r>
        <w:rPr>
          <w:rFonts w:ascii="Times New Roman"/>
        </w:rPr>
        <w:t>children</w:t>
      </w:r>
      <w:r>
        <w:rPr>
          <w:rFonts w:ascii="Times New Roman"/>
          <w:spacing w:val="-6"/>
        </w:rPr>
        <w:t> </w:t>
      </w:r>
      <w:r>
        <w:rPr>
          <w:rFonts w:ascii="Times New Roman"/>
        </w:rPr>
        <w:t>were</w:t>
      </w:r>
      <w:r>
        <w:rPr>
          <w:rFonts w:ascii="Times New Roman"/>
          <w:spacing w:val="-4"/>
        </w:rPr>
        <w:t> </w:t>
      </w:r>
      <w:r>
        <w:rPr>
          <w:rFonts w:ascii="Times New Roman"/>
        </w:rPr>
        <w:t>canalized</w:t>
      </w:r>
      <w:r>
        <w:rPr>
          <w:rFonts w:ascii="Times New Roman"/>
          <w:spacing w:val="-6"/>
        </w:rPr>
        <w:t> </w:t>
      </w:r>
      <w:r>
        <w:rPr>
          <w:rFonts w:ascii="Times New Roman"/>
        </w:rPr>
        <w:t>for</w:t>
      </w:r>
      <w:r>
        <w:rPr>
          <w:rFonts w:ascii="Times New Roman"/>
          <w:spacing w:val="-5"/>
        </w:rPr>
        <w:t> </w:t>
      </w:r>
      <w:r>
        <w:rPr>
          <w:rFonts w:ascii="Times New Roman"/>
        </w:rPr>
        <w:t>restorative</w:t>
      </w:r>
      <w:r>
        <w:rPr>
          <w:rFonts w:ascii="Times New Roman"/>
          <w:spacing w:val="-7"/>
        </w:rPr>
        <w:t> </w:t>
      </w:r>
      <w:r>
        <w:rPr>
          <w:rFonts w:ascii="Times New Roman"/>
        </w:rPr>
        <w:t>dental</w:t>
      </w:r>
      <w:r>
        <w:rPr>
          <w:rFonts w:ascii="Times New Roman"/>
          <w:spacing w:val="-4"/>
        </w:rPr>
        <w:t> </w:t>
      </w:r>
      <w:r>
        <w:rPr>
          <w:rFonts w:ascii="Times New Roman"/>
        </w:rPr>
        <w:t>care</w:t>
      </w:r>
    </w:p>
    <w:p>
      <w:pPr>
        <w:spacing w:after="0" w:line="480" w:lineRule="auto"/>
        <w:jc w:val="both"/>
        <w:rPr>
          <w:rFonts w:ascii="Times New Roman"/>
        </w:rPr>
        <w:sectPr>
          <w:pgSz w:w="12240" w:h="15840"/>
          <w:pgMar w:header="686" w:footer="964" w:top="1080" w:bottom="1160" w:left="1280" w:right="1560"/>
        </w:sectPr>
      </w:pPr>
    </w:p>
    <w:p>
      <w:pPr>
        <w:pStyle w:val="BodyText"/>
        <w:rPr>
          <w:rFonts w:ascii="Times New Roman"/>
          <w:sz w:val="20"/>
        </w:rPr>
      </w:pPr>
    </w:p>
    <w:p>
      <w:pPr>
        <w:pStyle w:val="BodyText"/>
        <w:spacing w:before="11"/>
        <w:rPr>
          <w:rFonts w:ascii="Times New Roman"/>
          <w:sz w:val="26"/>
        </w:rPr>
      </w:pPr>
    </w:p>
    <w:p>
      <w:pPr>
        <w:pStyle w:val="BodyText"/>
        <w:spacing w:line="480" w:lineRule="auto" w:before="69"/>
        <w:ind w:left="138" w:right="138"/>
        <w:jc w:val="both"/>
        <w:rPr>
          <w:rFonts w:ascii="Times New Roman" w:hAnsi="Times New Roman"/>
        </w:rPr>
      </w:pPr>
      <w:r>
        <w:rPr>
          <w:rFonts w:ascii="Times New Roman" w:hAnsi="Times New Roman"/>
        </w:rPr>
        <w:t>in pediatric dentistry clinics at Universidad Autónoma del Estado de México (UAEM) School of Dentistry.</w:t>
      </w:r>
    </w:p>
    <w:p>
      <w:pPr>
        <w:spacing w:before="10"/>
        <w:ind w:left="138" w:right="0" w:firstLine="0"/>
        <w:jc w:val="both"/>
        <w:rPr>
          <w:rFonts w:ascii="Times New Roman"/>
          <w:i/>
          <w:sz w:val="24"/>
        </w:rPr>
      </w:pPr>
      <w:r>
        <w:rPr>
          <w:rFonts w:ascii="Times New Roman"/>
          <w:i/>
          <w:sz w:val="24"/>
        </w:rPr>
        <w:t>Statistical analysis</w:t>
      </w:r>
    </w:p>
    <w:p>
      <w:pPr>
        <w:pStyle w:val="BodyText"/>
        <w:rPr>
          <w:rFonts w:ascii="Times New Roman"/>
          <w:i/>
        </w:rPr>
      </w:pPr>
    </w:p>
    <w:p>
      <w:pPr>
        <w:pStyle w:val="BodyText"/>
        <w:ind w:left="138"/>
        <w:jc w:val="both"/>
        <w:rPr>
          <w:rFonts w:ascii="Times New Roman"/>
        </w:rPr>
      </w:pPr>
      <w:r>
        <w:rPr>
          <w:rFonts w:ascii="Times New Roman"/>
        </w:rPr>
        <w:t>All the data were analyzed by SPSS statistical package (SPSS IBM, New York, NY),   version</w:t>
      </w:r>
    </w:p>
    <w:p>
      <w:pPr>
        <w:pStyle w:val="BodyText"/>
        <w:rPr>
          <w:rFonts w:ascii="Times New Roman"/>
        </w:rPr>
      </w:pPr>
    </w:p>
    <w:p>
      <w:pPr>
        <w:pStyle w:val="BodyText"/>
        <w:spacing w:line="480" w:lineRule="auto"/>
        <w:ind w:left="138" w:right="136"/>
        <w:jc w:val="both"/>
        <w:rPr>
          <w:rFonts w:ascii="Times New Roman"/>
        </w:rPr>
      </w:pPr>
      <w:r>
        <w:rPr>
          <w:rFonts w:ascii="Times New Roman"/>
        </w:rPr>
        <w:t>21.</w:t>
      </w:r>
      <w:r>
        <w:rPr>
          <w:rFonts w:ascii="Times New Roman"/>
          <w:spacing w:val="-9"/>
        </w:rPr>
        <w:t> </w:t>
      </w:r>
      <w:r>
        <w:rPr>
          <w:rFonts w:ascii="Times New Roman"/>
        </w:rPr>
        <w:t>A</w:t>
      </w:r>
      <w:r>
        <w:rPr>
          <w:rFonts w:ascii="Times New Roman"/>
          <w:spacing w:val="-9"/>
        </w:rPr>
        <w:t> </w:t>
      </w:r>
      <w:r>
        <w:rPr>
          <w:rFonts w:ascii="Times New Roman"/>
        </w:rPr>
        <w:t>model</w:t>
      </w:r>
      <w:r>
        <w:rPr>
          <w:rFonts w:ascii="Times New Roman"/>
          <w:spacing w:val="-9"/>
        </w:rPr>
        <w:t> </w:t>
      </w:r>
      <w:r>
        <w:rPr>
          <w:rFonts w:ascii="Times New Roman"/>
        </w:rPr>
        <w:t>was</w:t>
      </w:r>
      <w:r>
        <w:rPr>
          <w:rFonts w:ascii="Times New Roman"/>
          <w:spacing w:val="-8"/>
        </w:rPr>
        <w:t> </w:t>
      </w:r>
      <w:r>
        <w:rPr>
          <w:rFonts w:ascii="Times New Roman"/>
        </w:rPr>
        <w:t>built</w:t>
      </w:r>
      <w:r>
        <w:rPr>
          <w:rFonts w:ascii="Times New Roman"/>
          <w:spacing w:val="-8"/>
        </w:rPr>
        <w:t> </w:t>
      </w:r>
      <w:r>
        <w:rPr>
          <w:rFonts w:ascii="Times New Roman"/>
        </w:rPr>
        <w:t>using</w:t>
      </w:r>
      <w:r>
        <w:rPr>
          <w:rFonts w:ascii="Times New Roman"/>
          <w:spacing w:val="-10"/>
        </w:rPr>
        <w:t> </w:t>
      </w:r>
      <w:r>
        <w:rPr>
          <w:rFonts w:ascii="Times New Roman"/>
        </w:rPr>
        <w:t>the</w:t>
      </w:r>
      <w:r>
        <w:rPr>
          <w:rFonts w:ascii="Times New Roman"/>
          <w:spacing w:val="-7"/>
        </w:rPr>
        <w:t> </w:t>
      </w:r>
      <w:r>
        <w:rPr>
          <w:rFonts w:ascii="Times New Roman"/>
        </w:rPr>
        <w:t>automatized</w:t>
      </w:r>
      <w:r>
        <w:rPr>
          <w:rFonts w:ascii="Times New Roman"/>
          <w:spacing w:val="-9"/>
        </w:rPr>
        <w:t> </w:t>
      </w:r>
      <w:r>
        <w:rPr>
          <w:rFonts w:ascii="Times New Roman"/>
        </w:rPr>
        <w:t>lineal</w:t>
      </w:r>
      <w:r>
        <w:rPr>
          <w:rFonts w:ascii="Times New Roman"/>
          <w:spacing w:val="-6"/>
        </w:rPr>
        <w:t> </w:t>
      </w:r>
      <w:r>
        <w:rPr>
          <w:rFonts w:ascii="Times New Roman"/>
        </w:rPr>
        <w:t>model,</w:t>
      </w:r>
      <w:r>
        <w:rPr>
          <w:rFonts w:ascii="Times New Roman"/>
          <w:spacing w:val="-9"/>
        </w:rPr>
        <w:t> </w:t>
      </w:r>
      <w:r>
        <w:rPr>
          <w:rFonts w:ascii="Times New Roman"/>
        </w:rPr>
        <w:t>and</w:t>
      </w:r>
      <w:r>
        <w:rPr>
          <w:rFonts w:ascii="Times New Roman"/>
          <w:spacing w:val="-9"/>
        </w:rPr>
        <w:t> </w:t>
      </w:r>
      <w:r>
        <w:rPr>
          <w:rFonts w:ascii="Times New Roman"/>
        </w:rPr>
        <w:t>analysis</w:t>
      </w:r>
      <w:r>
        <w:rPr>
          <w:rFonts w:ascii="Times New Roman"/>
          <w:spacing w:val="-6"/>
        </w:rPr>
        <w:t> </w:t>
      </w:r>
      <w:r>
        <w:rPr>
          <w:rFonts w:ascii="Times New Roman"/>
        </w:rPr>
        <w:t>was</w:t>
      </w:r>
      <w:r>
        <w:rPr>
          <w:rFonts w:ascii="Times New Roman"/>
          <w:spacing w:val="-6"/>
        </w:rPr>
        <w:t> </w:t>
      </w:r>
      <w:r>
        <w:rPr>
          <w:rFonts w:ascii="Times New Roman"/>
        </w:rPr>
        <w:t>performed</w:t>
      </w:r>
      <w:r>
        <w:rPr>
          <w:rFonts w:ascii="Times New Roman"/>
          <w:spacing w:val="-7"/>
        </w:rPr>
        <w:t> </w:t>
      </w:r>
      <w:r>
        <w:rPr>
          <w:rFonts w:ascii="Times New Roman"/>
        </w:rPr>
        <w:t>using</w:t>
      </w:r>
      <w:r>
        <w:rPr>
          <w:rFonts w:ascii="Times New Roman"/>
          <w:spacing w:val="-11"/>
        </w:rPr>
        <w:t> </w:t>
      </w:r>
      <w:r>
        <w:rPr>
          <w:rFonts w:ascii="Times New Roman"/>
        </w:rPr>
        <w:t>all variables</w:t>
      </w:r>
      <w:r>
        <w:rPr>
          <w:rFonts w:ascii="Times New Roman"/>
          <w:spacing w:val="-12"/>
        </w:rPr>
        <w:t> </w:t>
      </w:r>
      <w:r>
        <w:rPr>
          <w:rFonts w:ascii="Times New Roman"/>
        </w:rPr>
        <w:t>obtained</w:t>
      </w:r>
      <w:r>
        <w:rPr>
          <w:rFonts w:ascii="Times New Roman"/>
          <w:spacing w:val="-12"/>
        </w:rPr>
        <w:t> </w:t>
      </w:r>
      <w:r>
        <w:rPr>
          <w:rFonts w:ascii="Times New Roman"/>
        </w:rPr>
        <w:t>from</w:t>
      </w:r>
      <w:r>
        <w:rPr>
          <w:rFonts w:ascii="Times New Roman"/>
          <w:spacing w:val="-12"/>
        </w:rPr>
        <w:t> </w:t>
      </w:r>
      <w:r>
        <w:rPr>
          <w:rFonts w:ascii="Times New Roman"/>
        </w:rPr>
        <w:t>the</w:t>
      </w:r>
      <w:r>
        <w:rPr>
          <w:rFonts w:ascii="Times New Roman"/>
          <w:spacing w:val="-13"/>
        </w:rPr>
        <w:t> </w:t>
      </w:r>
      <w:r>
        <w:rPr>
          <w:rFonts w:ascii="Times New Roman"/>
        </w:rPr>
        <w:t>questionnaire</w:t>
      </w:r>
      <w:r>
        <w:rPr>
          <w:rFonts w:ascii="Times New Roman"/>
          <w:spacing w:val="-13"/>
        </w:rPr>
        <w:t> </w:t>
      </w:r>
      <w:r>
        <w:rPr>
          <w:rFonts w:ascii="Times New Roman"/>
        </w:rPr>
        <w:t>(age,</w:t>
      </w:r>
      <w:r>
        <w:rPr>
          <w:rFonts w:ascii="Times New Roman"/>
          <w:spacing w:val="-12"/>
        </w:rPr>
        <w:t> </w:t>
      </w:r>
      <w:r>
        <w:rPr>
          <w:rFonts w:ascii="Times New Roman"/>
        </w:rPr>
        <w:t>sex,</w:t>
      </w:r>
      <w:r>
        <w:rPr>
          <w:rFonts w:ascii="Times New Roman"/>
          <w:spacing w:val="-12"/>
        </w:rPr>
        <w:t> </w:t>
      </w:r>
      <w:r>
        <w:rPr>
          <w:rFonts w:ascii="Times New Roman"/>
        </w:rPr>
        <w:t>weight,</w:t>
      </w:r>
      <w:r>
        <w:rPr>
          <w:rFonts w:ascii="Times New Roman"/>
          <w:spacing w:val="-12"/>
        </w:rPr>
        <w:t> </w:t>
      </w:r>
      <w:r>
        <w:rPr>
          <w:rFonts w:ascii="Times New Roman"/>
        </w:rPr>
        <w:t>height,</w:t>
      </w:r>
      <w:r>
        <w:rPr>
          <w:rFonts w:ascii="Times New Roman"/>
          <w:spacing w:val="-12"/>
        </w:rPr>
        <w:t> </w:t>
      </w:r>
      <w:r>
        <w:rPr>
          <w:rFonts w:ascii="Times New Roman"/>
        </w:rPr>
        <w:t>health</w:t>
      </w:r>
      <w:r>
        <w:rPr>
          <w:rFonts w:ascii="Times New Roman"/>
          <w:spacing w:val="-12"/>
        </w:rPr>
        <w:t> </w:t>
      </w:r>
      <w:r>
        <w:rPr>
          <w:rFonts w:ascii="Times New Roman"/>
        </w:rPr>
        <w:t>habits,</w:t>
      </w:r>
      <w:r>
        <w:rPr>
          <w:rFonts w:ascii="Times New Roman"/>
          <w:spacing w:val="-12"/>
        </w:rPr>
        <w:t> </w:t>
      </w:r>
      <w:r>
        <w:rPr>
          <w:rFonts w:ascii="Times New Roman"/>
        </w:rPr>
        <w:t>food,</w:t>
      </w:r>
      <w:r>
        <w:rPr>
          <w:rFonts w:ascii="Times New Roman"/>
          <w:spacing w:val="-13"/>
        </w:rPr>
        <w:t> </w:t>
      </w:r>
      <w:r>
        <w:rPr>
          <w:rFonts w:ascii="Times New Roman"/>
        </w:rPr>
        <w:t>presence of</w:t>
      </w:r>
      <w:r>
        <w:rPr>
          <w:rFonts w:ascii="Times New Roman"/>
          <w:spacing w:val="-9"/>
        </w:rPr>
        <w:t> </w:t>
      </w:r>
      <w:r>
        <w:rPr>
          <w:rFonts w:ascii="Times New Roman"/>
          <w:i/>
        </w:rPr>
        <w:t>materia</w:t>
      </w:r>
      <w:r>
        <w:rPr>
          <w:rFonts w:ascii="Times New Roman"/>
          <w:i/>
          <w:spacing w:val="-8"/>
        </w:rPr>
        <w:t> </w:t>
      </w:r>
      <w:r>
        <w:rPr>
          <w:rFonts w:ascii="Times New Roman"/>
          <w:i/>
        </w:rPr>
        <w:t>alba</w:t>
      </w:r>
      <w:r>
        <w:rPr>
          <w:rFonts w:ascii="Times New Roman"/>
          <w:i/>
          <w:spacing w:val="-8"/>
        </w:rPr>
        <w:t> </w:t>
      </w:r>
      <w:r>
        <w:rPr>
          <w:rFonts w:ascii="Times New Roman"/>
        </w:rPr>
        <w:t>or</w:t>
      </w:r>
      <w:r>
        <w:rPr>
          <w:rFonts w:ascii="Times New Roman"/>
          <w:spacing w:val="-9"/>
        </w:rPr>
        <w:t> </w:t>
      </w:r>
      <w:r>
        <w:rPr>
          <w:rFonts w:ascii="Times New Roman"/>
        </w:rPr>
        <w:t>dental</w:t>
      </w:r>
      <w:r>
        <w:rPr>
          <w:rFonts w:ascii="Times New Roman"/>
          <w:spacing w:val="-6"/>
        </w:rPr>
        <w:t> </w:t>
      </w:r>
      <w:r>
        <w:rPr>
          <w:rFonts w:ascii="Times New Roman"/>
        </w:rPr>
        <w:t>calculus,</w:t>
      </w:r>
      <w:r>
        <w:rPr>
          <w:rFonts w:ascii="Times New Roman"/>
          <w:spacing w:val="-9"/>
        </w:rPr>
        <w:t> </w:t>
      </w:r>
      <w:r>
        <w:rPr>
          <w:rFonts w:ascii="Times New Roman"/>
        </w:rPr>
        <w:t>education</w:t>
      </w:r>
      <w:r>
        <w:rPr>
          <w:rFonts w:ascii="Times New Roman"/>
          <w:spacing w:val="-9"/>
        </w:rPr>
        <w:t> </w:t>
      </w:r>
      <w:r>
        <w:rPr>
          <w:rFonts w:ascii="Times New Roman"/>
        </w:rPr>
        <w:t>level</w:t>
      </w:r>
      <w:r>
        <w:rPr>
          <w:rFonts w:ascii="Times New Roman"/>
          <w:spacing w:val="-6"/>
        </w:rPr>
        <w:t> </w:t>
      </w:r>
      <w:r>
        <w:rPr>
          <w:rFonts w:ascii="Times New Roman"/>
        </w:rPr>
        <w:t>of</w:t>
      </w:r>
      <w:r>
        <w:rPr>
          <w:rFonts w:ascii="Times New Roman"/>
          <w:spacing w:val="-9"/>
        </w:rPr>
        <w:t> </w:t>
      </w:r>
      <w:r>
        <w:rPr>
          <w:rFonts w:ascii="Times New Roman"/>
        </w:rPr>
        <w:t>father,</w:t>
      </w:r>
      <w:r>
        <w:rPr>
          <w:rFonts w:ascii="Times New Roman"/>
          <w:spacing w:val="-9"/>
        </w:rPr>
        <w:t> </w:t>
      </w:r>
      <w:r>
        <w:rPr>
          <w:rFonts w:ascii="Times New Roman"/>
        </w:rPr>
        <w:t>mother</w:t>
      </w:r>
      <w:r>
        <w:rPr>
          <w:rFonts w:ascii="Times New Roman"/>
          <w:spacing w:val="-9"/>
        </w:rPr>
        <w:t> </w:t>
      </w:r>
      <w:r>
        <w:rPr>
          <w:rFonts w:ascii="Times New Roman"/>
        </w:rPr>
        <w:t>or</w:t>
      </w:r>
      <w:r>
        <w:rPr>
          <w:rFonts w:ascii="Times New Roman"/>
          <w:spacing w:val="-9"/>
        </w:rPr>
        <w:t> </w:t>
      </w:r>
      <w:r>
        <w:rPr>
          <w:rFonts w:ascii="Times New Roman"/>
        </w:rPr>
        <w:t>primary</w:t>
      </w:r>
      <w:r>
        <w:rPr>
          <w:rFonts w:ascii="Times New Roman"/>
          <w:spacing w:val="-13"/>
        </w:rPr>
        <w:t> </w:t>
      </w:r>
      <w:r>
        <w:rPr>
          <w:rFonts w:ascii="Times New Roman"/>
        </w:rPr>
        <w:t>caregiver,</w:t>
      </w:r>
      <w:r>
        <w:rPr>
          <w:rFonts w:ascii="Times New Roman"/>
          <w:spacing w:val="-9"/>
        </w:rPr>
        <w:t> </w:t>
      </w:r>
      <w:r>
        <w:rPr>
          <w:rFonts w:ascii="Times New Roman"/>
        </w:rPr>
        <w:t>caries in the primary caregiver, among others.) The dmfs was selected as </w:t>
      </w:r>
      <w:r>
        <w:rPr>
          <w:rFonts w:ascii="Times New Roman"/>
          <w:spacing w:val="2"/>
        </w:rPr>
        <w:t>the </w:t>
      </w:r>
      <w:r>
        <w:rPr>
          <w:rFonts w:ascii="Times New Roman"/>
        </w:rPr>
        <w:t>target variable and the sex as a weighting variable in the analysis, using automatic data preparation, following transformed variables accounted for the analysis (and excluding its original corresponding variables) as show in Table</w:t>
      </w:r>
      <w:r>
        <w:rPr>
          <w:rFonts w:ascii="Times New Roman"/>
          <w:spacing w:val="-3"/>
        </w:rPr>
        <w:t> </w:t>
      </w:r>
      <w:r>
        <w:rPr>
          <w:rFonts w:ascii="Times New Roman"/>
        </w:rPr>
        <w:t>1.</w:t>
      </w:r>
    </w:p>
    <w:p>
      <w:pPr>
        <w:pStyle w:val="BodyText"/>
        <w:spacing w:line="480" w:lineRule="auto" w:before="10"/>
        <w:ind w:left="138" w:right="138"/>
        <w:jc w:val="both"/>
        <w:rPr>
          <w:rFonts w:ascii="Times New Roman"/>
        </w:rPr>
      </w:pPr>
      <w:r>
        <w:rPr>
          <w:rFonts w:ascii="Times New Roman"/>
        </w:rPr>
        <w:t>ANOVA table shows that all variables except length of bottle-feeding were significant for building the model (0.05 significance level); thus this variable was excluded from the analysis. Furthermore, the variable number of times that child is exposed to sugars between meals was transformed</w:t>
      </w:r>
      <w:r>
        <w:rPr>
          <w:rFonts w:ascii="Times New Roman"/>
          <w:spacing w:val="-7"/>
        </w:rPr>
        <w:t> </w:t>
      </w:r>
      <w:r>
        <w:rPr>
          <w:rFonts w:ascii="Times New Roman"/>
        </w:rPr>
        <w:t>by</w:t>
      </w:r>
      <w:r>
        <w:rPr>
          <w:rFonts w:ascii="Times New Roman"/>
          <w:spacing w:val="-11"/>
        </w:rPr>
        <w:t> </w:t>
      </w:r>
      <w:r>
        <w:rPr>
          <w:rFonts w:ascii="Times New Roman"/>
        </w:rPr>
        <w:t>combining</w:t>
      </w:r>
      <w:r>
        <w:rPr>
          <w:rFonts w:ascii="Times New Roman"/>
          <w:spacing w:val="-9"/>
        </w:rPr>
        <w:t> </w:t>
      </w:r>
      <w:r>
        <w:rPr>
          <w:rFonts w:ascii="Times New Roman"/>
        </w:rPr>
        <w:t>categories</w:t>
      </w:r>
      <w:r>
        <w:rPr>
          <w:rFonts w:ascii="Times New Roman"/>
          <w:spacing w:val="-6"/>
        </w:rPr>
        <w:t> </w:t>
      </w:r>
      <w:r>
        <w:rPr>
          <w:rFonts w:ascii="Times New Roman"/>
        </w:rPr>
        <w:t>and</w:t>
      </w:r>
      <w:r>
        <w:rPr>
          <w:rFonts w:ascii="Times New Roman"/>
          <w:spacing w:val="-6"/>
        </w:rPr>
        <w:t> </w:t>
      </w:r>
      <w:r>
        <w:rPr>
          <w:rFonts w:ascii="Times New Roman"/>
        </w:rPr>
        <w:t>showed</w:t>
      </w:r>
      <w:r>
        <w:rPr>
          <w:rFonts w:ascii="Times New Roman"/>
          <w:spacing w:val="-6"/>
        </w:rPr>
        <w:t> </w:t>
      </w:r>
      <w:r>
        <w:rPr>
          <w:rFonts w:ascii="Times New Roman"/>
        </w:rPr>
        <w:t>a</w:t>
      </w:r>
      <w:r>
        <w:rPr>
          <w:rFonts w:ascii="Times New Roman"/>
          <w:spacing w:val="-7"/>
        </w:rPr>
        <w:t> </w:t>
      </w:r>
      <w:r>
        <w:rPr>
          <w:rFonts w:ascii="Times New Roman"/>
        </w:rPr>
        <w:t>significance</w:t>
      </w:r>
      <w:r>
        <w:rPr>
          <w:rFonts w:ascii="Times New Roman"/>
          <w:spacing w:val="-7"/>
        </w:rPr>
        <w:t> </w:t>
      </w:r>
      <w:r>
        <w:rPr>
          <w:rFonts w:ascii="Times New Roman"/>
        </w:rPr>
        <w:t>level</w:t>
      </w:r>
      <w:r>
        <w:rPr>
          <w:rFonts w:ascii="Times New Roman"/>
          <w:spacing w:val="-6"/>
        </w:rPr>
        <w:t> </w:t>
      </w:r>
      <w:r>
        <w:rPr>
          <w:rFonts w:ascii="Times New Roman"/>
        </w:rPr>
        <w:t>close</w:t>
      </w:r>
      <w:r>
        <w:rPr>
          <w:rFonts w:ascii="Times New Roman"/>
          <w:spacing w:val="-7"/>
        </w:rPr>
        <w:t> </w:t>
      </w:r>
      <w:r>
        <w:rPr>
          <w:rFonts w:ascii="Times New Roman"/>
        </w:rPr>
        <w:t>to</w:t>
      </w:r>
      <w:r>
        <w:rPr>
          <w:rFonts w:ascii="Times New Roman"/>
          <w:spacing w:val="-6"/>
        </w:rPr>
        <w:t> </w:t>
      </w:r>
      <w:r>
        <w:rPr>
          <w:rFonts w:ascii="Times New Roman"/>
        </w:rPr>
        <w:t>0.05,</w:t>
      </w:r>
      <w:r>
        <w:rPr>
          <w:rFonts w:ascii="Times New Roman"/>
          <w:spacing w:val="-6"/>
        </w:rPr>
        <w:t> </w:t>
      </w:r>
      <w:r>
        <w:rPr>
          <w:rFonts w:ascii="Times New Roman"/>
        </w:rPr>
        <w:t>reason</w:t>
      </w:r>
      <w:r>
        <w:rPr>
          <w:rFonts w:ascii="Times New Roman"/>
          <w:spacing w:val="-6"/>
        </w:rPr>
        <w:t> </w:t>
      </w:r>
      <w:r>
        <w:rPr>
          <w:rFonts w:ascii="Times New Roman"/>
        </w:rPr>
        <w:t>why it was also excluded from the analysis, as seen in Table</w:t>
      </w:r>
      <w:r>
        <w:rPr>
          <w:rFonts w:ascii="Times New Roman"/>
          <w:spacing w:val="-12"/>
        </w:rPr>
        <w:t> </w:t>
      </w:r>
      <w:r>
        <w:rPr>
          <w:rFonts w:ascii="Times New Roman"/>
        </w:rPr>
        <w:t>2.</w:t>
      </w:r>
    </w:p>
    <w:p>
      <w:pPr>
        <w:pStyle w:val="BodyText"/>
        <w:spacing w:line="480" w:lineRule="auto" w:before="10"/>
        <w:ind w:left="138" w:right="617"/>
        <w:rPr>
          <w:rFonts w:ascii="Times New Roman"/>
        </w:rPr>
      </w:pPr>
      <w:r>
        <w:rPr>
          <w:rFonts w:ascii="Times New Roman"/>
        </w:rPr>
        <w:t>Stepwise model-selection method, assigned relative importance to the following variables (Figure 1).</w:t>
      </w:r>
    </w:p>
    <w:p>
      <w:pPr>
        <w:pStyle w:val="BodyText"/>
        <w:rPr>
          <w:rFonts w:ascii="Times New Roman"/>
        </w:rPr>
      </w:pPr>
    </w:p>
    <w:p>
      <w:pPr>
        <w:pStyle w:val="BodyText"/>
        <w:spacing w:before="5"/>
        <w:rPr>
          <w:rFonts w:ascii="Times New Roman"/>
          <w:sz w:val="22"/>
        </w:rPr>
      </w:pPr>
    </w:p>
    <w:p>
      <w:pPr>
        <w:pStyle w:val="Heading1"/>
        <w:rPr>
          <w:rFonts w:ascii="Times New Roman"/>
        </w:rPr>
      </w:pPr>
      <w:r>
        <w:rPr>
          <w:rFonts w:ascii="Times New Roman"/>
        </w:rPr>
        <w:t>RESULTS</w:t>
      </w:r>
    </w:p>
    <w:p>
      <w:pPr>
        <w:pStyle w:val="BodyText"/>
        <w:spacing w:before="6"/>
        <w:rPr>
          <w:rFonts w:ascii="Times New Roman"/>
          <w:b/>
          <w:sz w:val="23"/>
        </w:rPr>
      </w:pPr>
    </w:p>
    <w:p>
      <w:pPr>
        <w:pStyle w:val="BodyText"/>
        <w:spacing w:line="480" w:lineRule="auto"/>
        <w:ind w:left="138" w:right="139"/>
        <w:jc w:val="both"/>
        <w:rPr>
          <w:rFonts w:ascii="Times New Roman" w:hAnsi="Times New Roman"/>
        </w:rPr>
      </w:pPr>
      <w:r>
        <w:rPr>
          <w:rFonts w:ascii="Times New Roman" w:hAnsi="Times New Roman"/>
        </w:rPr>
        <w:t>The average age of the 131 children was 4.7 years old; 51.9% of them were female and 48.1% male. The weight average of children was 17.1 kg, ± 2.1 kg, and a height average of 1.0± 0.1. 43% of the children had </w:t>
      </w:r>
      <w:r>
        <w:rPr>
          <w:rFonts w:ascii="Times New Roman" w:hAnsi="Times New Roman"/>
          <w:i/>
        </w:rPr>
        <w:t>materia alba </w:t>
      </w:r>
      <w:r>
        <w:rPr>
          <w:rFonts w:ascii="Times New Roman" w:hAnsi="Times New Roman"/>
        </w:rPr>
        <w:t>in his teeth while 56.5% did not. The ICDAS scores  are</w:t>
      </w:r>
    </w:p>
    <w:p>
      <w:pPr>
        <w:spacing w:after="0" w:line="480" w:lineRule="auto"/>
        <w:jc w:val="both"/>
        <w:rPr>
          <w:rFonts w:ascii="Times New Roman" w:hAnsi="Times New Roman"/>
        </w:rPr>
        <w:sectPr>
          <w:pgSz w:w="12240" w:h="15840"/>
          <w:pgMar w:header="686" w:footer="964" w:top="1080" w:bottom="1160" w:left="1280" w:right="1560"/>
        </w:sectPr>
      </w:pPr>
    </w:p>
    <w:p>
      <w:pPr>
        <w:pStyle w:val="BodyText"/>
        <w:rPr>
          <w:rFonts w:ascii="Times New Roman"/>
          <w:sz w:val="20"/>
        </w:rPr>
      </w:pPr>
    </w:p>
    <w:p>
      <w:pPr>
        <w:pStyle w:val="BodyText"/>
        <w:spacing w:before="11"/>
        <w:rPr>
          <w:rFonts w:ascii="Times New Roman"/>
          <w:sz w:val="26"/>
        </w:rPr>
      </w:pPr>
    </w:p>
    <w:p>
      <w:pPr>
        <w:pStyle w:val="BodyText"/>
        <w:spacing w:line="480" w:lineRule="auto" w:before="68"/>
        <w:ind w:left="138" w:right="138"/>
        <w:jc w:val="both"/>
        <w:rPr>
          <w:rFonts w:ascii="Times New Roman"/>
        </w:rPr>
      </w:pPr>
      <w:r>
        <w:rPr>
          <w:rFonts w:ascii="Times New Roman"/>
          <w:position w:val="2"/>
        </w:rPr>
        <w:t>presented</w:t>
      </w:r>
      <w:r>
        <w:rPr>
          <w:rFonts w:ascii="Times New Roman"/>
          <w:spacing w:val="-9"/>
          <w:position w:val="2"/>
        </w:rPr>
        <w:t> </w:t>
      </w:r>
      <w:r>
        <w:rPr>
          <w:rFonts w:ascii="Times New Roman"/>
          <w:position w:val="2"/>
        </w:rPr>
        <w:t>in</w:t>
      </w:r>
      <w:r>
        <w:rPr>
          <w:rFonts w:ascii="Times New Roman"/>
          <w:spacing w:val="-8"/>
          <w:position w:val="2"/>
        </w:rPr>
        <w:t> </w:t>
      </w:r>
      <w:r>
        <w:rPr>
          <w:rFonts w:ascii="Times New Roman"/>
          <w:position w:val="2"/>
        </w:rPr>
        <w:t>Tables</w:t>
      </w:r>
      <w:r>
        <w:rPr>
          <w:rFonts w:ascii="Times New Roman"/>
          <w:spacing w:val="-8"/>
          <w:position w:val="2"/>
        </w:rPr>
        <w:t> </w:t>
      </w:r>
      <w:r>
        <w:rPr>
          <w:rFonts w:ascii="Times New Roman"/>
          <w:position w:val="2"/>
        </w:rPr>
        <w:t>3</w:t>
      </w:r>
      <w:r>
        <w:rPr>
          <w:rFonts w:ascii="Times New Roman"/>
          <w:spacing w:val="-9"/>
          <w:position w:val="2"/>
        </w:rPr>
        <w:t> </w:t>
      </w:r>
      <w:r>
        <w:rPr>
          <w:rFonts w:ascii="Times New Roman"/>
          <w:position w:val="2"/>
        </w:rPr>
        <w:t>and</w:t>
      </w:r>
      <w:r>
        <w:rPr>
          <w:rFonts w:ascii="Times New Roman"/>
          <w:spacing w:val="-7"/>
          <w:position w:val="2"/>
        </w:rPr>
        <w:t> </w:t>
      </w:r>
      <w:r>
        <w:rPr>
          <w:rFonts w:ascii="Times New Roman"/>
          <w:position w:val="2"/>
        </w:rPr>
        <w:t>4,</w:t>
      </w:r>
      <w:r>
        <w:rPr>
          <w:rFonts w:ascii="Times New Roman"/>
          <w:spacing w:val="-9"/>
          <w:position w:val="2"/>
        </w:rPr>
        <w:t> </w:t>
      </w:r>
      <w:r>
        <w:rPr>
          <w:rFonts w:ascii="Times New Roman"/>
          <w:position w:val="2"/>
        </w:rPr>
        <w:t>the</w:t>
      </w:r>
      <w:r>
        <w:rPr>
          <w:rFonts w:ascii="Times New Roman"/>
          <w:spacing w:val="-9"/>
          <w:position w:val="2"/>
        </w:rPr>
        <w:t> </w:t>
      </w:r>
      <w:r>
        <w:rPr>
          <w:rFonts w:ascii="Times New Roman"/>
          <w:position w:val="2"/>
        </w:rPr>
        <w:t>mean</w:t>
      </w:r>
      <w:r>
        <w:rPr>
          <w:rFonts w:ascii="Times New Roman"/>
          <w:spacing w:val="-9"/>
          <w:position w:val="2"/>
        </w:rPr>
        <w:t> </w:t>
      </w:r>
      <w:r>
        <w:rPr>
          <w:rFonts w:ascii="Times New Roman"/>
          <w:position w:val="2"/>
        </w:rPr>
        <w:t>of</w:t>
      </w:r>
      <w:r>
        <w:rPr>
          <w:rFonts w:ascii="Times New Roman"/>
          <w:spacing w:val="-9"/>
          <w:position w:val="2"/>
        </w:rPr>
        <w:t> </w:t>
      </w:r>
      <w:r>
        <w:rPr>
          <w:rFonts w:ascii="Times New Roman"/>
          <w:position w:val="2"/>
        </w:rPr>
        <w:t>decayed,</w:t>
      </w:r>
      <w:r>
        <w:rPr>
          <w:rFonts w:ascii="Times New Roman"/>
          <w:spacing w:val="-9"/>
          <w:position w:val="2"/>
        </w:rPr>
        <w:t> </w:t>
      </w:r>
      <w:r>
        <w:rPr>
          <w:rFonts w:ascii="Times New Roman"/>
          <w:position w:val="2"/>
        </w:rPr>
        <w:t>missing</w:t>
      </w:r>
      <w:r>
        <w:rPr>
          <w:rFonts w:ascii="Times New Roman"/>
          <w:spacing w:val="-11"/>
          <w:position w:val="2"/>
        </w:rPr>
        <w:t> </w:t>
      </w:r>
      <w:r>
        <w:rPr>
          <w:rFonts w:ascii="Times New Roman"/>
          <w:position w:val="2"/>
        </w:rPr>
        <w:t>and</w:t>
      </w:r>
      <w:r>
        <w:rPr>
          <w:rFonts w:ascii="Times New Roman"/>
          <w:spacing w:val="-9"/>
          <w:position w:val="2"/>
        </w:rPr>
        <w:t> </w:t>
      </w:r>
      <w:r>
        <w:rPr>
          <w:rFonts w:ascii="Times New Roman"/>
          <w:position w:val="2"/>
        </w:rPr>
        <w:t>filled</w:t>
      </w:r>
      <w:r>
        <w:rPr>
          <w:rFonts w:ascii="Times New Roman"/>
          <w:spacing w:val="-9"/>
          <w:position w:val="2"/>
        </w:rPr>
        <w:t> </w:t>
      </w:r>
      <w:r>
        <w:rPr>
          <w:rFonts w:ascii="Times New Roman"/>
          <w:position w:val="2"/>
        </w:rPr>
        <w:t>surface</w:t>
      </w:r>
      <w:r>
        <w:rPr>
          <w:rFonts w:ascii="Times New Roman"/>
          <w:spacing w:val="-7"/>
          <w:position w:val="2"/>
        </w:rPr>
        <w:t> </w:t>
      </w:r>
      <w:r>
        <w:rPr>
          <w:rFonts w:ascii="Times New Roman"/>
          <w:position w:val="2"/>
        </w:rPr>
        <w:t>was</w:t>
      </w:r>
      <w:r>
        <w:rPr>
          <w:rFonts w:ascii="Times New Roman"/>
          <w:spacing w:val="-8"/>
          <w:position w:val="2"/>
        </w:rPr>
        <w:t> </w:t>
      </w:r>
      <w:r>
        <w:rPr>
          <w:rFonts w:ascii="Times New Roman"/>
          <w:position w:val="2"/>
        </w:rPr>
        <w:t>(d</w:t>
      </w:r>
      <w:r>
        <w:rPr>
          <w:rFonts w:ascii="Times New Roman"/>
          <w:sz w:val="16"/>
        </w:rPr>
        <w:t>1</w:t>
      </w:r>
      <w:r>
        <w:rPr>
          <w:rFonts w:ascii="Times New Roman"/>
          <w:position w:val="2"/>
        </w:rPr>
        <w:t>-</w:t>
      </w:r>
      <w:r>
        <w:rPr>
          <w:rFonts w:ascii="Times New Roman"/>
          <w:sz w:val="16"/>
        </w:rPr>
        <w:t>6</w:t>
      </w:r>
      <w:r>
        <w:rPr>
          <w:rFonts w:ascii="Times New Roman"/>
          <w:position w:val="2"/>
        </w:rPr>
        <w:t>mfs)</w:t>
      </w:r>
      <w:r>
        <w:rPr>
          <w:rFonts w:ascii="Times New Roman"/>
          <w:spacing w:val="-9"/>
          <w:position w:val="2"/>
        </w:rPr>
        <w:t> </w:t>
      </w:r>
      <w:r>
        <w:rPr>
          <w:rFonts w:ascii="Times New Roman"/>
          <w:position w:val="2"/>
        </w:rPr>
        <w:t>8.89, with decayed</w:t>
      </w:r>
      <w:r>
        <w:rPr>
          <w:rFonts w:ascii="Times New Roman"/>
          <w:sz w:val="16"/>
        </w:rPr>
        <w:t>1-6 </w:t>
      </w:r>
      <w:r>
        <w:rPr>
          <w:rFonts w:ascii="Times New Roman"/>
          <w:position w:val="2"/>
        </w:rPr>
        <w:t>8.24, missing due to caries 0.04 and filled 0.61. The prevalence of caries was </w:t>
      </w:r>
      <w:r>
        <w:rPr>
          <w:rFonts w:ascii="Times New Roman"/>
        </w:rPr>
        <w:t>86.3% where 63.4% of the children had early childhood caries (ECC) while only 22.9% had severe decay early childhood (S-ECC). Furthermore, 49.6% principal caregivers had cavitated lesions while 50.4% did not. The number of times the child is exposed to sugar during meals was 1.6 times on average, and number of times the child is exposed with sugar between meals was 0.5</w:t>
      </w:r>
      <w:r>
        <w:rPr>
          <w:rFonts w:ascii="Times New Roman"/>
          <w:spacing w:val="-4"/>
        </w:rPr>
        <w:t> </w:t>
      </w:r>
      <w:r>
        <w:rPr>
          <w:rFonts w:ascii="Times New Roman"/>
        </w:rPr>
        <w:t>times.</w:t>
      </w:r>
    </w:p>
    <w:p>
      <w:pPr>
        <w:pStyle w:val="BodyText"/>
        <w:spacing w:line="477" w:lineRule="auto" w:before="10"/>
        <w:ind w:left="138" w:right="137"/>
        <w:jc w:val="both"/>
        <w:rPr>
          <w:rFonts w:ascii="Times New Roman" w:hAnsi="Times New Roman"/>
        </w:rPr>
      </w:pPr>
      <w:r>
        <w:rPr>
          <w:rFonts w:ascii="Times New Roman" w:hAnsi="Times New Roman"/>
        </w:rPr>
        <w:t>The model showed that dmfs depends on the following main factors: [1] number of times that </w:t>
      </w:r>
      <w:r>
        <w:rPr>
          <w:rFonts w:ascii="Times New Roman" w:hAnsi="Times New Roman"/>
          <w:position w:val="2"/>
        </w:rPr>
        <w:t>child</w:t>
      </w:r>
      <w:r>
        <w:rPr>
          <w:rFonts w:ascii="Times New Roman" w:hAnsi="Times New Roman"/>
          <w:spacing w:val="-9"/>
          <w:position w:val="2"/>
        </w:rPr>
        <w:t> </w:t>
      </w:r>
      <w:r>
        <w:rPr>
          <w:rFonts w:ascii="Times New Roman" w:hAnsi="Times New Roman"/>
          <w:position w:val="2"/>
        </w:rPr>
        <w:t>is</w:t>
      </w:r>
      <w:r>
        <w:rPr>
          <w:rFonts w:ascii="Times New Roman" w:hAnsi="Times New Roman"/>
          <w:spacing w:val="-8"/>
          <w:position w:val="2"/>
        </w:rPr>
        <w:t> </w:t>
      </w:r>
      <w:r>
        <w:rPr>
          <w:rFonts w:ascii="Times New Roman" w:hAnsi="Times New Roman"/>
          <w:position w:val="2"/>
        </w:rPr>
        <w:t>exposed</w:t>
      </w:r>
      <w:r>
        <w:rPr>
          <w:rFonts w:ascii="Times New Roman" w:hAnsi="Times New Roman"/>
          <w:spacing w:val="-9"/>
          <w:position w:val="2"/>
        </w:rPr>
        <w:t> </w:t>
      </w:r>
      <w:r>
        <w:rPr>
          <w:rFonts w:ascii="Times New Roman" w:hAnsi="Times New Roman"/>
          <w:position w:val="2"/>
        </w:rPr>
        <w:t>to</w:t>
      </w:r>
      <w:r>
        <w:rPr>
          <w:rFonts w:ascii="Times New Roman" w:hAnsi="Times New Roman"/>
          <w:spacing w:val="-8"/>
          <w:position w:val="2"/>
        </w:rPr>
        <w:t> </w:t>
      </w:r>
      <w:r>
        <w:rPr>
          <w:rFonts w:ascii="Times New Roman" w:hAnsi="Times New Roman"/>
          <w:position w:val="2"/>
        </w:rPr>
        <w:t>sugars</w:t>
      </w:r>
      <w:r>
        <w:rPr>
          <w:rFonts w:ascii="Times New Roman" w:hAnsi="Times New Roman"/>
          <w:spacing w:val="-7"/>
          <w:position w:val="2"/>
        </w:rPr>
        <w:t> </w:t>
      </w:r>
      <w:r>
        <w:rPr>
          <w:rFonts w:ascii="Times New Roman" w:hAnsi="Times New Roman"/>
          <w:position w:val="2"/>
        </w:rPr>
        <w:t>during</w:t>
      </w:r>
      <w:r>
        <w:rPr>
          <w:rFonts w:ascii="Times New Roman" w:hAnsi="Times New Roman"/>
          <w:spacing w:val="-9"/>
          <w:position w:val="2"/>
        </w:rPr>
        <w:t> </w:t>
      </w:r>
      <w:r>
        <w:rPr>
          <w:rFonts w:ascii="Times New Roman" w:hAnsi="Times New Roman"/>
          <w:position w:val="2"/>
        </w:rPr>
        <w:t>meals</w:t>
      </w:r>
      <w:r>
        <w:rPr>
          <w:rFonts w:ascii="Times New Roman" w:hAnsi="Times New Roman"/>
          <w:spacing w:val="-6"/>
          <w:position w:val="2"/>
        </w:rPr>
        <w:t> </w:t>
      </w:r>
      <w:r>
        <w:rPr>
          <w:rFonts w:ascii="Times New Roman" w:hAnsi="Times New Roman"/>
          <w:position w:val="2"/>
        </w:rPr>
        <w:t>(X</w:t>
      </w:r>
      <w:r>
        <w:rPr>
          <w:rFonts w:ascii="Times New Roman" w:hAnsi="Times New Roman"/>
          <w:sz w:val="16"/>
        </w:rPr>
        <w:t>1</w:t>
      </w:r>
      <w:r>
        <w:rPr>
          <w:rFonts w:ascii="Times New Roman" w:hAnsi="Times New Roman"/>
          <w:position w:val="2"/>
        </w:rPr>
        <w:t>),</w:t>
      </w:r>
      <w:r>
        <w:rPr>
          <w:rFonts w:ascii="Times New Roman" w:hAnsi="Times New Roman"/>
          <w:spacing w:val="-9"/>
          <w:position w:val="2"/>
        </w:rPr>
        <w:t> </w:t>
      </w:r>
      <w:r>
        <w:rPr>
          <w:rFonts w:ascii="Times New Roman" w:hAnsi="Times New Roman"/>
          <w:position w:val="2"/>
        </w:rPr>
        <w:t>[2]</w:t>
      </w:r>
      <w:r>
        <w:rPr>
          <w:rFonts w:ascii="Times New Roman" w:hAnsi="Times New Roman"/>
          <w:spacing w:val="46"/>
          <w:position w:val="2"/>
        </w:rPr>
        <w:t> </w:t>
      </w:r>
      <w:r>
        <w:rPr>
          <w:rFonts w:ascii="Times New Roman" w:hAnsi="Times New Roman"/>
          <w:position w:val="2"/>
        </w:rPr>
        <w:t>primary</w:t>
      </w:r>
      <w:r>
        <w:rPr>
          <w:rFonts w:ascii="Times New Roman" w:hAnsi="Times New Roman"/>
          <w:spacing w:val="-13"/>
          <w:position w:val="2"/>
        </w:rPr>
        <w:t> </w:t>
      </w:r>
      <w:r>
        <w:rPr>
          <w:rFonts w:ascii="Times New Roman" w:hAnsi="Times New Roman"/>
          <w:position w:val="2"/>
        </w:rPr>
        <w:t>caregiver’s</w:t>
      </w:r>
      <w:r>
        <w:rPr>
          <w:rFonts w:ascii="Times New Roman" w:hAnsi="Times New Roman"/>
          <w:spacing w:val="-6"/>
          <w:position w:val="2"/>
        </w:rPr>
        <w:t> </w:t>
      </w:r>
      <w:r>
        <w:rPr>
          <w:rFonts w:ascii="Times New Roman" w:hAnsi="Times New Roman"/>
          <w:position w:val="2"/>
        </w:rPr>
        <w:t>educational</w:t>
      </w:r>
      <w:r>
        <w:rPr>
          <w:rFonts w:ascii="Times New Roman" w:hAnsi="Times New Roman"/>
          <w:spacing w:val="-8"/>
          <w:position w:val="2"/>
        </w:rPr>
        <w:t> </w:t>
      </w:r>
      <w:r>
        <w:rPr>
          <w:rFonts w:ascii="Times New Roman" w:hAnsi="Times New Roman"/>
          <w:position w:val="2"/>
        </w:rPr>
        <w:t>level</w:t>
      </w:r>
      <w:r>
        <w:rPr>
          <w:rFonts w:ascii="Times New Roman" w:hAnsi="Times New Roman"/>
          <w:spacing w:val="-8"/>
          <w:position w:val="2"/>
        </w:rPr>
        <w:t> </w:t>
      </w:r>
      <w:r>
        <w:rPr>
          <w:rFonts w:ascii="Times New Roman" w:hAnsi="Times New Roman"/>
          <w:position w:val="2"/>
        </w:rPr>
        <w:t>(X</w:t>
      </w:r>
      <w:r>
        <w:rPr>
          <w:rFonts w:ascii="Times New Roman" w:hAnsi="Times New Roman"/>
          <w:sz w:val="16"/>
        </w:rPr>
        <w:t>2</w:t>
      </w:r>
      <w:r>
        <w:rPr>
          <w:rFonts w:ascii="Times New Roman" w:hAnsi="Times New Roman"/>
          <w:position w:val="2"/>
        </w:rPr>
        <w:t>),</w:t>
      </w:r>
      <w:r>
        <w:rPr>
          <w:rFonts w:ascii="Times New Roman" w:hAnsi="Times New Roman"/>
          <w:spacing w:val="-9"/>
          <w:position w:val="2"/>
        </w:rPr>
        <w:t> </w:t>
      </w:r>
      <w:r>
        <w:rPr>
          <w:rFonts w:ascii="Times New Roman" w:hAnsi="Times New Roman"/>
          <w:position w:val="2"/>
        </w:rPr>
        <w:t>[3] presence of </w:t>
      </w:r>
      <w:r>
        <w:rPr>
          <w:rFonts w:ascii="Times New Roman" w:hAnsi="Times New Roman"/>
          <w:i/>
          <w:position w:val="2"/>
        </w:rPr>
        <w:t>materia alba </w:t>
      </w:r>
      <w:r>
        <w:rPr>
          <w:rFonts w:ascii="Times New Roman" w:hAnsi="Times New Roman"/>
          <w:position w:val="2"/>
        </w:rPr>
        <w:t>(X</w:t>
      </w:r>
      <w:r>
        <w:rPr>
          <w:rFonts w:ascii="Times New Roman" w:hAnsi="Times New Roman"/>
          <w:sz w:val="16"/>
        </w:rPr>
        <w:t>3</w:t>
      </w:r>
      <w:r>
        <w:rPr>
          <w:rFonts w:ascii="Times New Roman" w:hAnsi="Times New Roman"/>
          <w:position w:val="2"/>
        </w:rPr>
        <w:t>) and [4] addition of sugar/honey in the feeding bottle (X</w:t>
      </w:r>
      <w:r>
        <w:rPr>
          <w:rFonts w:ascii="Times New Roman" w:hAnsi="Times New Roman"/>
          <w:sz w:val="16"/>
        </w:rPr>
        <w:t>4</w:t>
      </w:r>
      <w:r>
        <w:rPr>
          <w:rFonts w:ascii="Times New Roman" w:hAnsi="Times New Roman"/>
          <w:position w:val="2"/>
        </w:rPr>
        <w:t>). The model equation is expressed as dmfs = 9.249 + 4.149 (X</w:t>
      </w:r>
      <w:r>
        <w:rPr>
          <w:rFonts w:ascii="Times New Roman" w:hAnsi="Times New Roman"/>
          <w:sz w:val="16"/>
        </w:rPr>
        <w:t>1</w:t>
      </w:r>
      <w:r>
        <w:rPr>
          <w:rFonts w:ascii="Times New Roman" w:hAnsi="Times New Roman"/>
          <w:position w:val="2"/>
        </w:rPr>
        <w:t>) – 4.300 (X</w:t>
      </w:r>
      <w:r>
        <w:rPr>
          <w:rFonts w:ascii="Times New Roman" w:hAnsi="Times New Roman"/>
          <w:sz w:val="16"/>
        </w:rPr>
        <w:t>2</w:t>
      </w:r>
      <w:r>
        <w:rPr>
          <w:rFonts w:ascii="Times New Roman" w:hAnsi="Times New Roman"/>
          <w:position w:val="2"/>
        </w:rPr>
        <w:t>) + 3.316 (X</w:t>
      </w:r>
      <w:r>
        <w:rPr>
          <w:rFonts w:ascii="Times New Roman" w:hAnsi="Times New Roman"/>
          <w:sz w:val="16"/>
        </w:rPr>
        <w:t>3</w:t>
      </w:r>
      <w:r>
        <w:rPr>
          <w:rFonts w:ascii="Times New Roman" w:hAnsi="Times New Roman"/>
          <w:position w:val="2"/>
        </w:rPr>
        <w:t>) + 6.141 (X</w:t>
      </w:r>
      <w:r>
        <w:rPr>
          <w:rFonts w:ascii="Times New Roman" w:hAnsi="Times New Roman"/>
          <w:sz w:val="16"/>
        </w:rPr>
        <w:t>4</w:t>
      </w:r>
      <w:r>
        <w:rPr>
          <w:rFonts w:ascii="Times New Roman" w:hAnsi="Times New Roman"/>
          <w:position w:val="2"/>
        </w:rPr>
        <w:t>).</w:t>
      </w:r>
    </w:p>
    <w:p>
      <w:pPr>
        <w:pStyle w:val="BodyText"/>
        <w:rPr>
          <w:rFonts w:ascii="Times New Roman"/>
        </w:rPr>
      </w:pPr>
    </w:p>
    <w:p>
      <w:pPr>
        <w:pStyle w:val="BodyText"/>
        <w:rPr>
          <w:rFonts w:ascii="Times New Roman"/>
          <w:sz w:val="22"/>
        </w:rPr>
      </w:pPr>
    </w:p>
    <w:p>
      <w:pPr>
        <w:pStyle w:val="Heading1"/>
        <w:rPr>
          <w:rFonts w:ascii="Times New Roman"/>
        </w:rPr>
      </w:pPr>
      <w:r>
        <w:rPr>
          <w:rFonts w:ascii="Times New Roman"/>
        </w:rPr>
        <w:t>DISCUSSION</w:t>
      </w:r>
    </w:p>
    <w:p>
      <w:pPr>
        <w:pStyle w:val="BodyText"/>
        <w:spacing w:before="6"/>
        <w:rPr>
          <w:rFonts w:ascii="Times New Roman"/>
          <w:b/>
          <w:sz w:val="23"/>
        </w:rPr>
      </w:pPr>
    </w:p>
    <w:p>
      <w:pPr>
        <w:pStyle w:val="BodyText"/>
        <w:spacing w:line="477" w:lineRule="auto"/>
        <w:ind w:left="138" w:right="130"/>
        <w:jc w:val="both"/>
        <w:rPr>
          <w:rFonts w:ascii="Times New Roman"/>
        </w:rPr>
      </w:pPr>
      <w:r>
        <w:rPr>
          <w:rFonts w:ascii="Times New Roman"/>
        </w:rPr>
        <w:t>The</w:t>
      </w:r>
      <w:r>
        <w:rPr>
          <w:rFonts w:ascii="Times New Roman"/>
          <w:spacing w:val="-7"/>
        </w:rPr>
        <w:t> </w:t>
      </w:r>
      <w:r>
        <w:rPr>
          <w:rFonts w:ascii="Times New Roman"/>
        </w:rPr>
        <w:t>results</w:t>
      </w:r>
      <w:r>
        <w:rPr>
          <w:rFonts w:ascii="Times New Roman"/>
          <w:spacing w:val="-6"/>
        </w:rPr>
        <w:t> </w:t>
      </w:r>
      <w:r>
        <w:rPr>
          <w:rFonts w:ascii="Times New Roman"/>
        </w:rPr>
        <w:t>of</w:t>
      </w:r>
      <w:r>
        <w:rPr>
          <w:rFonts w:ascii="Times New Roman"/>
          <w:spacing w:val="-7"/>
        </w:rPr>
        <w:t> </w:t>
      </w:r>
      <w:r>
        <w:rPr>
          <w:rFonts w:ascii="Times New Roman"/>
        </w:rPr>
        <w:t>the</w:t>
      </w:r>
      <w:r>
        <w:rPr>
          <w:rFonts w:ascii="Times New Roman"/>
          <w:spacing w:val="-7"/>
        </w:rPr>
        <w:t> </w:t>
      </w:r>
      <w:r>
        <w:rPr>
          <w:rFonts w:ascii="Times New Roman"/>
        </w:rPr>
        <w:t>current</w:t>
      </w:r>
      <w:r>
        <w:rPr>
          <w:rFonts w:ascii="Times New Roman"/>
          <w:spacing w:val="-3"/>
        </w:rPr>
        <w:t> </w:t>
      </w:r>
      <w:r>
        <w:rPr>
          <w:rFonts w:ascii="Times New Roman"/>
        </w:rPr>
        <w:t>study</w:t>
      </w:r>
      <w:r>
        <w:rPr>
          <w:rFonts w:ascii="Times New Roman"/>
          <w:spacing w:val="-13"/>
        </w:rPr>
        <w:t> </w:t>
      </w:r>
      <w:r>
        <w:rPr>
          <w:rFonts w:ascii="Times New Roman"/>
        </w:rPr>
        <w:t>show</w:t>
      </w:r>
      <w:r>
        <w:rPr>
          <w:rFonts w:ascii="Times New Roman"/>
          <w:spacing w:val="-7"/>
        </w:rPr>
        <w:t> </w:t>
      </w:r>
      <w:r>
        <w:rPr>
          <w:rFonts w:ascii="Times New Roman"/>
        </w:rPr>
        <w:t>a</w:t>
      </w:r>
      <w:r>
        <w:rPr>
          <w:rFonts w:ascii="Times New Roman"/>
          <w:spacing w:val="-7"/>
        </w:rPr>
        <w:t> </w:t>
      </w:r>
      <w:r>
        <w:rPr>
          <w:rFonts w:ascii="Times New Roman"/>
        </w:rPr>
        <w:t>high</w:t>
      </w:r>
      <w:r>
        <w:rPr>
          <w:rFonts w:ascii="Times New Roman"/>
          <w:spacing w:val="-6"/>
        </w:rPr>
        <w:t> </w:t>
      </w:r>
      <w:r>
        <w:rPr>
          <w:rFonts w:ascii="Times New Roman"/>
        </w:rPr>
        <w:t>prevalence</w:t>
      </w:r>
      <w:r>
        <w:rPr>
          <w:rFonts w:ascii="Times New Roman"/>
          <w:spacing w:val="-7"/>
        </w:rPr>
        <w:t> </w:t>
      </w:r>
      <w:r>
        <w:rPr>
          <w:rFonts w:ascii="Times New Roman"/>
        </w:rPr>
        <w:t>of</w:t>
      </w:r>
      <w:r>
        <w:rPr>
          <w:rFonts w:ascii="Times New Roman"/>
          <w:spacing w:val="-7"/>
        </w:rPr>
        <w:t> </w:t>
      </w:r>
      <w:r>
        <w:rPr>
          <w:rFonts w:ascii="Times New Roman"/>
        </w:rPr>
        <w:t>caries</w:t>
      </w:r>
      <w:r>
        <w:rPr>
          <w:rFonts w:ascii="Times New Roman"/>
          <w:spacing w:val="-6"/>
        </w:rPr>
        <w:t> </w:t>
      </w:r>
      <w:r>
        <w:rPr>
          <w:rFonts w:ascii="Times New Roman"/>
        </w:rPr>
        <w:t>in</w:t>
      </w:r>
      <w:r>
        <w:rPr>
          <w:rFonts w:ascii="Times New Roman"/>
          <w:spacing w:val="-3"/>
        </w:rPr>
        <w:t> </w:t>
      </w:r>
      <w:r>
        <w:rPr>
          <w:rFonts w:ascii="Times New Roman"/>
        </w:rPr>
        <w:t>Mazahua</w:t>
      </w:r>
      <w:r>
        <w:rPr>
          <w:rFonts w:ascii="Times New Roman"/>
          <w:spacing w:val="-7"/>
        </w:rPr>
        <w:t> </w:t>
      </w:r>
      <w:r>
        <w:rPr>
          <w:rFonts w:ascii="Times New Roman"/>
        </w:rPr>
        <w:t>preeschol</w:t>
      </w:r>
      <w:r>
        <w:rPr>
          <w:rFonts w:ascii="Times New Roman"/>
          <w:spacing w:val="-6"/>
        </w:rPr>
        <w:t> </w:t>
      </w:r>
      <w:r>
        <w:rPr>
          <w:rFonts w:ascii="Times New Roman"/>
        </w:rPr>
        <w:t>children aged</w:t>
      </w:r>
      <w:r>
        <w:rPr>
          <w:rFonts w:ascii="Times New Roman"/>
          <w:spacing w:val="-10"/>
        </w:rPr>
        <w:t> </w:t>
      </w:r>
      <w:r>
        <w:rPr>
          <w:rFonts w:ascii="Times New Roman"/>
        </w:rPr>
        <w:t>3-5</w:t>
      </w:r>
      <w:r>
        <w:rPr>
          <w:rFonts w:ascii="Times New Roman"/>
          <w:spacing w:val="-5"/>
        </w:rPr>
        <w:t> </w:t>
      </w:r>
      <w:r>
        <w:rPr>
          <w:rFonts w:ascii="Times New Roman"/>
        </w:rPr>
        <w:t>years</w:t>
      </w:r>
      <w:r>
        <w:rPr>
          <w:rFonts w:ascii="Times New Roman"/>
          <w:spacing w:val="-10"/>
        </w:rPr>
        <w:t> </w:t>
      </w:r>
      <w:r>
        <w:rPr>
          <w:rFonts w:ascii="Times New Roman"/>
        </w:rPr>
        <w:t>old,</w:t>
      </w:r>
      <w:r>
        <w:rPr>
          <w:rFonts w:ascii="Times New Roman"/>
          <w:spacing w:val="-7"/>
        </w:rPr>
        <w:t> </w:t>
      </w:r>
      <w:r>
        <w:rPr>
          <w:rFonts w:ascii="Times New Roman"/>
        </w:rPr>
        <w:t>which</w:t>
      </w:r>
      <w:r>
        <w:rPr>
          <w:rFonts w:ascii="Times New Roman"/>
          <w:spacing w:val="-8"/>
        </w:rPr>
        <w:t> </w:t>
      </w:r>
      <w:r>
        <w:rPr>
          <w:rFonts w:ascii="Times New Roman"/>
        </w:rPr>
        <w:t>is</w:t>
      </w:r>
      <w:r>
        <w:rPr>
          <w:rFonts w:ascii="Times New Roman"/>
          <w:spacing w:val="-9"/>
        </w:rPr>
        <w:t> </w:t>
      </w:r>
      <w:r>
        <w:rPr>
          <w:rFonts w:ascii="Times New Roman"/>
        </w:rPr>
        <w:t>agrees</w:t>
      </w:r>
      <w:r>
        <w:rPr>
          <w:rFonts w:ascii="Times New Roman"/>
          <w:spacing w:val="-7"/>
        </w:rPr>
        <w:t> </w:t>
      </w:r>
      <w:r>
        <w:rPr>
          <w:rFonts w:ascii="Times New Roman"/>
        </w:rPr>
        <w:t>with</w:t>
      </w:r>
      <w:r>
        <w:rPr>
          <w:rFonts w:ascii="Times New Roman"/>
          <w:spacing w:val="-9"/>
        </w:rPr>
        <w:t> </w:t>
      </w:r>
      <w:r>
        <w:rPr>
          <w:rFonts w:ascii="Times New Roman"/>
        </w:rPr>
        <w:t>the</w:t>
      </w:r>
      <w:r>
        <w:rPr>
          <w:rFonts w:ascii="Times New Roman"/>
          <w:spacing w:val="-10"/>
        </w:rPr>
        <w:t> </w:t>
      </w:r>
      <w:r>
        <w:rPr>
          <w:rFonts w:ascii="Times New Roman"/>
        </w:rPr>
        <w:t>reports</w:t>
      </w:r>
      <w:r>
        <w:rPr>
          <w:rFonts w:ascii="Times New Roman"/>
          <w:spacing w:val="-10"/>
        </w:rPr>
        <w:t> </w:t>
      </w:r>
      <w:r>
        <w:rPr>
          <w:rFonts w:ascii="Times New Roman"/>
        </w:rPr>
        <w:t>in</w:t>
      </w:r>
      <w:r>
        <w:rPr>
          <w:rFonts w:ascii="Times New Roman"/>
          <w:spacing w:val="-9"/>
        </w:rPr>
        <w:t> </w:t>
      </w:r>
      <w:r>
        <w:rPr>
          <w:rFonts w:ascii="Times New Roman"/>
        </w:rPr>
        <w:t>other</w:t>
      </w:r>
      <w:r>
        <w:rPr>
          <w:rFonts w:ascii="Times New Roman"/>
          <w:spacing w:val="-11"/>
        </w:rPr>
        <w:t> </w:t>
      </w:r>
      <w:r>
        <w:rPr>
          <w:rFonts w:ascii="Times New Roman"/>
        </w:rPr>
        <w:t>indigenous</w:t>
      </w:r>
      <w:r>
        <w:rPr>
          <w:rFonts w:ascii="Times New Roman"/>
          <w:spacing w:val="-9"/>
        </w:rPr>
        <w:t> </w:t>
      </w:r>
      <w:r>
        <w:rPr>
          <w:rFonts w:ascii="Times New Roman"/>
        </w:rPr>
        <w:t>communities</w:t>
      </w:r>
      <w:r>
        <w:rPr>
          <w:rFonts w:ascii="Times New Roman"/>
          <w:spacing w:val="-9"/>
        </w:rPr>
        <w:t> </w:t>
      </w:r>
      <w:r>
        <w:rPr>
          <w:rFonts w:ascii="Times New Roman"/>
        </w:rPr>
        <w:t>from</w:t>
      </w:r>
      <w:r>
        <w:rPr>
          <w:rFonts w:ascii="Times New Roman"/>
          <w:spacing w:val="-9"/>
        </w:rPr>
        <w:t> </w:t>
      </w:r>
      <w:r>
        <w:rPr>
          <w:rFonts w:ascii="Times New Roman"/>
        </w:rPr>
        <w:t>other countries </w:t>
      </w:r>
      <w:r>
        <w:rPr>
          <w:rFonts w:ascii="Times New Roman"/>
          <w:position w:val="9"/>
          <w:sz w:val="16"/>
        </w:rPr>
        <w:t>7-16 </w:t>
      </w:r>
      <w:r>
        <w:rPr>
          <w:rFonts w:ascii="Times New Roman"/>
        </w:rPr>
        <w:t>; however, at the same time there is a high number of healthy surfaces. Furthermore, it is worth noting that since 1998 there is a salt fluoridation program in the State of Mexico, which was carried out with technical support from the Pan American Health Organization (PAHO) and financial support from W.K. Kellogg. Then, in 1992 the salt fluoridation program has been positioned as a nationwide policy. Thus, this population likely has</w:t>
      </w:r>
      <w:r>
        <w:rPr>
          <w:rFonts w:ascii="Times New Roman"/>
          <w:spacing w:val="-9"/>
        </w:rPr>
        <w:t> </w:t>
      </w:r>
      <w:r>
        <w:rPr>
          <w:rFonts w:ascii="Times New Roman"/>
        </w:rPr>
        <w:t>access</w:t>
      </w:r>
      <w:r>
        <w:rPr>
          <w:rFonts w:ascii="Times New Roman"/>
          <w:spacing w:val="-9"/>
        </w:rPr>
        <w:t> </w:t>
      </w:r>
      <w:r>
        <w:rPr>
          <w:rFonts w:ascii="Times New Roman"/>
        </w:rPr>
        <w:t>to</w:t>
      </w:r>
      <w:r>
        <w:rPr>
          <w:rFonts w:ascii="Times New Roman"/>
          <w:spacing w:val="-9"/>
        </w:rPr>
        <w:t> </w:t>
      </w:r>
      <w:r>
        <w:rPr>
          <w:rFonts w:ascii="Times New Roman"/>
        </w:rPr>
        <w:t>fluoridated</w:t>
      </w:r>
      <w:r>
        <w:rPr>
          <w:rFonts w:ascii="Times New Roman"/>
          <w:spacing w:val="-7"/>
        </w:rPr>
        <w:t> </w:t>
      </w:r>
      <w:r>
        <w:rPr>
          <w:rFonts w:ascii="Times New Roman"/>
        </w:rPr>
        <w:t>salt,</w:t>
      </w:r>
      <w:r>
        <w:rPr>
          <w:rFonts w:ascii="Times New Roman"/>
          <w:spacing w:val="-10"/>
        </w:rPr>
        <w:t> </w:t>
      </w:r>
      <w:r>
        <w:rPr>
          <w:rFonts w:ascii="Times New Roman"/>
        </w:rPr>
        <w:t>which</w:t>
      </w:r>
      <w:r>
        <w:rPr>
          <w:rFonts w:ascii="Times New Roman"/>
          <w:spacing w:val="-10"/>
        </w:rPr>
        <w:t> </w:t>
      </w:r>
      <w:r>
        <w:rPr>
          <w:rFonts w:ascii="Times New Roman"/>
        </w:rPr>
        <w:t>explains</w:t>
      </w:r>
      <w:r>
        <w:rPr>
          <w:rFonts w:ascii="Times New Roman"/>
          <w:spacing w:val="-12"/>
        </w:rPr>
        <w:t> </w:t>
      </w:r>
      <w:r>
        <w:rPr>
          <w:rFonts w:ascii="Times New Roman"/>
        </w:rPr>
        <w:t>the</w:t>
      </w:r>
      <w:r>
        <w:rPr>
          <w:rFonts w:ascii="Times New Roman"/>
          <w:spacing w:val="-10"/>
        </w:rPr>
        <w:t> </w:t>
      </w:r>
      <w:r>
        <w:rPr>
          <w:rFonts w:ascii="Times New Roman"/>
        </w:rPr>
        <w:t>reduced</w:t>
      </w:r>
      <w:r>
        <w:rPr>
          <w:rFonts w:ascii="Times New Roman"/>
          <w:spacing w:val="-10"/>
        </w:rPr>
        <w:t> </w:t>
      </w:r>
      <w:r>
        <w:rPr>
          <w:rFonts w:ascii="Times New Roman"/>
        </w:rPr>
        <w:t>number</w:t>
      </w:r>
      <w:r>
        <w:rPr>
          <w:rFonts w:ascii="Times New Roman"/>
          <w:spacing w:val="-11"/>
        </w:rPr>
        <w:t> </w:t>
      </w:r>
      <w:r>
        <w:rPr>
          <w:rFonts w:ascii="Times New Roman"/>
        </w:rPr>
        <w:t>of</w:t>
      </w:r>
      <w:r>
        <w:rPr>
          <w:rFonts w:ascii="Times New Roman"/>
          <w:spacing w:val="-10"/>
        </w:rPr>
        <w:t> </w:t>
      </w:r>
      <w:r>
        <w:rPr>
          <w:rFonts w:ascii="Times New Roman"/>
        </w:rPr>
        <w:t>affected</w:t>
      </w:r>
      <w:r>
        <w:rPr>
          <w:rFonts w:ascii="Times New Roman"/>
          <w:spacing w:val="-10"/>
        </w:rPr>
        <w:t> </w:t>
      </w:r>
      <w:r>
        <w:rPr>
          <w:rFonts w:ascii="Times New Roman"/>
        </w:rPr>
        <w:t>surfaces,</w:t>
      </w:r>
      <w:r>
        <w:rPr>
          <w:rFonts w:ascii="Times New Roman"/>
          <w:spacing w:val="-9"/>
        </w:rPr>
        <w:t> </w:t>
      </w:r>
      <w:r>
        <w:rPr>
          <w:rFonts w:ascii="Times New Roman"/>
        </w:rPr>
        <w:t>but</w:t>
      </w:r>
      <w:r>
        <w:rPr>
          <w:rFonts w:ascii="Times New Roman"/>
          <w:spacing w:val="-9"/>
        </w:rPr>
        <w:t> </w:t>
      </w:r>
      <w:r>
        <w:rPr>
          <w:rFonts w:ascii="Times New Roman"/>
        </w:rPr>
        <w:t>could also</w:t>
      </w:r>
      <w:r>
        <w:rPr>
          <w:rFonts w:ascii="Times New Roman"/>
          <w:spacing w:val="-3"/>
        </w:rPr>
        <w:t> </w:t>
      </w:r>
      <w:r>
        <w:rPr>
          <w:rFonts w:ascii="Times New Roman"/>
        </w:rPr>
        <w:t>be</w:t>
      </w:r>
      <w:r>
        <w:rPr>
          <w:rFonts w:ascii="Times New Roman"/>
          <w:spacing w:val="-5"/>
        </w:rPr>
        <w:t> </w:t>
      </w:r>
      <w:r>
        <w:rPr>
          <w:rFonts w:ascii="Times New Roman"/>
        </w:rPr>
        <w:t>because</w:t>
      </w:r>
      <w:r>
        <w:rPr>
          <w:rFonts w:ascii="Times New Roman"/>
          <w:spacing w:val="-5"/>
        </w:rPr>
        <w:t> </w:t>
      </w:r>
      <w:r>
        <w:rPr>
          <w:rFonts w:ascii="Times New Roman"/>
        </w:rPr>
        <w:t>the</w:t>
      </w:r>
      <w:r>
        <w:rPr>
          <w:rFonts w:ascii="Times New Roman"/>
          <w:spacing w:val="-4"/>
        </w:rPr>
        <w:t> </w:t>
      </w:r>
      <w:r>
        <w:rPr>
          <w:rFonts w:ascii="Times New Roman"/>
        </w:rPr>
        <w:t>minors</w:t>
      </w:r>
      <w:r>
        <w:rPr>
          <w:rFonts w:ascii="Times New Roman"/>
          <w:spacing w:val="-4"/>
        </w:rPr>
        <w:t> </w:t>
      </w:r>
      <w:r>
        <w:rPr>
          <w:rFonts w:ascii="Times New Roman"/>
        </w:rPr>
        <w:t>generally</w:t>
      </w:r>
      <w:r>
        <w:rPr>
          <w:rFonts w:ascii="Times New Roman"/>
          <w:spacing w:val="-6"/>
        </w:rPr>
        <w:t> </w:t>
      </w:r>
      <w:r>
        <w:rPr>
          <w:rFonts w:ascii="Times New Roman"/>
        </w:rPr>
        <w:t>expose</w:t>
      </w:r>
      <w:r>
        <w:rPr>
          <w:rFonts w:ascii="Times New Roman"/>
          <w:spacing w:val="-5"/>
        </w:rPr>
        <w:t> </w:t>
      </w:r>
      <w:r>
        <w:rPr>
          <w:rFonts w:ascii="Times New Roman"/>
        </w:rPr>
        <w:t>themselves</w:t>
      </w:r>
      <w:r>
        <w:rPr>
          <w:rFonts w:ascii="Times New Roman"/>
          <w:spacing w:val="-4"/>
        </w:rPr>
        <w:t> </w:t>
      </w:r>
      <w:r>
        <w:rPr>
          <w:rFonts w:ascii="Times New Roman"/>
        </w:rPr>
        <w:t>to</w:t>
      </w:r>
      <w:r>
        <w:rPr>
          <w:rFonts w:ascii="Times New Roman"/>
          <w:spacing w:val="-3"/>
        </w:rPr>
        <w:t> </w:t>
      </w:r>
      <w:r>
        <w:rPr>
          <w:rFonts w:ascii="Times New Roman"/>
        </w:rPr>
        <w:t>sugars</w:t>
      </w:r>
      <w:r>
        <w:rPr>
          <w:rFonts w:ascii="Times New Roman"/>
          <w:spacing w:val="-4"/>
        </w:rPr>
        <w:t> </w:t>
      </w:r>
      <w:r>
        <w:rPr>
          <w:rFonts w:ascii="Times New Roman"/>
        </w:rPr>
        <w:t>during</w:t>
      </w:r>
      <w:r>
        <w:rPr>
          <w:rFonts w:ascii="Times New Roman"/>
          <w:spacing w:val="-6"/>
        </w:rPr>
        <w:t> </w:t>
      </w:r>
      <w:r>
        <w:rPr>
          <w:rFonts w:ascii="Times New Roman"/>
        </w:rPr>
        <w:t>meals</w:t>
      </w:r>
      <w:r>
        <w:rPr>
          <w:rFonts w:ascii="Times New Roman"/>
          <w:spacing w:val="-3"/>
        </w:rPr>
        <w:t> </w:t>
      </w:r>
      <w:r>
        <w:rPr>
          <w:rFonts w:ascii="Times New Roman"/>
        </w:rPr>
        <w:t>generally</w:t>
      </w:r>
      <w:r>
        <w:rPr>
          <w:rFonts w:ascii="Times New Roman"/>
          <w:spacing w:val="-9"/>
        </w:rPr>
        <w:t> </w:t>
      </w:r>
      <w:r>
        <w:rPr>
          <w:rFonts w:ascii="Times New Roman"/>
        </w:rPr>
        <w:t>in</w:t>
      </w:r>
      <w:r>
        <w:rPr>
          <w:rFonts w:ascii="Times New Roman"/>
          <w:spacing w:val="-3"/>
        </w:rPr>
        <w:t> </w:t>
      </w:r>
      <w:r>
        <w:rPr>
          <w:rFonts w:ascii="Times New Roman"/>
        </w:rPr>
        <w:t>the</w:t>
      </w:r>
    </w:p>
    <w:p>
      <w:pPr>
        <w:spacing w:after="0" w:line="477" w:lineRule="auto"/>
        <w:jc w:val="both"/>
        <w:rPr>
          <w:rFonts w:ascii="Times New Roman"/>
        </w:rPr>
        <w:sectPr>
          <w:pgSz w:w="12240" w:h="15840"/>
          <w:pgMar w:header="686" w:footer="964" w:top="1080" w:bottom="1160" w:left="1280" w:right="1560"/>
        </w:sectPr>
      </w:pPr>
    </w:p>
    <w:p>
      <w:pPr>
        <w:pStyle w:val="BodyText"/>
        <w:rPr>
          <w:rFonts w:ascii="Times New Roman"/>
          <w:sz w:val="20"/>
        </w:rPr>
      </w:pPr>
    </w:p>
    <w:p>
      <w:pPr>
        <w:pStyle w:val="BodyText"/>
        <w:spacing w:before="11"/>
        <w:rPr>
          <w:rFonts w:ascii="Times New Roman"/>
          <w:sz w:val="26"/>
        </w:rPr>
      </w:pPr>
    </w:p>
    <w:p>
      <w:pPr>
        <w:pStyle w:val="BodyText"/>
        <w:spacing w:line="477" w:lineRule="auto" w:before="69"/>
        <w:ind w:left="138" w:right="134"/>
        <w:jc w:val="both"/>
        <w:rPr>
          <w:rFonts w:ascii="Times New Roman" w:hAnsi="Times New Roman"/>
        </w:rPr>
      </w:pPr>
      <w:r>
        <w:rPr>
          <w:rFonts w:ascii="Times New Roman" w:hAnsi="Times New Roman"/>
        </w:rPr>
        <w:t>form of sugary drinks, like sodas, and in a greater measure the addition of sugar to sweeten coffee, flavored water, and a Mexican typical drink called “atole”. Despite the importance of sugars and dietary practices in various indigenous communities has been reported </w:t>
      </w:r>
      <w:r>
        <w:rPr>
          <w:rFonts w:ascii="Times New Roman" w:hAnsi="Times New Roman"/>
          <w:position w:val="9"/>
          <w:sz w:val="16"/>
        </w:rPr>
        <w:t>7,13,16,27</w:t>
      </w:r>
      <w:r>
        <w:rPr>
          <w:rFonts w:ascii="Times New Roman" w:hAnsi="Times New Roman"/>
        </w:rPr>
        <w:t>, a more</w:t>
      </w:r>
      <w:r>
        <w:rPr>
          <w:rFonts w:ascii="Times New Roman" w:hAnsi="Times New Roman"/>
          <w:spacing w:val="-7"/>
        </w:rPr>
        <w:t> </w:t>
      </w:r>
      <w:r>
        <w:rPr>
          <w:rFonts w:ascii="Times New Roman" w:hAnsi="Times New Roman"/>
        </w:rPr>
        <w:t>profound</w:t>
      </w:r>
      <w:r>
        <w:rPr>
          <w:rFonts w:ascii="Times New Roman" w:hAnsi="Times New Roman"/>
          <w:spacing w:val="-4"/>
        </w:rPr>
        <w:t> </w:t>
      </w:r>
      <w:r>
        <w:rPr>
          <w:rFonts w:ascii="Times New Roman" w:hAnsi="Times New Roman"/>
        </w:rPr>
        <w:t>analysis</w:t>
      </w:r>
      <w:r>
        <w:rPr>
          <w:rFonts w:ascii="Times New Roman" w:hAnsi="Times New Roman"/>
          <w:spacing w:val="-6"/>
        </w:rPr>
        <w:t> </w:t>
      </w:r>
      <w:r>
        <w:rPr>
          <w:rFonts w:ascii="Times New Roman" w:hAnsi="Times New Roman"/>
        </w:rPr>
        <w:t>of</w:t>
      </w:r>
      <w:r>
        <w:rPr>
          <w:rFonts w:ascii="Times New Roman" w:hAnsi="Times New Roman"/>
          <w:spacing w:val="-7"/>
        </w:rPr>
        <w:t> </w:t>
      </w:r>
      <w:r>
        <w:rPr>
          <w:rFonts w:ascii="Times New Roman" w:hAnsi="Times New Roman"/>
        </w:rPr>
        <w:t>the</w:t>
      </w:r>
      <w:r>
        <w:rPr>
          <w:rFonts w:ascii="Times New Roman" w:hAnsi="Times New Roman"/>
          <w:spacing w:val="-7"/>
        </w:rPr>
        <w:t> </w:t>
      </w:r>
      <w:r>
        <w:rPr>
          <w:rFonts w:ascii="Times New Roman" w:hAnsi="Times New Roman"/>
        </w:rPr>
        <w:t>dietary</w:t>
      </w:r>
      <w:r>
        <w:rPr>
          <w:rFonts w:ascii="Times New Roman" w:hAnsi="Times New Roman"/>
          <w:spacing w:val="-11"/>
        </w:rPr>
        <w:t> </w:t>
      </w:r>
      <w:r>
        <w:rPr>
          <w:rFonts w:ascii="Times New Roman" w:hAnsi="Times New Roman"/>
        </w:rPr>
        <w:t>habits</w:t>
      </w:r>
      <w:r>
        <w:rPr>
          <w:rFonts w:ascii="Times New Roman" w:hAnsi="Times New Roman"/>
          <w:spacing w:val="-6"/>
        </w:rPr>
        <w:t> </w:t>
      </w:r>
      <w:r>
        <w:rPr>
          <w:rFonts w:ascii="Times New Roman" w:hAnsi="Times New Roman"/>
        </w:rPr>
        <w:t>is</w:t>
      </w:r>
      <w:r>
        <w:rPr>
          <w:rFonts w:ascii="Times New Roman" w:hAnsi="Times New Roman"/>
          <w:spacing w:val="-6"/>
        </w:rPr>
        <w:t> </w:t>
      </w:r>
      <w:r>
        <w:rPr>
          <w:rFonts w:ascii="Times New Roman" w:hAnsi="Times New Roman"/>
        </w:rPr>
        <w:t>needed</w:t>
      </w:r>
      <w:r>
        <w:rPr>
          <w:rFonts w:ascii="Times New Roman" w:hAnsi="Times New Roman"/>
          <w:spacing w:val="-6"/>
        </w:rPr>
        <w:t> </w:t>
      </w:r>
      <w:r>
        <w:rPr>
          <w:rFonts w:ascii="Times New Roman" w:hAnsi="Times New Roman"/>
        </w:rPr>
        <w:t>since</w:t>
      </w:r>
      <w:r>
        <w:rPr>
          <w:rFonts w:ascii="Times New Roman" w:hAnsi="Times New Roman"/>
          <w:spacing w:val="-7"/>
        </w:rPr>
        <w:t> </w:t>
      </w:r>
      <w:r>
        <w:rPr>
          <w:rFonts w:ascii="Times New Roman" w:hAnsi="Times New Roman"/>
        </w:rPr>
        <w:t>the</w:t>
      </w:r>
      <w:r>
        <w:rPr>
          <w:rFonts w:ascii="Times New Roman" w:hAnsi="Times New Roman"/>
          <w:spacing w:val="-7"/>
        </w:rPr>
        <w:t> </w:t>
      </w:r>
      <w:r>
        <w:rPr>
          <w:rFonts w:ascii="Times New Roman" w:hAnsi="Times New Roman"/>
        </w:rPr>
        <w:t>current</w:t>
      </w:r>
      <w:r>
        <w:rPr>
          <w:rFonts w:ascii="Times New Roman" w:hAnsi="Times New Roman"/>
          <w:spacing w:val="-6"/>
        </w:rPr>
        <w:t> </w:t>
      </w:r>
      <w:r>
        <w:rPr>
          <w:rFonts w:ascii="Times New Roman" w:hAnsi="Times New Roman"/>
        </w:rPr>
        <w:t>study</w:t>
      </w:r>
      <w:r>
        <w:rPr>
          <w:rFonts w:ascii="Times New Roman" w:hAnsi="Times New Roman"/>
          <w:spacing w:val="-9"/>
        </w:rPr>
        <w:t> </w:t>
      </w:r>
      <w:r>
        <w:rPr>
          <w:rFonts w:ascii="Times New Roman" w:hAnsi="Times New Roman"/>
        </w:rPr>
        <w:t>was</w:t>
      </w:r>
      <w:r>
        <w:rPr>
          <w:rFonts w:ascii="Times New Roman" w:hAnsi="Times New Roman"/>
          <w:spacing w:val="-6"/>
        </w:rPr>
        <w:t> </w:t>
      </w:r>
      <w:r>
        <w:rPr>
          <w:rFonts w:ascii="Times New Roman" w:hAnsi="Times New Roman"/>
        </w:rPr>
        <w:t>limited</w:t>
      </w:r>
      <w:r>
        <w:rPr>
          <w:rFonts w:ascii="Times New Roman" w:hAnsi="Times New Roman"/>
          <w:spacing w:val="-7"/>
        </w:rPr>
        <w:t> </w:t>
      </w:r>
      <w:r>
        <w:rPr>
          <w:rFonts w:ascii="Times New Roman" w:hAnsi="Times New Roman"/>
        </w:rPr>
        <w:t>to</w:t>
      </w:r>
      <w:r>
        <w:rPr>
          <w:rFonts w:ascii="Times New Roman" w:hAnsi="Times New Roman"/>
          <w:spacing w:val="-6"/>
        </w:rPr>
        <w:t> </w:t>
      </w:r>
      <w:r>
        <w:rPr>
          <w:rFonts w:ascii="Times New Roman" w:hAnsi="Times New Roman"/>
        </w:rPr>
        <w:t>the description</w:t>
      </w:r>
      <w:r>
        <w:rPr>
          <w:rFonts w:ascii="Times New Roman" w:hAnsi="Times New Roman"/>
          <w:spacing w:val="-4"/>
        </w:rPr>
        <w:t> </w:t>
      </w:r>
      <w:r>
        <w:rPr>
          <w:rFonts w:ascii="Times New Roman" w:hAnsi="Times New Roman"/>
        </w:rPr>
        <w:t>of</w:t>
      </w:r>
      <w:r>
        <w:rPr>
          <w:rFonts w:ascii="Times New Roman" w:hAnsi="Times New Roman"/>
          <w:spacing w:val="-5"/>
        </w:rPr>
        <w:t> </w:t>
      </w:r>
      <w:r>
        <w:rPr>
          <w:rFonts w:ascii="Times New Roman" w:hAnsi="Times New Roman"/>
        </w:rPr>
        <w:t>the</w:t>
      </w:r>
      <w:r>
        <w:rPr>
          <w:rFonts w:ascii="Times New Roman" w:hAnsi="Times New Roman"/>
          <w:spacing w:val="-4"/>
        </w:rPr>
        <w:t> </w:t>
      </w:r>
      <w:r>
        <w:rPr>
          <w:rFonts w:ascii="Times New Roman" w:hAnsi="Times New Roman"/>
        </w:rPr>
        <w:t>food</w:t>
      </w:r>
      <w:r>
        <w:rPr>
          <w:rFonts w:ascii="Times New Roman" w:hAnsi="Times New Roman"/>
          <w:spacing w:val="-5"/>
        </w:rPr>
        <w:t> </w:t>
      </w:r>
      <w:r>
        <w:rPr>
          <w:rFonts w:ascii="Times New Roman" w:hAnsi="Times New Roman"/>
        </w:rPr>
        <w:t>ingested</w:t>
      </w:r>
      <w:r>
        <w:rPr>
          <w:rFonts w:ascii="Times New Roman" w:hAnsi="Times New Roman"/>
          <w:spacing w:val="-4"/>
        </w:rPr>
        <w:t> </w:t>
      </w:r>
      <w:r>
        <w:rPr>
          <w:rFonts w:ascii="Times New Roman" w:hAnsi="Times New Roman"/>
        </w:rPr>
        <w:t>during</w:t>
      </w:r>
      <w:r>
        <w:rPr>
          <w:rFonts w:ascii="Times New Roman" w:hAnsi="Times New Roman"/>
          <w:spacing w:val="-6"/>
        </w:rPr>
        <w:t> </w:t>
      </w:r>
      <w:r>
        <w:rPr>
          <w:rFonts w:ascii="Times New Roman" w:hAnsi="Times New Roman"/>
        </w:rPr>
        <w:t>and</w:t>
      </w:r>
      <w:r>
        <w:rPr>
          <w:rFonts w:ascii="Times New Roman" w:hAnsi="Times New Roman"/>
          <w:spacing w:val="-4"/>
        </w:rPr>
        <w:t> </w:t>
      </w:r>
      <w:r>
        <w:rPr>
          <w:rFonts w:ascii="Times New Roman" w:hAnsi="Times New Roman"/>
        </w:rPr>
        <w:t>between</w:t>
      </w:r>
      <w:r>
        <w:rPr>
          <w:rFonts w:ascii="Times New Roman" w:hAnsi="Times New Roman"/>
          <w:spacing w:val="-4"/>
        </w:rPr>
        <w:t> </w:t>
      </w:r>
      <w:r>
        <w:rPr>
          <w:rFonts w:ascii="Times New Roman" w:hAnsi="Times New Roman"/>
        </w:rPr>
        <w:t>meals</w:t>
      </w:r>
      <w:r>
        <w:rPr>
          <w:rFonts w:ascii="Times New Roman" w:hAnsi="Times New Roman"/>
          <w:spacing w:val="-3"/>
        </w:rPr>
        <w:t> </w:t>
      </w:r>
      <w:r>
        <w:rPr>
          <w:rFonts w:ascii="Times New Roman" w:hAnsi="Times New Roman"/>
        </w:rPr>
        <w:t>a</w:t>
      </w:r>
      <w:r>
        <w:rPr>
          <w:rFonts w:ascii="Times New Roman" w:hAnsi="Times New Roman"/>
          <w:spacing w:val="-5"/>
        </w:rPr>
        <w:t> </w:t>
      </w:r>
      <w:r>
        <w:rPr>
          <w:rFonts w:ascii="Times New Roman" w:hAnsi="Times New Roman"/>
        </w:rPr>
        <w:t>day</w:t>
      </w:r>
      <w:r>
        <w:rPr>
          <w:rFonts w:ascii="Times New Roman" w:hAnsi="Times New Roman"/>
          <w:spacing w:val="-9"/>
        </w:rPr>
        <w:t> </w:t>
      </w:r>
      <w:r>
        <w:rPr>
          <w:rFonts w:ascii="Times New Roman" w:hAnsi="Times New Roman"/>
        </w:rPr>
        <w:t>previous</w:t>
      </w:r>
      <w:r>
        <w:rPr>
          <w:rFonts w:ascii="Times New Roman" w:hAnsi="Times New Roman"/>
          <w:spacing w:val="-3"/>
        </w:rPr>
        <w:t> </w:t>
      </w:r>
      <w:r>
        <w:rPr>
          <w:rFonts w:ascii="Times New Roman" w:hAnsi="Times New Roman"/>
        </w:rPr>
        <w:t>to</w:t>
      </w:r>
      <w:r>
        <w:rPr>
          <w:rFonts w:ascii="Times New Roman" w:hAnsi="Times New Roman"/>
          <w:spacing w:val="-3"/>
        </w:rPr>
        <w:t> </w:t>
      </w:r>
      <w:r>
        <w:rPr>
          <w:rFonts w:ascii="Times New Roman" w:hAnsi="Times New Roman"/>
        </w:rPr>
        <w:t>the</w:t>
      </w:r>
      <w:r>
        <w:rPr>
          <w:rFonts w:ascii="Times New Roman" w:hAnsi="Times New Roman"/>
          <w:spacing w:val="-4"/>
        </w:rPr>
        <w:t> </w:t>
      </w:r>
      <w:r>
        <w:rPr>
          <w:rFonts w:ascii="Times New Roman" w:hAnsi="Times New Roman"/>
        </w:rPr>
        <w:t>study.</w:t>
      </w:r>
      <w:r>
        <w:rPr>
          <w:rFonts w:ascii="Times New Roman" w:hAnsi="Times New Roman"/>
          <w:spacing w:val="-4"/>
        </w:rPr>
        <w:t> </w:t>
      </w:r>
      <w:r>
        <w:rPr>
          <w:rFonts w:ascii="Times New Roman" w:hAnsi="Times New Roman"/>
        </w:rPr>
        <w:t>Another relevant</w:t>
      </w:r>
      <w:r>
        <w:rPr>
          <w:rFonts w:ascii="Times New Roman" w:hAnsi="Times New Roman"/>
          <w:spacing w:val="-6"/>
        </w:rPr>
        <w:t> </w:t>
      </w:r>
      <w:r>
        <w:rPr>
          <w:rFonts w:ascii="Times New Roman" w:hAnsi="Times New Roman"/>
        </w:rPr>
        <w:t>predictor</w:t>
      </w:r>
      <w:r>
        <w:rPr>
          <w:rFonts w:ascii="Times New Roman" w:hAnsi="Times New Roman"/>
          <w:spacing w:val="-7"/>
        </w:rPr>
        <w:t> </w:t>
      </w:r>
      <w:r>
        <w:rPr>
          <w:rFonts w:ascii="Times New Roman" w:hAnsi="Times New Roman"/>
        </w:rPr>
        <w:t>was</w:t>
      </w:r>
      <w:r>
        <w:rPr>
          <w:rFonts w:ascii="Times New Roman" w:hAnsi="Times New Roman"/>
          <w:spacing w:val="-6"/>
        </w:rPr>
        <w:t> </w:t>
      </w:r>
      <w:r>
        <w:rPr>
          <w:rFonts w:ascii="Times New Roman" w:hAnsi="Times New Roman"/>
        </w:rPr>
        <w:t>adding</w:t>
      </w:r>
      <w:r>
        <w:rPr>
          <w:rFonts w:ascii="Times New Roman" w:hAnsi="Times New Roman"/>
          <w:spacing w:val="-8"/>
        </w:rPr>
        <w:t> </w:t>
      </w:r>
      <w:r>
        <w:rPr>
          <w:rFonts w:ascii="Times New Roman" w:hAnsi="Times New Roman"/>
        </w:rPr>
        <w:t>sugar</w:t>
      </w:r>
      <w:r>
        <w:rPr>
          <w:rFonts w:ascii="Times New Roman" w:hAnsi="Times New Roman"/>
          <w:spacing w:val="-7"/>
        </w:rPr>
        <w:t> </w:t>
      </w:r>
      <w:r>
        <w:rPr>
          <w:rFonts w:ascii="Times New Roman" w:hAnsi="Times New Roman"/>
        </w:rPr>
        <w:t>to</w:t>
      </w:r>
      <w:r>
        <w:rPr>
          <w:rFonts w:ascii="Times New Roman" w:hAnsi="Times New Roman"/>
          <w:spacing w:val="-6"/>
        </w:rPr>
        <w:t> </w:t>
      </w:r>
      <w:r>
        <w:rPr>
          <w:rFonts w:ascii="Times New Roman" w:hAnsi="Times New Roman"/>
        </w:rPr>
        <w:t>the</w:t>
      </w:r>
      <w:r>
        <w:rPr>
          <w:rFonts w:ascii="Times New Roman" w:hAnsi="Times New Roman"/>
          <w:spacing w:val="-7"/>
        </w:rPr>
        <w:t> </w:t>
      </w:r>
      <w:r>
        <w:rPr>
          <w:rFonts w:ascii="Times New Roman" w:hAnsi="Times New Roman"/>
        </w:rPr>
        <w:t>feeding</w:t>
      </w:r>
      <w:r>
        <w:rPr>
          <w:rFonts w:ascii="Times New Roman" w:hAnsi="Times New Roman"/>
          <w:spacing w:val="-6"/>
        </w:rPr>
        <w:t> </w:t>
      </w:r>
      <w:r>
        <w:rPr>
          <w:rFonts w:ascii="Times New Roman" w:hAnsi="Times New Roman"/>
        </w:rPr>
        <w:t>bottle,</w:t>
      </w:r>
      <w:r>
        <w:rPr>
          <w:rFonts w:ascii="Times New Roman" w:hAnsi="Times New Roman"/>
          <w:spacing w:val="-7"/>
        </w:rPr>
        <w:t> </w:t>
      </w:r>
      <w:r>
        <w:rPr>
          <w:rFonts w:ascii="Times New Roman" w:hAnsi="Times New Roman"/>
        </w:rPr>
        <w:t>which</w:t>
      </w:r>
      <w:r>
        <w:rPr>
          <w:rFonts w:ascii="Times New Roman" w:hAnsi="Times New Roman"/>
          <w:spacing w:val="-6"/>
        </w:rPr>
        <w:t> </w:t>
      </w:r>
      <w:r>
        <w:rPr>
          <w:rFonts w:ascii="Times New Roman" w:hAnsi="Times New Roman"/>
        </w:rPr>
        <w:t>could</w:t>
      </w:r>
      <w:r>
        <w:rPr>
          <w:rFonts w:ascii="Times New Roman" w:hAnsi="Times New Roman"/>
          <w:spacing w:val="-6"/>
        </w:rPr>
        <w:t> </w:t>
      </w:r>
      <w:r>
        <w:rPr>
          <w:rFonts w:ascii="Times New Roman" w:hAnsi="Times New Roman"/>
        </w:rPr>
        <w:t>explain</w:t>
      </w:r>
      <w:r>
        <w:rPr>
          <w:rFonts w:ascii="Times New Roman" w:hAnsi="Times New Roman"/>
          <w:spacing w:val="-6"/>
        </w:rPr>
        <w:t> </w:t>
      </w:r>
      <w:r>
        <w:rPr>
          <w:rFonts w:ascii="Times New Roman" w:hAnsi="Times New Roman"/>
        </w:rPr>
        <w:t>the</w:t>
      </w:r>
      <w:r>
        <w:rPr>
          <w:rFonts w:ascii="Times New Roman" w:hAnsi="Times New Roman"/>
          <w:spacing w:val="-7"/>
        </w:rPr>
        <w:t> </w:t>
      </w:r>
      <w:r>
        <w:rPr>
          <w:rFonts w:ascii="Times New Roman" w:hAnsi="Times New Roman"/>
        </w:rPr>
        <w:t>prevalence</w:t>
      </w:r>
      <w:r>
        <w:rPr>
          <w:rFonts w:ascii="Times New Roman" w:hAnsi="Times New Roman"/>
          <w:spacing w:val="-7"/>
        </w:rPr>
        <w:t> </w:t>
      </w:r>
      <w:r>
        <w:rPr>
          <w:rFonts w:ascii="Times New Roman" w:hAnsi="Times New Roman"/>
        </w:rPr>
        <w:t>of children with S-ECC, since breastfeeding is more frequent than bottle-feeding. Regarding the hygienic</w:t>
      </w:r>
      <w:r>
        <w:rPr>
          <w:rFonts w:ascii="Times New Roman" w:hAnsi="Times New Roman"/>
          <w:spacing w:val="-14"/>
        </w:rPr>
        <w:t> </w:t>
      </w:r>
      <w:r>
        <w:rPr>
          <w:rFonts w:ascii="Times New Roman" w:hAnsi="Times New Roman"/>
        </w:rPr>
        <w:t>habits;</w:t>
      </w:r>
      <w:r>
        <w:rPr>
          <w:rFonts w:ascii="Times New Roman" w:hAnsi="Times New Roman"/>
          <w:spacing w:val="-13"/>
        </w:rPr>
        <w:t> </w:t>
      </w:r>
      <w:r>
        <w:rPr>
          <w:rFonts w:ascii="Times New Roman" w:hAnsi="Times New Roman"/>
        </w:rPr>
        <w:t>it</w:t>
      </w:r>
      <w:r>
        <w:rPr>
          <w:rFonts w:ascii="Times New Roman" w:hAnsi="Times New Roman"/>
          <w:spacing w:val="-13"/>
        </w:rPr>
        <w:t> </w:t>
      </w:r>
      <w:r>
        <w:rPr>
          <w:rFonts w:ascii="Times New Roman" w:hAnsi="Times New Roman"/>
        </w:rPr>
        <w:t>is</w:t>
      </w:r>
      <w:r>
        <w:rPr>
          <w:rFonts w:ascii="Times New Roman" w:hAnsi="Times New Roman"/>
          <w:spacing w:val="-13"/>
        </w:rPr>
        <w:t> </w:t>
      </w:r>
      <w:r>
        <w:rPr>
          <w:rFonts w:ascii="Times New Roman" w:hAnsi="Times New Roman"/>
        </w:rPr>
        <w:t>worth</w:t>
      </w:r>
      <w:r>
        <w:rPr>
          <w:rFonts w:ascii="Times New Roman" w:hAnsi="Times New Roman"/>
          <w:spacing w:val="-13"/>
        </w:rPr>
        <w:t> </w:t>
      </w:r>
      <w:r>
        <w:rPr>
          <w:rFonts w:ascii="Times New Roman" w:hAnsi="Times New Roman"/>
        </w:rPr>
        <w:t>noting</w:t>
      </w:r>
      <w:r>
        <w:rPr>
          <w:rFonts w:ascii="Times New Roman" w:hAnsi="Times New Roman"/>
          <w:spacing w:val="-16"/>
        </w:rPr>
        <w:t> </w:t>
      </w:r>
      <w:r>
        <w:rPr>
          <w:rFonts w:ascii="Times New Roman" w:hAnsi="Times New Roman"/>
        </w:rPr>
        <w:t>that</w:t>
      </w:r>
      <w:r>
        <w:rPr>
          <w:rFonts w:ascii="Times New Roman" w:hAnsi="Times New Roman"/>
          <w:spacing w:val="-13"/>
        </w:rPr>
        <w:t> </w:t>
      </w:r>
      <w:r>
        <w:rPr>
          <w:rFonts w:ascii="Times New Roman" w:hAnsi="Times New Roman"/>
        </w:rPr>
        <w:t>despite</w:t>
      </w:r>
      <w:r>
        <w:rPr>
          <w:rFonts w:ascii="Times New Roman" w:hAnsi="Times New Roman"/>
          <w:spacing w:val="-14"/>
        </w:rPr>
        <w:t> </w:t>
      </w:r>
      <w:r>
        <w:rPr>
          <w:rFonts w:ascii="Times New Roman" w:hAnsi="Times New Roman"/>
        </w:rPr>
        <w:t>many</w:t>
      </w:r>
      <w:r>
        <w:rPr>
          <w:rFonts w:ascii="Times New Roman" w:hAnsi="Times New Roman"/>
          <w:spacing w:val="-16"/>
        </w:rPr>
        <w:t> </w:t>
      </w:r>
      <w:r>
        <w:rPr>
          <w:rFonts w:ascii="Times New Roman" w:hAnsi="Times New Roman"/>
        </w:rPr>
        <w:t>have</w:t>
      </w:r>
      <w:r>
        <w:rPr>
          <w:rFonts w:ascii="Times New Roman" w:hAnsi="Times New Roman"/>
          <w:spacing w:val="-14"/>
        </w:rPr>
        <w:t> </w:t>
      </w:r>
      <w:r>
        <w:rPr>
          <w:rFonts w:ascii="Times New Roman" w:hAnsi="Times New Roman"/>
        </w:rPr>
        <w:t>their</w:t>
      </w:r>
      <w:r>
        <w:rPr>
          <w:rFonts w:ascii="Times New Roman" w:hAnsi="Times New Roman"/>
          <w:spacing w:val="-14"/>
        </w:rPr>
        <w:t> </w:t>
      </w:r>
      <w:r>
        <w:rPr>
          <w:rFonts w:ascii="Times New Roman" w:hAnsi="Times New Roman"/>
        </w:rPr>
        <w:t>own</w:t>
      </w:r>
      <w:r>
        <w:rPr>
          <w:rFonts w:ascii="Times New Roman" w:hAnsi="Times New Roman"/>
          <w:spacing w:val="-14"/>
        </w:rPr>
        <w:t> </w:t>
      </w:r>
      <w:r>
        <w:rPr>
          <w:rFonts w:ascii="Times New Roman" w:hAnsi="Times New Roman"/>
        </w:rPr>
        <w:t>toothbrush,</w:t>
      </w:r>
      <w:r>
        <w:rPr>
          <w:rFonts w:ascii="Times New Roman" w:hAnsi="Times New Roman"/>
          <w:spacing w:val="-14"/>
        </w:rPr>
        <w:t> </w:t>
      </w:r>
      <w:r>
        <w:rPr>
          <w:rFonts w:ascii="Times New Roman" w:hAnsi="Times New Roman"/>
        </w:rPr>
        <w:t>when</w:t>
      </w:r>
      <w:r>
        <w:rPr>
          <w:rFonts w:ascii="Times New Roman" w:hAnsi="Times New Roman"/>
          <w:spacing w:val="-13"/>
        </w:rPr>
        <w:t> </w:t>
      </w:r>
      <w:r>
        <w:rPr>
          <w:rFonts w:ascii="Times New Roman" w:hAnsi="Times New Roman"/>
        </w:rPr>
        <w:t>questioned about it, most responded that they do not change it frequently. </w:t>
      </w:r>
      <w:r>
        <w:rPr>
          <w:rFonts w:ascii="Times New Roman" w:hAnsi="Times New Roman"/>
          <w:spacing w:val="2"/>
        </w:rPr>
        <w:t>Many </w:t>
      </w:r>
      <w:r>
        <w:rPr>
          <w:rFonts w:ascii="Times New Roman" w:hAnsi="Times New Roman"/>
        </w:rPr>
        <w:t>times, their toothbrushes are</w:t>
      </w:r>
      <w:r>
        <w:rPr>
          <w:rFonts w:ascii="Times New Roman" w:hAnsi="Times New Roman"/>
          <w:spacing w:val="-16"/>
        </w:rPr>
        <w:t> </w:t>
      </w:r>
      <w:r>
        <w:rPr>
          <w:rFonts w:ascii="Times New Roman" w:hAnsi="Times New Roman"/>
        </w:rPr>
        <w:t>provided</w:t>
      </w:r>
      <w:r>
        <w:rPr>
          <w:rFonts w:ascii="Times New Roman" w:hAnsi="Times New Roman"/>
          <w:spacing w:val="-14"/>
        </w:rPr>
        <w:t> </w:t>
      </w:r>
      <w:r>
        <w:rPr>
          <w:rFonts w:ascii="Times New Roman" w:hAnsi="Times New Roman"/>
        </w:rPr>
        <w:t>by</w:t>
      </w:r>
      <w:r>
        <w:rPr>
          <w:rFonts w:ascii="Times New Roman" w:hAnsi="Times New Roman"/>
          <w:spacing w:val="-19"/>
        </w:rPr>
        <w:t> </w:t>
      </w:r>
      <w:r>
        <w:rPr>
          <w:rFonts w:ascii="Times New Roman" w:hAnsi="Times New Roman"/>
        </w:rPr>
        <w:t>a</w:t>
      </w:r>
      <w:r>
        <w:rPr>
          <w:rFonts w:ascii="Times New Roman" w:hAnsi="Times New Roman"/>
          <w:spacing w:val="-15"/>
        </w:rPr>
        <w:t> </w:t>
      </w:r>
      <w:r>
        <w:rPr>
          <w:rFonts w:ascii="Times New Roman" w:hAnsi="Times New Roman"/>
        </w:rPr>
        <w:t>governmental</w:t>
      </w:r>
      <w:r>
        <w:rPr>
          <w:rFonts w:ascii="Times New Roman" w:hAnsi="Times New Roman"/>
          <w:spacing w:val="-14"/>
        </w:rPr>
        <w:t> </w:t>
      </w:r>
      <w:r>
        <w:rPr>
          <w:rFonts w:ascii="Times New Roman" w:hAnsi="Times New Roman"/>
        </w:rPr>
        <w:t>or</w:t>
      </w:r>
      <w:r>
        <w:rPr>
          <w:rFonts w:ascii="Times New Roman" w:hAnsi="Times New Roman"/>
          <w:spacing w:val="-14"/>
        </w:rPr>
        <w:t> </w:t>
      </w:r>
      <w:r>
        <w:rPr>
          <w:rFonts w:ascii="Times New Roman" w:hAnsi="Times New Roman"/>
        </w:rPr>
        <w:t>non-profit</w:t>
      </w:r>
      <w:r>
        <w:rPr>
          <w:rFonts w:ascii="Times New Roman" w:hAnsi="Times New Roman"/>
          <w:spacing w:val="-13"/>
        </w:rPr>
        <w:t> </w:t>
      </w:r>
      <w:r>
        <w:rPr>
          <w:rFonts w:ascii="Times New Roman" w:hAnsi="Times New Roman"/>
        </w:rPr>
        <w:t>organization.</w:t>
      </w:r>
      <w:r>
        <w:rPr>
          <w:rFonts w:ascii="Times New Roman" w:hAnsi="Times New Roman"/>
          <w:spacing w:val="-14"/>
        </w:rPr>
        <w:t> </w:t>
      </w:r>
      <w:r>
        <w:rPr>
          <w:rFonts w:ascii="Times New Roman" w:hAnsi="Times New Roman"/>
        </w:rPr>
        <w:t>Nonetheless,</w:t>
      </w:r>
      <w:r>
        <w:rPr>
          <w:rFonts w:ascii="Times New Roman" w:hAnsi="Times New Roman"/>
          <w:spacing w:val="-14"/>
        </w:rPr>
        <w:t> </w:t>
      </w:r>
      <w:r>
        <w:rPr>
          <w:rFonts w:ascii="Times New Roman" w:hAnsi="Times New Roman"/>
        </w:rPr>
        <w:t>the</w:t>
      </w:r>
      <w:r>
        <w:rPr>
          <w:rFonts w:ascii="Times New Roman" w:hAnsi="Times New Roman"/>
          <w:spacing w:val="-17"/>
        </w:rPr>
        <w:t> </w:t>
      </w:r>
      <w:r>
        <w:rPr>
          <w:rFonts w:ascii="Times New Roman" w:hAnsi="Times New Roman"/>
        </w:rPr>
        <w:t>presence</w:t>
      </w:r>
      <w:r>
        <w:rPr>
          <w:rFonts w:ascii="Times New Roman" w:hAnsi="Times New Roman"/>
          <w:spacing w:val="-15"/>
        </w:rPr>
        <w:t> </w:t>
      </w:r>
      <w:r>
        <w:rPr>
          <w:rFonts w:ascii="Times New Roman" w:hAnsi="Times New Roman"/>
        </w:rPr>
        <w:t>of</w:t>
      </w:r>
      <w:r>
        <w:rPr>
          <w:rFonts w:ascii="Times New Roman" w:hAnsi="Times New Roman"/>
          <w:spacing w:val="-13"/>
        </w:rPr>
        <w:t> </w:t>
      </w:r>
      <w:r>
        <w:rPr>
          <w:rFonts w:ascii="Times New Roman" w:hAnsi="Times New Roman"/>
          <w:i/>
        </w:rPr>
        <w:t>materia </w:t>
      </w:r>
      <w:r>
        <w:rPr>
          <w:rFonts w:ascii="Times New Roman" w:hAnsi="Times New Roman"/>
          <w:i/>
        </w:rPr>
        <w:t>alba </w:t>
      </w:r>
      <w:r>
        <w:rPr>
          <w:rFonts w:ascii="Times New Roman" w:hAnsi="Times New Roman"/>
        </w:rPr>
        <w:t>on their dental surfaces indicates that dental hygiene is not an everyday habit for most of these children, which is consistent with other reports</w:t>
      </w:r>
      <w:r>
        <w:rPr>
          <w:rFonts w:ascii="Times New Roman" w:hAnsi="Times New Roman"/>
          <w:spacing w:val="-3"/>
        </w:rPr>
        <w:t> </w:t>
      </w:r>
      <w:r>
        <w:rPr>
          <w:rFonts w:ascii="Times New Roman" w:hAnsi="Times New Roman"/>
          <w:position w:val="9"/>
          <w:sz w:val="16"/>
        </w:rPr>
        <w:t>8,13</w:t>
      </w:r>
      <w:r>
        <w:rPr>
          <w:rFonts w:ascii="Times New Roman" w:hAnsi="Times New Roman"/>
        </w:rPr>
        <w:t>.</w:t>
      </w:r>
    </w:p>
    <w:p>
      <w:pPr>
        <w:pStyle w:val="BodyText"/>
        <w:spacing w:line="480" w:lineRule="auto"/>
        <w:ind w:left="138" w:right="130"/>
        <w:jc w:val="both"/>
        <w:rPr>
          <w:rFonts w:ascii="Calibri" w:hAnsi="Calibri"/>
          <w:sz w:val="22"/>
        </w:rPr>
      </w:pPr>
      <w:r>
        <w:rPr>
          <w:rFonts w:ascii="Times New Roman" w:hAnsi="Times New Roman"/>
        </w:rPr>
        <w:t>On the other hand, in most cases the children’s primary caregiver is the mother, whose educational level remained as a relevant predictor. In our case, almost half of the primary caregivers do not have basic education, which means that they are not able to read and write. Nonetheless,</w:t>
      </w:r>
      <w:r>
        <w:rPr>
          <w:rFonts w:ascii="Times New Roman" w:hAnsi="Times New Roman"/>
          <w:spacing w:val="-6"/>
        </w:rPr>
        <w:t> </w:t>
      </w:r>
      <w:r>
        <w:rPr>
          <w:rFonts w:ascii="Times New Roman" w:hAnsi="Times New Roman"/>
        </w:rPr>
        <w:t>our</w:t>
      </w:r>
      <w:r>
        <w:rPr>
          <w:rFonts w:ascii="Times New Roman" w:hAnsi="Times New Roman"/>
          <w:spacing w:val="-7"/>
        </w:rPr>
        <w:t> </w:t>
      </w:r>
      <w:r>
        <w:rPr>
          <w:rFonts w:ascii="Times New Roman" w:hAnsi="Times New Roman"/>
        </w:rPr>
        <w:t>data</w:t>
      </w:r>
      <w:r>
        <w:rPr>
          <w:rFonts w:ascii="Times New Roman" w:hAnsi="Times New Roman"/>
          <w:spacing w:val="-7"/>
        </w:rPr>
        <w:t> </w:t>
      </w:r>
      <w:r>
        <w:rPr>
          <w:rFonts w:ascii="Times New Roman" w:hAnsi="Times New Roman"/>
        </w:rPr>
        <w:t>showed</w:t>
      </w:r>
      <w:r>
        <w:rPr>
          <w:rFonts w:ascii="Times New Roman" w:hAnsi="Times New Roman"/>
          <w:spacing w:val="-6"/>
        </w:rPr>
        <w:t> </w:t>
      </w:r>
      <w:r>
        <w:rPr>
          <w:rFonts w:ascii="Times New Roman" w:hAnsi="Times New Roman"/>
        </w:rPr>
        <w:t>that</w:t>
      </w:r>
      <w:r>
        <w:rPr>
          <w:rFonts w:ascii="Times New Roman" w:hAnsi="Times New Roman"/>
          <w:spacing w:val="-6"/>
        </w:rPr>
        <w:t> </w:t>
      </w:r>
      <w:r>
        <w:rPr>
          <w:rFonts w:ascii="Times New Roman" w:hAnsi="Times New Roman"/>
        </w:rPr>
        <w:t>a</w:t>
      </w:r>
      <w:r>
        <w:rPr>
          <w:rFonts w:ascii="Times New Roman" w:hAnsi="Times New Roman"/>
          <w:spacing w:val="-5"/>
        </w:rPr>
        <w:t> </w:t>
      </w:r>
      <w:r>
        <w:rPr>
          <w:rFonts w:ascii="Times New Roman" w:hAnsi="Times New Roman"/>
        </w:rPr>
        <w:t>greater</w:t>
      </w:r>
      <w:r>
        <w:rPr>
          <w:rFonts w:ascii="Times New Roman" w:hAnsi="Times New Roman"/>
          <w:spacing w:val="-5"/>
        </w:rPr>
        <w:t> </w:t>
      </w:r>
      <w:r>
        <w:rPr>
          <w:rFonts w:ascii="Times New Roman" w:hAnsi="Times New Roman"/>
        </w:rPr>
        <w:t>educational</w:t>
      </w:r>
      <w:r>
        <w:rPr>
          <w:rFonts w:ascii="Times New Roman" w:hAnsi="Times New Roman"/>
          <w:spacing w:val="-6"/>
        </w:rPr>
        <w:t> </w:t>
      </w:r>
      <w:r>
        <w:rPr>
          <w:rFonts w:ascii="Times New Roman" w:hAnsi="Times New Roman"/>
        </w:rPr>
        <w:t>level</w:t>
      </w:r>
      <w:r>
        <w:rPr>
          <w:rFonts w:ascii="Times New Roman" w:hAnsi="Times New Roman"/>
          <w:spacing w:val="-6"/>
        </w:rPr>
        <w:t> </w:t>
      </w:r>
      <w:r>
        <w:rPr>
          <w:rFonts w:ascii="Times New Roman" w:hAnsi="Times New Roman"/>
        </w:rPr>
        <w:t>was</w:t>
      </w:r>
      <w:r>
        <w:rPr>
          <w:rFonts w:ascii="Times New Roman" w:hAnsi="Times New Roman"/>
          <w:spacing w:val="-2"/>
        </w:rPr>
        <w:t> </w:t>
      </w:r>
      <w:r>
        <w:rPr>
          <w:rFonts w:ascii="Times New Roman" w:hAnsi="Times New Roman"/>
        </w:rPr>
        <w:t>correlated</w:t>
      </w:r>
      <w:r>
        <w:rPr>
          <w:rFonts w:ascii="Times New Roman" w:hAnsi="Times New Roman"/>
          <w:spacing w:val="-4"/>
        </w:rPr>
        <w:t> </w:t>
      </w:r>
      <w:r>
        <w:rPr>
          <w:rFonts w:ascii="Times New Roman" w:hAnsi="Times New Roman"/>
        </w:rPr>
        <w:t>with</w:t>
      </w:r>
      <w:r>
        <w:rPr>
          <w:rFonts w:ascii="Times New Roman" w:hAnsi="Times New Roman"/>
          <w:spacing w:val="-6"/>
        </w:rPr>
        <w:t> </w:t>
      </w:r>
      <w:r>
        <w:rPr>
          <w:rFonts w:ascii="Times New Roman" w:hAnsi="Times New Roman"/>
        </w:rPr>
        <w:t>a</w:t>
      </w:r>
      <w:r>
        <w:rPr>
          <w:rFonts w:ascii="Times New Roman" w:hAnsi="Times New Roman"/>
          <w:spacing w:val="-7"/>
        </w:rPr>
        <w:t> </w:t>
      </w:r>
      <w:r>
        <w:rPr>
          <w:rFonts w:ascii="Times New Roman" w:hAnsi="Times New Roman"/>
        </w:rPr>
        <w:t>lower</w:t>
      </w:r>
      <w:r>
        <w:rPr>
          <w:rFonts w:ascii="Times New Roman" w:hAnsi="Times New Roman"/>
          <w:spacing w:val="-7"/>
        </w:rPr>
        <w:t> </w:t>
      </w:r>
      <w:r>
        <w:rPr>
          <w:rFonts w:ascii="Times New Roman" w:hAnsi="Times New Roman"/>
        </w:rPr>
        <w:t>dmfs, which is consistent with evidence in relevant literature</w:t>
      </w:r>
      <w:r>
        <w:rPr>
          <w:rFonts w:ascii="Times New Roman" w:hAnsi="Times New Roman"/>
          <w:position w:val="9"/>
          <w:sz w:val="16"/>
        </w:rPr>
        <w:t>7,28 </w:t>
      </w:r>
      <w:r>
        <w:rPr>
          <w:rFonts w:ascii="Times New Roman" w:hAnsi="Times New Roman"/>
        </w:rPr>
        <w:t>that points out that the educational level of the mother plays a major role in oral health. </w:t>
      </w:r>
      <w:r>
        <w:rPr>
          <w:rFonts w:ascii="Times New Roman" w:hAnsi="Times New Roman"/>
          <w:spacing w:val="-3"/>
        </w:rPr>
        <w:t>It </w:t>
      </w:r>
      <w:r>
        <w:rPr>
          <w:rFonts w:ascii="Times New Roman" w:hAnsi="Times New Roman"/>
        </w:rPr>
        <w:t>is notorious that the need of treatment was unavoidable due to the high average of untreated caries surfaces. The results of the study show the need to implement educational programs in this population that include the dietary- hygiene</w:t>
      </w:r>
      <w:r>
        <w:rPr>
          <w:rFonts w:ascii="Times New Roman" w:hAnsi="Times New Roman"/>
          <w:spacing w:val="-8"/>
        </w:rPr>
        <w:t> </w:t>
      </w:r>
      <w:r>
        <w:rPr>
          <w:rFonts w:ascii="Times New Roman" w:hAnsi="Times New Roman"/>
        </w:rPr>
        <w:t>habits</w:t>
      </w:r>
      <w:r>
        <w:rPr>
          <w:rFonts w:ascii="Times New Roman" w:hAnsi="Times New Roman"/>
          <w:spacing w:val="-6"/>
        </w:rPr>
        <w:t> </w:t>
      </w:r>
      <w:r>
        <w:rPr>
          <w:rFonts w:ascii="Times New Roman" w:hAnsi="Times New Roman"/>
        </w:rPr>
        <w:t>to</w:t>
      </w:r>
      <w:r>
        <w:rPr>
          <w:rFonts w:ascii="Times New Roman" w:hAnsi="Times New Roman"/>
          <w:spacing w:val="-7"/>
        </w:rPr>
        <w:t> </w:t>
      </w:r>
      <w:r>
        <w:rPr>
          <w:rFonts w:ascii="Times New Roman" w:hAnsi="Times New Roman"/>
        </w:rPr>
        <w:t>be</w:t>
      </w:r>
      <w:r>
        <w:rPr>
          <w:rFonts w:ascii="Times New Roman" w:hAnsi="Times New Roman"/>
          <w:spacing w:val="-8"/>
        </w:rPr>
        <w:t> </w:t>
      </w:r>
      <w:r>
        <w:rPr>
          <w:rFonts w:ascii="Times New Roman" w:hAnsi="Times New Roman"/>
        </w:rPr>
        <w:t>followed</w:t>
      </w:r>
      <w:r>
        <w:rPr>
          <w:rFonts w:ascii="Times New Roman" w:hAnsi="Times New Roman"/>
          <w:spacing w:val="-7"/>
        </w:rPr>
        <w:t> </w:t>
      </w:r>
      <w:r>
        <w:rPr>
          <w:rFonts w:ascii="Times New Roman" w:hAnsi="Times New Roman"/>
        </w:rPr>
        <w:t>from</w:t>
      </w:r>
      <w:r>
        <w:rPr>
          <w:rFonts w:ascii="Times New Roman" w:hAnsi="Times New Roman"/>
          <w:spacing w:val="-7"/>
        </w:rPr>
        <w:t> </w:t>
      </w:r>
      <w:r>
        <w:rPr>
          <w:rFonts w:ascii="Times New Roman" w:hAnsi="Times New Roman"/>
        </w:rPr>
        <w:t>the</w:t>
      </w:r>
      <w:r>
        <w:rPr>
          <w:rFonts w:ascii="Times New Roman" w:hAnsi="Times New Roman"/>
          <w:spacing w:val="-8"/>
        </w:rPr>
        <w:t> </w:t>
      </w:r>
      <w:r>
        <w:rPr>
          <w:rFonts w:ascii="Times New Roman" w:hAnsi="Times New Roman"/>
        </w:rPr>
        <w:t>birth</w:t>
      </w:r>
      <w:r>
        <w:rPr>
          <w:rFonts w:ascii="Times New Roman" w:hAnsi="Times New Roman"/>
          <w:spacing w:val="-7"/>
        </w:rPr>
        <w:t> </w:t>
      </w:r>
      <w:r>
        <w:rPr>
          <w:rFonts w:ascii="Times New Roman" w:hAnsi="Times New Roman"/>
        </w:rPr>
        <w:t>of</w:t>
      </w:r>
      <w:r>
        <w:rPr>
          <w:rFonts w:ascii="Times New Roman" w:hAnsi="Times New Roman"/>
          <w:spacing w:val="-8"/>
        </w:rPr>
        <w:t> </w:t>
      </w:r>
      <w:r>
        <w:rPr>
          <w:rFonts w:ascii="Times New Roman" w:hAnsi="Times New Roman"/>
        </w:rPr>
        <w:t>the</w:t>
      </w:r>
      <w:r>
        <w:rPr>
          <w:rFonts w:ascii="Times New Roman" w:hAnsi="Times New Roman"/>
          <w:spacing w:val="-10"/>
        </w:rPr>
        <w:t> </w:t>
      </w:r>
      <w:r>
        <w:rPr>
          <w:rFonts w:ascii="Times New Roman" w:hAnsi="Times New Roman"/>
        </w:rPr>
        <w:t>children,</w:t>
      </w:r>
      <w:r>
        <w:rPr>
          <w:rFonts w:ascii="Times New Roman" w:hAnsi="Times New Roman"/>
          <w:spacing w:val="-7"/>
        </w:rPr>
        <w:t> </w:t>
      </w:r>
      <w:r>
        <w:rPr>
          <w:rFonts w:ascii="Times New Roman" w:hAnsi="Times New Roman"/>
        </w:rPr>
        <w:t>as</w:t>
      </w:r>
      <w:r>
        <w:rPr>
          <w:rFonts w:ascii="Times New Roman" w:hAnsi="Times New Roman"/>
          <w:spacing w:val="-7"/>
        </w:rPr>
        <w:t> </w:t>
      </w:r>
      <w:r>
        <w:rPr>
          <w:rFonts w:ascii="Times New Roman" w:hAnsi="Times New Roman"/>
        </w:rPr>
        <w:t>well</w:t>
      </w:r>
      <w:r>
        <w:rPr>
          <w:rFonts w:ascii="Times New Roman" w:hAnsi="Times New Roman"/>
          <w:spacing w:val="-6"/>
        </w:rPr>
        <w:t> </w:t>
      </w:r>
      <w:r>
        <w:rPr>
          <w:rFonts w:ascii="Times New Roman" w:hAnsi="Times New Roman"/>
        </w:rPr>
        <w:t>as</w:t>
      </w:r>
      <w:r>
        <w:rPr>
          <w:rFonts w:ascii="Times New Roman" w:hAnsi="Times New Roman"/>
          <w:spacing w:val="-7"/>
        </w:rPr>
        <w:t> </w:t>
      </w:r>
      <w:r>
        <w:rPr>
          <w:rFonts w:ascii="Times New Roman" w:hAnsi="Times New Roman"/>
        </w:rPr>
        <w:t>implementing</w:t>
      </w:r>
      <w:r>
        <w:rPr>
          <w:rFonts w:ascii="Times New Roman" w:hAnsi="Times New Roman"/>
          <w:spacing w:val="-9"/>
        </w:rPr>
        <w:t> </w:t>
      </w:r>
      <w:r>
        <w:rPr>
          <w:rFonts w:ascii="Times New Roman" w:hAnsi="Times New Roman"/>
        </w:rPr>
        <w:t>restorative care services that are required by these</w:t>
      </w:r>
      <w:r>
        <w:rPr>
          <w:rFonts w:ascii="Times New Roman" w:hAnsi="Times New Roman"/>
          <w:spacing w:val="-9"/>
        </w:rPr>
        <w:t> </w:t>
      </w:r>
      <w:r>
        <w:rPr>
          <w:rFonts w:ascii="Times New Roman" w:hAnsi="Times New Roman"/>
        </w:rPr>
        <w:t>communities</w:t>
      </w:r>
      <w:r>
        <w:rPr>
          <w:rFonts w:ascii="Calibri" w:hAnsi="Calibri"/>
          <w:sz w:val="22"/>
        </w:rPr>
        <w:t>.</w:t>
      </w:r>
    </w:p>
    <w:p>
      <w:pPr>
        <w:spacing w:after="0" w:line="480" w:lineRule="auto"/>
        <w:jc w:val="both"/>
        <w:rPr>
          <w:rFonts w:ascii="Calibri" w:hAnsi="Calibri"/>
          <w:sz w:val="22"/>
        </w:rPr>
        <w:sectPr>
          <w:pgSz w:w="12240" w:h="15840"/>
          <w:pgMar w:header="686" w:footer="964" w:top="1080" w:bottom="1160" w:left="1280" w:right="1560"/>
        </w:sectPr>
      </w:pPr>
    </w:p>
    <w:p>
      <w:pPr>
        <w:pStyle w:val="BodyText"/>
        <w:rPr>
          <w:rFonts w:ascii="Calibri"/>
          <w:sz w:val="20"/>
        </w:rPr>
      </w:pPr>
    </w:p>
    <w:p>
      <w:pPr>
        <w:pStyle w:val="BodyText"/>
        <w:spacing w:before="10"/>
        <w:rPr>
          <w:rFonts w:ascii="Calibri"/>
        </w:rPr>
      </w:pPr>
    </w:p>
    <w:p>
      <w:pPr>
        <w:pStyle w:val="Heading1"/>
        <w:spacing w:before="69"/>
        <w:rPr>
          <w:rFonts w:ascii="Times New Roman"/>
        </w:rPr>
      </w:pPr>
      <w:r>
        <w:rPr>
          <w:rFonts w:ascii="Times New Roman"/>
        </w:rPr>
        <w:t>CONCLUSIONS</w:t>
      </w:r>
    </w:p>
    <w:p>
      <w:pPr>
        <w:pStyle w:val="BodyText"/>
        <w:spacing w:before="2"/>
        <w:rPr>
          <w:rFonts w:ascii="Times New Roman"/>
          <w:b/>
          <w:sz w:val="20"/>
        </w:rPr>
      </w:pPr>
    </w:p>
    <w:p>
      <w:pPr>
        <w:pStyle w:val="BodyText"/>
        <w:spacing w:line="480" w:lineRule="auto" w:before="1"/>
        <w:ind w:left="138" w:right="136"/>
        <w:jc w:val="both"/>
        <w:rPr>
          <w:rFonts w:ascii="Times New Roman"/>
        </w:rPr>
      </w:pPr>
      <w:r>
        <w:rPr>
          <w:rFonts w:ascii="Times New Roman"/>
        </w:rPr>
        <w:t>A</w:t>
      </w:r>
      <w:r>
        <w:rPr>
          <w:rFonts w:ascii="Times New Roman"/>
          <w:spacing w:val="-9"/>
        </w:rPr>
        <w:t> </w:t>
      </w:r>
      <w:r>
        <w:rPr>
          <w:rFonts w:ascii="Times New Roman"/>
        </w:rPr>
        <w:t>high</w:t>
      </w:r>
      <w:r>
        <w:rPr>
          <w:rFonts w:ascii="Times New Roman"/>
          <w:spacing w:val="-7"/>
        </w:rPr>
        <w:t> </w:t>
      </w:r>
      <w:r>
        <w:rPr>
          <w:rFonts w:ascii="Times New Roman"/>
        </w:rPr>
        <w:t>prevalence</w:t>
      </w:r>
      <w:r>
        <w:rPr>
          <w:rFonts w:ascii="Times New Roman"/>
          <w:spacing w:val="-10"/>
        </w:rPr>
        <w:t> </w:t>
      </w:r>
      <w:r>
        <w:rPr>
          <w:rFonts w:ascii="Times New Roman"/>
        </w:rPr>
        <w:t>of</w:t>
      </w:r>
      <w:r>
        <w:rPr>
          <w:rFonts w:ascii="Times New Roman"/>
          <w:spacing w:val="-6"/>
        </w:rPr>
        <w:t> </w:t>
      </w:r>
      <w:r>
        <w:rPr>
          <w:rFonts w:ascii="Times New Roman"/>
        </w:rPr>
        <w:t>untreated</w:t>
      </w:r>
      <w:r>
        <w:rPr>
          <w:rFonts w:ascii="Times New Roman"/>
          <w:spacing w:val="-7"/>
        </w:rPr>
        <w:t> </w:t>
      </w:r>
      <w:r>
        <w:rPr>
          <w:rFonts w:ascii="Times New Roman"/>
        </w:rPr>
        <w:t>caries</w:t>
      </w:r>
      <w:r>
        <w:rPr>
          <w:rFonts w:ascii="Times New Roman"/>
          <w:spacing w:val="-7"/>
        </w:rPr>
        <w:t> </w:t>
      </w:r>
      <w:r>
        <w:rPr>
          <w:rFonts w:ascii="Times New Roman"/>
        </w:rPr>
        <w:t>was</w:t>
      </w:r>
      <w:r>
        <w:rPr>
          <w:rFonts w:ascii="Times New Roman"/>
          <w:spacing w:val="-6"/>
        </w:rPr>
        <w:t> </w:t>
      </w:r>
      <w:r>
        <w:rPr>
          <w:rFonts w:ascii="Times New Roman"/>
        </w:rPr>
        <w:t>recorded.</w:t>
      </w:r>
      <w:r>
        <w:rPr>
          <w:rFonts w:ascii="Times New Roman"/>
          <w:spacing w:val="-9"/>
        </w:rPr>
        <w:t> </w:t>
      </w:r>
      <w:r>
        <w:rPr>
          <w:rFonts w:ascii="Times New Roman"/>
        </w:rPr>
        <w:t>Also,</w:t>
      </w:r>
      <w:r>
        <w:rPr>
          <w:rFonts w:ascii="Times New Roman"/>
          <w:spacing w:val="-9"/>
        </w:rPr>
        <w:t> </w:t>
      </w:r>
      <w:r>
        <w:rPr>
          <w:rFonts w:ascii="Times New Roman"/>
        </w:rPr>
        <w:t>the</w:t>
      </w:r>
      <w:r>
        <w:rPr>
          <w:rFonts w:ascii="Times New Roman"/>
          <w:spacing w:val="-9"/>
        </w:rPr>
        <w:t> </w:t>
      </w:r>
      <w:r>
        <w:rPr>
          <w:rFonts w:ascii="Times New Roman"/>
        </w:rPr>
        <w:t>dmfs</w:t>
      </w:r>
      <w:r>
        <w:rPr>
          <w:rFonts w:ascii="Times New Roman"/>
          <w:spacing w:val="-6"/>
        </w:rPr>
        <w:t> </w:t>
      </w:r>
      <w:r>
        <w:rPr>
          <w:rFonts w:ascii="Times New Roman"/>
        </w:rPr>
        <w:t>increase</w:t>
      </w:r>
      <w:r>
        <w:rPr>
          <w:rFonts w:ascii="Times New Roman"/>
          <w:spacing w:val="-7"/>
        </w:rPr>
        <w:t> </w:t>
      </w:r>
      <w:r>
        <w:rPr>
          <w:rFonts w:ascii="Times New Roman"/>
        </w:rPr>
        <w:t>in</w:t>
      </w:r>
      <w:r>
        <w:rPr>
          <w:rFonts w:ascii="Times New Roman"/>
          <w:spacing w:val="-8"/>
        </w:rPr>
        <w:t> </w:t>
      </w:r>
      <w:r>
        <w:rPr>
          <w:rFonts w:ascii="Times New Roman"/>
        </w:rPr>
        <w:t>children</w:t>
      </w:r>
      <w:r>
        <w:rPr>
          <w:rFonts w:ascii="Times New Roman"/>
          <w:spacing w:val="-9"/>
        </w:rPr>
        <w:t> </w:t>
      </w:r>
      <w:r>
        <w:rPr>
          <w:rFonts w:ascii="Times New Roman"/>
        </w:rPr>
        <w:t>who</w:t>
      </w:r>
      <w:r>
        <w:rPr>
          <w:rFonts w:ascii="Times New Roman"/>
          <w:spacing w:val="-6"/>
        </w:rPr>
        <w:t> </w:t>
      </w:r>
      <w:r>
        <w:rPr>
          <w:rFonts w:ascii="Times New Roman"/>
        </w:rPr>
        <w:t>are exposed greater number of times to sugars during meals, those with the presence of </w:t>
      </w:r>
      <w:r>
        <w:rPr>
          <w:rFonts w:ascii="Times New Roman"/>
          <w:i/>
        </w:rPr>
        <w:t>materia </w:t>
      </w:r>
      <w:r>
        <w:rPr>
          <w:rFonts w:ascii="Times New Roman"/>
          <w:i/>
        </w:rPr>
        <w:t>alba, </w:t>
      </w:r>
      <w:r>
        <w:rPr>
          <w:rFonts w:ascii="Times New Roman"/>
        </w:rPr>
        <w:t>and those who were given a feeding bottle with added sugar or honey. The dmfs were lower among children whose primary caregivers have a higher</w:t>
      </w:r>
      <w:r>
        <w:rPr>
          <w:rFonts w:ascii="Times New Roman"/>
          <w:spacing w:val="-12"/>
        </w:rPr>
        <w:t> </w:t>
      </w:r>
      <w:r>
        <w:rPr>
          <w:rFonts w:ascii="Times New Roman"/>
        </w:rPr>
        <w:t>education.</w:t>
      </w:r>
    </w:p>
    <w:p>
      <w:pPr>
        <w:pStyle w:val="BodyText"/>
        <w:rPr>
          <w:rFonts w:ascii="Times New Roman"/>
        </w:rPr>
      </w:pPr>
    </w:p>
    <w:p>
      <w:pPr>
        <w:pStyle w:val="BodyText"/>
        <w:spacing w:before="7"/>
        <w:rPr>
          <w:rFonts w:ascii="Times New Roman"/>
          <w:sz w:val="22"/>
        </w:rPr>
      </w:pPr>
    </w:p>
    <w:p>
      <w:pPr>
        <w:pStyle w:val="Heading1"/>
        <w:rPr>
          <w:rFonts w:ascii="Times New Roman"/>
        </w:rPr>
      </w:pPr>
      <w:r>
        <w:rPr>
          <w:rFonts w:ascii="Times New Roman"/>
        </w:rPr>
        <w:t>ACKNOWLEDGEMENTS</w:t>
      </w:r>
    </w:p>
    <w:p>
      <w:pPr>
        <w:pStyle w:val="BodyText"/>
        <w:spacing w:before="2"/>
        <w:rPr>
          <w:rFonts w:ascii="Times New Roman"/>
          <w:b/>
          <w:sz w:val="20"/>
        </w:rPr>
      </w:pPr>
    </w:p>
    <w:p>
      <w:pPr>
        <w:pStyle w:val="BodyText"/>
        <w:spacing w:line="480" w:lineRule="auto" w:before="1"/>
        <w:ind w:left="138" w:right="138"/>
        <w:jc w:val="both"/>
        <w:rPr>
          <w:rFonts w:ascii="Times New Roman" w:hAnsi="Times New Roman"/>
        </w:rPr>
      </w:pPr>
      <w:r>
        <w:rPr>
          <w:rFonts w:ascii="Times New Roman" w:hAnsi="Times New Roman"/>
        </w:rPr>
        <w:t>We express our gratitude to the authorities of the San José del Rincón municipality for their unvaluable suppourt, and in particular to Lic. Gabriela. Thanks to Dr. Julio Basilio Robles Navarro for all the suppourt to this proyect and for granting the charge-free dental atention of the children in the facilities of the Facultad de Odontología of the Universidad Autónoma de Estado de México.</w:t>
      </w:r>
    </w:p>
    <w:p>
      <w:pPr>
        <w:pStyle w:val="Heading1"/>
        <w:spacing w:before="17"/>
        <w:rPr>
          <w:rFonts w:ascii="Times New Roman"/>
        </w:rPr>
      </w:pPr>
      <w:r>
        <w:rPr>
          <w:rFonts w:ascii="Times New Roman"/>
        </w:rPr>
        <w:t>Conflicts of interest</w:t>
      </w:r>
    </w:p>
    <w:p>
      <w:pPr>
        <w:pStyle w:val="BodyText"/>
        <w:spacing w:before="8"/>
        <w:rPr>
          <w:rFonts w:ascii="Times New Roman"/>
          <w:b/>
          <w:sz w:val="20"/>
        </w:rPr>
      </w:pPr>
    </w:p>
    <w:p>
      <w:pPr>
        <w:pStyle w:val="BodyText"/>
        <w:ind w:left="138"/>
        <w:jc w:val="both"/>
        <w:rPr>
          <w:rFonts w:ascii="Times New Roman"/>
        </w:rPr>
      </w:pPr>
      <w:r>
        <w:rPr>
          <w:rFonts w:ascii="Times New Roman"/>
        </w:rPr>
        <w:t>The authors declare that there is no conflict of interests regarding the publication of this paper.</w:t>
      </w:r>
    </w:p>
    <w:p>
      <w:pPr>
        <w:pStyle w:val="BodyText"/>
        <w:rPr>
          <w:rFonts w:ascii="Times New Roman"/>
        </w:rPr>
      </w:pPr>
    </w:p>
    <w:p>
      <w:pPr>
        <w:pStyle w:val="BodyText"/>
        <w:rPr>
          <w:rFonts w:ascii="Times New Roman"/>
        </w:rPr>
      </w:pPr>
    </w:p>
    <w:p>
      <w:pPr>
        <w:pStyle w:val="Heading1"/>
        <w:spacing w:before="211"/>
        <w:rPr>
          <w:rFonts w:ascii="Times New Roman"/>
        </w:rPr>
      </w:pPr>
      <w:r>
        <w:rPr>
          <w:rFonts w:ascii="Times New Roman"/>
        </w:rPr>
        <w:t>REFERENCES</w:t>
      </w:r>
    </w:p>
    <w:p>
      <w:pPr>
        <w:pStyle w:val="BodyText"/>
        <w:spacing w:before="5"/>
        <w:rPr>
          <w:rFonts w:ascii="Times New Roman"/>
          <w:b/>
          <w:sz w:val="20"/>
        </w:rPr>
      </w:pPr>
    </w:p>
    <w:p>
      <w:pPr>
        <w:pStyle w:val="ListParagraph"/>
        <w:numPr>
          <w:ilvl w:val="0"/>
          <w:numId w:val="13"/>
        </w:numPr>
        <w:tabs>
          <w:tab w:pos="379" w:val="left" w:leader="none"/>
        </w:tabs>
        <w:spacing w:line="480" w:lineRule="auto" w:before="0" w:after="0"/>
        <w:ind w:left="138" w:right="139" w:firstLine="0"/>
        <w:jc w:val="both"/>
        <w:rPr>
          <w:sz w:val="24"/>
        </w:rPr>
      </w:pPr>
      <w:r>
        <w:rPr>
          <w:sz w:val="24"/>
        </w:rPr>
        <w:t>Petersen PE. The World Oral Health Report 2003: continuous improvement of oral health in the 21st century--the approach of the WHO Global Oral Health Programme. </w:t>
      </w:r>
      <w:r>
        <w:rPr>
          <w:i/>
          <w:sz w:val="24"/>
        </w:rPr>
        <w:t>Community Dent </w:t>
      </w:r>
      <w:r>
        <w:rPr>
          <w:i/>
          <w:sz w:val="24"/>
        </w:rPr>
        <w:t>Oral Epidemiol </w:t>
      </w:r>
      <w:r>
        <w:rPr>
          <w:sz w:val="24"/>
        </w:rPr>
        <w:t>2003 31 Suppl</w:t>
      </w:r>
      <w:r>
        <w:rPr>
          <w:spacing w:val="-2"/>
          <w:sz w:val="24"/>
        </w:rPr>
        <w:t> </w:t>
      </w:r>
      <w:r>
        <w:rPr>
          <w:sz w:val="24"/>
        </w:rPr>
        <w:t>1:3-23.</w:t>
      </w:r>
    </w:p>
    <w:p>
      <w:pPr>
        <w:pStyle w:val="ListParagraph"/>
        <w:numPr>
          <w:ilvl w:val="0"/>
          <w:numId w:val="13"/>
        </w:numPr>
        <w:tabs>
          <w:tab w:pos="379" w:val="left" w:leader="none"/>
        </w:tabs>
        <w:spacing w:line="240" w:lineRule="auto" w:before="11" w:after="0"/>
        <w:ind w:left="378" w:right="0" w:hanging="240"/>
        <w:jc w:val="both"/>
        <w:rPr>
          <w:sz w:val="24"/>
        </w:rPr>
      </w:pPr>
      <w:r>
        <w:rPr>
          <w:sz w:val="24"/>
        </w:rPr>
        <w:t>Marthaler TM. Changes in dental caries 1953-2003. </w:t>
      </w:r>
      <w:hyperlink r:id="rId26">
        <w:r>
          <w:rPr>
            <w:i/>
            <w:sz w:val="24"/>
          </w:rPr>
          <w:t>Caries Res</w:t>
        </w:r>
      </w:hyperlink>
      <w:r>
        <w:rPr>
          <w:i/>
          <w:sz w:val="24"/>
        </w:rPr>
        <w:t> </w:t>
      </w:r>
      <w:r>
        <w:rPr>
          <w:sz w:val="24"/>
        </w:rPr>
        <w:t>2004</w:t>
      </w:r>
      <w:r>
        <w:rPr>
          <w:spacing w:val="-11"/>
          <w:sz w:val="24"/>
        </w:rPr>
        <w:t> </w:t>
      </w:r>
      <w:r>
        <w:rPr>
          <w:sz w:val="24"/>
        </w:rPr>
        <w:t>38:173-181.</w:t>
      </w:r>
    </w:p>
    <w:p>
      <w:pPr>
        <w:pStyle w:val="BodyText"/>
        <w:rPr>
          <w:rFonts w:ascii="Times New Roman"/>
        </w:rPr>
      </w:pPr>
    </w:p>
    <w:p>
      <w:pPr>
        <w:pStyle w:val="BodyText"/>
        <w:rPr>
          <w:rFonts w:ascii="Times New Roman"/>
        </w:rPr>
      </w:pPr>
    </w:p>
    <w:p>
      <w:pPr>
        <w:pStyle w:val="BodyText"/>
        <w:spacing w:before="9"/>
        <w:rPr>
          <w:rFonts w:ascii="Times New Roman"/>
          <w:sz w:val="23"/>
        </w:rPr>
      </w:pPr>
    </w:p>
    <w:p>
      <w:pPr>
        <w:pStyle w:val="ListParagraph"/>
        <w:numPr>
          <w:ilvl w:val="0"/>
          <w:numId w:val="13"/>
        </w:numPr>
        <w:tabs>
          <w:tab w:pos="379" w:val="left" w:leader="none"/>
        </w:tabs>
        <w:spacing w:line="240" w:lineRule="auto" w:before="0" w:after="0"/>
        <w:ind w:left="378" w:right="0" w:hanging="240"/>
        <w:jc w:val="both"/>
        <w:rPr>
          <w:sz w:val="24"/>
        </w:rPr>
      </w:pPr>
      <w:r>
        <w:rPr>
          <w:sz w:val="24"/>
        </w:rPr>
        <w:t>Eklund SA. Trends in dental treatment, 1992 to 2007. </w:t>
      </w:r>
      <w:r>
        <w:rPr>
          <w:i/>
          <w:sz w:val="24"/>
        </w:rPr>
        <w:t>J Am Dent Assoc </w:t>
      </w:r>
      <w:r>
        <w:rPr>
          <w:sz w:val="24"/>
        </w:rPr>
        <w:t>2010</w:t>
      </w:r>
      <w:r>
        <w:rPr>
          <w:spacing w:val="-8"/>
          <w:sz w:val="24"/>
        </w:rPr>
        <w:t> </w:t>
      </w:r>
      <w:r>
        <w:rPr>
          <w:sz w:val="24"/>
        </w:rPr>
        <w:t>141:391-399</w:t>
      </w:r>
    </w:p>
    <w:p>
      <w:pPr>
        <w:spacing w:after="0" w:line="240" w:lineRule="auto"/>
        <w:jc w:val="both"/>
        <w:rPr>
          <w:sz w:val="24"/>
        </w:rPr>
        <w:sectPr>
          <w:pgSz w:w="12240" w:h="15840"/>
          <w:pgMar w:header="686" w:footer="964" w:top="1080" w:bottom="1160" w:left="1280" w:right="1560"/>
        </w:sectPr>
      </w:pPr>
    </w:p>
    <w:p>
      <w:pPr>
        <w:pStyle w:val="BodyText"/>
        <w:rPr>
          <w:rFonts w:ascii="Times New Roman"/>
          <w:sz w:val="20"/>
        </w:rPr>
      </w:pPr>
    </w:p>
    <w:p>
      <w:pPr>
        <w:pStyle w:val="BodyText"/>
        <w:spacing w:before="11"/>
        <w:rPr>
          <w:rFonts w:ascii="Times New Roman"/>
          <w:sz w:val="26"/>
        </w:rPr>
      </w:pPr>
    </w:p>
    <w:p>
      <w:pPr>
        <w:pStyle w:val="ListParagraph"/>
        <w:numPr>
          <w:ilvl w:val="0"/>
          <w:numId w:val="13"/>
        </w:numPr>
        <w:tabs>
          <w:tab w:pos="379" w:val="left" w:leader="none"/>
        </w:tabs>
        <w:spacing w:line="480" w:lineRule="auto" w:before="69" w:after="0"/>
        <w:ind w:left="138" w:right="137" w:firstLine="0"/>
        <w:jc w:val="both"/>
        <w:rPr>
          <w:sz w:val="24"/>
        </w:rPr>
      </w:pPr>
      <w:r>
        <w:rPr>
          <w:sz w:val="24"/>
        </w:rPr>
        <w:t>Tomar SL, Reeves AF. Changes in the oral health of US children and adolescents and</w:t>
      </w:r>
      <w:r>
        <w:rPr>
          <w:spacing w:val="-19"/>
          <w:sz w:val="24"/>
        </w:rPr>
        <w:t> </w:t>
      </w:r>
      <w:r>
        <w:rPr>
          <w:sz w:val="24"/>
        </w:rPr>
        <w:t>dental public health infrastructure since the release of the Healthy People 2010 Objectives. </w:t>
      </w:r>
      <w:r>
        <w:rPr>
          <w:i/>
          <w:sz w:val="24"/>
        </w:rPr>
        <w:t>Acad </w:t>
      </w:r>
      <w:r>
        <w:rPr>
          <w:i/>
          <w:sz w:val="24"/>
        </w:rPr>
        <w:t>Pediatr </w:t>
      </w:r>
      <w:r>
        <w:rPr>
          <w:sz w:val="24"/>
        </w:rPr>
        <w:t>2009</w:t>
      </w:r>
      <w:r>
        <w:rPr>
          <w:spacing w:val="-4"/>
          <w:sz w:val="24"/>
        </w:rPr>
        <w:t> </w:t>
      </w:r>
      <w:r>
        <w:rPr>
          <w:sz w:val="24"/>
        </w:rPr>
        <w:t>9:388-395.</w:t>
      </w:r>
    </w:p>
    <w:p>
      <w:pPr>
        <w:pStyle w:val="BodyText"/>
        <w:rPr>
          <w:rFonts w:ascii="Times New Roman"/>
        </w:rPr>
      </w:pPr>
    </w:p>
    <w:p>
      <w:pPr>
        <w:pStyle w:val="BodyText"/>
        <w:spacing w:before="10"/>
        <w:rPr>
          <w:rFonts w:ascii="Times New Roman"/>
        </w:rPr>
      </w:pPr>
    </w:p>
    <w:p>
      <w:pPr>
        <w:pStyle w:val="ListParagraph"/>
        <w:numPr>
          <w:ilvl w:val="0"/>
          <w:numId w:val="13"/>
        </w:numPr>
        <w:tabs>
          <w:tab w:pos="386" w:val="left" w:leader="none"/>
        </w:tabs>
        <w:spacing w:line="480" w:lineRule="auto" w:before="0" w:after="0"/>
        <w:ind w:left="138" w:right="144" w:firstLine="0"/>
        <w:jc w:val="both"/>
        <w:rPr>
          <w:sz w:val="24"/>
        </w:rPr>
      </w:pPr>
      <w:r>
        <w:rPr>
          <w:sz w:val="24"/>
        </w:rPr>
        <w:t>Dye BA, Arevalo O, Vargas CM. Trends in paediatric dental caries by poverty status in the United States, 1988-1994 and 1999-2004. </w:t>
      </w:r>
      <w:r>
        <w:rPr>
          <w:i/>
          <w:sz w:val="24"/>
        </w:rPr>
        <w:t>Int J Paediatr Dent </w:t>
      </w:r>
      <w:r>
        <w:rPr>
          <w:sz w:val="24"/>
        </w:rPr>
        <w:t>2010</w:t>
      </w:r>
      <w:r>
        <w:rPr>
          <w:spacing w:val="-11"/>
          <w:sz w:val="24"/>
        </w:rPr>
        <w:t> </w:t>
      </w:r>
      <w:r>
        <w:rPr>
          <w:sz w:val="24"/>
        </w:rPr>
        <w:t>20:132-143.</w:t>
      </w:r>
    </w:p>
    <w:p>
      <w:pPr>
        <w:pStyle w:val="BodyText"/>
        <w:rPr>
          <w:rFonts w:ascii="Times New Roman"/>
        </w:rPr>
      </w:pPr>
    </w:p>
    <w:p>
      <w:pPr>
        <w:pStyle w:val="BodyText"/>
        <w:spacing w:before="10"/>
        <w:rPr>
          <w:rFonts w:ascii="Times New Roman"/>
        </w:rPr>
      </w:pPr>
    </w:p>
    <w:p>
      <w:pPr>
        <w:pStyle w:val="ListParagraph"/>
        <w:numPr>
          <w:ilvl w:val="0"/>
          <w:numId w:val="13"/>
        </w:numPr>
        <w:tabs>
          <w:tab w:pos="403" w:val="left" w:leader="none"/>
        </w:tabs>
        <w:spacing w:line="240" w:lineRule="auto" w:before="1" w:after="0"/>
        <w:ind w:left="402" w:right="0" w:hanging="264"/>
        <w:jc w:val="both"/>
        <w:rPr>
          <w:sz w:val="24"/>
        </w:rPr>
      </w:pPr>
      <w:hyperlink r:id="rId28">
        <w:r>
          <w:rPr>
            <w:color w:val="0000FF"/>
            <w:sz w:val="24"/>
            <w:u w:val="single" w:color="0000FF"/>
          </w:rPr>
          <w:t>Drugan</w:t>
        </w:r>
        <w:r>
          <w:rPr>
            <w:color w:val="0000FF"/>
            <w:spacing w:val="21"/>
            <w:sz w:val="24"/>
            <w:u w:val="single" w:color="0000FF"/>
          </w:rPr>
          <w:t> </w:t>
        </w:r>
        <w:r>
          <w:rPr>
            <w:color w:val="0000FF"/>
            <w:sz w:val="24"/>
            <w:u w:val="single" w:color="0000FF"/>
          </w:rPr>
          <w:t>CS</w:t>
        </w:r>
      </w:hyperlink>
      <w:r>
        <w:rPr>
          <w:sz w:val="24"/>
        </w:rPr>
        <w:t>,</w:t>
      </w:r>
      <w:r>
        <w:rPr>
          <w:spacing w:val="22"/>
          <w:sz w:val="24"/>
        </w:rPr>
        <w:t> </w:t>
      </w:r>
      <w:hyperlink r:id="rId29">
        <w:r>
          <w:rPr>
            <w:color w:val="0000FF"/>
            <w:sz w:val="24"/>
            <w:u w:val="single" w:color="0000FF"/>
          </w:rPr>
          <w:t>Downer</w:t>
        </w:r>
        <w:r>
          <w:rPr>
            <w:color w:val="0000FF"/>
            <w:spacing w:val="23"/>
            <w:sz w:val="24"/>
            <w:u w:val="single" w:color="0000FF"/>
          </w:rPr>
          <w:t> </w:t>
        </w:r>
        <w:r>
          <w:rPr>
            <w:color w:val="0000FF"/>
            <w:sz w:val="24"/>
            <w:u w:val="single" w:color="0000FF"/>
          </w:rPr>
          <w:t>MC</w:t>
        </w:r>
      </w:hyperlink>
      <w:r>
        <w:rPr>
          <w:sz w:val="24"/>
        </w:rPr>
        <w:t>.</w:t>
      </w:r>
      <w:r>
        <w:rPr>
          <w:spacing w:val="22"/>
          <w:sz w:val="24"/>
        </w:rPr>
        <w:t> </w:t>
      </w:r>
      <w:r>
        <w:rPr>
          <w:sz w:val="24"/>
        </w:rPr>
        <w:t>Dental</w:t>
      </w:r>
      <w:r>
        <w:rPr>
          <w:spacing w:val="22"/>
          <w:sz w:val="24"/>
        </w:rPr>
        <w:t> </w:t>
      </w:r>
      <w:r>
        <w:rPr>
          <w:sz w:val="24"/>
        </w:rPr>
        <w:t>health</w:t>
      </w:r>
      <w:r>
        <w:rPr>
          <w:spacing w:val="21"/>
          <w:sz w:val="24"/>
        </w:rPr>
        <w:t> </w:t>
      </w:r>
      <w:r>
        <w:rPr>
          <w:sz w:val="24"/>
        </w:rPr>
        <w:t>in</w:t>
      </w:r>
      <w:r>
        <w:rPr>
          <w:spacing w:val="22"/>
          <w:sz w:val="24"/>
        </w:rPr>
        <w:t> </w:t>
      </w:r>
      <w:r>
        <w:rPr>
          <w:sz w:val="24"/>
        </w:rPr>
        <w:t>the</w:t>
      </w:r>
      <w:r>
        <w:rPr>
          <w:spacing w:val="21"/>
          <w:sz w:val="24"/>
        </w:rPr>
        <w:t> </w:t>
      </w:r>
      <w:r>
        <w:rPr>
          <w:sz w:val="24"/>
        </w:rPr>
        <w:t>United</w:t>
      </w:r>
      <w:r>
        <w:rPr>
          <w:spacing w:val="21"/>
          <w:sz w:val="24"/>
        </w:rPr>
        <w:t> </w:t>
      </w:r>
      <w:r>
        <w:rPr>
          <w:sz w:val="24"/>
        </w:rPr>
        <w:t>Kingdom</w:t>
      </w:r>
      <w:r>
        <w:rPr>
          <w:spacing w:val="24"/>
          <w:sz w:val="24"/>
        </w:rPr>
        <w:t> </w:t>
      </w:r>
      <w:r>
        <w:rPr>
          <w:sz w:val="24"/>
        </w:rPr>
        <w:t>and</w:t>
      </w:r>
      <w:r>
        <w:rPr>
          <w:spacing w:val="21"/>
          <w:sz w:val="24"/>
        </w:rPr>
        <w:t> </w:t>
      </w:r>
      <w:r>
        <w:rPr>
          <w:sz w:val="24"/>
        </w:rPr>
        <w:t>influencing</w:t>
      </w:r>
      <w:r>
        <w:rPr>
          <w:spacing w:val="19"/>
          <w:sz w:val="24"/>
        </w:rPr>
        <w:t> </w:t>
      </w:r>
      <w:r>
        <w:rPr>
          <w:sz w:val="24"/>
        </w:rPr>
        <w:t>variables</w:t>
      </w:r>
    </w:p>
    <w:p>
      <w:pPr>
        <w:pStyle w:val="BodyText"/>
        <w:spacing w:before="11"/>
        <w:rPr>
          <w:rFonts w:ascii="Times New Roman"/>
          <w:sz w:val="17"/>
        </w:rPr>
      </w:pPr>
    </w:p>
    <w:p>
      <w:pPr>
        <w:spacing w:before="69"/>
        <w:ind w:left="138" w:right="0" w:firstLine="0"/>
        <w:jc w:val="both"/>
        <w:rPr>
          <w:rFonts w:ascii="Times New Roman"/>
          <w:sz w:val="24"/>
        </w:rPr>
      </w:pPr>
      <w:r>
        <w:rPr>
          <w:rFonts w:ascii="Times New Roman"/>
          <w:i/>
          <w:sz w:val="24"/>
        </w:rPr>
        <w:t>Bundesgesundheitsblatt Gesundheitsforschung Gesundheitsschutz </w:t>
      </w:r>
      <w:r>
        <w:rPr>
          <w:rFonts w:ascii="Times New Roman"/>
          <w:sz w:val="24"/>
        </w:rPr>
        <w:t>2011 54:1027-1034.</w:t>
      </w:r>
    </w:p>
    <w:p>
      <w:pPr>
        <w:pStyle w:val="BodyText"/>
        <w:rPr>
          <w:rFonts w:ascii="Times New Roman"/>
        </w:rPr>
      </w:pPr>
    </w:p>
    <w:p>
      <w:pPr>
        <w:pStyle w:val="BodyText"/>
        <w:rPr>
          <w:rFonts w:ascii="Times New Roman"/>
        </w:rPr>
      </w:pPr>
    </w:p>
    <w:p>
      <w:pPr>
        <w:pStyle w:val="BodyText"/>
        <w:rPr>
          <w:rFonts w:ascii="Times New Roman"/>
        </w:rPr>
      </w:pPr>
    </w:p>
    <w:p>
      <w:pPr>
        <w:pStyle w:val="ListParagraph"/>
        <w:numPr>
          <w:ilvl w:val="0"/>
          <w:numId w:val="13"/>
        </w:numPr>
        <w:tabs>
          <w:tab w:pos="420" w:val="left" w:leader="none"/>
        </w:tabs>
        <w:spacing w:line="480" w:lineRule="auto" w:before="0" w:after="0"/>
        <w:ind w:left="138" w:right="134" w:firstLine="0"/>
        <w:jc w:val="both"/>
        <w:rPr>
          <w:sz w:val="24"/>
        </w:rPr>
      </w:pPr>
      <w:r>
        <w:rPr>
          <w:sz w:val="24"/>
        </w:rPr>
        <w:t>Schroth</w:t>
      </w:r>
      <w:r>
        <w:rPr>
          <w:spacing w:val="-11"/>
          <w:sz w:val="24"/>
        </w:rPr>
        <w:t> </w:t>
      </w:r>
      <w:r>
        <w:rPr>
          <w:sz w:val="24"/>
        </w:rPr>
        <w:t>RJ,</w:t>
      </w:r>
      <w:r>
        <w:rPr>
          <w:spacing w:val="-11"/>
          <w:sz w:val="24"/>
        </w:rPr>
        <w:t> </w:t>
      </w:r>
      <w:r>
        <w:rPr>
          <w:sz w:val="24"/>
        </w:rPr>
        <w:t>Halchuk</w:t>
      </w:r>
      <w:r>
        <w:rPr>
          <w:spacing w:val="-11"/>
          <w:sz w:val="24"/>
        </w:rPr>
        <w:t> </w:t>
      </w:r>
      <w:r>
        <w:rPr>
          <w:sz w:val="24"/>
        </w:rPr>
        <w:t>S,</w:t>
      </w:r>
      <w:r>
        <w:rPr>
          <w:spacing w:val="-11"/>
          <w:sz w:val="24"/>
        </w:rPr>
        <w:t> </w:t>
      </w:r>
      <w:r>
        <w:rPr>
          <w:sz w:val="24"/>
        </w:rPr>
        <w:t>Star</w:t>
      </w:r>
      <w:r>
        <w:rPr>
          <w:spacing w:val="-10"/>
          <w:sz w:val="24"/>
        </w:rPr>
        <w:t> </w:t>
      </w:r>
      <w:r>
        <w:rPr>
          <w:spacing w:val="-3"/>
          <w:sz w:val="24"/>
        </w:rPr>
        <w:t>L.</w:t>
      </w:r>
      <w:r>
        <w:rPr>
          <w:spacing w:val="-11"/>
          <w:sz w:val="24"/>
        </w:rPr>
        <w:t> </w:t>
      </w:r>
      <w:r>
        <w:rPr>
          <w:sz w:val="24"/>
        </w:rPr>
        <w:t>Prevalence</w:t>
      </w:r>
      <w:r>
        <w:rPr>
          <w:spacing w:val="-12"/>
          <w:sz w:val="24"/>
        </w:rPr>
        <w:t> </w:t>
      </w:r>
      <w:r>
        <w:rPr>
          <w:sz w:val="24"/>
        </w:rPr>
        <w:t>and</w:t>
      </w:r>
      <w:r>
        <w:rPr>
          <w:spacing w:val="-11"/>
          <w:sz w:val="24"/>
        </w:rPr>
        <w:t> </w:t>
      </w:r>
      <w:r>
        <w:rPr>
          <w:sz w:val="24"/>
        </w:rPr>
        <w:t>risk</w:t>
      </w:r>
      <w:r>
        <w:rPr>
          <w:spacing w:val="-11"/>
          <w:sz w:val="24"/>
        </w:rPr>
        <w:t> </w:t>
      </w:r>
      <w:r>
        <w:rPr>
          <w:sz w:val="24"/>
        </w:rPr>
        <w:t>factors</w:t>
      </w:r>
      <w:r>
        <w:rPr>
          <w:spacing w:val="-11"/>
          <w:sz w:val="24"/>
        </w:rPr>
        <w:t> </w:t>
      </w:r>
      <w:r>
        <w:rPr>
          <w:sz w:val="24"/>
        </w:rPr>
        <w:t>of</w:t>
      </w:r>
      <w:r>
        <w:rPr>
          <w:spacing w:val="-9"/>
          <w:sz w:val="24"/>
        </w:rPr>
        <w:t> </w:t>
      </w:r>
      <w:r>
        <w:rPr>
          <w:sz w:val="24"/>
        </w:rPr>
        <w:t>caregiver</w:t>
      </w:r>
      <w:r>
        <w:rPr>
          <w:spacing w:val="-12"/>
          <w:sz w:val="24"/>
        </w:rPr>
        <w:t> </w:t>
      </w:r>
      <w:r>
        <w:rPr>
          <w:sz w:val="24"/>
        </w:rPr>
        <w:t>reported</w:t>
      </w:r>
      <w:r>
        <w:rPr>
          <w:spacing w:val="-11"/>
          <w:sz w:val="24"/>
        </w:rPr>
        <w:t> </w:t>
      </w:r>
      <w:r>
        <w:rPr>
          <w:sz w:val="24"/>
        </w:rPr>
        <w:t>Severe</w:t>
      </w:r>
      <w:r>
        <w:rPr>
          <w:spacing w:val="-12"/>
          <w:sz w:val="24"/>
        </w:rPr>
        <w:t> </w:t>
      </w:r>
      <w:r>
        <w:rPr>
          <w:sz w:val="24"/>
        </w:rPr>
        <w:t>Early Childhood Caries in Manitoba First Nations children: results from the RHS Phase 2 (2008- 2010). </w:t>
      </w:r>
      <w:r>
        <w:rPr>
          <w:i/>
          <w:sz w:val="24"/>
        </w:rPr>
        <w:t>Int J Circumpolar Health </w:t>
      </w:r>
      <w:r>
        <w:rPr>
          <w:sz w:val="24"/>
        </w:rPr>
        <w:t>2013</w:t>
      </w:r>
      <w:r>
        <w:rPr>
          <w:spacing w:val="-6"/>
          <w:sz w:val="24"/>
        </w:rPr>
        <w:t> </w:t>
      </w:r>
      <w:r>
        <w:rPr>
          <w:sz w:val="24"/>
        </w:rPr>
        <w:t>72:1-10.</w: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rPr>
      </w:pPr>
    </w:p>
    <w:p>
      <w:pPr>
        <w:pStyle w:val="ListParagraph"/>
        <w:numPr>
          <w:ilvl w:val="0"/>
          <w:numId w:val="13"/>
        </w:numPr>
        <w:tabs>
          <w:tab w:pos="377" w:val="left" w:leader="none"/>
        </w:tabs>
        <w:spacing w:line="480" w:lineRule="auto" w:before="0" w:after="0"/>
        <w:ind w:left="138" w:right="140" w:firstLine="0"/>
        <w:jc w:val="both"/>
        <w:rPr>
          <w:sz w:val="24"/>
        </w:rPr>
      </w:pPr>
      <w:r>
        <w:rPr>
          <w:sz w:val="24"/>
        </w:rPr>
        <w:t>Kilpatrick NM, Neumann A, Lucas N, Chapman J, Nicholson JM. Oral health inequalities</w:t>
      </w:r>
      <w:r>
        <w:rPr>
          <w:spacing w:val="-40"/>
          <w:sz w:val="24"/>
        </w:rPr>
        <w:t> </w:t>
      </w:r>
      <w:r>
        <w:rPr>
          <w:sz w:val="24"/>
        </w:rPr>
        <w:t>in a national sample of Australian children aged 2-3 and 6-7 years. </w:t>
      </w:r>
      <w:r>
        <w:rPr>
          <w:i/>
          <w:sz w:val="24"/>
        </w:rPr>
        <w:t>Aust Dent J </w:t>
      </w:r>
      <w:r>
        <w:rPr>
          <w:sz w:val="24"/>
        </w:rPr>
        <w:t>2012</w:t>
      </w:r>
      <w:r>
        <w:rPr>
          <w:spacing w:val="-10"/>
          <w:sz w:val="24"/>
        </w:rPr>
        <w:t> </w:t>
      </w:r>
      <w:r>
        <w:rPr>
          <w:sz w:val="24"/>
        </w:rPr>
        <w:t>57:38-44.</w:t>
      </w:r>
    </w:p>
    <w:p>
      <w:pPr>
        <w:pStyle w:val="BodyText"/>
        <w:rPr>
          <w:rFonts w:ascii="Times New Roman"/>
        </w:rPr>
      </w:pPr>
    </w:p>
    <w:p>
      <w:pPr>
        <w:pStyle w:val="BodyText"/>
        <w:spacing w:before="10"/>
        <w:rPr>
          <w:rFonts w:ascii="Times New Roman"/>
        </w:rPr>
      </w:pPr>
    </w:p>
    <w:p>
      <w:pPr>
        <w:pStyle w:val="ListParagraph"/>
        <w:numPr>
          <w:ilvl w:val="0"/>
          <w:numId w:val="13"/>
        </w:numPr>
        <w:tabs>
          <w:tab w:pos="389" w:val="left" w:leader="none"/>
        </w:tabs>
        <w:spacing w:line="480" w:lineRule="auto" w:before="0" w:after="0"/>
        <w:ind w:left="138" w:right="134" w:firstLine="0"/>
        <w:jc w:val="both"/>
        <w:rPr>
          <w:sz w:val="24"/>
        </w:rPr>
      </w:pPr>
      <w:r>
        <w:rPr>
          <w:sz w:val="24"/>
        </w:rPr>
        <w:t>Irvine J, Holve S, Krol D, Schroth R. Early childhood caries in Indigenous communities: A joint statement with the American Academy of Pediatrics. </w:t>
      </w:r>
      <w:r>
        <w:rPr>
          <w:i/>
          <w:sz w:val="24"/>
        </w:rPr>
        <w:t>Paediatr Child Health </w:t>
      </w:r>
      <w:r>
        <w:rPr>
          <w:sz w:val="24"/>
        </w:rPr>
        <w:t>2011 16:351- 364.</w:t>
      </w:r>
    </w:p>
    <w:p>
      <w:pPr>
        <w:spacing w:after="0" w:line="480" w:lineRule="auto"/>
        <w:jc w:val="both"/>
        <w:rPr>
          <w:sz w:val="24"/>
        </w:rPr>
        <w:sectPr>
          <w:footerReference w:type="default" r:id="rId27"/>
          <w:pgSz w:w="12240" w:h="15840"/>
          <w:pgMar w:footer="964" w:header="686" w:top="1080" w:bottom="1160" w:left="1280" w:right="1560"/>
        </w:sectPr>
      </w:pPr>
    </w:p>
    <w:p>
      <w:pPr>
        <w:pStyle w:val="BodyText"/>
        <w:rPr>
          <w:rFonts w:ascii="Times New Roman"/>
          <w:sz w:val="20"/>
        </w:rPr>
      </w:pPr>
    </w:p>
    <w:p>
      <w:pPr>
        <w:pStyle w:val="BodyText"/>
        <w:spacing w:before="11"/>
        <w:rPr>
          <w:rFonts w:ascii="Times New Roman"/>
          <w:sz w:val="26"/>
        </w:rPr>
      </w:pPr>
    </w:p>
    <w:p>
      <w:pPr>
        <w:pStyle w:val="ListParagraph"/>
        <w:numPr>
          <w:ilvl w:val="0"/>
          <w:numId w:val="13"/>
        </w:numPr>
        <w:tabs>
          <w:tab w:pos="499" w:val="left" w:leader="none"/>
        </w:tabs>
        <w:spacing w:line="480" w:lineRule="auto" w:before="69" w:after="0"/>
        <w:ind w:left="138" w:right="140" w:firstLine="0"/>
        <w:jc w:val="both"/>
        <w:rPr>
          <w:sz w:val="24"/>
        </w:rPr>
      </w:pPr>
      <w:r>
        <w:rPr>
          <w:sz w:val="24"/>
        </w:rPr>
        <w:t>Phipps KR, Ricks TL, Manz MC, Blahut P. Prevalence and severity of dental caries among American Indian and Alaska Native preschool children. </w:t>
      </w:r>
      <w:r>
        <w:rPr>
          <w:i/>
          <w:sz w:val="24"/>
        </w:rPr>
        <w:t>J Public Health Dent</w:t>
      </w:r>
      <w:r>
        <w:rPr>
          <w:sz w:val="24"/>
        </w:rPr>
        <w:t>. 2012:</w:t>
      </w:r>
      <w:r>
        <w:rPr>
          <w:spacing w:val="-7"/>
          <w:sz w:val="24"/>
        </w:rPr>
        <w:t> </w:t>
      </w:r>
      <w:r>
        <w:rPr>
          <w:sz w:val="24"/>
        </w:rPr>
        <w:t>208–215.</w:t>
      </w:r>
    </w:p>
    <w:p>
      <w:pPr>
        <w:pStyle w:val="BodyText"/>
        <w:rPr>
          <w:rFonts w:ascii="Times New Roman"/>
        </w:rPr>
      </w:pPr>
    </w:p>
    <w:p>
      <w:pPr>
        <w:pStyle w:val="BodyText"/>
        <w:spacing w:before="10"/>
        <w:rPr>
          <w:rFonts w:ascii="Times New Roman"/>
        </w:rPr>
      </w:pPr>
    </w:p>
    <w:p>
      <w:pPr>
        <w:pStyle w:val="ListParagraph"/>
        <w:numPr>
          <w:ilvl w:val="0"/>
          <w:numId w:val="13"/>
        </w:numPr>
        <w:tabs>
          <w:tab w:pos="511" w:val="left" w:leader="none"/>
        </w:tabs>
        <w:spacing w:line="480" w:lineRule="auto" w:before="0" w:after="0"/>
        <w:ind w:left="138" w:right="137" w:firstLine="0"/>
        <w:jc w:val="both"/>
        <w:rPr>
          <w:sz w:val="24"/>
        </w:rPr>
      </w:pPr>
      <w:r>
        <w:rPr>
          <w:sz w:val="24"/>
        </w:rPr>
        <w:t>Parker EJ, Jamieson LM, Broughton J, Albino J, Lawrence HP, Roberts-Thomson K. The oral health of Indigenous children: a review of four nations. </w:t>
      </w:r>
      <w:r>
        <w:rPr>
          <w:i/>
          <w:sz w:val="24"/>
        </w:rPr>
        <w:t>J Paediatr Child Health </w:t>
      </w:r>
      <w:r>
        <w:rPr>
          <w:sz w:val="24"/>
        </w:rPr>
        <w:t>2010 46:483-486.</w:t>
      </w:r>
    </w:p>
    <w:p>
      <w:pPr>
        <w:pStyle w:val="BodyText"/>
        <w:rPr>
          <w:rFonts w:ascii="Times New Roman"/>
        </w:rPr>
      </w:pPr>
    </w:p>
    <w:p>
      <w:pPr>
        <w:pStyle w:val="BodyText"/>
        <w:spacing w:before="10"/>
        <w:rPr>
          <w:rFonts w:ascii="Times New Roman"/>
        </w:rPr>
      </w:pPr>
    </w:p>
    <w:p>
      <w:pPr>
        <w:pStyle w:val="ListParagraph"/>
        <w:numPr>
          <w:ilvl w:val="0"/>
          <w:numId w:val="13"/>
        </w:numPr>
        <w:tabs>
          <w:tab w:pos="490" w:val="left" w:leader="none"/>
        </w:tabs>
        <w:spacing w:line="480" w:lineRule="auto" w:before="1" w:after="0"/>
        <w:ind w:left="138" w:right="135" w:firstLine="0"/>
        <w:jc w:val="both"/>
        <w:rPr>
          <w:sz w:val="24"/>
        </w:rPr>
      </w:pPr>
      <w:r>
        <w:rPr>
          <w:sz w:val="24"/>
        </w:rPr>
        <w:t>Lawrence</w:t>
      </w:r>
      <w:r>
        <w:rPr>
          <w:spacing w:val="-16"/>
          <w:sz w:val="24"/>
        </w:rPr>
        <w:t> </w:t>
      </w:r>
      <w:r>
        <w:rPr>
          <w:sz w:val="24"/>
        </w:rPr>
        <w:t>HP,</w:t>
      </w:r>
      <w:r>
        <w:rPr>
          <w:spacing w:val="-15"/>
          <w:sz w:val="24"/>
        </w:rPr>
        <w:t> </w:t>
      </w:r>
      <w:r>
        <w:rPr>
          <w:sz w:val="24"/>
        </w:rPr>
        <w:t>Binguis</w:t>
      </w:r>
      <w:r>
        <w:rPr>
          <w:spacing w:val="-15"/>
          <w:sz w:val="24"/>
        </w:rPr>
        <w:t> </w:t>
      </w:r>
      <w:r>
        <w:rPr>
          <w:sz w:val="24"/>
        </w:rPr>
        <w:t>D,</w:t>
      </w:r>
      <w:r>
        <w:rPr>
          <w:spacing w:val="-16"/>
          <w:sz w:val="24"/>
        </w:rPr>
        <w:t> </w:t>
      </w:r>
      <w:r>
        <w:rPr>
          <w:sz w:val="24"/>
        </w:rPr>
        <w:t>Douglas</w:t>
      </w:r>
      <w:r>
        <w:rPr>
          <w:spacing w:val="-16"/>
          <w:sz w:val="24"/>
        </w:rPr>
        <w:t> </w:t>
      </w:r>
      <w:r>
        <w:rPr>
          <w:sz w:val="24"/>
        </w:rPr>
        <w:t>J</w:t>
      </w:r>
      <w:r>
        <w:rPr>
          <w:spacing w:val="-12"/>
          <w:sz w:val="24"/>
        </w:rPr>
        <w:t> </w:t>
      </w:r>
      <w:r>
        <w:rPr>
          <w:i/>
          <w:sz w:val="24"/>
        </w:rPr>
        <w:t>et</w:t>
      </w:r>
      <w:r>
        <w:rPr>
          <w:i/>
          <w:spacing w:val="-17"/>
          <w:sz w:val="24"/>
        </w:rPr>
        <w:t> </w:t>
      </w:r>
      <w:r>
        <w:rPr>
          <w:i/>
          <w:sz w:val="24"/>
        </w:rPr>
        <w:t>al</w:t>
      </w:r>
      <w:r>
        <w:rPr>
          <w:sz w:val="24"/>
        </w:rPr>
        <w:t>.</w:t>
      </w:r>
      <w:r>
        <w:rPr>
          <w:spacing w:val="-15"/>
          <w:sz w:val="24"/>
        </w:rPr>
        <w:t> </w:t>
      </w:r>
      <w:r>
        <w:rPr>
          <w:sz w:val="24"/>
        </w:rPr>
        <w:t>Oral</w:t>
      </w:r>
      <w:r>
        <w:rPr>
          <w:spacing w:val="-17"/>
          <w:sz w:val="24"/>
        </w:rPr>
        <w:t> </w:t>
      </w:r>
      <w:r>
        <w:rPr>
          <w:sz w:val="24"/>
        </w:rPr>
        <w:t>health</w:t>
      </w:r>
      <w:r>
        <w:rPr>
          <w:spacing w:val="-15"/>
          <w:sz w:val="24"/>
        </w:rPr>
        <w:t> </w:t>
      </w:r>
      <w:r>
        <w:rPr>
          <w:sz w:val="24"/>
        </w:rPr>
        <w:t>inequalities</w:t>
      </w:r>
      <w:r>
        <w:rPr>
          <w:spacing w:val="-15"/>
          <w:sz w:val="24"/>
        </w:rPr>
        <w:t> </w:t>
      </w:r>
      <w:r>
        <w:rPr>
          <w:sz w:val="24"/>
        </w:rPr>
        <w:t>between</w:t>
      </w:r>
      <w:r>
        <w:rPr>
          <w:spacing w:val="-13"/>
          <w:sz w:val="24"/>
        </w:rPr>
        <w:t> </w:t>
      </w:r>
      <w:r>
        <w:rPr>
          <w:sz w:val="24"/>
        </w:rPr>
        <w:t>young</w:t>
      </w:r>
      <w:r>
        <w:rPr>
          <w:spacing w:val="-18"/>
          <w:sz w:val="24"/>
        </w:rPr>
        <w:t> </w:t>
      </w:r>
      <w:r>
        <w:rPr>
          <w:sz w:val="24"/>
        </w:rPr>
        <w:t>Aboriginal and non-Aboriginal children living in Ontario, Canada. </w:t>
      </w:r>
      <w:r>
        <w:rPr>
          <w:i/>
          <w:sz w:val="24"/>
        </w:rPr>
        <w:t>Community Dent Oral Epidemiol</w:t>
      </w:r>
      <w:r>
        <w:rPr>
          <w:sz w:val="24"/>
        </w:rPr>
        <w:t>.</w:t>
      </w:r>
      <w:r>
        <w:rPr>
          <w:spacing w:val="-36"/>
          <w:sz w:val="24"/>
        </w:rPr>
        <w:t> </w:t>
      </w:r>
      <w:r>
        <w:rPr>
          <w:sz w:val="24"/>
        </w:rPr>
        <w:t>2009 37:495–508.</w:t>
      </w:r>
    </w:p>
    <w:p>
      <w:pPr>
        <w:pStyle w:val="BodyText"/>
        <w:rPr>
          <w:rFonts w:ascii="Times New Roman"/>
        </w:rPr>
      </w:pPr>
    </w:p>
    <w:p>
      <w:pPr>
        <w:pStyle w:val="BodyText"/>
        <w:spacing w:before="10"/>
        <w:rPr>
          <w:rFonts w:ascii="Times New Roman"/>
        </w:rPr>
      </w:pPr>
    </w:p>
    <w:p>
      <w:pPr>
        <w:pStyle w:val="ListParagraph"/>
        <w:numPr>
          <w:ilvl w:val="0"/>
          <w:numId w:val="13"/>
        </w:numPr>
        <w:tabs>
          <w:tab w:pos="597" w:val="left" w:leader="none"/>
        </w:tabs>
        <w:spacing w:line="240" w:lineRule="auto" w:before="0" w:after="0"/>
        <w:ind w:left="596" w:right="0" w:hanging="458"/>
        <w:jc w:val="both"/>
        <w:rPr>
          <w:sz w:val="24"/>
        </w:rPr>
      </w:pPr>
      <w:r>
        <w:rPr>
          <w:sz w:val="24"/>
        </w:rPr>
        <w:t>Kruger</w:t>
      </w:r>
      <w:r>
        <w:rPr>
          <w:spacing w:val="15"/>
          <w:sz w:val="24"/>
        </w:rPr>
        <w:t> </w:t>
      </w:r>
      <w:r>
        <w:rPr>
          <w:sz w:val="24"/>
        </w:rPr>
        <w:t>E,</w:t>
      </w:r>
      <w:r>
        <w:rPr>
          <w:spacing w:val="15"/>
          <w:sz w:val="24"/>
        </w:rPr>
        <w:t> </w:t>
      </w:r>
      <w:r>
        <w:rPr>
          <w:sz w:val="24"/>
        </w:rPr>
        <w:t>Dyson</w:t>
      </w:r>
      <w:r>
        <w:rPr>
          <w:spacing w:val="16"/>
          <w:sz w:val="24"/>
        </w:rPr>
        <w:t> </w:t>
      </w:r>
      <w:r>
        <w:rPr>
          <w:sz w:val="24"/>
        </w:rPr>
        <w:t>K,</w:t>
      </w:r>
      <w:r>
        <w:rPr>
          <w:spacing w:val="17"/>
          <w:sz w:val="24"/>
        </w:rPr>
        <w:t> </w:t>
      </w:r>
      <w:r>
        <w:rPr>
          <w:sz w:val="24"/>
        </w:rPr>
        <w:t>Tennant</w:t>
      </w:r>
      <w:r>
        <w:rPr>
          <w:spacing w:val="16"/>
          <w:sz w:val="24"/>
        </w:rPr>
        <w:t> </w:t>
      </w:r>
      <w:r>
        <w:rPr>
          <w:sz w:val="24"/>
        </w:rPr>
        <w:t>M.</w:t>
      </w:r>
      <w:r>
        <w:rPr>
          <w:spacing w:val="16"/>
          <w:sz w:val="24"/>
        </w:rPr>
        <w:t> </w:t>
      </w:r>
      <w:r>
        <w:rPr>
          <w:sz w:val="24"/>
        </w:rPr>
        <w:t>Pre-school</w:t>
      </w:r>
      <w:r>
        <w:rPr>
          <w:spacing w:val="15"/>
          <w:sz w:val="24"/>
        </w:rPr>
        <w:t> </w:t>
      </w:r>
      <w:r>
        <w:rPr>
          <w:sz w:val="24"/>
        </w:rPr>
        <w:t>child</w:t>
      </w:r>
      <w:r>
        <w:rPr>
          <w:spacing w:val="15"/>
          <w:sz w:val="24"/>
        </w:rPr>
        <w:t> </w:t>
      </w:r>
      <w:r>
        <w:rPr>
          <w:sz w:val="24"/>
        </w:rPr>
        <w:t>oral</w:t>
      </w:r>
      <w:r>
        <w:rPr>
          <w:spacing w:val="16"/>
          <w:sz w:val="24"/>
        </w:rPr>
        <w:t> </w:t>
      </w:r>
      <w:r>
        <w:rPr>
          <w:sz w:val="24"/>
        </w:rPr>
        <w:t>health</w:t>
      </w:r>
      <w:r>
        <w:rPr>
          <w:spacing w:val="15"/>
          <w:sz w:val="24"/>
        </w:rPr>
        <w:t> </w:t>
      </w:r>
      <w:r>
        <w:rPr>
          <w:sz w:val="24"/>
        </w:rPr>
        <w:t>in</w:t>
      </w:r>
      <w:r>
        <w:rPr>
          <w:spacing w:val="16"/>
          <w:sz w:val="24"/>
        </w:rPr>
        <w:t> </w:t>
      </w:r>
      <w:r>
        <w:rPr>
          <w:sz w:val="24"/>
        </w:rPr>
        <w:t>rural</w:t>
      </w:r>
      <w:r>
        <w:rPr>
          <w:spacing w:val="15"/>
          <w:sz w:val="24"/>
        </w:rPr>
        <w:t> </w:t>
      </w:r>
      <w:r>
        <w:rPr>
          <w:sz w:val="24"/>
        </w:rPr>
        <w:t>Western</w:t>
      </w:r>
      <w:r>
        <w:rPr>
          <w:spacing w:val="15"/>
          <w:sz w:val="24"/>
        </w:rPr>
        <w:t> </w:t>
      </w:r>
      <w:r>
        <w:rPr>
          <w:sz w:val="24"/>
        </w:rPr>
        <w:t>Australia.</w:t>
      </w:r>
    </w:p>
    <w:p>
      <w:pPr>
        <w:pStyle w:val="BodyText"/>
        <w:rPr>
          <w:rFonts w:ascii="Times New Roman"/>
        </w:rPr>
      </w:pPr>
    </w:p>
    <w:p>
      <w:pPr>
        <w:spacing w:before="0"/>
        <w:ind w:left="138" w:right="0" w:firstLine="0"/>
        <w:jc w:val="both"/>
        <w:rPr>
          <w:rFonts w:ascii="Times New Roman"/>
          <w:sz w:val="24"/>
        </w:rPr>
      </w:pPr>
      <w:r>
        <w:rPr>
          <w:rFonts w:ascii="Times New Roman"/>
          <w:i/>
          <w:sz w:val="24"/>
        </w:rPr>
        <w:t>Aust Dent J  </w:t>
      </w:r>
      <w:r>
        <w:rPr>
          <w:rFonts w:ascii="Times New Roman"/>
          <w:sz w:val="24"/>
        </w:rPr>
        <w:t>2005 50:258-262.</w:t>
      </w:r>
    </w:p>
    <w:p>
      <w:pPr>
        <w:pStyle w:val="BodyText"/>
        <w:rPr>
          <w:rFonts w:ascii="Times New Roman"/>
        </w:rPr>
      </w:pPr>
    </w:p>
    <w:p>
      <w:pPr>
        <w:pStyle w:val="BodyText"/>
        <w:rPr>
          <w:rFonts w:ascii="Times New Roman"/>
        </w:rPr>
      </w:pPr>
    </w:p>
    <w:p>
      <w:pPr>
        <w:pStyle w:val="BodyText"/>
        <w:spacing w:before="9"/>
        <w:rPr>
          <w:rFonts w:ascii="Times New Roman"/>
          <w:sz w:val="23"/>
        </w:rPr>
      </w:pPr>
    </w:p>
    <w:p>
      <w:pPr>
        <w:pStyle w:val="ListParagraph"/>
        <w:numPr>
          <w:ilvl w:val="0"/>
          <w:numId w:val="13"/>
        </w:numPr>
        <w:tabs>
          <w:tab w:pos="487" w:val="left" w:leader="none"/>
        </w:tabs>
        <w:spacing w:line="480" w:lineRule="auto" w:before="0" w:after="0"/>
        <w:ind w:left="138" w:right="136" w:firstLine="0"/>
        <w:jc w:val="both"/>
        <w:rPr>
          <w:sz w:val="24"/>
        </w:rPr>
      </w:pPr>
      <w:r>
        <w:rPr>
          <w:sz w:val="24"/>
        </w:rPr>
        <w:t>Peressini</w:t>
      </w:r>
      <w:r>
        <w:rPr>
          <w:spacing w:val="-13"/>
          <w:sz w:val="24"/>
        </w:rPr>
        <w:t> </w:t>
      </w:r>
      <w:r>
        <w:rPr>
          <w:sz w:val="24"/>
        </w:rPr>
        <w:t>S,</w:t>
      </w:r>
      <w:r>
        <w:rPr>
          <w:spacing w:val="-12"/>
          <w:sz w:val="24"/>
        </w:rPr>
        <w:t> </w:t>
      </w:r>
      <w:r>
        <w:rPr>
          <w:sz w:val="24"/>
        </w:rPr>
        <w:t>Leake</w:t>
      </w:r>
      <w:r>
        <w:rPr>
          <w:spacing w:val="-14"/>
          <w:sz w:val="24"/>
        </w:rPr>
        <w:t> </w:t>
      </w:r>
      <w:r>
        <w:rPr>
          <w:sz w:val="24"/>
        </w:rPr>
        <w:t>JL,</w:t>
      </w:r>
      <w:r>
        <w:rPr>
          <w:spacing w:val="-12"/>
          <w:sz w:val="24"/>
        </w:rPr>
        <w:t> </w:t>
      </w:r>
      <w:r>
        <w:rPr>
          <w:sz w:val="24"/>
        </w:rPr>
        <w:t>Mayhall</w:t>
      </w:r>
      <w:r>
        <w:rPr>
          <w:spacing w:val="-13"/>
          <w:sz w:val="24"/>
        </w:rPr>
        <w:t> </w:t>
      </w:r>
      <w:r>
        <w:rPr>
          <w:sz w:val="24"/>
        </w:rPr>
        <w:t>JT,</w:t>
      </w:r>
      <w:r>
        <w:rPr>
          <w:spacing w:val="-14"/>
          <w:sz w:val="24"/>
        </w:rPr>
        <w:t> </w:t>
      </w:r>
      <w:r>
        <w:rPr>
          <w:sz w:val="24"/>
        </w:rPr>
        <w:t>Maar</w:t>
      </w:r>
      <w:r>
        <w:rPr>
          <w:spacing w:val="-14"/>
          <w:sz w:val="24"/>
        </w:rPr>
        <w:t> </w:t>
      </w:r>
      <w:r>
        <w:rPr>
          <w:sz w:val="24"/>
        </w:rPr>
        <w:t>M,</w:t>
      </w:r>
      <w:r>
        <w:rPr>
          <w:spacing w:val="-13"/>
          <w:sz w:val="24"/>
        </w:rPr>
        <w:t> </w:t>
      </w:r>
      <w:r>
        <w:rPr>
          <w:sz w:val="24"/>
        </w:rPr>
        <w:t>Trudeau</w:t>
      </w:r>
      <w:r>
        <w:rPr>
          <w:spacing w:val="-13"/>
          <w:sz w:val="24"/>
        </w:rPr>
        <w:t> </w:t>
      </w:r>
      <w:r>
        <w:rPr>
          <w:sz w:val="24"/>
        </w:rPr>
        <w:t>R.</w:t>
      </w:r>
      <w:r>
        <w:rPr>
          <w:spacing w:val="-13"/>
          <w:sz w:val="24"/>
        </w:rPr>
        <w:t> </w:t>
      </w:r>
      <w:r>
        <w:rPr>
          <w:sz w:val="24"/>
        </w:rPr>
        <w:t>Prevalence</w:t>
      </w:r>
      <w:r>
        <w:rPr>
          <w:spacing w:val="-14"/>
          <w:sz w:val="24"/>
        </w:rPr>
        <w:t> </w:t>
      </w:r>
      <w:r>
        <w:rPr>
          <w:sz w:val="24"/>
        </w:rPr>
        <w:t>of</w:t>
      </w:r>
      <w:r>
        <w:rPr>
          <w:spacing w:val="-14"/>
          <w:sz w:val="24"/>
        </w:rPr>
        <w:t> </w:t>
      </w:r>
      <w:r>
        <w:rPr>
          <w:sz w:val="24"/>
        </w:rPr>
        <w:t>early</w:t>
      </w:r>
      <w:r>
        <w:rPr>
          <w:spacing w:val="-16"/>
          <w:sz w:val="24"/>
        </w:rPr>
        <w:t> </w:t>
      </w:r>
      <w:r>
        <w:rPr>
          <w:sz w:val="24"/>
        </w:rPr>
        <w:t>childhood</w:t>
      </w:r>
      <w:r>
        <w:rPr>
          <w:spacing w:val="-13"/>
          <w:sz w:val="24"/>
        </w:rPr>
        <w:t> </w:t>
      </w:r>
      <w:r>
        <w:rPr>
          <w:sz w:val="24"/>
        </w:rPr>
        <w:t>caries among</w:t>
      </w:r>
      <w:r>
        <w:rPr>
          <w:spacing w:val="-8"/>
          <w:sz w:val="24"/>
        </w:rPr>
        <w:t> </w:t>
      </w:r>
      <w:r>
        <w:rPr>
          <w:sz w:val="24"/>
        </w:rPr>
        <w:t>First</w:t>
      </w:r>
      <w:r>
        <w:rPr>
          <w:spacing w:val="-8"/>
          <w:sz w:val="24"/>
        </w:rPr>
        <w:t> </w:t>
      </w:r>
      <w:r>
        <w:rPr>
          <w:sz w:val="24"/>
        </w:rPr>
        <w:t>Nations</w:t>
      </w:r>
      <w:r>
        <w:rPr>
          <w:spacing w:val="-8"/>
          <w:sz w:val="24"/>
        </w:rPr>
        <w:t> </w:t>
      </w:r>
      <w:r>
        <w:rPr>
          <w:sz w:val="24"/>
        </w:rPr>
        <w:t>children,</w:t>
      </w:r>
      <w:r>
        <w:rPr>
          <w:spacing w:val="-9"/>
          <w:sz w:val="24"/>
        </w:rPr>
        <w:t> </w:t>
      </w:r>
      <w:r>
        <w:rPr>
          <w:sz w:val="24"/>
        </w:rPr>
        <w:t>District</w:t>
      </w:r>
      <w:r>
        <w:rPr>
          <w:spacing w:val="-8"/>
          <w:sz w:val="24"/>
        </w:rPr>
        <w:t> </w:t>
      </w:r>
      <w:r>
        <w:rPr>
          <w:sz w:val="24"/>
        </w:rPr>
        <w:t>of</w:t>
      </w:r>
      <w:r>
        <w:rPr>
          <w:spacing w:val="-9"/>
          <w:sz w:val="24"/>
        </w:rPr>
        <w:t> </w:t>
      </w:r>
      <w:r>
        <w:rPr>
          <w:sz w:val="24"/>
        </w:rPr>
        <w:t>Manitoulin,</w:t>
      </w:r>
      <w:r>
        <w:rPr>
          <w:spacing w:val="-9"/>
          <w:sz w:val="24"/>
        </w:rPr>
        <w:t> </w:t>
      </w:r>
      <w:r>
        <w:rPr>
          <w:sz w:val="24"/>
        </w:rPr>
        <w:t>Ontario.</w:t>
      </w:r>
      <w:r>
        <w:rPr>
          <w:spacing w:val="-7"/>
          <w:sz w:val="24"/>
        </w:rPr>
        <w:t> </w:t>
      </w:r>
      <w:r>
        <w:rPr>
          <w:i/>
          <w:sz w:val="24"/>
        </w:rPr>
        <w:t>Int</w:t>
      </w:r>
      <w:r>
        <w:rPr>
          <w:i/>
          <w:spacing w:val="-9"/>
          <w:sz w:val="24"/>
        </w:rPr>
        <w:t> </w:t>
      </w:r>
      <w:r>
        <w:rPr>
          <w:i/>
          <w:sz w:val="24"/>
        </w:rPr>
        <w:t>J</w:t>
      </w:r>
      <w:r>
        <w:rPr>
          <w:i/>
          <w:spacing w:val="-10"/>
          <w:sz w:val="24"/>
        </w:rPr>
        <w:t> </w:t>
      </w:r>
      <w:r>
        <w:rPr>
          <w:i/>
          <w:sz w:val="24"/>
        </w:rPr>
        <w:t>Paediatr</w:t>
      </w:r>
      <w:r>
        <w:rPr>
          <w:i/>
          <w:spacing w:val="-8"/>
          <w:sz w:val="24"/>
        </w:rPr>
        <w:t> </w:t>
      </w:r>
      <w:r>
        <w:rPr>
          <w:i/>
          <w:sz w:val="24"/>
        </w:rPr>
        <w:t>Dent</w:t>
      </w:r>
      <w:r>
        <w:rPr>
          <w:i/>
          <w:spacing w:val="-8"/>
          <w:sz w:val="24"/>
        </w:rPr>
        <w:t> </w:t>
      </w:r>
      <w:r>
        <w:rPr>
          <w:sz w:val="24"/>
        </w:rPr>
        <w:t>2004</w:t>
      </w:r>
      <w:r>
        <w:rPr>
          <w:spacing w:val="-9"/>
          <w:sz w:val="24"/>
        </w:rPr>
        <w:t> </w:t>
      </w:r>
      <w:r>
        <w:rPr>
          <w:sz w:val="24"/>
        </w:rPr>
        <w:t>14:101- 110.</w:t>
      </w:r>
    </w:p>
    <w:p>
      <w:pPr>
        <w:pStyle w:val="BodyText"/>
        <w:rPr>
          <w:rFonts w:ascii="Times New Roman"/>
        </w:rPr>
      </w:pPr>
    </w:p>
    <w:p>
      <w:pPr>
        <w:pStyle w:val="BodyText"/>
        <w:spacing w:before="10"/>
        <w:rPr>
          <w:rFonts w:ascii="Times New Roman"/>
        </w:rPr>
      </w:pPr>
    </w:p>
    <w:p>
      <w:pPr>
        <w:pStyle w:val="ListParagraph"/>
        <w:numPr>
          <w:ilvl w:val="0"/>
          <w:numId w:val="13"/>
        </w:numPr>
        <w:tabs>
          <w:tab w:pos="559" w:val="left" w:leader="none"/>
        </w:tabs>
        <w:spacing w:line="480" w:lineRule="auto" w:before="0" w:after="0"/>
        <w:ind w:left="138" w:right="136" w:firstLine="0"/>
        <w:jc w:val="both"/>
        <w:rPr>
          <w:sz w:val="24"/>
        </w:rPr>
      </w:pPr>
      <w:r>
        <w:rPr>
          <w:sz w:val="24"/>
        </w:rPr>
        <w:t>Davies MJ, Spencer AJ, Westwater A, Simmons B. Dental caries among Australian Aboriginal, non-Aboriginal Australian-born, and overseas-born children. </w:t>
      </w:r>
      <w:r>
        <w:rPr>
          <w:i/>
          <w:sz w:val="24"/>
        </w:rPr>
        <w:t>Bull World Health </w:t>
      </w:r>
      <w:r>
        <w:rPr>
          <w:i/>
          <w:sz w:val="24"/>
        </w:rPr>
        <w:t>Organ </w:t>
      </w:r>
      <w:r>
        <w:rPr>
          <w:sz w:val="24"/>
        </w:rPr>
        <w:t>1997</w:t>
      </w:r>
      <w:r>
        <w:rPr>
          <w:spacing w:val="-3"/>
          <w:sz w:val="24"/>
        </w:rPr>
        <w:t> </w:t>
      </w:r>
      <w:r>
        <w:rPr>
          <w:sz w:val="24"/>
        </w:rPr>
        <w:t>75:197-203.</w:t>
      </w:r>
    </w:p>
    <w:p>
      <w:pPr>
        <w:spacing w:after="0" w:line="480" w:lineRule="auto"/>
        <w:jc w:val="both"/>
        <w:rPr>
          <w:sz w:val="24"/>
        </w:rPr>
        <w:sectPr>
          <w:footerReference w:type="default" r:id="rId30"/>
          <w:pgSz w:w="12240" w:h="15840"/>
          <w:pgMar w:footer="964" w:header="686" w:top="1080" w:bottom="1160" w:left="1280" w:right="1560"/>
          <w:pgNumType w:start="51"/>
        </w:sectPr>
      </w:pPr>
    </w:p>
    <w:p>
      <w:pPr>
        <w:pStyle w:val="BodyText"/>
        <w:rPr>
          <w:rFonts w:ascii="Times New Roman"/>
          <w:sz w:val="20"/>
        </w:rPr>
      </w:pPr>
    </w:p>
    <w:p>
      <w:pPr>
        <w:pStyle w:val="BodyText"/>
        <w:spacing w:before="11"/>
        <w:rPr>
          <w:rFonts w:ascii="Times New Roman"/>
          <w:sz w:val="26"/>
        </w:rPr>
      </w:pPr>
    </w:p>
    <w:p>
      <w:pPr>
        <w:pStyle w:val="ListParagraph"/>
        <w:numPr>
          <w:ilvl w:val="0"/>
          <w:numId w:val="13"/>
        </w:numPr>
        <w:tabs>
          <w:tab w:pos="592" w:val="left" w:leader="none"/>
        </w:tabs>
        <w:spacing w:line="480" w:lineRule="auto" w:before="69" w:after="0"/>
        <w:ind w:left="138" w:right="137" w:firstLine="0"/>
        <w:jc w:val="both"/>
        <w:rPr>
          <w:sz w:val="24"/>
        </w:rPr>
      </w:pPr>
      <w:r>
        <w:rPr>
          <w:sz w:val="24"/>
        </w:rPr>
        <w:t>Gonçalves ÉM, Cavalcanti LC, Firmino RT, Ribeiro GL, Granville-Garcia AF, Menezes VA. Dental caries experience among indigenous children and adolescents. </w:t>
      </w:r>
      <w:r>
        <w:rPr>
          <w:i/>
          <w:sz w:val="24"/>
        </w:rPr>
        <w:t>J Oral Sci </w:t>
      </w:r>
      <w:r>
        <w:rPr>
          <w:sz w:val="24"/>
        </w:rPr>
        <w:t>2015 57:123-129.</w:t>
      </w:r>
    </w:p>
    <w:p>
      <w:pPr>
        <w:pStyle w:val="BodyText"/>
        <w:rPr>
          <w:rFonts w:ascii="Times New Roman"/>
        </w:rPr>
      </w:pPr>
    </w:p>
    <w:p>
      <w:pPr>
        <w:pStyle w:val="BodyText"/>
        <w:spacing w:before="10"/>
        <w:rPr>
          <w:rFonts w:ascii="Times New Roman"/>
        </w:rPr>
      </w:pPr>
    </w:p>
    <w:p>
      <w:pPr>
        <w:pStyle w:val="ListParagraph"/>
        <w:numPr>
          <w:ilvl w:val="0"/>
          <w:numId w:val="13"/>
        </w:numPr>
        <w:tabs>
          <w:tab w:pos="655" w:val="left" w:leader="none"/>
        </w:tabs>
        <w:spacing w:line="480" w:lineRule="auto" w:before="0" w:after="0"/>
        <w:ind w:left="138" w:right="139" w:firstLine="0"/>
        <w:jc w:val="both"/>
        <w:rPr>
          <w:sz w:val="24"/>
        </w:rPr>
      </w:pPr>
      <w:r>
        <w:rPr>
          <w:sz w:val="24"/>
        </w:rPr>
        <w:t>Mattila ML, Rautava P, Sillanpää M, Paunio P. Caries in five-year-old children and associations with family-related factors. </w:t>
      </w:r>
      <w:r>
        <w:rPr>
          <w:i/>
          <w:sz w:val="24"/>
        </w:rPr>
        <w:t>J Dent Res </w:t>
      </w:r>
      <w:r>
        <w:rPr>
          <w:sz w:val="24"/>
        </w:rPr>
        <w:t>2000</w:t>
      </w:r>
      <w:r>
        <w:rPr>
          <w:spacing w:val="-10"/>
          <w:sz w:val="24"/>
        </w:rPr>
        <w:t> </w:t>
      </w:r>
      <w:r>
        <w:rPr>
          <w:sz w:val="24"/>
        </w:rPr>
        <w:t>79:875-881.</w:t>
      </w:r>
    </w:p>
    <w:p>
      <w:pPr>
        <w:pStyle w:val="BodyText"/>
        <w:rPr>
          <w:rFonts w:ascii="Times New Roman"/>
        </w:rPr>
      </w:pPr>
    </w:p>
    <w:p>
      <w:pPr>
        <w:pStyle w:val="BodyText"/>
        <w:spacing w:before="10"/>
        <w:rPr>
          <w:rFonts w:ascii="Times New Roman"/>
        </w:rPr>
      </w:pPr>
    </w:p>
    <w:p>
      <w:pPr>
        <w:pStyle w:val="ListParagraph"/>
        <w:numPr>
          <w:ilvl w:val="0"/>
          <w:numId w:val="13"/>
        </w:numPr>
        <w:tabs>
          <w:tab w:pos="502" w:val="left" w:leader="none"/>
        </w:tabs>
        <w:spacing w:line="480" w:lineRule="auto" w:before="1" w:after="0"/>
        <w:ind w:left="138" w:right="134" w:firstLine="0"/>
        <w:jc w:val="both"/>
        <w:rPr>
          <w:sz w:val="24"/>
        </w:rPr>
      </w:pPr>
      <w:r>
        <w:rPr>
          <w:sz w:val="24"/>
        </w:rPr>
        <w:t>Peltzer K, Mongkolchati A. Severe early childhood caries and social determinants in three- year-old children from Northern Thailand: a birth cohort study. </w:t>
      </w:r>
      <w:r>
        <w:rPr>
          <w:i/>
          <w:sz w:val="24"/>
        </w:rPr>
        <w:t>BMC Oral Health </w:t>
      </w:r>
      <w:r>
        <w:rPr>
          <w:sz w:val="24"/>
        </w:rPr>
        <w:t>2015 15:2- 7.</w:t>
      </w:r>
    </w:p>
    <w:p>
      <w:pPr>
        <w:pStyle w:val="BodyText"/>
        <w:rPr>
          <w:rFonts w:ascii="Times New Roman"/>
        </w:rPr>
      </w:pPr>
    </w:p>
    <w:p>
      <w:pPr>
        <w:pStyle w:val="BodyText"/>
        <w:spacing w:before="10"/>
        <w:rPr>
          <w:rFonts w:ascii="Times New Roman"/>
        </w:rPr>
      </w:pPr>
    </w:p>
    <w:p>
      <w:pPr>
        <w:pStyle w:val="ListParagraph"/>
        <w:numPr>
          <w:ilvl w:val="0"/>
          <w:numId w:val="13"/>
        </w:numPr>
        <w:tabs>
          <w:tab w:pos="502" w:val="left" w:leader="none"/>
        </w:tabs>
        <w:spacing w:line="480" w:lineRule="auto" w:before="0" w:after="0"/>
        <w:ind w:left="138" w:right="139" w:firstLine="0"/>
        <w:jc w:val="both"/>
        <w:rPr>
          <w:sz w:val="24"/>
        </w:rPr>
      </w:pPr>
      <w:r>
        <w:rPr>
          <w:sz w:val="24"/>
        </w:rPr>
        <w:t>Tanaka K, Miyake Y, Sasaki S, Hirota Y. Socioeconomic status and risk of dental caries in Japanese preschool children: the Osaka Maternal and child health study. </w:t>
      </w:r>
      <w:r>
        <w:rPr>
          <w:i/>
          <w:sz w:val="24"/>
        </w:rPr>
        <w:t>J Public Health Dent </w:t>
      </w:r>
      <w:r>
        <w:rPr>
          <w:sz w:val="24"/>
        </w:rPr>
        <w:t>2013</w:t>
      </w:r>
      <w:r>
        <w:rPr>
          <w:spacing w:val="-1"/>
          <w:sz w:val="24"/>
        </w:rPr>
        <w:t> </w:t>
      </w:r>
      <w:r>
        <w:rPr>
          <w:sz w:val="24"/>
        </w:rPr>
        <w:t>73:217-223.</w:t>
      </w:r>
    </w:p>
    <w:p>
      <w:pPr>
        <w:pStyle w:val="BodyText"/>
        <w:rPr>
          <w:rFonts w:ascii="Times New Roman"/>
        </w:rPr>
      </w:pPr>
    </w:p>
    <w:p>
      <w:pPr>
        <w:pStyle w:val="BodyText"/>
        <w:spacing w:before="10"/>
        <w:rPr>
          <w:rFonts w:ascii="Times New Roman"/>
        </w:rPr>
      </w:pPr>
    </w:p>
    <w:p>
      <w:pPr>
        <w:pStyle w:val="ListParagraph"/>
        <w:numPr>
          <w:ilvl w:val="0"/>
          <w:numId w:val="13"/>
        </w:numPr>
        <w:tabs>
          <w:tab w:pos="552" w:val="left" w:leader="none"/>
        </w:tabs>
        <w:spacing w:line="480" w:lineRule="auto" w:before="0" w:after="0"/>
        <w:ind w:left="138" w:right="135" w:firstLine="0"/>
        <w:jc w:val="both"/>
        <w:rPr>
          <w:sz w:val="24"/>
        </w:rPr>
      </w:pPr>
      <w:r>
        <w:rPr>
          <w:sz w:val="24"/>
        </w:rPr>
        <w:t>Cook SL, Martinez-Mier EA, Dean JA et al. Yoder K. Dental caries experience and association</w:t>
      </w:r>
      <w:r>
        <w:rPr>
          <w:spacing w:val="-9"/>
          <w:sz w:val="24"/>
        </w:rPr>
        <w:t> </w:t>
      </w:r>
      <w:r>
        <w:rPr>
          <w:sz w:val="24"/>
        </w:rPr>
        <w:t>to</w:t>
      </w:r>
      <w:r>
        <w:rPr>
          <w:spacing w:val="-8"/>
          <w:sz w:val="24"/>
        </w:rPr>
        <w:t> </w:t>
      </w:r>
      <w:r>
        <w:rPr>
          <w:sz w:val="24"/>
        </w:rPr>
        <w:t>risk</w:t>
      </w:r>
      <w:r>
        <w:rPr>
          <w:spacing w:val="-9"/>
          <w:sz w:val="24"/>
        </w:rPr>
        <w:t> </w:t>
      </w:r>
      <w:r>
        <w:rPr>
          <w:sz w:val="24"/>
        </w:rPr>
        <w:t>indicators</w:t>
      </w:r>
      <w:r>
        <w:rPr>
          <w:spacing w:val="-9"/>
          <w:sz w:val="24"/>
        </w:rPr>
        <w:t> </w:t>
      </w:r>
      <w:r>
        <w:rPr>
          <w:sz w:val="24"/>
        </w:rPr>
        <w:t>of</w:t>
      </w:r>
      <w:r>
        <w:rPr>
          <w:spacing w:val="-9"/>
          <w:sz w:val="24"/>
        </w:rPr>
        <w:t> </w:t>
      </w:r>
      <w:r>
        <w:rPr>
          <w:sz w:val="24"/>
        </w:rPr>
        <w:t>remote</w:t>
      </w:r>
      <w:r>
        <w:rPr>
          <w:spacing w:val="-10"/>
          <w:sz w:val="24"/>
        </w:rPr>
        <w:t> </w:t>
      </w:r>
      <w:r>
        <w:rPr>
          <w:sz w:val="24"/>
        </w:rPr>
        <w:t>rural</w:t>
      </w:r>
      <w:r>
        <w:rPr>
          <w:spacing w:val="-8"/>
          <w:sz w:val="24"/>
        </w:rPr>
        <w:t> </w:t>
      </w:r>
      <w:r>
        <w:rPr>
          <w:sz w:val="24"/>
        </w:rPr>
        <w:t>populations</w:t>
      </w:r>
      <w:r>
        <w:rPr>
          <w:i/>
          <w:sz w:val="24"/>
        </w:rPr>
        <w:t>.</w:t>
      </w:r>
      <w:r>
        <w:rPr>
          <w:i/>
          <w:spacing w:val="43"/>
          <w:sz w:val="24"/>
        </w:rPr>
        <w:t> </w:t>
      </w:r>
      <w:r>
        <w:rPr>
          <w:i/>
          <w:sz w:val="24"/>
        </w:rPr>
        <w:t>Int</w:t>
      </w:r>
      <w:r>
        <w:rPr>
          <w:i/>
          <w:spacing w:val="-9"/>
          <w:sz w:val="24"/>
        </w:rPr>
        <w:t> </w:t>
      </w:r>
      <w:r>
        <w:rPr>
          <w:i/>
          <w:sz w:val="24"/>
        </w:rPr>
        <w:t>J</w:t>
      </w:r>
      <w:r>
        <w:rPr>
          <w:i/>
          <w:spacing w:val="-10"/>
          <w:sz w:val="24"/>
        </w:rPr>
        <w:t> </w:t>
      </w:r>
      <w:r>
        <w:rPr>
          <w:i/>
          <w:sz w:val="24"/>
        </w:rPr>
        <w:t>Paediatr</w:t>
      </w:r>
      <w:r>
        <w:rPr>
          <w:i/>
          <w:spacing w:val="-8"/>
          <w:sz w:val="24"/>
        </w:rPr>
        <w:t> </w:t>
      </w:r>
      <w:r>
        <w:rPr>
          <w:i/>
          <w:sz w:val="24"/>
        </w:rPr>
        <w:t>Dent</w:t>
      </w:r>
      <w:r>
        <w:rPr>
          <w:i/>
          <w:spacing w:val="-7"/>
          <w:sz w:val="24"/>
        </w:rPr>
        <w:t> </w:t>
      </w:r>
      <w:r>
        <w:rPr>
          <w:sz w:val="24"/>
        </w:rPr>
        <w:t>2008</w:t>
      </w:r>
      <w:r>
        <w:rPr>
          <w:spacing w:val="-9"/>
          <w:sz w:val="24"/>
        </w:rPr>
        <w:t> </w:t>
      </w:r>
      <w:r>
        <w:rPr>
          <w:sz w:val="24"/>
        </w:rPr>
        <w:t>18:275-283.</w:t>
      </w:r>
    </w:p>
    <w:p>
      <w:pPr>
        <w:pStyle w:val="BodyText"/>
        <w:rPr>
          <w:rFonts w:ascii="Times New Roman"/>
        </w:rPr>
      </w:pPr>
    </w:p>
    <w:p>
      <w:pPr>
        <w:pStyle w:val="BodyText"/>
        <w:spacing w:before="10"/>
        <w:rPr>
          <w:rFonts w:ascii="Times New Roman"/>
        </w:rPr>
      </w:pPr>
    </w:p>
    <w:p>
      <w:pPr>
        <w:pStyle w:val="ListParagraph"/>
        <w:numPr>
          <w:ilvl w:val="0"/>
          <w:numId w:val="13"/>
        </w:numPr>
        <w:tabs>
          <w:tab w:pos="568" w:val="left" w:leader="none"/>
        </w:tabs>
        <w:spacing w:line="240" w:lineRule="auto" w:before="0" w:after="0"/>
        <w:ind w:left="568" w:right="0" w:hanging="430"/>
        <w:jc w:val="both"/>
        <w:rPr>
          <w:sz w:val="24"/>
        </w:rPr>
      </w:pPr>
      <w:r>
        <w:rPr>
          <w:sz w:val="24"/>
        </w:rPr>
        <w:t>Hallett KB, O'Rourke PK.  Social and behavioural determinants of early childhood</w:t>
      </w:r>
      <w:r>
        <w:rPr>
          <w:spacing w:val="29"/>
          <w:sz w:val="24"/>
        </w:rPr>
        <w:t> </w:t>
      </w:r>
      <w:r>
        <w:rPr>
          <w:sz w:val="24"/>
        </w:rPr>
        <w:t>caries.</w:t>
      </w:r>
    </w:p>
    <w:p>
      <w:pPr>
        <w:pStyle w:val="BodyText"/>
        <w:rPr>
          <w:rFonts w:ascii="Times New Roman"/>
        </w:rPr>
      </w:pPr>
    </w:p>
    <w:p>
      <w:pPr>
        <w:spacing w:before="0"/>
        <w:ind w:left="138" w:right="0" w:firstLine="0"/>
        <w:jc w:val="both"/>
        <w:rPr>
          <w:rFonts w:ascii="Times New Roman"/>
          <w:sz w:val="24"/>
        </w:rPr>
      </w:pPr>
      <w:r>
        <w:rPr>
          <w:rFonts w:ascii="Times New Roman"/>
          <w:i/>
          <w:sz w:val="24"/>
        </w:rPr>
        <w:t>Aust Dent J  </w:t>
      </w:r>
      <w:r>
        <w:rPr>
          <w:rFonts w:ascii="Times New Roman"/>
          <w:sz w:val="24"/>
        </w:rPr>
        <w:t>2003 48:27-33.</w:t>
      </w:r>
    </w:p>
    <w:p>
      <w:pPr>
        <w:pStyle w:val="BodyText"/>
        <w:rPr>
          <w:rFonts w:ascii="Times New Roman"/>
        </w:rPr>
      </w:pPr>
    </w:p>
    <w:p>
      <w:pPr>
        <w:pStyle w:val="BodyText"/>
        <w:rPr>
          <w:rFonts w:ascii="Times New Roman"/>
        </w:rPr>
      </w:pPr>
    </w:p>
    <w:p>
      <w:pPr>
        <w:pStyle w:val="BodyText"/>
        <w:rPr>
          <w:rFonts w:ascii="Times New Roman"/>
        </w:rPr>
      </w:pPr>
    </w:p>
    <w:p>
      <w:pPr>
        <w:pStyle w:val="ListParagraph"/>
        <w:numPr>
          <w:ilvl w:val="0"/>
          <w:numId w:val="13"/>
        </w:numPr>
        <w:tabs>
          <w:tab w:pos="566" w:val="left" w:leader="none"/>
        </w:tabs>
        <w:spacing w:line="480" w:lineRule="auto" w:before="0" w:after="0"/>
        <w:ind w:left="138" w:right="136" w:firstLine="0"/>
        <w:jc w:val="both"/>
        <w:rPr>
          <w:sz w:val="24"/>
        </w:rPr>
      </w:pPr>
      <w:r>
        <w:rPr>
          <w:sz w:val="24"/>
        </w:rPr>
        <w:t>Ismail AI, Sohn W, Lim S, Willem </w:t>
      </w:r>
      <w:r>
        <w:rPr>
          <w:spacing w:val="2"/>
          <w:sz w:val="24"/>
        </w:rPr>
        <w:t>JM. </w:t>
      </w:r>
      <w:r>
        <w:rPr>
          <w:sz w:val="24"/>
        </w:rPr>
        <w:t>Predictors of dental caries progression in primary teeth. </w:t>
      </w:r>
      <w:r>
        <w:rPr>
          <w:i/>
          <w:sz w:val="24"/>
        </w:rPr>
        <w:t>J Dent Res </w:t>
      </w:r>
      <w:r>
        <w:rPr>
          <w:sz w:val="24"/>
        </w:rPr>
        <w:t>2009</w:t>
      </w:r>
      <w:r>
        <w:rPr>
          <w:spacing w:val="-3"/>
          <w:sz w:val="24"/>
        </w:rPr>
        <w:t> </w:t>
      </w:r>
      <w:r>
        <w:rPr>
          <w:sz w:val="24"/>
        </w:rPr>
        <w:t>88:270-275.</w:t>
      </w:r>
    </w:p>
    <w:p>
      <w:pPr>
        <w:spacing w:after="0" w:line="480" w:lineRule="auto"/>
        <w:jc w:val="both"/>
        <w:rPr>
          <w:sz w:val="24"/>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0"/>
        </w:rPr>
      </w:pPr>
    </w:p>
    <w:p>
      <w:pPr>
        <w:pStyle w:val="ListParagraph"/>
        <w:numPr>
          <w:ilvl w:val="0"/>
          <w:numId w:val="13"/>
        </w:numPr>
        <w:tabs>
          <w:tab w:pos="555" w:val="left" w:leader="none"/>
        </w:tabs>
        <w:spacing w:line="480" w:lineRule="auto" w:before="0" w:after="0"/>
        <w:ind w:left="138" w:right="134" w:firstLine="0"/>
        <w:jc w:val="both"/>
        <w:rPr>
          <w:sz w:val="24"/>
        </w:rPr>
      </w:pPr>
      <w:r>
        <w:rPr>
          <w:sz w:val="24"/>
        </w:rPr>
        <w:t>Watanabe</w:t>
      </w:r>
      <w:r>
        <w:rPr>
          <w:spacing w:val="-5"/>
          <w:sz w:val="24"/>
        </w:rPr>
        <w:t> </w:t>
      </w:r>
      <w:r>
        <w:rPr>
          <w:sz w:val="24"/>
        </w:rPr>
        <w:t>M,</w:t>
      </w:r>
      <w:r>
        <w:rPr>
          <w:spacing w:val="-4"/>
          <w:sz w:val="24"/>
        </w:rPr>
        <w:t> </w:t>
      </w:r>
      <w:r>
        <w:rPr>
          <w:sz w:val="24"/>
        </w:rPr>
        <w:t>Wang</w:t>
      </w:r>
      <w:r>
        <w:rPr>
          <w:spacing w:val="-4"/>
          <w:sz w:val="24"/>
        </w:rPr>
        <w:t> </w:t>
      </w:r>
      <w:r>
        <w:rPr>
          <w:sz w:val="24"/>
        </w:rPr>
        <w:t>DH,</w:t>
      </w:r>
      <w:r>
        <w:rPr>
          <w:spacing w:val="-1"/>
          <w:sz w:val="24"/>
        </w:rPr>
        <w:t> </w:t>
      </w:r>
      <w:r>
        <w:rPr>
          <w:sz w:val="24"/>
        </w:rPr>
        <w:t>Ijichi</w:t>
      </w:r>
      <w:r>
        <w:rPr>
          <w:spacing w:val="-3"/>
          <w:sz w:val="24"/>
        </w:rPr>
        <w:t> </w:t>
      </w:r>
      <w:r>
        <w:rPr>
          <w:sz w:val="24"/>
        </w:rPr>
        <w:t>A</w:t>
      </w:r>
      <w:r>
        <w:rPr>
          <w:spacing w:val="-1"/>
          <w:sz w:val="24"/>
        </w:rPr>
        <w:t> </w:t>
      </w:r>
      <w:r>
        <w:rPr>
          <w:sz w:val="24"/>
        </w:rPr>
        <w:t>et</w:t>
      </w:r>
      <w:r>
        <w:rPr>
          <w:spacing w:val="-3"/>
          <w:sz w:val="24"/>
        </w:rPr>
        <w:t> </w:t>
      </w:r>
      <w:r>
        <w:rPr>
          <w:sz w:val="24"/>
        </w:rPr>
        <w:t>al.</w:t>
      </w:r>
      <w:r>
        <w:rPr>
          <w:spacing w:val="-3"/>
          <w:sz w:val="24"/>
        </w:rPr>
        <w:t> </w:t>
      </w:r>
      <w:r>
        <w:rPr>
          <w:sz w:val="24"/>
        </w:rPr>
        <w:t>The</w:t>
      </w:r>
      <w:r>
        <w:rPr>
          <w:spacing w:val="-3"/>
          <w:sz w:val="24"/>
        </w:rPr>
        <w:t> </w:t>
      </w:r>
      <w:r>
        <w:rPr>
          <w:sz w:val="24"/>
        </w:rPr>
        <w:t>influence</w:t>
      </w:r>
      <w:r>
        <w:rPr>
          <w:spacing w:val="-5"/>
          <w:sz w:val="24"/>
        </w:rPr>
        <w:t> </w:t>
      </w:r>
      <w:r>
        <w:rPr>
          <w:sz w:val="24"/>
        </w:rPr>
        <w:t>of</w:t>
      </w:r>
      <w:r>
        <w:rPr>
          <w:spacing w:val="-5"/>
          <w:sz w:val="24"/>
        </w:rPr>
        <w:t> </w:t>
      </w:r>
      <w:r>
        <w:rPr>
          <w:sz w:val="24"/>
        </w:rPr>
        <w:t>lifestyle</w:t>
      </w:r>
      <w:r>
        <w:rPr>
          <w:spacing w:val="-4"/>
          <w:sz w:val="24"/>
        </w:rPr>
        <w:t> </w:t>
      </w:r>
      <w:r>
        <w:rPr>
          <w:sz w:val="24"/>
        </w:rPr>
        <w:t>on</w:t>
      </w:r>
      <w:r>
        <w:rPr>
          <w:spacing w:val="-4"/>
          <w:sz w:val="24"/>
        </w:rPr>
        <w:t> </w:t>
      </w:r>
      <w:r>
        <w:rPr>
          <w:sz w:val="24"/>
        </w:rPr>
        <w:t>the</w:t>
      </w:r>
      <w:r>
        <w:rPr>
          <w:spacing w:val="-3"/>
          <w:sz w:val="24"/>
        </w:rPr>
        <w:t> </w:t>
      </w:r>
      <w:r>
        <w:rPr>
          <w:sz w:val="24"/>
        </w:rPr>
        <w:t>incidence</w:t>
      </w:r>
      <w:r>
        <w:rPr>
          <w:spacing w:val="-5"/>
          <w:sz w:val="24"/>
        </w:rPr>
        <w:t> </w:t>
      </w:r>
      <w:r>
        <w:rPr>
          <w:sz w:val="24"/>
        </w:rPr>
        <w:t>of</w:t>
      </w:r>
      <w:r>
        <w:rPr>
          <w:spacing w:val="-5"/>
          <w:sz w:val="24"/>
        </w:rPr>
        <w:t> </w:t>
      </w:r>
      <w:r>
        <w:rPr>
          <w:sz w:val="24"/>
        </w:rPr>
        <w:t>dental caries among 3-year-old Japanese children. . </w:t>
      </w:r>
      <w:r>
        <w:rPr>
          <w:i/>
          <w:sz w:val="24"/>
        </w:rPr>
        <w:t>Int J Environ Res Public Health </w:t>
      </w:r>
      <w:r>
        <w:rPr>
          <w:sz w:val="24"/>
        </w:rPr>
        <w:t>2014 11:12611- 12622.</w:t>
      </w:r>
    </w:p>
    <w:p>
      <w:pPr>
        <w:pStyle w:val="BodyText"/>
        <w:rPr>
          <w:rFonts w:ascii="Times New Roman"/>
        </w:rPr>
      </w:pPr>
    </w:p>
    <w:p>
      <w:pPr>
        <w:pStyle w:val="BodyText"/>
        <w:spacing w:before="10"/>
        <w:rPr>
          <w:rFonts w:ascii="Times New Roman"/>
        </w:rPr>
      </w:pPr>
    </w:p>
    <w:p>
      <w:pPr>
        <w:pStyle w:val="ListParagraph"/>
        <w:numPr>
          <w:ilvl w:val="0"/>
          <w:numId w:val="13"/>
        </w:numPr>
        <w:tabs>
          <w:tab w:pos="602" w:val="left" w:leader="none"/>
        </w:tabs>
        <w:spacing w:line="480" w:lineRule="auto" w:before="0" w:after="0"/>
        <w:ind w:left="138" w:right="146" w:firstLine="0"/>
        <w:jc w:val="both"/>
        <w:rPr>
          <w:sz w:val="24"/>
        </w:rPr>
      </w:pPr>
      <w:r>
        <w:rPr>
          <w:sz w:val="24"/>
        </w:rPr>
        <w:t>Wigen TI, Wang NJ. Maternal health and lifestyle, and caries experience in preschool children. A longitudinal study from pregnancy to age 5 yr. </w:t>
      </w:r>
      <w:r>
        <w:rPr>
          <w:i/>
          <w:sz w:val="24"/>
        </w:rPr>
        <w:t>Eur J Oral Sci </w:t>
      </w:r>
      <w:r>
        <w:rPr>
          <w:sz w:val="24"/>
        </w:rPr>
        <w:t>2011</w:t>
      </w:r>
      <w:r>
        <w:rPr>
          <w:spacing w:val="-13"/>
          <w:sz w:val="24"/>
        </w:rPr>
        <w:t> </w:t>
      </w:r>
      <w:r>
        <w:rPr>
          <w:sz w:val="24"/>
        </w:rPr>
        <w:t>119:463-468.</w:t>
      </w:r>
    </w:p>
    <w:p>
      <w:pPr>
        <w:pStyle w:val="BodyText"/>
        <w:rPr>
          <w:rFonts w:ascii="Times New Roman"/>
        </w:rPr>
      </w:pPr>
    </w:p>
    <w:p>
      <w:pPr>
        <w:pStyle w:val="BodyText"/>
        <w:spacing w:before="10"/>
        <w:rPr>
          <w:rFonts w:ascii="Times New Roman"/>
        </w:rPr>
      </w:pPr>
    </w:p>
    <w:p>
      <w:pPr>
        <w:pStyle w:val="ListParagraph"/>
        <w:numPr>
          <w:ilvl w:val="0"/>
          <w:numId w:val="13"/>
        </w:numPr>
        <w:tabs>
          <w:tab w:pos="499" w:val="left" w:leader="none"/>
        </w:tabs>
        <w:spacing w:line="480" w:lineRule="auto" w:before="0" w:after="0"/>
        <w:ind w:left="138" w:right="139" w:firstLine="0"/>
        <w:jc w:val="both"/>
        <w:rPr>
          <w:sz w:val="24"/>
        </w:rPr>
      </w:pPr>
      <w:r>
        <w:rPr>
          <w:sz w:val="24"/>
        </w:rPr>
        <w:t>Wigen TI, Espelid I, Skaare AB, Wang NJ . Family characteristics and caries experience in preschool children. A longitudinal study from pregnancy to 5 years of age. </w:t>
      </w:r>
      <w:r>
        <w:rPr>
          <w:i/>
          <w:sz w:val="24"/>
        </w:rPr>
        <w:t>Community Dent </w:t>
      </w:r>
      <w:r>
        <w:rPr>
          <w:i/>
          <w:sz w:val="24"/>
        </w:rPr>
        <w:t>Oral Epidemiol </w:t>
      </w:r>
      <w:r>
        <w:rPr>
          <w:sz w:val="24"/>
        </w:rPr>
        <w:t>2011</w:t>
      </w:r>
      <w:r>
        <w:rPr>
          <w:spacing w:val="-2"/>
          <w:sz w:val="24"/>
        </w:rPr>
        <w:t> </w:t>
      </w:r>
      <w:r>
        <w:rPr>
          <w:sz w:val="24"/>
        </w:rPr>
        <w:t>39:311-317.</w:t>
      </w:r>
    </w:p>
    <w:p>
      <w:pPr>
        <w:pStyle w:val="BodyText"/>
        <w:rPr>
          <w:rFonts w:ascii="Times New Roman"/>
        </w:rPr>
      </w:pPr>
    </w:p>
    <w:p>
      <w:pPr>
        <w:pStyle w:val="BodyText"/>
        <w:spacing w:before="10"/>
        <w:rPr>
          <w:rFonts w:ascii="Times New Roman"/>
        </w:rPr>
      </w:pPr>
    </w:p>
    <w:p>
      <w:pPr>
        <w:pStyle w:val="ListParagraph"/>
        <w:numPr>
          <w:ilvl w:val="0"/>
          <w:numId w:val="13"/>
        </w:numPr>
        <w:tabs>
          <w:tab w:pos="509" w:val="left" w:leader="none"/>
        </w:tabs>
        <w:spacing w:line="477" w:lineRule="auto" w:before="0" w:after="0"/>
        <w:ind w:left="138" w:right="138" w:firstLine="0"/>
        <w:jc w:val="both"/>
        <w:rPr>
          <w:sz w:val="24"/>
        </w:rPr>
      </w:pPr>
      <w:r>
        <w:rPr>
          <w:sz w:val="24"/>
        </w:rPr>
        <w:t>Declerck D, Leroy R, Martens L et al. Factors associated with prevalence and severity of caries experience in preschool children. </w:t>
      </w:r>
      <w:r>
        <w:rPr>
          <w:i/>
          <w:sz w:val="24"/>
        </w:rPr>
        <w:t>Community Dent Oral Epidemiol </w:t>
      </w:r>
      <w:r>
        <w:rPr>
          <w:sz w:val="24"/>
        </w:rPr>
        <w:t>2008</w:t>
      </w:r>
      <w:r>
        <w:rPr>
          <w:spacing w:val="-6"/>
          <w:sz w:val="24"/>
        </w:rPr>
        <w:t> </w:t>
      </w:r>
      <w:r>
        <w:rPr>
          <w:sz w:val="24"/>
        </w:rPr>
        <w:t>36:168-178.</w:t>
      </w:r>
    </w:p>
    <w:p>
      <w:pPr>
        <w:pStyle w:val="BodyText"/>
        <w:rPr>
          <w:rFonts w:ascii="Times New Roman"/>
        </w:rPr>
      </w:pPr>
    </w:p>
    <w:p>
      <w:pPr>
        <w:pStyle w:val="BodyText"/>
        <w:spacing w:before="1"/>
        <w:rPr>
          <w:rFonts w:ascii="Times New Roman"/>
          <w:sz w:val="25"/>
        </w:rPr>
      </w:pPr>
    </w:p>
    <w:p>
      <w:pPr>
        <w:pStyle w:val="ListParagraph"/>
        <w:numPr>
          <w:ilvl w:val="0"/>
          <w:numId w:val="13"/>
        </w:numPr>
        <w:tabs>
          <w:tab w:pos="497" w:val="left" w:leader="none"/>
        </w:tabs>
        <w:spacing w:line="480" w:lineRule="auto" w:before="0" w:after="0"/>
        <w:ind w:left="138" w:right="143" w:firstLine="0"/>
        <w:jc w:val="both"/>
        <w:rPr>
          <w:sz w:val="24"/>
        </w:rPr>
      </w:pPr>
      <w:r>
        <w:rPr>
          <w:sz w:val="24"/>
        </w:rPr>
        <w:t>Warren JJ, Blanchette D, Dawson DV et al. Factors associated with dental caries in a</w:t>
      </w:r>
      <w:r>
        <w:rPr>
          <w:spacing w:val="-39"/>
          <w:sz w:val="24"/>
        </w:rPr>
        <w:t> </w:t>
      </w:r>
      <w:r>
        <w:rPr>
          <w:sz w:val="24"/>
        </w:rPr>
        <w:t>group of American Indian children at age 36 months. </w:t>
      </w:r>
      <w:r>
        <w:rPr>
          <w:i/>
          <w:sz w:val="24"/>
        </w:rPr>
        <w:t>Community Dent Oral Epidemiol</w:t>
      </w:r>
      <w:r>
        <w:rPr>
          <w:i/>
          <w:spacing w:val="50"/>
          <w:sz w:val="24"/>
        </w:rPr>
        <w:t> </w:t>
      </w:r>
      <w:r>
        <w:rPr>
          <w:sz w:val="24"/>
        </w:rPr>
        <w:t>2015.</w:t>
      </w:r>
    </w:p>
    <w:p>
      <w:pPr>
        <w:pStyle w:val="BodyText"/>
        <w:rPr>
          <w:rFonts w:ascii="Times New Roman"/>
        </w:rPr>
      </w:pPr>
    </w:p>
    <w:p>
      <w:pPr>
        <w:pStyle w:val="BodyText"/>
        <w:spacing w:before="10"/>
        <w:rPr>
          <w:rFonts w:ascii="Times New Roman"/>
        </w:rPr>
      </w:pPr>
    </w:p>
    <w:p>
      <w:pPr>
        <w:pStyle w:val="ListParagraph"/>
        <w:numPr>
          <w:ilvl w:val="0"/>
          <w:numId w:val="13"/>
        </w:numPr>
        <w:tabs>
          <w:tab w:pos="499" w:val="left" w:leader="none"/>
        </w:tabs>
        <w:spacing w:line="480" w:lineRule="auto" w:before="0" w:after="0"/>
        <w:ind w:left="138" w:right="139" w:firstLine="0"/>
        <w:jc w:val="left"/>
        <w:rPr>
          <w:sz w:val="24"/>
        </w:rPr>
      </w:pPr>
      <w:r>
        <w:rPr>
          <w:sz w:val="24"/>
        </w:rPr>
        <w:t>Comisión Nacional para el Desarrollo de los Pueblos Indígenas. Acciones de gobierno</w:t>
      </w:r>
      <w:r>
        <w:rPr>
          <w:spacing w:val="-17"/>
          <w:sz w:val="24"/>
        </w:rPr>
        <w:t> </w:t>
      </w:r>
      <w:r>
        <w:rPr>
          <w:sz w:val="24"/>
        </w:rPr>
        <w:t>para el desarrollo integral de los pueblos indígenas: Informe 2011 / Comisión Nacional para el Desarrollo de los Pueblos Indígenas. – México: CDI, 2011. Available at: </w:t>
      </w:r>
      <w:hyperlink r:id="rId31">
        <w:r>
          <w:rPr>
            <w:sz w:val="24"/>
          </w:rPr>
          <w:t>http://www.cdi.gob.mx/index.php?option=com_docman&amp;task=cat_view&amp;gid=18&amp;Itemid=20</w:t>
        </w:r>
      </w:hyperlink>
      <w:r>
        <w:rPr>
          <w:sz w:val="24"/>
        </w:rPr>
        <w:t> 0019.</w:t>
      </w:r>
    </w:p>
    <w:p>
      <w:pPr>
        <w:spacing w:after="0" w:line="480" w:lineRule="auto"/>
        <w:jc w:val="left"/>
        <w:rPr>
          <w:sz w:val="24"/>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0"/>
        </w:rPr>
      </w:pPr>
    </w:p>
    <w:p>
      <w:pPr>
        <w:pStyle w:val="ListParagraph"/>
        <w:numPr>
          <w:ilvl w:val="0"/>
          <w:numId w:val="13"/>
        </w:numPr>
        <w:tabs>
          <w:tab w:pos="511" w:val="left" w:leader="none"/>
        </w:tabs>
        <w:spacing w:line="480" w:lineRule="auto" w:before="0" w:after="0"/>
        <w:ind w:left="138" w:right="177" w:firstLine="0"/>
        <w:jc w:val="both"/>
        <w:rPr>
          <w:sz w:val="24"/>
        </w:rPr>
      </w:pPr>
      <w:r>
        <w:rPr>
          <w:sz w:val="24"/>
        </w:rPr>
        <w:t>Gobierno del Estado de México. Consejo estatal para el desarrollo integral de los pueblos indígenas del Estado de México. Secretaría de Desarrollo Social. Available at: </w:t>
      </w:r>
      <w:hyperlink r:id="rId32">
        <w:r>
          <w:rPr>
            <w:color w:val="0000FF"/>
            <w:sz w:val="24"/>
            <w:u w:val="single" w:color="0000FF"/>
          </w:rPr>
          <w:t>http://portal2.edomex.gob.mx/cedipiem/pueblosindigenas/index.htm</w:t>
        </w:r>
      </w:hyperlink>
      <w:r>
        <w:rPr>
          <w:color w:val="0000FF"/>
          <w:sz w:val="24"/>
          <w:u w:val="single" w:color="0000FF"/>
        </w:rPr>
        <w:t>.</w:t>
      </w:r>
    </w:p>
    <w:p>
      <w:pPr>
        <w:pStyle w:val="BodyText"/>
        <w:rPr>
          <w:rFonts w:ascii="Times New Roman"/>
          <w:sz w:val="20"/>
        </w:rPr>
      </w:pPr>
    </w:p>
    <w:p>
      <w:pPr>
        <w:pStyle w:val="BodyText"/>
        <w:spacing w:before="10"/>
        <w:rPr>
          <w:rFonts w:ascii="Times New Roman"/>
          <w:sz w:val="22"/>
        </w:rPr>
      </w:pPr>
    </w:p>
    <w:p>
      <w:pPr>
        <w:pStyle w:val="ListParagraph"/>
        <w:numPr>
          <w:ilvl w:val="0"/>
          <w:numId w:val="13"/>
        </w:numPr>
        <w:tabs>
          <w:tab w:pos="552" w:val="left" w:leader="none"/>
        </w:tabs>
        <w:spacing w:line="480" w:lineRule="auto" w:before="69" w:after="0"/>
        <w:ind w:left="138" w:right="178" w:firstLine="0"/>
        <w:jc w:val="both"/>
        <w:rPr>
          <w:sz w:val="24"/>
        </w:rPr>
      </w:pPr>
      <w:r>
        <w:rPr>
          <w:sz w:val="24"/>
        </w:rPr>
        <w:t>Vega LE, Cucina A. Maize Dependence of Marketing Integration? Caries Prevalence Among Indigenous Maya Communities with Maize-Based Versus Globilazed Economies. </w:t>
      </w:r>
      <w:r>
        <w:rPr>
          <w:i/>
          <w:sz w:val="24"/>
        </w:rPr>
        <w:t>American J of Phiscal Anthr </w:t>
      </w:r>
      <w:r>
        <w:rPr>
          <w:sz w:val="24"/>
        </w:rPr>
        <w:t>2014</w:t>
      </w:r>
      <w:r>
        <w:rPr>
          <w:spacing w:val="-4"/>
          <w:sz w:val="24"/>
        </w:rPr>
        <w:t> </w:t>
      </w:r>
      <w:r>
        <w:rPr>
          <w:sz w:val="24"/>
        </w:rPr>
        <w:t>153:190-202.</w:t>
      </w:r>
    </w:p>
    <w:p>
      <w:pPr>
        <w:pStyle w:val="BodyText"/>
        <w:rPr>
          <w:rFonts w:ascii="Times New Roman"/>
        </w:rPr>
      </w:pPr>
    </w:p>
    <w:p>
      <w:pPr>
        <w:pStyle w:val="BodyText"/>
        <w:spacing w:before="10"/>
        <w:rPr>
          <w:rFonts w:ascii="Times New Roman"/>
        </w:rPr>
      </w:pPr>
    </w:p>
    <w:p>
      <w:pPr>
        <w:pStyle w:val="ListParagraph"/>
        <w:numPr>
          <w:ilvl w:val="0"/>
          <w:numId w:val="13"/>
        </w:numPr>
        <w:tabs>
          <w:tab w:pos="540" w:val="left" w:leader="none"/>
        </w:tabs>
        <w:spacing w:line="480" w:lineRule="auto" w:before="0" w:after="0"/>
        <w:ind w:left="138" w:right="185" w:firstLine="0"/>
        <w:jc w:val="both"/>
        <w:rPr>
          <w:sz w:val="24"/>
        </w:rPr>
      </w:pPr>
      <w:r>
        <w:rPr>
          <w:sz w:val="24"/>
        </w:rPr>
        <w:t>Consejo Nacional de Evaluación de la Política de Desarrollo Social. La pobreza en la población indígena de México, 2012. México, DF: CONEVAL,</w:t>
      </w:r>
      <w:r>
        <w:rPr>
          <w:spacing w:val="-11"/>
          <w:sz w:val="24"/>
        </w:rPr>
        <w:t> </w:t>
      </w:r>
      <w:r>
        <w:rPr>
          <w:sz w:val="24"/>
        </w:rPr>
        <w:t>2014.</w:t>
      </w:r>
    </w:p>
    <w:p>
      <w:pPr>
        <w:pStyle w:val="BodyText"/>
        <w:rPr>
          <w:rFonts w:ascii="Times New Roman"/>
        </w:rPr>
      </w:pPr>
    </w:p>
    <w:p>
      <w:pPr>
        <w:pStyle w:val="BodyText"/>
        <w:spacing w:before="6"/>
        <w:rPr>
          <w:rFonts w:ascii="Times New Roman"/>
          <w:sz w:val="23"/>
        </w:rPr>
      </w:pPr>
    </w:p>
    <w:p>
      <w:pPr>
        <w:pStyle w:val="ListParagraph"/>
        <w:numPr>
          <w:ilvl w:val="0"/>
          <w:numId w:val="13"/>
        </w:numPr>
        <w:tabs>
          <w:tab w:pos="504" w:val="left" w:leader="none"/>
        </w:tabs>
        <w:spacing w:line="477" w:lineRule="auto" w:before="0" w:after="0"/>
        <w:ind w:left="138" w:right="115" w:firstLine="0"/>
        <w:jc w:val="both"/>
        <w:rPr>
          <w:sz w:val="24"/>
        </w:rPr>
      </w:pPr>
      <w:r>
        <w:rPr>
          <w:sz w:val="24"/>
        </w:rPr>
        <w:t>Harris NO, García-Godoy F, Nathe CN . Primary preventive dentistry. 8</w:t>
      </w:r>
      <w:r>
        <w:rPr>
          <w:position w:val="9"/>
          <w:sz w:val="16"/>
        </w:rPr>
        <w:t>th </w:t>
      </w:r>
      <w:r>
        <w:rPr>
          <w:sz w:val="24"/>
        </w:rPr>
        <w:t>ed, p 43. United States of America: Pearson,</w:t>
      </w:r>
      <w:r>
        <w:rPr>
          <w:spacing w:val="-5"/>
          <w:sz w:val="24"/>
        </w:rPr>
        <w:t> </w:t>
      </w:r>
      <w:r>
        <w:rPr>
          <w:sz w:val="24"/>
        </w:rPr>
        <w:t>2014.</w:t>
      </w:r>
    </w:p>
    <w:p>
      <w:pPr>
        <w:pStyle w:val="BodyText"/>
        <w:rPr>
          <w:rFonts w:ascii="Times New Roman"/>
        </w:rPr>
      </w:pPr>
    </w:p>
    <w:p>
      <w:pPr>
        <w:pStyle w:val="BodyText"/>
        <w:spacing w:before="1"/>
        <w:rPr>
          <w:rFonts w:ascii="Times New Roman"/>
          <w:sz w:val="25"/>
        </w:rPr>
      </w:pPr>
    </w:p>
    <w:p>
      <w:pPr>
        <w:pStyle w:val="ListParagraph"/>
        <w:numPr>
          <w:ilvl w:val="0"/>
          <w:numId w:val="13"/>
        </w:numPr>
        <w:tabs>
          <w:tab w:pos="626" w:val="left" w:leader="none"/>
        </w:tabs>
        <w:spacing w:line="240" w:lineRule="auto" w:before="0" w:after="0"/>
        <w:ind w:left="625" w:right="0" w:hanging="487"/>
        <w:jc w:val="both"/>
        <w:rPr>
          <w:sz w:val="24"/>
        </w:rPr>
      </w:pPr>
      <w:r>
        <w:rPr>
          <w:sz w:val="24"/>
        </w:rPr>
        <w:t>International   Caries   Detection   and   Assessment   System   Coordinating  </w:t>
      </w:r>
      <w:r>
        <w:rPr>
          <w:spacing w:val="3"/>
          <w:sz w:val="24"/>
        </w:rPr>
        <w:t> </w:t>
      </w:r>
      <w:r>
        <w:rPr>
          <w:sz w:val="24"/>
        </w:rPr>
        <w:t>Committee.</w:t>
      </w:r>
    </w:p>
    <w:p>
      <w:pPr>
        <w:pStyle w:val="BodyText"/>
        <w:rPr>
          <w:rFonts w:ascii="Times New Roman"/>
        </w:rPr>
      </w:pPr>
    </w:p>
    <w:p>
      <w:pPr>
        <w:pStyle w:val="BodyText"/>
        <w:spacing w:line="480" w:lineRule="auto"/>
        <w:ind w:left="138" w:right="183"/>
        <w:jc w:val="both"/>
        <w:rPr>
          <w:rFonts w:ascii="Times New Roman"/>
        </w:rPr>
      </w:pPr>
      <w:r>
        <w:rPr>
          <w:rFonts w:ascii="Times New Roman"/>
        </w:rPr>
        <w:t>International Caries Detection and Assessment System (ICDAS). Coordinating Committee Baltimore, 2005. Available at: </w:t>
      </w:r>
      <w:hyperlink r:id="rId33">
        <w:r>
          <w:rPr>
            <w:rFonts w:ascii="Times New Roman"/>
          </w:rPr>
          <w:t>https://www.icdas.org/courses/spanish/course/nav.html</w:t>
        </w:r>
      </w:hyperlink>
    </w:p>
    <w:p>
      <w:pPr>
        <w:pStyle w:val="ListParagraph"/>
        <w:numPr>
          <w:ilvl w:val="0"/>
          <w:numId w:val="14"/>
        </w:numPr>
        <w:tabs>
          <w:tab w:pos="557" w:val="left" w:leader="none"/>
        </w:tabs>
        <w:spacing w:line="480" w:lineRule="auto" w:before="10" w:after="0"/>
        <w:ind w:left="138" w:right="175" w:firstLine="0"/>
        <w:jc w:val="both"/>
        <w:rPr>
          <w:sz w:val="24"/>
        </w:rPr>
      </w:pPr>
      <w:r>
        <w:rPr>
          <w:sz w:val="24"/>
        </w:rPr>
        <w:t>Topping GVA, Hally JD, Bonner BC, Pitts NB. International Caries Detection and Assessment System (ICDAS) e-learning Package. Interactive CD-room and web-based software. Smile-on 2008,</w:t>
      </w:r>
      <w:r>
        <w:rPr>
          <w:spacing w:val="-8"/>
          <w:sz w:val="24"/>
        </w:rPr>
        <w:t> </w:t>
      </w:r>
      <w:r>
        <w:rPr>
          <w:sz w:val="24"/>
        </w:rPr>
        <w:t>London.</w:t>
      </w:r>
    </w:p>
    <w:p>
      <w:pPr>
        <w:spacing w:after="0" w:line="480" w:lineRule="auto"/>
        <w:jc w:val="both"/>
        <w:rPr>
          <w:sz w:val="24"/>
        </w:rPr>
        <w:sectPr>
          <w:pgSz w:w="12240" w:h="15840"/>
          <w:pgMar w:header="686" w:footer="964" w:top="1080" w:bottom="1160" w:left="1280" w:right="1520"/>
        </w:sectPr>
      </w:pPr>
    </w:p>
    <w:p>
      <w:pPr>
        <w:pStyle w:val="BodyText"/>
        <w:rPr>
          <w:rFonts w:ascii="Times New Roman"/>
          <w:sz w:val="20"/>
        </w:rPr>
      </w:pPr>
    </w:p>
    <w:p>
      <w:pPr>
        <w:pStyle w:val="BodyText"/>
        <w:spacing w:before="11"/>
        <w:rPr>
          <w:rFonts w:ascii="Times New Roman"/>
          <w:sz w:val="26"/>
        </w:rPr>
      </w:pPr>
    </w:p>
    <w:p>
      <w:pPr>
        <w:pStyle w:val="ListParagraph"/>
        <w:numPr>
          <w:ilvl w:val="0"/>
          <w:numId w:val="14"/>
        </w:numPr>
        <w:tabs>
          <w:tab w:pos="492" w:val="left" w:leader="none"/>
        </w:tabs>
        <w:spacing w:line="480" w:lineRule="auto" w:before="69" w:after="0"/>
        <w:ind w:left="138" w:right="135" w:firstLine="0"/>
        <w:jc w:val="both"/>
        <w:rPr>
          <w:sz w:val="24"/>
        </w:rPr>
      </w:pPr>
      <w:r>
        <w:rPr>
          <w:sz w:val="24"/>
        </w:rPr>
        <w:t>Drury</w:t>
      </w:r>
      <w:r>
        <w:rPr>
          <w:spacing w:val="-14"/>
          <w:sz w:val="24"/>
        </w:rPr>
        <w:t> </w:t>
      </w:r>
      <w:r>
        <w:rPr>
          <w:sz w:val="24"/>
        </w:rPr>
        <w:t>TF,</w:t>
      </w:r>
      <w:r>
        <w:rPr>
          <w:spacing w:val="-10"/>
          <w:sz w:val="24"/>
        </w:rPr>
        <w:t> </w:t>
      </w:r>
      <w:r>
        <w:rPr>
          <w:sz w:val="24"/>
        </w:rPr>
        <w:t>Horowitz</w:t>
      </w:r>
      <w:r>
        <w:rPr>
          <w:spacing w:val="-8"/>
          <w:sz w:val="24"/>
        </w:rPr>
        <w:t> </w:t>
      </w:r>
      <w:r>
        <w:rPr>
          <w:sz w:val="24"/>
        </w:rPr>
        <w:t>AM,</w:t>
      </w:r>
      <w:r>
        <w:rPr>
          <w:spacing w:val="-8"/>
          <w:sz w:val="24"/>
        </w:rPr>
        <w:t> </w:t>
      </w:r>
      <w:r>
        <w:rPr>
          <w:sz w:val="24"/>
        </w:rPr>
        <w:t>Ismail</w:t>
      </w:r>
      <w:r>
        <w:rPr>
          <w:spacing w:val="-9"/>
          <w:sz w:val="24"/>
        </w:rPr>
        <w:t> </w:t>
      </w:r>
      <w:r>
        <w:rPr>
          <w:sz w:val="24"/>
        </w:rPr>
        <w:t>AI,</w:t>
      </w:r>
      <w:r>
        <w:rPr>
          <w:spacing w:val="-10"/>
          <w:sz w:val="24"/>
        </w:rPr>
        <w:t> </w:t>
      </w:r>
      <w:r>
        <w:rPr>
          <w:sz w:val="24"/>
        </w:rPr>
        <w:t>Maertens</w:t>
      </w:r>
      <w:r>
        <w:rPr>
          <w:spacing w:val="-7"/>
          <w:sz w:val="24"/>
        </w:rPr>
        <w:t> </w:t>
      </w:r>
      <w:r>
        <w:rPr>
          <w:sz w:val="24"/>
        </w:rPr>
        <w:t>MP,</w:t>
      </w:r>
      <w:r>
        <w:rPr>
          <w:spacing w:val="-10"/>
          <w:sz w:val="24"/>
        </w:rPr>
        <w:t> </w:t>
      </w:r>
      <w:r>
        <w:rPr>
          <w:sz w:val="24"/>
        </w:rPr>
        <w:t>Rozier</w:t>
      </w:r>
      <w:r>
        <w:rPr>
          <w:spacing w:val="-11"/>
          <w:sz w:val="24"/>
        </w:rPr>
        <w:t> </w:t>
      </w:r>
      <w:r>
        <w:rPr>
          <w:sz w:val="24"/>
        </w:rPr>
        <w:t>RG,</w:t>
      </w:r>
      <w:r>
        <w:rPr>
          <w:spacing w:val="-10"/>
          <w:sz w:val="24"/>
        </w:rPr>
        <w:t> </w:t>
      </w:r>
      <w:r>
        <w:rPr>
          <w:sz w:val="24"/>
        </w:rPr>
        <w:t>Selwitz</w:t>
      </w:r>
      <w:r>
        <w:rPr>
          <w:spacing w:val="-11"/>
          <w:sz w:val="24"/>
        </w:rPr>
        <w:t> </w:t>
      </w:r>
      <w:r>
        <w:rPr>
          <w:sz w:val="24"/>
        </w:rPr>
        <w:t>RH.</w:t>
      </w:r>
      <w:r>
        <w:rPr>
          <w:spacing w:val="-10"/>
          <w:sz w:val="24"/>
        </w:rPr>
        <w:t> </w:t>
      </w:r>
      <w:r>
        <w:rPr>
          <w:sz w:val="24"/>
        </w:rPr>
        <w:t>Diagnosing</w:t>
      </w:r>
      <w:r>
        <w:rPr>
          <w:spacing w:val="-10"/>
          <w:sz w:val="24"/>
        </w:rPr>
        <w:t> </w:t>
      </w:r>
      <w:r>
        <w:rPr>
          <w:sz w:val="24"/>
        </w:rPr>
        <w:t>and reporting</w:t>
      </w:r>
      <w:r>
        <w:rPr>
          <w:spacing w:val="-11"/>
          <w:sz w:val="24"/>
        </w:rPr>
        <w:t> </w:t>
      </w:r>
      <w:r>
        <w:rPr>
          <w:sz w:val="24"/>
        </w:rPr>
        <w:t>early</w:t>
      </w:r>
      <w:r>
        <w:rPr>
          <w:spacing w:val="-13"/>
          <w:sz w:val="24"/>
        </w:rPr>
        <w:t> </w:t>
      </w:r>
      <w:r>
        <w:rPr>
          <w:sz w:val="24"/>
        </w:rPr>
        <w:t>childhood</w:t>
      </w:r>
      <w:r>
        <w:rPr>
          <w:spacing w:val="-7"/>
          <w:sz w:val="24"/>
        </w:rPr>
        <w:t> </w:t>
      </w:r>
      <w:r>
        <w:rPr>
          <w:sz w:val="24"/>
        </w:rPr>
        <w:t>caries</w:t>
      </w:r>
      <w:r>
        <w:rPr>
          <w:spacing w:val="-6"/>
          <w:sz w:val="24"/>
        </w:rPr>
        <w:t> </w:t>
      </w:r>
      <w:r>
        <w:rPr>
          <w:sz w:val="24"/>
        </w:rPr>
        <w:t>for</w:t>
      </w:r>
      <w:r>
        <w:rPr>
          <w:spacing w:val="-8"/>
          <w:sz w:val="24"/>
        </w:rPr>
        <w:t> </w:t>
      </w:r>
      <w:r>
        <w:rPr>
          <w:sz w:val="24"/>
        </w:rPr>
        <w:t>research</w:t>
      </w:r>
      <w:r>
        <w:rPr>
          <w:spacing w:val="-9"/>
          <w:sz w:val="24"/>
        </w:rPr>
        <w:t> </w:t>
      </w:r>
      <w:r>
        <w:rPr>
          <w:sz w:val="24"/>
        </w:rPr>
        <w:t>purposes.</w:t>
      </w:r>
      <w:r>
        <w:rPr>
          <w:spacing w:val="-8"/>
          <w:sz w:val="24"/>
        </w:rPr>
        <w:t> </w:t>
      </w:r>
      <w:r>
        <w:rPr>
          <w:sz w:val="24"/>
        </w:rPr>
        <w:t>A</w:t>
      </w:r>
      <w:r>
        <w:rPr>
          <w:spacing w:val="-9"/>
          <w:sz w:val="24"/>
        </w:rPr>
        <w:t> </w:t>
      </w:r>
      <w:r>
        <w:rPr>
          <w:sz w:val="24"/>
        </w:rPr>
        <w:t>report</w:t>
      </w:r>
      <w:r>
        <w:rPr>
          <w:spacing w:val="-9"/>
          <w:sz w:val="24"/>
        </w:rPr>
        <w:t> </w:t>
      </w:r>
      <w:r>
        <w:rPr>
          <w:sz w:val="24"/>
        </w:rPr>
        <w:t>of</w:t>
      </w:r>
      <w:r>
        <w:rPr>
          <w:spacing w:val="-9"/>
          <w:sz w:val="24"/>
        </w:rPr>
        <w:t> </w:t>
      </w:r>
      <w:r>
        <w:rPr>
          <w:sz w:val="24"/>
        </w:rPr>
        <w:t>a</w:t>
      </w:r>
      <w:r>
        <w:rPr>
          <w:spacing w:val="-7"/>
          <w:sz w:val="24"/>
        </w:rPr>
        <w:t> </w:t>
      </w:r>
      <w:r>
        <w:rPr>
          <w:sz w:val="24"/>
        </w:rPr>
        <w:t>workshop</w:t>
      </w:r>
      <w:r>
        <w:rPr>
          <w:spacing w:val="-9"/>
          <w:sz w:val="24"/>
        </w:rPr>
        <w:t> </w:t>
      </w:r>
      <w:r>
        <w:rPr>
          <w:sz w:val="24"/>
        </w:rPr>
        <w:t>sponsored</w:t>
      </w:r>
      <w:r>
        <w:rPr>
          <w:spacing w:val="-9"/>
          <w:sz w:val="24"/>
        </w:rPr>
        <w:t> </w:t>
      </w:r>
      <w:r>
        <w:rPr>
          <w:sz w:val="24"/>
        </w:rPr>
        <w:t>by</w:t>
      </w:r>
      <w:r>
        <w:rPr>
          <w:spacing w:val="-13"/>
          <w:sz w:val="24"/>
        </w:rPr>
        <w:t> </w:t>
      </w:r>
      <w:r>
        <w:rPr>
          <w:sz w:val="24"/>
        </w:rPr>
        <w:t>the National Institute of Dental and Craniofacial Research, the Health Resources and Services Administration, and the Health Care Financing Administration. </w:t>
      </w:r>
      <w:r>
        <w:rPr>
          <w:i/>
          <w:sz w:val="24"/>
        </w:rPr>
        <w:t>J Public Health Dent </w:t>
      </w:r>
      <w:r>
        <w:rPr>
          <w:sz w:val="24"/>
        </w:rPr>
        <w:t>1999 59:192-197.</w:t>
      </w:r>
    </w:p>
    <w:p>
      <w:pPr>
        <w:spacing w:after="0" w:line="480" w:lineRule="auto"/>
        <w:jc w:val="both"/>
        <w:rPr>
          <w:sz w:val="24"/>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after="1"/>
        <w:rPr>
          <w:rFonts w:ascii="Times New Roman"/>
          <w:sz w:val="17"/>
        </w:rPr>
      </w:pPr>
    </w:p>
    <w:tbl>
      <w:tblPr>
        <w:tblW w:w="0" w:type="auto"/>
        <w:jc w:val="left"/>
        <w:tblInd w:w="9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27"/>
        <w:gridCol w:w="1382"/>
        <w:gridCol w:w="2986"/>
      </w:tblGrid>
      <w:tr>
        <w:trPr>
          <w:trHeight w:val="443" w:hRule="exact"/>
        </w:trPr>
        <w:tc>
          <w:tcPr>
            <w:tcW w:w="7494" w:type="dxa"/>
            <w:gridSpan w:val="3"/>
            <w:tcBorders>
              <w:bottom w:val="single" w:sz="4" w:space="0" w:color="000000"/>
            </w:tcBorders>
          </w:tcPr>
          <w:p>
            <w:pPr>
              <w:pStyle w:val="TableParagraph"/>
              <w:spacing w:line="204" w:lineRule="exact"/>
              <w:ind w:left="2512" w:right="2504"/>
              <w:jc w:val="center"/>
              <w:rPr>
                <w:rFonts w:ascii="Times New Roman"/>
                <w:sz w:val="20"/>
              </w:rPr>
            </w:pPr>
            <w:r>
              <w:rPr>
                <w:rFonts w:ascii="Times New Roman"/>
                <w:sz w:val="20"/>
              </w:rPr>
              <w:t>Table 1 Variables transformed</w:t>
            </w:r>
          </w:p>
        </w:tc>
      </w:tr>
      <w:tr>
        <w:trPr>
          <w:trHeight w:val="554" w:hRule="exact"/>
        </w:trPr>
        <w:tc>
          <w:tcPr>
            <w:tcW w:w="3127" w:type="dxa"/>
            <w:tcBorders>
              <w:top w:val="single" w:sz="4" w:space="0" w:color="000000"/>
              <w:bottom w:val="single" w:sz="4" w:space="0" w:color="000000"/>
            </w:tcBorders>
          </w:tcPr>
          <w:p>
            <w:pPr>
              <w:pStyle w:val="TableParagraph"/>
              <w:spacing w:line="226" w:lineRule="exact"/>
              <w:ind w:left="1082" w:right="1237"/>
              <w:jc w:val="center"/>
              <w:rPr>
                <w:rFonts w:ascii="Times New Roman"/>
                <w:sz w:val="20"/>
              </w:rPr>
            </w:pPr>
            <w:r>
              <w:rPr>
                <w:rFonts w:ascii="Times New Roman"/>
                <w:sz w:val="20"/>
              </w:rPr>
              <w:t>Variables</w:t>
            </w:r>
          </w:p>
        </w:tc>
        <w:tc>
          <w:tcPr>
            <w:tcW w:w="1382" w:type="dxa"/>
            <w:tcBorders>
              <w:top w:val="single" w:sz="4" w:space="0" w:color="000000"/>
              <w:bottom w:val="single" w:sz="4" w:space="0" w:color="000000"/>
            </w:tcBorders>
          </w:tcPr>
          <w:p>
            <w:pPr>
              <w:pStyle w:val="TableParagraph"/>
              <w:spacing w:line="226" w:lineRule="exact"/>
              <w:ind w:left="351"/>
              <w:rPr>
                <w:rFonts w:ascii="Times New Roman"/>
                <w:sz w:val="20"/>
              </w:rPr>
            </w:pPr>
            <w:r>
              <w:rPr>
                <w:rFonts w:ascii="Times New Roman"/>
                <w:sz w:val="20"/>
              </w:rPr>
              <w:t>Role</w:t>
            </w:r>
          </w:p>
        </w:tc>
        <w:tc>
          <w:tcPr>
            <w:tcW w:w="2986" w:type="dxa"/>
            <w:tcBorders>
              <w:top w:val="single" w:sz="4" w:space="0" w:color="000000"/>
              <w:bottom w:val="single" w:sz="4" w:space="0" w:color="000000"/>
            </w:tcBorders>
          </w:tcPr>
          <w:p>
            <w:pPr>
              <w:pStyle w:val="TableParagraph"/>
              <w:spacing w:line="226" w:lineRule="exact"/>
              <w:ind w:left="674"/>
              <w:rPr>
                <w:rFonts w:ascii="Times New Roman"/>
                <w:sz w:val="20"/>
              </w:rPr>
            </w:pPr>
            <w:r>
              <w:rPr>
                <w:rFonts w:ascii="Times New Roman"/>
                <w:sz w:val="20"/>
              </w:rPr>
              <w:t>Actions performed</w:t>
            </w:r>
          </w:p>
        </w:tc>
      </w:tr>
      <w:tr>
        <w:trPr>
          <w:trHeight w:val="700" w:hRule="exact"/>
        </w:trPr>
        <w:tc>
          <w:tcPr>
            <w:tcW w:w="3127" w:type="dxa"/>
            <w:tcBorders>
              <w:top w:val="single" w:sz="4" w:space="0" w:color="000000"/>
            </w:tcBorders>
          </w:tcPr>
          <w:p>
            <w:pPr>
              <w:pStyle w:val="TableParagraph"/>
              <w:ind w:left="122" w:right="474"/>
              <w:rPr>
                <w:rFonts w:ascii="Times New Roman"/>
                <w:sz w:val="20"/>
              </w:rPr>
            </w:pPr>
            <w:r>
              <w:rPr>
                <w:rFonts w:ascii="Times New Roman"/>
                <w:sz w:val="20"/>
              </w:rPr>
              <w:t>Number of times the child is exposed to sugars during meals (Transformed)</w:t>
            </w:r>
          </w:p>
        </w:tc>
        <w:tc>
          <w:tcPr>
            <w:tcW w:w="1382" w:type="dxa"/>
            <w:tcBorders>
              <w:top w:val="single" w:sz="4" w:space="0" w:color="000000"/>
            </w:tcBorders>
          </w:tcPr>
          <w:p>
            <w:pPr>
              <w:pStyle w:val="TableParagraph"/>
              <w:spacing w:line="226" w:lineRule="exact"/>
              <w:ind w:left="409"/>
              <w:rPr>
                <w:rFonts w:ascii="Times New Roman"/>
                <w:sz w:val="20"/>
              </w:rPr>
            </w:pPr>
            <w:r>
              <w:rPr>
                <w:rFonts w:ascii="Times New Roman"/>
                <w:sz w:val="20"/>
              </w:rPr>
              <w:t>Predictor</w:t>
            </w:r>
          </w:p>
        </w:tc>
        <w:tc>
          <w:tcPr>
            <w:tcW w:w="2986" w:type="dxa"/>
            <w:tcBorders>
              <w:top w:val="single" w:sz="4" w:space="0" w:color="000000"/>
            </w:tcBorders>
          </w:tcPr>
          <w:p>
            <w:pPr>
              <w:pStyle w:val="TableParagraph"/>
              <w:spacing w:line="225" w:lineRule="exact"/>
              <w:ind w:left="239"/>
              <w:rPr>
                <w:rFonts w:ascii="Times New Roman"/>
                <w:sz w:val="20"/>
              </w:rPr>
            </w:pPr>
            <w:r>
              <w:rPr>
                <w:rFonts w:ascii="Times New Roman"/>
                <w:sz w:val="20"/>
              </w:rPr>
              <w:t>Combine categories to maximize</w:t>
            </w:r>
          </w:p>
          <w:p>
            <w:pPr>
              <w:pStyle w:val="TableParagraph"/>
              <w:spacing w:line="229" w:lineRule="exact"/>
              <w:ind w:left="1077"/>
              <w:rPr>
                <w:rFonts w:ascii="Times New Roman"/>
                <w:sz w:val="20"/>
              </w:rPr>
            </w:pPr>
            <w:r>
              <w:rPr>
                <w:rFonts w:ascii="Times New Roman"/>
                <w:sz w:val="20"/>
              </w:rPr>
              <w:t>association with target</w:t>
            </w:r>
          </w:p>
        </w:tc>
      </w:tr>
      <w:tr>
        <w:trPr>
          <w:trHeight w:val="692" w:hRule="exact"/>
        </w:trPr>
        <w:tc>
          <w:tcPr>
            <w:tcW w:w="3127" w:type="dxa"/>
          </w:tcPr>
          <w:p>
            <w:pPr>
              <w:pStyle w:val="TableParagraph"/>
              <w:ind w:left="122" w:right="329"/>
              <w:rPr>
                <w:rFonts w:ascii="Times New Roman"/>
                <w:sz w:val="20"/>
              </w:rPr>
            </w:pPr>
            <w:r>
              <w:rPr>
                <w:rFonts w:ascii="Times New Roman"/>
                <w:sz w:val="20"/>
              </w:rPr>
              <w:t>Number of times the child is exposed to sugars between meals (Transformed)</w:t>
            </w:r>
          </w:p>
        </w:tc>
        <w:tc>
          <w:tcPr>
            <w:tcW w:w="1382" w:type="dxa"/>
          </w:tcPr>
          <w:p>
            <w:pPr>
              <w:pStyle w:val="TableParagraph"/>
              <w:spacing w:line="219" w:lineRule="exact"/>
              <w:ind w:left="409"/>
              <w:rPr>
                <w:rFonts w:ascii="Times New Roman"/>
                <w:sz w:val="20"/>
              </w:rPr>
            </w:pPr>
            <w:r>
              <w:rPr>
                <w:rFonts w:ascii="Times New Roman"/>
                <w:sz w:val="20"/>
              </w:rPr>
              <w:t>Predictor</w:t>
            </w:r>
          </w:p>
        </w:tc>
        <w:tc>
          <w:tcPr>
            <w:tcW w:w="2986" w:type="dxa"/>
          </w:tcPr>
          <w:p>
            <w:pPr>
              <w:pStyle w:val="TableParagraph"/>
              <w:spacing w:line="219" w:lineRule="exact"/>
              <w:ind w:left="239"/>
              <w:rPr>
                <w:rFonts w:ascii="Times New Roman"/>
                <w:sz w:val="20"/>
              </w:rPr>
            </w:pPr>
            <w:r>
              <w:rPr>
                <w:rFonts w:ascii="Times New Roman"/>
                <w:sz w:val="20"/>
              </w:rPr>
              <w:t>Combine categories to maximize</w:t>
            </w:r>
          </w:p>
          <w:p>
            <w:pPr>
              <w:pStyle w:val="TableParagraph"/>
              <w:ind w:left="1077"/>
              <w:rPr>
                <w:rFonts w:ascii="Times New Roman"/>
                <w:sz w:val="20"/>
              </w:rPr>
            </w:pPr>
            <w:r>
              <w:rPr>
                <w:rFonts w:ascii="Times New Roman"/>
                <w:sz w:val="20"/>
              </w:rPr>
              <w:t>association with target</w:t>
            </w:r>
          </w:p>
        </w:tc>
      </w:tr>
      <w:tr>
        <w:trPr>
          <w:trHeight w:val="229" w:hRule="exact"/>
        </w:trPr>
        <w:tc>
          <w:tcPr>
            <w:tcW w:w="3127" w:type="dxa"/>
          </w:tcPr>
          <w:p>
            <w:pPr>
              <w:pStyle w:val="TableParagraph"/>
              <w:tabs>
                <w:tab w:pos="959" w:val="left" w:leader="none"/>
              </w:tabs>
              <w:spacing w:line="219" w:lineRule="exact"/>
              <w:ind w:left="122" w:right="474"/>
              <w:rPr>
                <w:rFonts w:ascii="Times New Roman"/>
                <w:sz w:val="20"/>
              </w:rPr>
            </w:pPr>
            <w:r>
              <w:rPr>
                <w:rFonts w:ascii="Times New Roman"/>
                <w:sz w:val="20"/>
              </w:rPr>
              <w:t>Weight</w:t>
              <w:tab/>
              <w:t>(Transformed</w:t>
            </w:r>
            <w:r>
              <w:rPr>
                <w:rFonts w:ascii="Times New Roman"/>
                <w:spacing w:val="-5"/>
                <w:sz w:val="20"/>
              </w:rPr>
              <w:t> </w:t>
            </w:r>
            <w:r>
              <w:rPr>
                <w:rFonts w:ascii="Times New Roman"/>
                <w:sz w:val="20"/>
              </w:rPr>
              <w:t>)</w:t>
            </w:r>
          </w:p>
        </w:tc>
        <w:tc>
          <w:tcPr>
            <w:tcW w:w="1382" w:type="dxa"/>
          </w:tcPr>
          <w:p>
            <w:pPr>
              <w:pStyle w:val="TableParagraph"/>
              <w:spacing w:line="219" w:lineRule="exact"/>
              <w:ind w:left="409"/>
              <w:rPr>
                <w:rFonts w:ascii="Times New Roman"/>
                <w:sz w:val="20"/>
              </w:rPr>
            </w:pPr>
            <w:r>
              <w:rPr>
                <w:rFonts w:ascii="Times New Roman"/>
                <w:sz w:val="20"/>
              </w:rPr>
              <w:t>Predictor</w:t>
            </w:r>
          </w:p>
        </w:tc>
        <w:tc>
          <w:tcPr>
            <w:tcW w:w="2986" w:type="dxa"/>
          </w:tcPr>
          <w:p>
            <w:pPr>
              <w:pStyle w:val="TableParagraph"/>
              <w:spacing w:line="219" w:lineRule="exact"/>
              <w:ind w:right="109"/>
              <w:jc w:val="right"/>
              <w:rPr>
                <w:rFonts w:ascii="Times New Roman"/>
                <w:sz w:val="20"/>
              </w:rPr>
            </w:pPr>
            <w:r>
              <w:rPr>
                <w:rFonts w:ascii="Times New Roman"/>
                <w:sz w:val="20"/>
              </w:rPr>
              <w:t>Cut outlier values</w:t>
            </w:r>
          </w:p>
        </w:tc>
      </w:tr>
      <w:tr>
        <w:trPr>
          <w:trHeight w:val="460" w:hRule="exact"/>
        </w:trPr>
        <w:tc>
          <w:tcPr>
            <w:tcW w:w="3127" w:type="dxa"/>
          </w:tcPr>
          <w:p>
            <w:pPr>
              <w:pStyle w:val="TableParagraph"/>
              <w:ind w:left="172" w:right="1075" w:hanging="51"/>
              <w:rPr>
                <w:rFonts w:ascii="Times New Roman"/>
                <w:sz w:val="20"/>
              </w:rPr>
            </w:pPr>
            <w:r>
              <w:rPr>
                <w:rFonts w:ascii="Times New Roman"/>
                <w:sz w:val="20"/>
              </w:rPr>
              <w:t>Length of breastfeeding (Transformed )</w:t>
            </w:r>
          </w:p>
        </w:tc>
        <w:tc>
          <w:tcPr>
            <w:tcW w:w="1382" w:type="dxa"/>
          </w:tcPr>
          <w:p>
            <w:pPr>
              <w:pStyle w:val="TableParagraph"/>
              <w:spacing w:line="218" w:lineRule="exact"/>
              <w:ind w:left="409"/>
              <w:rPr>
                <w:rFonts w:ascii="Times New Roman"/>
                <w:sz w:val="20"/>
              </w:rPr>
            </w:pPr>
            <w:r>
              <w:rPr>
                <w:rFonts w:ascii="Times New Roman"/>
                <w:sz w:val="20"/>
              </w:rPr>
              <w:t>Predictor</w:t>
            </w:r>
          </w:p>
        </w:tc>
        <w:tc>
          <w:tcPr>
            <w:tcW w:w="2986" w:type="dxa"/>
          </w:tcPr>
          <w:p>
            <w:pPr>
              <w:pStyle w:val="TableParagraph"/>
              <w:spacing w:line="218" w:lineRule="exact"/>
              <w:ind w:right="109"/>
              <w:jc w:val="right"/>
              <w:rPr>
                <w:rFonts w:ascii="Times New Roman"/>
                <w:sz w:val="20"/>
              </w:rPr>
            </w:pPr>
            <w:r>
              <w:rPr>
                <w:rFonts w:ascii="Times New Roman"/>
                <w:sz w:val="20"/>
              </w:rPr>
              <w:t>Cut outlier values</w:t>
            </w:r>
          </w:p>
        </w:tc>
      </w:tr>
      <w:tr>
        <w:trPr>
          <w:trHeight w:val="461" w:hRule="exact"/>
        </w:trPr>
        <w:tc>
          <w:tcPr>
            <w:tcW w:w="3127" w:type="dxa"/>
          </w:tcPr>
          <w:p>
            <w:pPr>
              <w:pStyle w:val="TableParagraph"/>
              <w:ind w:left="172" w:right="1047" w:hanging="51"/>
              <w:rPr>
                <w:rFonts w:ascii="Times New Roman"/>
                <w:sz w:val="20"/>
              </w:rPr>
            </w:pPr>
            <w:r>
              <w:rPr>
                <w:rFonts w:ascii="Times New Roman"/>
                <w:sz w:val="20"/>
              </w:rPr>
              <w:t>Length of bottle feeding (Transformed )</w:t>
            </w:r>
          </w:p>
        </w:tc>
        <w:tc>
          <w:tcPr>
            <w:tcW w:w="1382" w:type="dxa"/>
          </w:tcPr>
          <w:p>
            <w:pPr>
              <w:pStyle w:val="TableParagraph"/>
              <w:spacing w:line="219" w:lineRule="exact"/>
              <w:ind w:left="409"/>
              <w:rPr>
                <w:rFonts w:ascii="Times New Roman"/>
                <w:sz w:val="20"/>
              </w:rPr>
            </w:pPr>
            <w:r>
              <w:rPr>
                <w:rFonts w:ascii="Times New Roman"/>
                <w:sz w:val="20"/>
              </w:rPr>
              <w:t>Predictor</w:t>
            </w:r>
          </w:p>
        </w:tc>
        <w:tc>
          <w:tcPr>
            <w:tcW w:w="2986" w:type="dxa"/>
          </w:tcPr>
          <w:p>
            <w:pPr>
              <w:pStyle w:val="TableParagraph"/>
              <w:spacing w:line="219" w:lineRule="exact"/>
              <w:ind w:right="109"/>
              <w:jc w:val="right"/>
              <w:rPr>
                <w:rFonts w:ascii="Times New Roman"/>
                <w:sz w:val="20"/>
              </w:rPr>
            </w:pPr>
            <w:r>
              <w:rPr>
                <w:rFonts w:ascii="Times New Roman"/>
                <w:sz w:val="20"/>
              </w:rPr>
              <w:t>Cut outlier values</w:t>
            </w:r>
          </w:p>
        </w:tc>
      </w:tr>
      <w:tr>
        <w:trPr>
          <w:trHeight w:val="460" w:hRule="exact"/>
        </w:trPr>
        <w:tc>
          <w:tcPr>
            <w:tcW w:w="3127" w:type="dxa"/>
          </w:tcPr>
          <w:p>
            <w:pPr>
              <w:pStyle w:val="TableParagraph"/>
              <w:ind w:left="172" w:right="474" w:hanging="51"/>
              <w:rPr>
                <w:rFonts w:ascii="Times New Roman"/>
                <w:sz w:val="20"/>
              </w:rPr>
            </w:pPr>
            <w:r>
              <w:rPr>
                <w:rFonts w:ascii="Times New Roman"/>
                <w:sz w:val="20"/>
              </w:rPr>
              <w:t>Primary Caregiver (Transformed )</w:t>
            </w:r>
          </w:p>
        </w:tc>
        <w:tc>
          <w:tcPr>
            <w:tcW w:w="1382" w:type="dxa"/>
          </w:tcPr>
          <w:p>
            <w:pPr>
              <w:pStyle w:val="TableParagraph"/>
              <w:spacing w:line="219" w:lineRule="exact"/>
              <w:ind w:left="409"/>
              <w:rPr>
                <w:rFonts w:ascii="Times New Roman"/>
                <w:sz w:val="20"/>
              </w:rPr>
            </w:pPr>
            <w:r>
              <w:rPr>
                <w:rFonts w:ascii="Times New Roman"/>
                <w:sz w:val="20"/>
              </w:rPr>
              <w:t>Predictor</w:t>
            </w:r>
          </w:p>
        </w:tc>
        <w:tc>
          <w:tcPr>
            <w:tcW w:w="2986" w:type="dxa"/>
          </w:tcPr>
          <w:p>
            <w:pPr>
              <w:pStyle w:val="TableParagraph"/>
              <w:spacing w:line="219" w:lineRule="exact"/>
              <w:ind w:left="239"/>
              <w:rPr>
                <w:rFonts w:ascii="Times New Roman"/>
                <w:sz w:val="20"/>
              </w:rPr>
            </w:pPr>
            <w:r>
              <w:rPr>
                <w:rFonts w:ascii="Times New Roman"/>
                <w:sz w:val="20"/>
              </w:rPr>
              <w:t>Combine categories to maximize</w:t>
            </w:r>
          </w:p>
          <w:p>
            <w:pPr>
              <w:pStyle w:val="TableParagraph"/>
              <w:ind w:left="1077"/>
              <w:rPr>
                <w:rFonts w:ascii="Times New Roman"/>
                <w:sz w:val="20"/>
              </w:rPr>
            </w:pPr>
            <w:r>
              <w:rPr>
                <w:rFonts w:ascii="Times New Roman"/>
                <w:sz w:val="20"/>
              </w:rPr>
              <w:t>association with target</w:t>
            </w:r>
          </w:p>
        </w:tc>
      </w:tr>
      <w:tr>
        <w:trPr>
          <w:trHeight w:val="460" w:hRule="exact"/>
        </w:trPr>
        <w:tc>
          <w:tcPr>
            <w:tcW w:w="3127" w:type="dxa"/>
          </w:tcPr>
          <w:p>
            <w:pPr>
              <w:pStyle w:val="TableParagraph"/>
              <w:ind w:left="122" w:right="474"/>
              <w:rPr>
                <w:rFonts w:ascii="Times New Roman" w:hAnsi="Times New Roman"/>
                <w:sz w:val="20"/>
              </w:rPr>
            </w:pPr>
            <w:r>
              <w:rPr>
                <w:rFonts w:ascii="Times New Roman" w:hAnsi="Times New Roman"/>
                <w:sz w:val="20"/>
              </w:rPr>
              <w:t>Mother’s educational level (Transformed )</w:t>
            </w:r>
          </w:p>
        </w:tc>
        <w:tc>
          <w:tcPr>
            <w:tcW w:w="1382" w:type="dxa"/>
          </w:tcPr>
          <w:p>
            <w:pPr>
              <w:pStyle w:val="TableParagraph"/>
              <w:spacing w:line="218" w:lineRule="exact"/>
              <w:ind w:left="409"/>
              <w:rPr>
                <w:rFonts w:ascii="Times New Roman"/>
                <w:sz w:val="20"/>
              </w:rPr>
            </w:pPr>
            <w:r>
              <w:rPr>
                <w:rFonts w:ascii="Times New Roman"/>
                <w:sz w:val="20"/>
              </w:rPr>
              <w:t>Predictor</w:t>
            </w:r>
          </w:p>
        </w:tc>
        <w:tc>
          <w:tcPr>
            <w:tcW w:w="2986" w:type="dxa"/>
          </w:tcPr>
          <w:p>
            <w:pPr>
              <w:pStyle w:val="TableParagraph"/>
              <w:spacing w:line="218" w:lineRule="exact"/>
              <w:ind w:left="239"/>
              <w:rPr>
                <w:rFonts w:ascii="Times New Roman"/>
                <w:sz w:val="20"/>
              </w:rPr>
            </w:pPr>
            <w:r>
              <w:rPr>
                <w:rFonts w:ascii="Times New Roman"/>
                <w:sz w:val="20"/>
              </w:rPr>
              <w:t>Combine categories to maximize</w:t>
            </w:r>
          </w:p>
          <w:p>
            <w:pPr>
              <w:pStyle w:val="TableParagraph"/>
              <w:ind w:left="1077"/>
              <w:rPr>
                <w:rFonts w:ascii="Times New Roman"/>
                <w:sz w:val="20"/>
              </w:rPr>
            </w:pPr>
            <w:r>
              <w:rPr>
                <w:rFonts w:ascii="Times New Roman"/>
                <w:sz w:val="20"/>
              </w:rPr>
              <w:t>association with target</w:t>
            </w:r>
          </w:p>
        </w:tc>
      </w:tr>
      <w:tr>
        <w:trPr>
          <w:trHeight w:val="690" w:hRule="exact"/>
        </w:trPr>
        <w:tc>
          <w:tcPr>
            <w:tcW w:w="3127" w:type="dxa"/>
          </w:tcPr>
          <w:p>
            <w:pPr>
              <w:pStyle w:val="TableParagraph"/>
              <w:ind w:left="122" w:right="496"/>
              <w:rPr>
                <w:rFonts w:ascii="Times New Roman" w:hAnsi="Times New Roman"/>
                <w:sz w:val="20"/>
              </w:rPr>
            </w:pPr>
            <w:r>
              <w:rPr>
                <w:rFonts w:ascii="Times New Roman" w:hAnsi="Times New Roman"/>
                <w:sz w:val="20"/>
              </w:rPr>
              <w:t>Primay caregiver’s educational level</w:t>
            </w:r>
          </w:p>
          <w:p>
            <w:pPr>
              <w:pStyle w:val="TableParagraph"/>
              <w:ind w:left="122" w:right="474"/>
              <w:rPr>
                <w:rFonts w:ascii="Times New Roman"/>
                <w:sz w:val="20"/>
              </w:rPr>
            </w:pPr>
            <w:r>
              <w:rPr>
                <w:rFonts w:ascii="Times New Roman"/>
                <w:sz w:val="20"/>
              </w:rPr>
              <w:t>(Transformed )</w:t>
            </w:r>
          </w:p>
        </w:tc>
        <w:tc>
          <w:tcPr>
            <w:tcW w:w="1382" w:type="dxa"/>
          </w:tcPr>
          <w:p>
            <w:pPr>
              <w:pStyle w:val="TableParagraph"/>
              <w:spacing w:line="219" w:lineRule="exact"/>
              <w:ind w:left="409"/>
              <w:rPr>
                <w:rFonts w:ascii="Times New Roman"/>
                <w:sz w:val="20"/>
              </w:rPr>
            </w:pPr>
            <w:r>
              <w:rPr>
                <w:rFonts w:ascii="Times New Roman"/>
                <w:sz w:val="20"/>
              </w:rPr>
              <w:t>Predictor</w:t>
            </w:r>
          </w:p>
        </w:tc>
        <w:tc>
          <w:tcPr>
            <w:tcW w:w="2986" w:type="dxa"/>
          </w:tcPr>
          <w:p>
            <w:pPr>
              <w:pStyle w:val="TableParagraph"/>
              <w:spacing w:line="219" w:lineRule="exact"/>
              <w:ind w:left="239"/>
              <w:rPr>
                <w:rFonts w:ascii="Times New Roman"/>
                <w:sz w:val="20"/>
              </w:rPr>
            </w:pPr>
            <w:r>
              <w:rPr>
                <w:rFonts w:ascii="Times New Roman"/>
                <w:sz w:val="20"/>
              </w:rPr>
              <w:t>Combine categories to maximize</w:t>
            </w:r>
          </w:p>
          <w:p>
            <w:pPr>
              <w:pStyle w:val="TableParagraph"/>
              <w:ind w:left="1077"/>
              <w:rPr>
                <w:rFonts w:ascii="Times New Roman"/>
                <w:sz w:val="20"/>
              </w:rPr>
            </w:pPr>
            <w:r>
              <w:rPr>
                <w:rFonts w:ascii="Times New Roman"/>
                <w:sz w:val="20"/>
              </w:rPr>
              <w:t>association with target</w:t>
            </w:r>
          </w:p>
        </w:tc>
      </w:tr>
      <w:tr>
        <w:trPr>
          <w:trHeight w:val="460" w:hRule="exact"/>
        </w:trPr>
        <w:tc>
          <w:tcPr>
            <w:tcW w:w="3127" w:type="dxa"/>
          </w:tcPr>
          <w:p>
            <w:pPr>
              <w:pStyle w:val="TableParagraph"/>
              <w:ind w:left="122" w:right="1075"/>
              <w:rPr>
                <w:rFonts w:ascii="Times New Roman" w:hAnsi="Times New Roman"/>
                <w:sz w:val="20"/>
              </w:rPr>
            </w:pPr>
            <w:r>
              <w:rPr>
                <w:rFonts w:ascii="Times New Roman" w:hAnsi="Times New Roman"/>
                <w:w w:val="95"/>
                <w:sz w:val="20"/>
              </w:rPr>
              <w:t>Father’occupation </w:t>
            </w:r>
            <w:r>
              <w:rPr>
                <w:rFonts w:ascii="Times New Roman" w:hAnsi="Times New Roman"/>
                <w:sz w:val="20"/>
              </w:rPr>
              <w:t>(Transformed )</w:t>
            </w:r>
          </w:p>
        </w:tc>
        <w:tc>
          <w:tcPr>
            <w:tcW w:w="1382" w:type="dxa"/>
          </w:tcPr>
          <w:p>
            <w:pPr>
              <w:pStyle w:val="TableParagraph"/>
              <w:spacing w:line="218" w:lineRule="exact"/>
              <w:ind w:left="409"/>
              <w:rPr>
                <w:rFonts w:ascii="Times New Roman"/>
                <w:sz w:val="20"/>
              </w:rPr>
            </w:pPr>
            <w:r>
              <w:rPr>
                <w:rFonts w:ascii="Times New Roman"/>
                <w:sz w:val="20"/>
              </w:rPr>
              <w:t>Predictor</w:t>
            </w:r>
          </w:p>
        </w:tc>
        <w:tc>
          <w:tcPr>
            <w:tcW w:w="2986" w:type="dxa"/>
          </w:tcPr>
          <w:p>
            <w:pPr>
              <w:pStyle w:val="TableParagraph"/>
              <w:spacing w:line="218" w:lineRule="exact"/>
              <w:ind w:left="239"/>
              <w:rPr>
                <w:rFonts w:ascii="Times New Roman"/>
                <w:sz w:val="20"/>
              </w:rPr>
            </w:pPr>
            <w:r>
              <w:rPr>
                <w:rFonts w:ascii="Times New Roman"/>
                <w:sz w:val="20"/>
              </w:rPr>
              <w:t>Combine categories to maximize</w:t>
            </w:r>
          </w:p>
          <w:p>
            <w:pPr>
              <w:pStyle w:val="TableParagraph"/>
              <w:ind w:left="1077"/>
              <w:rPr>
                <w:rFonts w:ascii="Times New Roman"/>
                <w:sz w:val="20"/>
              </w:rPr>
            </w:pPr>
            <w:r>
              <w:rPr>
                <w:rFonts w:ascii="Times New Roman"/>
                <w:sz w:val="20"/>
              </w:rPr>
              <w:t>association with target</w:t>
            </w:r>
          </w:p>
        </w:tc>
      </w:tr>
      <w:tr>
        <w:trPr>
          <w:trHeight w:val="692" w:hRule="exact"/>
        </w:trPr>
        <w:tc>
          <w:tcPr>
            <w:tcW w:w="3127" w:type="dxa"/>
            <w:tcBorders>
              <w:bottom w:val="single" w:sz="4" w:space="0" w:color="000000"/>
            </w:tcBorders>
          </w:tcPr>
          <w:p>
            <w:pPr>
              <w:pStyle w:val="TableParagraph"/>
              <w:ind w:left="122" w:right="1380"/>
              <w:rPr>
                <w:rFonts w:ascii="Times New Roman"/>
                <w:sz w:val="20"/>
              </w:rPr>
            </w:pPr>
            <w:r>
              <w:rPr>
                <w:rFonts w:ascii="Times New Roman"/>
                <w:sz w:val="20"/>
              </w:rPr>
              <w:t>Height (Transformed )</w:t>
            </w:r>
          </w:p>
        </w:tc>
        <w:tc>
          <w:tcPr>
            <w:tcW w:w="1382" w:type="dxa"/>
            <w:tcBorders>
              <w:bottom w:val="single" w:sz="4" w:space="0" w:color="000000"/>
            </w:tcBorders>
          </w:tcPr>
          <w:p>
            <w:pPr>
              <w:pStyle w:val="TableParagraph"/>
              <w:spacing w:line="219" w:lineRule="exact"/>
              <w:ind w:left="409"/>
              <w:rPr>
                <w:rFonts w:ascii="Times New Roman"/>
                <w:sz w:val="20"/>
              </w:rPr>
            </w:pPr>
            <w:r>
              <w:rPr>
                <w:rFonts w:ascii="Times New Roman"/>
                <w:sz w:val="20"/>
              </w:rPr>
              <w:t>Predictor</w:t>
            </w:r>
          </w:p>
        </w:tc>
        <w:tc>
          <w:tcPr>
            <w:tcW w:w="2986" w:type="dxa"/>
            <w:tcBorders>
              <w:bottom w:val="single" w:sz="4" w:space="0" w:color="000000"/>
            </w:tcBorders>
          </w:tcPr>
          <w:p>
            <w:pPr>
              <w:pStyle w:val="TableParagraph"/>
              <w:spacing w:line="219" w:lineRule="exact"/>
              <w:ind w:right="109"/>
              <w:jc w:val="right"/>
              <w:rPr>
                <w:rFonts w:ascii="Times New Roman"/>
                <w:sz w:val="20"/>
              </w:rPr>
            </w:pPr>
            <w:r>
              <w:rPr>
                <w:rFonts w:ascii="Times New Roman"/>
                <w:sz w:val="20"/>
              </w:rPr>
              <w:t>Cut outlier values</w:t>
            </w:r>
          </w:p>
        </w:tc>
      </w:tr>
    </w:tbl>
    <w:p>
      <w:pPr>
        <w:spacing w:after="0" w:line="219" w:lineRule="exact"/>
        <w:jc w:val="right"/>
        <w:rPr>
          <w:rFonts w:ascii="Times New Roman"/>
          <w:sz w:val="20"/>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5"/>
        </w:r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6"/>
        <w:gridCol w:w="1316"/>
        <w:gridCol w:w="720"/>
        <w:gridCol w:w="1129"/>
        <w:gridCol w:w="899"/>
        <w:gridCol w:w="727"/>
        <w:gridCol w:w="1283"/>
      </w:tblGrid>
      <w:tr>
        <w:trPr>
          <w:trHeight w:val="523" w:hRule="exact"/>
        </w:trPr>
        <w:tc>
          <w:tcPr>
            <w:tcW w:w="9071" w:type="dxa"/>
            <w:gridSpan w:val="7"/>
            <w:tcBorders>
              <w:bottom w:val="single" w:sz="4" w:space="0" w:color="000000"/>
            </w:tcBorders>
          </w:tcPr>
          <w:p>
            <w:pPr>
              <w:pStyle w:val="TableParagraph"/>
              <w:spacing w:line="204" w:lineRule="exact"/>
              <w:ind w:left="3548" w:right="3538"/>
              <w:jc w:val="center"/>
              <w:rPr>
                <w:rFonts w:ascii="Times New Roman"/>
                <w:b/>
                <w:sz w:val="20"/>
              </w:rPr>
            </w:pPr>
            <w:r>
              <w:rPr>
                <w:rFonts w:ascii="Times New Roman"/>
                <w:b/>
                <w:sz w:val="20"/>
              </w:rPr>
              <w:t>Table 2  ANOVA table</w:t>
            </w:r>
          </w:p>
        </w:tc>
      </w:tr>
      <w:tr>
        <w:trPr>
          <w:trHeight w:val="555" w:hRule="exact"/>
        </w:trPr>
        <w:tc>
          <w:tcPr>
            <w:tcW w:w="2996" w:type="dxa"/>
            <w:tcBorders>
              <w:top w:val="single" w:sz="4" w:space="0" w:color="000000"/>
              <w:bottom w:val="single" w:sz="4" w:space="0" w:color="000000"/>
            </w:tcBorders>
          </w:tcPr>
          <w:p>
            <w:pPr>
              <w:pStyle w:val="TableParagraph"/>
              <w:spacing w:line="226" w:lineRule="exact"/>
              <w:ind w:left="1187" w:right="1213"/>
              <w:jc w:val="center"/>
              <w:rPr>
                <w:rFonts w:ascii="Times New Roman"/>
                <w:sz w:val="20"/>
              </w:rPr>
            </w:pPr>
            <w:r>
              <w:rPr>
                <w:rFonts w:ascii="Times New Roman"/>
                <w:sz w:val="20"/>
              </w:rPr>
              <w:t>Source</w:t>
            </w:r>
          </w:p>
        </w:tc>
        <w:tc>
          <w:tcPr>
            <w:tcW w:w="1316" w:type="dxa"/>
            <w:tcBorders>
              <w:top w:val="single" w:sz="4" w:space="0" w:color="000000"/>
              <w:bottom w:val="single" w:sz="4" w:space="0" w:color="000000"/>
            </w:tcBorders>
          </w:tcPr>
          <w:p>
            <w:pPr>
              <w:pStyle w:val="TableParagraph"/>
              <w:spacing w:line="226" w:lineRule="exact"/>
              <w:ind w:left="198" w:right="176"/>
              <w:jc w:val="center"/>
              <w:rPr>
                <w:rFonts w:ascii="Times New Roman"/>
                <w:sz w:val="20"/>
              </w:rPr>
            </w:pPr>
            <w:r>
              <w:rPr>
                <w:rFonts w:ascii="Times New Roman"/>
                <w:sz w:val="20"/>
              </w:rPr>
              <w:t>SS</w:t>
            </w:r>
          </w:p>
        </w:tc>
        <w:tc>
          <w:tcPr>
            <w:tcW w:w="720" w:type="dxa"/>
            <w:tcBorders>
              <w:top w:val="single" w:sz="4" w:space="0" w:color="000000"/>
              <w:bottom w:val="single" w:sz="4" w:space="0" w:color="000000"/>
            </w:tcBorders>
          </w:tcPr>
          <w:p>
            <w:pPr>
              <w:pStyle w:val="TableParagraph"/>
              <w:spacing w:line="226" w:lineRule="exact"/>
              <w:ind w:left="178" w:right="201"/>
              <w:jc w:val="center"/>
              <w:rPr>
                <w:rFonts w:ascii="Times New Roman"/>
                <w:sz w:val="20"/>
              </w:rPr>
            </w:pPr>
            <w:r>
              <w:rPr>
                <w:rFonts w:ascii="Times New Roman"/>
                <w:sz w:val="20"/>
              </w:rPr>
              <w:t>df</w:t>
            </w:r>
          </w:p>
        </w:tc>
        <w:tc>
          <w:tcPr>
            <w:tcW w:w="1129" w:type="dxa"/>
            <w:tcBorders>
              <w:top w:val="single" w:sz="4" w:space="0" w:color="000000"/>
              <w:bottom w:val="single" w:sz="4" w:space="0" w:color="000000"/>
            </w:tcBorders>
          </w:tcPr>
          <w:p>
            <w:pPr>
              <w:pStyle w:val="TableParagraph"/>
              <w:spacing w:line="226" w:lineRule="exact"/>
              <w:ind w:left="203" w:right="232"/>
              <w:jc w:val="center"/>
              <w:rPr>
                <w:rFonts w:ascii="Times New Roman"/>
                <w:sz w:val="20"/>
              </w:rPr>
            </w:pPr>
            <w:r>
              <w:rPr>
                <w:rFonts w:ascii="Times New Roman"/>
                <w:sz w:val="20"/>
              </w:rPr>
              <w:t>MS</w:t>
            </w:r>
          </w:p>
        </w:tc>
        <w:tc>
          <w:tcPr>
            <w:tcW w:w="899" w:type="dxa"/>
            <w:tcBorders>
              <w:top w:val="single" w:sz="4" w:space="0" w:color="000000"/>
              <w:bottom w:val="single" w:sz="4" w:space="0" w:color="000000"/>
            </w:tcBorders>
          </w:tcPr>
          <w:p>
            <w:pPr>
              <w:pStyle w:val="TableParagraph"/>
              <w:spacing w:line="226" w:lineRule="exact"/>
              <w:ind w:left="66"/>
              <w:jc w:val="center"/>
              <w:rPr>
                <w:rFonts w:ascii="Times New Roman"/>
                <w:sz w:val="20"/>
              </w:rPr>
            </w:pPr>
            <w:r>
              <w:rPr>
                <w:rFonts w:ascii="Times New Roman"/>
                <w:w w:val="99"/>
                <w:sz w:val="20"/>
              </w:rPr>
              <w:t>F</w:t>
            </w:r>
          </w:p>
        </w:tc>
        <w:tc>
          <w:tcPr>
            <w:tcW w:w="727" w:type="dxa"/>
            <w:tcBorders>
              <w:top w:val="single" w:sz="4" w:space="0" w:color="000000"/>
              <w:bottom w:val="single" w:sz="4" w:space="0" w:color="000000"/>
            </w:tcBorders>
          </w:tcPr>
          <w:p>
            <w:pPr>
              <w:pStyle w:val="TableParagraph"/>
              <w:spacing w:line="226" w:lineRule="exact"/>
              <w:ind w:left="3"/>
              <w:jc w:val="center"/>
              <w:rPr>
                <w:rFonts w:ascii="Times New Roman"/>
                <w:sz w:val="20"/>
              </w:rPr>
            </w:pPr>
            <w:r>
              <w:rPr>
                <w:rFonts w:ascii="Times New Roman"/>
                <w:w w:val="99"/>
                <w:sz w:val="20"/>
              </w:rPr>
              <w:t>p</w:t>
            </w:r>
          </w:p>
        </w:tc>
        <w:tc>
          <w:tcPr>
            <w:tcW w:w="1283" w:type="dxa"/>
            <w:tcBorders>
              <w:top w:val="single" w:sz="4" w:space="0" w:color="000000"/>
              <w:bottom w:val="single" w:sz="4" w:space="0" w:color="000000"/>
            </w:tcBorders>
          </w:tcPr>
          <w:p>
            <w:pPr>
              <w:pStyle w:val="TableParagraph"/>
              <w:spacing w:line="226" w:lineRule="exact"/>
              <w:ind w:left="165" w:right="166"/>
              <w:jc w:val="center"/>
              <w:rPr>
                <w:rFonts w:ascii="Times New Roman"/>
                <w:sz w:val="20"/>
              </w:rPr>
            </w:pPr>
            <w:r>
              <w:rPr>
                <w:rFonts w:ascii="Times New Roman"/>
                <w:sz w:val="20"/>
              </w:rPr>
              <w:t>Importance</w:t>
            </w:r>
          </w:p>
        </w:tc>
      </w:tr>
      <w:tr>
        <w:trPr>
          <w:trHeight w:val="400" w:hRule="exact"/>
        </w:trPr>
        <w:tc>
          <w:tcPr>
            <w:tcW w:w="2996" w:type="dxa"/>
            <w:tcBorders>
              <w:top w:val="single" w:sz="4" w:space="0" w:color="000000"/>
            </w:tcBorders>
          </w:tcPr>
          <w:p>
            <w:pPr>
              <w:pStyle w:val="TableParagraph"/>
              <w:spacing w:line="228" w:lineRule="exact"/>
              <w:ind w:left="815" w:right="343"/>
              <w:rPr>
                <w:rFonts w:ascii="Times New Roman"/>
                <w:sz w:val="20"/>
              </w:rPr>
            </w:pPr>
            <w:r>
              <w:rPr>
                <w:rFonts w:ascii="Times New Roman"/>
                <w:sz w:val="20"/>
              </w:rPr>
              <w:t>Corrected model</w:t>
            </w:r>
          </w:p>
        </w:tc>
        <w:tc>
          <w:tcPr>
            <w:tcW w:w="1316" w:type="dxa"/>
            <w:tcBorders>
              <w:top w:val="single" w:sz="4" w:space="0" w:color="000000"/>
            </w:tcBorders>
          </w:tcPr>
          <w:p>
            <w:pPr>
              <w:pStyle w:val="TableParagraph"/>
              <w:spacing w:line="228" w:lineRule="exact"/>
              <w:ind w:left="200" w:right="175"/>
              <w:jc w:val="center"/>
              <w:rPr>
                <w:rFonts w:ascii="Times New Roman"/>
                <w:sz w:val="20"/>
              </w:rPr>
            </w:pPr>
            <w:r>
              <w:rPr>
                <w:rFonts w:ascii="Times New Roman"/>
                <w:sz w:val="20"/>
              </w:rPr>
              <w:t>4183.978</w:t>
            </w:r>
          </w:p>
        </w:tc>
        <w:tc>
          <w:tcPr>
            <w:tcW w:w="720" w:type="dxa"/>
            <w:tcBorders>
              <w:top w:val="single" w:sz="4" w:space="0" w:color="000000"/>
            </w:tcBorders>
          </w:tcPr>
          <w:p>
            <w:pPr>
              <w:pStyle w:val="TableParagraph"/>
              <w:spacing w:line="228" w:lineRule="exact"/>
              <w:ind w:right="25"/>
              <w:jc w:val="center"/>
              <w:rPr>
                <w:rFonts w:ascii="Times New Roman"/>
                <w:sz w:val="20"/>
              </w:rPr>
            </w:pPr>
            <w:r>
              <w:rPr>
                <w:rFonts w:ascii="Times New Roman"/>
                <w:w w:val="99"/>
                <w:sz w:val="20"/>
              </w:rPr>
              <w:t>6</w:t>
            </w:r>
          </w:p>
        </w:tc>
        <w:tc>
          <w:tcPr>
            <w:tcW w:w="1129" w:type="dxa"/>
            <w:tcBorders>
              <w:top w:val="single" w:sz="4" w:space="0" w:color="000000"/>
            </w:tcBorders>
          </w:tcPr>
          <w:p>
            <w:pPr>
              <w:pStyle w:val="TableParagraph"/>
              <w:spacing w:line="228" w:lineRule="exact"/>
              <w:ind w:left="203" w:right="235"/>
              <w:jc w:val="center"/>
              <w:rPr>
                <w:rFonts w:ascii="Times New Roman"/>
                <w:sz w:val="20"/>
              </w:rPr>
            </w:pPr>
            <w:r>
              <w:rPr>
                <w:rFonts w:ascii="Times New Roman"/>
                <w:sz w:val="20"/>
              </w:rPr>
              <w:t>697.330</w:t>
            </w:r>
          </w:p>
        </w:tc>
        <w:tc>
          <w:tcPr>
            <w:tcW w:w="899" w:type="dxa"/>
            <w:tcBorders>
              <w:top w:val="single" w:sz="4" w:space="0" w:color="000000"/>
            </w:tcBorders>
          </w:tcPr>
          <w:p>
            <w:pPr>
              <w:pStyle w:val="TableParagraph"/>
              <w:spacing w:line="228" w:lineRule="exact"/>
              <w:ind w:left="237" w:right="171"/>
              <w:jc w:val="center"/>
              <w:rPr>
                <w:rFonts w:ascii="Times New Roman"/>
                <w:sz w:val="20"/>
              </w:rPr>
            </w:pPr>
            <w:r>
              <w:rPr>
                <w:rFonts w:ascii="Times New Roman"/>
                <w:sz w:val="20"/>
              </w:rPr>
              <w:t>6.249</w:t>
            </w:r>
          </w:p>
        </w:tc>
        <w:tc>
          <w:tcPr>
            <w:tcW w:w="727" w:type="dxa"/>
            <w:tcBorders>
              <w:top w:val="single" w:sz="4" w:space="0" w:color="000000"/>
            </w:tcBorders>
          </w:tcPr>
          <w:p>
            <w:pPr>
              <w:pStyle w:val="TableParagraph"/>
              <w:spacing w:line="228" w:lineRule="exact"/>
              <w:ind w:left="170" w:right="166"/>
              <w:jc w:val="center"/>
              <w:rPr>
                <w:rFonts w:ascii="Times New Roman"/>
                <w:sz w:val="20"/>
              </w:rPr>
            </w:pPr>
            <w:r>
              <w:rPr>
                <w:rFonts w:ascii="Times New Roman"/>
                <w:sz w:val="20"/>
              </w:rPr>
              <w:t>.000</w:t>
            </w:r>
          </w:p>
        </w:tc>
        <w:tc>
          <w:tcPr>
            <w:tcW w:w="1283" w:type="dxa"/>
            <w:tcBorders>
              <w:top w:val="single" w:sz="4" w:space="0" w:color="000000"/>
            </w:tcBorders>
          </w:tcPr>
          <w:p>
            <w:pPr/>
          </w:p>
        </w:tc>
      </w:tr>
      <w:tr>
        <w:trPr>
          <w:trHeight w:val="887" w:hRule="exact"/>
        </w:trPr>
        <w:tc>
          <w:tcPr>
            <w:tcW w:w="2996" w:type="dxa"/>
          </w:tcPr>
          <w:p>
            <w:pPr>
              <w:pStyle w:val="TableParagraph"/>
              <w:spacing w:before="145"/>
              <w:ind w:left="122" w:right="343"/>
              <w:rPr>
                <w:rFonts w:ascii="Times New Roman"/>
                <w:sz w:val="20"/>
              </w:rPr>
            </w:pPr>
            <w:r>
              <w:rPr>
                <w:rFonts w:ascii="Times New Roman"/>
                <w:sz w:val="20"/>
              </w:rPr>
              <w:t>Number of times the child is exposed to sugars during meals</w:t>
            </w:r>
          </w:p>
        </w:tc>
        <w:tc>
          <w:tcPr>
            <w:tcW w:w="1316" w:type="dxa"/>
          </w:tcPr>
          <w:p>
            <w:pPr>
              <w:pStyle w:val="TableParagraph"/>
              <w:spacing w:before="147"/>
              <w:ind w:left="200" w:right="175"/>
              <w:jc w:val="center"/>
              <w:rPr>
                <w:rFonts w:ascii="Times New Roman"/>
                <w:sz w:val="20"/>
              </w:rPr>
            </w:pPr>
            <w:r>
              <w:rPr>
                <w:rFonts w:ascii="Times New Roman"/>
                <w:sz w:val="20"/>
              </w:rPr>
              <w:t>755.949</w:t>
            </w:r>
          </w:p>
        </w:tc>
        <w:tc>
          <w:tcPr>
            <w:tcW w:w="720" w:type="dxa"/>
          </w:tcPr>
          <w:p>
            <w:pPr>
              <w:pStyle w:val="TableParagraph"/>
              <w:spacing w:before="147"/>
              <w:ind w:right="25"/>
              <w:jc w:val="center"/>
              <w:rPr>
                <w:rFonts w:ascii="Times New Roman"/>
                <w:sz w:val="20"/>
              </w:rPr>
            </w:pPr>
            <w:r>
              <w:rPr>
                <w:rFonts w:ascii="Times New Roman"/>
                <w:w w:val="99"/>
                <w:sz w:val="20"/>
              </w:rPr>
              <w:t>1</w:t>
            </w:r>
          </w:p>
        </w:tc>
        <w:tc>
          <w:tcPr>
            <w:tcW w:w="1129" w:type="dxa"/>
          </w:tcPr>
          <w:p>
            <w:pPr>
              <w:pStyle w:val="TableParagraph"/>
              <w:spacing w:before="147"/>
              <w:ind w:left="203" w:right="235"/>
              <w:jc w:val="center"/>
              <w:rPr>
                <w:rFonts w:ascii="Times New Roman"/>
                <w:sz w:val="20"/>
              </w:rPr>
            </w:pPr>
            <w:r>
              <w:rPr>
                <w:rFonts w:ascii="Times New Roman"/>
                <w:sz w:val="20"/>
              </w:rPr>
              <w:t>755.949</w:t>
            </w:r>
          </w:p>
        </w:tc>
        <w:tc>
          <w:tcPr>
            <w:tcW w:w="899" w:type="dxa"/>
          </w:tcPr>
          <w:p>
            <w:pPr>
              <w:pStyle w:val="TableParagraph"/>
              <w:spacing w:before="147"/>
              <w:ind w:left="237" w:right="171"/>
              <w:jc w:val="center"/>
              <w:rPr>
                <w:rFonts w:ascii="Times New Roman"/>
                <w:sz w:val="20"/>
              </w:rPr>
            </w:pPr>
            <w:r>
              <w:rPr>
                <w:rFonts w:ascii="Times New Roman"/>
                <w:sz w:val="20"/>
              </w:rPr>
              <w:t>6.774</w:t>
            </w:r>
          </w:p>
        </w:tc>
        <w:tc>
          <w:tcPr>
            <w:tcW w:w="727" w:type="dxa"/>
          </w:tcPr>
          <w:p>
            <w:pPr>
              <w:pStyle w:val="TableParagraph"/>
              <w:spacing w:before="147"/>
              <w:ind w:left="170" w:right="166"/>
              <w:jc w:val="center"/>
              <w:rPr>
                <w:rFonts w:ascii="Times New Roman"/>
                <w:sz w:val="20"/>
              </w:rPr>
            </w:pPr>
            <w:r>
              <w:rPr>
                <w:rFonts w:ascii="Times New Roman"/>
                <w:sz w:val="20"/>
              </w:rPr>
              <w:t>.010</w:t>
            </w:r>
          </w:p>
        </w:tc>
        <w:tc>
          <w:tcPr>
            <w:tcW w:w="1283" w:type="dxa"/>
          </w:tcPr>
          <w:p>
            <w:pPr>
              <w:pStyle w:val="TableParagraph"/>
              <w:spacing w:before="147"/>
              <w:ind w:left="165" w:right="165"/>
              <w:jc w:val="center"/>
              <w:rPr>
                <w:rFonts w:ascii="Times New Roman"/>
                <w:sz w:val="20"/>
              </w:rPr>
            </w:pPr>
            <w:r>
              <w:rPr>
                <w:rFonts w:ascii="Times New Roman"/>
                <w:sz w:val="20"/>
              </w:rPr>
              <w:t>0.254</w:t>
            </w:r>
          </w:p>
        </w:tc>
      </w:tr>
      <w:tr>
        <w:trPr>
          <w:trHeight w:val="776" w:hRule="exact"/>
        </w:trPr>
        <w:tc>
          <w:tcPr>
            <w:tcW w:w="2996" w:type="dxa"/>
          </w:tcPr>
          <w:p>
            <w:pPr>
              <w:pStyle w:val="TableParagraph"/>
              <w:spacing w:before="8"/>
              <w:rPr>
                <w:rFonts w:ascii="Times New Roman"/>
                <w:sz w:val="22"/>
              </w:rPr>
            </w:pPr>
          </w:p>
          <w:p>
            <w:pPr>
              <w:pStyle w:val="TableParagraph"/>
              <w:ind w:left="122" w:right="199"/>
              <w:rPr>
                <w:rFonts w:ascii="Times New Roman" w:hAnsi="Times New Roman"/>
                <w:sz w:val="20"/>
              </w:rPr>
            </w:pPr>
            <w:r>
              <w:rPr>
                <w:rFonts w:ascii="Times New Roman" w:hAnsi="Times New Roman"/>
                <w:sz w:val="20"/>
              </w:rPr>
              <w:t>Primary caregiver’s educational level</w:t>
            </w:r>
          </w:p>
        </w:tc>
        <w:tc>
          <w:tcPr>
            <w:tcW w:w="1316" w:type="dxa"/>
          </w:tcPr>
          <w:p>
            <w:pPr>
              <w:pStyle w:val="TableParagraph"/>
              <w:spacing w:before="11"/>
              <w:rPr>
                <w:rFonts w:ascii="Times New Roman"/>
                <w:sz w:val="22"/>
              </w:rPr>
            </w:pPr>
          </w:p>
          <w:p>
            <w:pPr>
              <w:pStyle w:val="TableParagraph"/>
              <w:ind w:left="200" w:right="175"/>
              <w:jc w:val="center"/>
              <w:rPr>
                <w:rFonts w:ascii="Times New Roman"/>
                <w:sz w:val="20"/>
              </w:rPr>
            </w:pPr>
            <w:r>
              <w:rPr>
                <w:rFonts w:ascii="Times New Roman"/>
                <w:sz w:val="20"/>
              </w:rPr>
              <w:t>547.913</w:t>
            </w:r>
          </w:p>
        </w:tc>
        <w:tc>
          <w:tcPr>
            <w:tcW w:w="720" w:type="dxa"/>
          </w:tcPr>
          <w:p>
            <w:pPr>
              <w:pStyle w:val="TableParagraph"/>
              <w:spacing w:before="11"/>
              <w:rPr>
                <w:rFonts w:ascii="Times New Roman"/>
                <w:sz w:val="22"/>
              </w:rPr>
            </w:pPr>
          </w:p>
          <w:p>
            <w:pPr>
              <w:pStyle w:val="TableParagraph"/>
              <w:ind w:right="25"/>
              <w:jc w:val="center"/>
              <w:rPr>
                <w:rFonts w:ascii="Times New Roman"/>
                <w:sz w:val="20"/>
              </w:rPr>
            </w:pPr>
            <w:r>
              <w:rPr>
                <w:rFonts w:ascii="Times New Roman"/>
                <w:w w:val="99"/>
                <w:sz w:val="20"/>
              </w:rPr>
              <w:t>1</w:t>
            </w:r>
          </w:p>
        </w:tc>
        <w:tc>
          <w:tcPr>
            <w:tcW w:w="1129" w:type="dxa"/>
          </w:tcPr>
          <w:p>
            <w:pPr>
              <w:pStyle w:val="TableParagraph"/>
              <w:spacing w:before="11"/>
              <w:rPr>
                <w:rFonts w:ascii="Times New Roman"/>
                <w:sz w:val="22"/>
              </w:rPr>
            </w:pPr>
          </w:p>
          <w:p>
            <w:pPr>
              <w:pStyle w:val="TableParagraph"/>
              <w:ind w:left="203" w:right="235"/>
              <w:jc w:val="center"/>
              <w:rPr>
                <w:rFonts w:ascii="Times New Roman"/>
                <w:sz w:val="20"/>
              </w:rPr>
            </w:pPr>
            <w:r>
              <w:rPr>
                <w:rFonts w:ascii="Times New Roman"/>
                <w:sz w:val="20"/>
              </w:rPr>
              <w:t>547.913</w:t>
            </w:r>
          </w:p>
        </w:tc>
        <w:tc>
          <w:tcPr>
            <w:tcW w:w="899" w:type="dxa"/>
          </w:tcPr>
          <w:p>
            <w:pPr>
              <w:pStyle w:val="TableParagraph"/>
              <w:spacing w:before="11"/>
              <w:rPr>
                <w:rFonts w:ascii="Times New Roman"/>
                <w:sz w:val="22"/>
              </w:rPr>
            </w:pPr>
          </w:p>
          <w:p>
            <w:pPr>
              <w:pStyle w:val="TableParagraph"/>
              <w:ind w:left="237" w:right="171"/>
              <w:jc w:val="center"/>
              <w:rPr>
                <w:rFonts w:ascii="Times New Roman"/>
                <w:sz w:val="20"/>
              </w:rPr>
            </w:pPr>
            <w:r>
              <w:rPr>
                <w:rFonts w:ascii="Times New Roman"/>
                <w:sz w:val="20"/>
              </w:rPr>
              <w:t>4.910</w:t>
            </w:r>
          </w:p>
        </w:tc>
        <w:tc>
          <w:tcPr>
            <w:tcW w:w="727" w:type="dxa"/>
          </w:tcPr>
          <w:p>
            <w:pPr>
              <w:pStyle w:val="TableParagraph"/>
              <w:spacing w:before="11"/>
              <w:rPr>
                <w:rFonts w:ascii="Times New Roman"/>
                <w:sz w:val="22"/>
              </w:rPr>
            </w:pPr>
          </w:p>
          <w:p>
            <w:pPr>
              <w:pStyle w:val="TableParagraph"/>
              <w:ind w:left="170" w:right="166"/>
              <w:jc w:val="center"/>
              <w:rPr>
                <w:rFonts w:ascii="Times New Roman"/>
                <w:sz w:val="20"/>
              </w:rPr>
            </w:pPr>
            <w:r>
              <w:rPr>
                <w:rFonts w:ascii="Times New Roman"/>
                <w:sz w:val="20"/>
              </w:rPr>
              <w:t>.029</w:t>
            </w:r>
          </w:p>
        </w:tc>
        <w:tc>
          <w:tcPr>
            <w:tcW w:w="1283" w:type="dxa"/>
          </w:tcPr>
          <w:p>
            <w:pPr>
              <w:pStyle w:val="TableParagraph"/>
              <w:spacing w:before="11"/>
              <w:rPr>
                <w:rFonts w:ascii="Times New Roman"/>
                <w:sz w:val="22"/>
              </w:rPr>
            </w:pPr>
          </w:p>
          <w:p>
            <w:pPr>
              <w:pStyle w:val="TableParagraph"/>
              <w:ind w:left="165" w:right="165"/>
              <w:jc w:val="center"/>
              <w:rPr>
                <w:rFonts w:ascii="Times New Roman"/>
                <w:sz w:val="20"/>
              </w:rPr>
            </w:pPr>
            <w:r>
              <w:rPr>
                <w:rFonts w:ascii="Times New Roman"/>
                <w:sz w:val="20"/>
              </w:rPr>
              <w:t>0.184</w:t>
            </w:r>
          </w:p>
        </w:tc>
      </w:tr>
      <w:tr>
        <w:trPr>
          <w:trHeight w:val="430" w:hRule="exact"/>
        </w:trPr>
        <w:tc>
          <w:tcPr>
            <w:tcW w:w="2996" w:type="dxa"/>
          </w:tcPr>
          <w:p>
            <w:pPr>
              <w:pStyle w:val="TableParagraph"/>
              <w:spacing w:before="32"/>
              <w:ind w:left="122" w:right="343"/>
              <w:rPr>
                <w:rFonts w:ascii="Times New Roman"/>
                <w:i/>
                <w:sz w:val="20"/>
              </w:rPr>
            </w:pPr>
            <w:r>
              <w:rPr>
                <w:rFonts w:ascii="Times New Roman"/>
                <w:sz w:val="20"/>
              </w:rPr>
              <w:t>Presence of </w:t>
            </w:r>
            <w:r>
              <w:rPr>
                <w:rFonts w:ascii="Times New Roman"/>
                <w:i/>
                <w:sz w:val="20"/>
              </w:rPr>
              <w:t>materia alba</w:t>
            </w:r>
          </w:p>
        </w:tc>
        <w:tc>
          <w:tcPr>
            <w:tcW w:w="1316" w:type="dxa"/>
          </w:tcPr>
          <w:p>
            <w:pPr>
              <w:pStyle w:val="TableParagraph"/>
              <w:spacing w:before="32"/>
              <w:ind w:left="200" w:right="175"/>
              <w:jc w:val="center"/>
              <w:rPr>
                <w:rFonts w:ascii="Times New Roman"/>
                <w:sz w:val="20"/>
              </w:rPr>
            </w:pPr>
            <w:r>
              <w:rPr>
                <w:rFonts w:ascii="Times New Roman"/>
                <w:sz w:val="20"/>
              </w:rPr>
              <w:t>491.358</w:t>
            </w:r>
          </w:p>
        </w:tc>
        <w:tc>
          <w:tcPr>
            <w:tcW w:w="720" w:type="dxa"/>
          </w:tcPr>
          <w:p>
            <w:pPr>
              <w:pStyle w:val="TableParagraph"/>
              <w:spacing w:before="32"/>
              <w:ind w:right="25"/>
              <w:jc w:val="center"/>
              <w:rPr>
                <w:rFonts w:ascii="Times New Roman"/>
                <w:sz w:val="20"/>
              </w:rPr>
            </w:pPr>
            <w:r>
              <w:rPr>
                <w:rFonts w:ascii="Times New Roman"/>
                <w:w w:val="99"/>
                <w:sz w:val="20"/>
              </w:rPr>
              <w:t>1</w:t>
            </w:r>
          </w:p>
        </w:tc>
        <w:tc>
          <w:tcPr>
            <w:tcW w:w="1129" w:type="dxa"/>
          </w:tcPr>
          <w:p>
            <w:pPr>
              <w:pStyle w:val="TableParagraph"/>
              <w:spacing w:before="32"/>
              <w:ind w:left="203" w:right="235"/>
              <w:jc w:val="center"/>
              <w:rPr>
                <w:rFonts w:ascii="Times New Roman"/>
                <w:sz w:val="20"/>
              </w:rPr>
            </w:pPr>
            <w:r>
              <w:rPr>
                <w:rFonts w:ascii="Times New Roman"/>
                <w:sz w:val="20"/>
              </w:rPr>
              <w:t>491.358</w:t>
            </w:r>
          </w:p>
        </w:tc>
        <w:tc>
          <w:tcPr>
            <w:tcW w:w="899" w:type="dxa"/>
          </w:tcPr>
          <w:p>
            <w:pPr>
              <w:pStyle w:val="TableParagraph"/>
              <w:spacing w:before="32"/>
              <w:ind w:left="237" w:right="171"/>
              <w:jc w:val="center"/>
              <w:rPr>
                <w:rFonts w:ascii="Times New Roman"/>
                <w:sz w:val="20"/>
              </w:rPr>
            </w:pPr>
            <w:r>
              <w:rPr>
                <w:rFonts w:ascii="Times New Roman"/>
                <w:sz w:val="20"/>
              </w:rPr>
              <w:t>4.403</w:t>
            </w:r>
          </w:p>
        </w:tc>
        <w:tc>
          <w:tcPr>
            <w:tcW w:w="727" w:type="dxa"/>
          </w:tcPr>
          <w:p>
            <w:pPr>
              <w:pStyle w:val="TableParagraph"/>
              <w:spacing w:before="32"/>
              <w:ind w:left="170" w:right="166"/>
              <w:jc w:val="center"/>
              <w:rPr>
                <w:rFonts w:ascii="Times New Roman"/>
                <w:sz w:val="20"/>
              </w:rPr>
            </w:pPr>
            <w:r>
              <w:rPr>
                <w:rFonts w:ascii="Times New Roman"/>
                <w:sz w:val="20"/>
              </w:rPr>
              <w:t>.038</w:t>
            </w:r>
          </w:p>
        </w:tc>
        <w:tc>
          <w:tcPr>
            <w:tcW w:w="1283" w:type="dxa"/>
          </w:tcPr>
          <w:p>
            <w:pPr>
              <w:pStyle w:val="TableParagraph"/>
              <w:spacing w:before="32"/>
              <w:ind w:left="165" w:right="165"/>
              <w:jc w:val="center"/>
              <w:rPr>
                <w:rFonts w:ascii="Times New Roman"/>
                <w:sz w:val="20"/>
              </w:rPr>
            </w:pPr>
            <w:r>
              <w:rPr>
                <w:rFonts w:ascii="Times New Roman"/>
                <w:sz w:val="20"/>
              </w:rPr>
              <w:t>0.165</w:t>
            </w:r>
          </w:p>
        </w:tc>
      </w:tr>
      <w:tr>
        <w:trPr>
          <w:trHeight w:val="750" w:hRule="exact"/>
        </w:trPr>
        <w:tc>
          <w:tcPr>
            <w:tcW w:w="2996" w:type="dxa"/>
          </w:tcPr>
          <w:p>
            <w:pPr>
              <w:pStyle w:val="TableParagraph"/>
              <w:spacing w:before="145"/>
              <w:ind w:left="122" w:right="343"/>
              <w:rPr>
                <w:rFonts w:ascii="Times New Roman"/>
                <w:sz w:val="20"/>
              </w:rPr>
            </w:pPr>
            <w:r>
              <w:rPr>
                <w:rFonts w:ascii="Times New Roman"/>
                <w:sz w:val="20"/>
              </w:rPr>
              <w:t>Addition of sugar/honey in the bottle</w:t>
            </w:r>
          </w:p>
        </w:tc>
        <w:tc>
          <w:tcPr>
            <w:tcW w:w="1316" w:type="dxa"/>
          </w:tcPr>
          <w:p>
            <w:pPr>
              <w:pStyle w:val="TableParagraph"/>
              <w:spacing w:before="147"/>
              <w:ind w:left="200" w:right="175"/>
              <w:jc w:val="center"/>
              <w:rPr>
                <w:rFonts w:ascii="Times New Roman"/>
                <w:sz w:val="20"/>
              </w:rPr>
            </w:pPr>
            <w:r>
              <w:rPr>
                <w:rFonts w:ascii="Times New Roman"/>
                <w:sz w:val="20"/>
              </w:rPr>
              <w:t>490.263</w:t>
            </w:r>
          </w:p>
        </w:tc>
        <w:tc>
          <w:tcPr>
            <w:tcW w:w="720" w:type="dxa"/>
          </w:tcPr>
          <w:p>
            <w:pPr>
              <w:pStyle w:val="TableParagraph"/>
              <w:spacing w:before="147"/>
              <w:ind w:right="25"/>
              <w:jc w:val="center"/>
              <w:rPr>
                <w:rFonts w:ascii="Times New Roman"/>
                <w:sz w:val="20"/>
              </w:rPr>
            </w:pPr>
            <w:r>
              <w:rPr>
                <w:rFonts w:ascii="Times New Roman"/>
                <w:w w:val="99"/>
                <w:sz w:val="20"/>
              </w:rPr>
              <w:t>1</w:t>
            </w:r>
          </w:p>
        </w:tc>
        <w:tc>
          <w:tcPr>
            <w:tcW w:w="1129" w:type="dxa"/>
          </w:tcPr>
          <w:p>
            <w:pPr>
              <w:pStyle w:val="TableParagraph"/>
              <w:spacing w:before="147"/>
              <w:ind w:left="203" w:right="235"/>
              <w:jc w:val="center"/>
              <w:rPr>
                <w:rFonts w:ascii="Times New Roman"/>
                <w:sz w:val="20"/>
              </w:rPr>
            </w:pPr>
            <w:r>
              <w:rPr>
                <w:rFonts w:ascii="Times New Roman"/>
                <w:sz w:val="20"/>
              </w:rPr>
              <w:t>490.263</w:t>
            </w:r>
          </w:p>
        </w:tc>
        <w:tc>
          <w:tcPr>
            <w:tcW w:w="899" w:type="dxa"/>
          </w:tcPr>
          <w:p>
            <w:pPr>
              <w:pStyle w:val="TableParagraph"/>
              <w:spacing w:before="147"/>
              <w:ind w:left="237" w:right="171"/>
              <w:jc w:val="center"/>
              <w:rPr>
                <w:rFonts w:ascii="Times New Roman"/>
                <w:sz w:val="20"/>
              </w:rPr>
            </w:pPr>
            <w:r>
              <w:rPr>
                <w:rFonts w:ascii="Times New Roman"/>
                <w:sz w:val="20"/>
              </w:rPr>
              <w:t>4.393</w:t>
            </w:r>
          </w:p>
        </w:tc>
        <w:tc>
          <w:tcPr>
            <w:tcW w:w="727" w:type="dxa"/>
          </w:tcPr>
          <w:p>
            <w:pPr>
              <w:pStyle w:val="TableParagraph"/>
              <w:spacing w:before="147"/>
              <w:ind w:left="170" w:right="166"/>
              <w:jc w:val="center"/>
              <w:rPr>
                <w:rFonts w:ascii="Times New Roman"/>
                <w:sz w:val="20"/>
              </w:rPr>
            </w:pPr>
            <w:r>
              <w:rPr>
                <w:rFonts w:ascii="Times New Roman"/>
                <w:sz w:val="20"/>
              </w:rPr>
              <w:t>.038</w:t>
            </w:r>
          </w:p>
        </w:tc>
        <w:tc>
          <w:tcPr>
            <w:tcW w:w="1283" w:type="dxa"/>
          </w:tcPr>
          <w:p>
            <w:pPr>
              <w:pStyle w:val="TableParagraph"/>
              <w:spacing w:before="147"/>
              <w:ind w:left="165" w:right="165"/>
              <w:jc w:val="center"/>
              <w:rPr>
                <w:rFonts w:ascii="Times New Roman"/>
                <w:sz w:val="20"/>
              </w:rPr>
            </w:pPr>
            <w:r>
              <w:rPr>
                <w:rFonts w:ascii="Times New Roman"/>
                <w:sz w:val="20"/>
              </w:rPr>
              <w:t>0.165</w:t>
            </w:r>
          </w:p>
        </w:tc>
      </w:tr>
      <w:tr>
        <w:trPr>
          <w:trHeight w:val="636" w:hRule="exact"/>
        </w:trPr>
        <w:tc>
          <w:tcPr>
            <w:tcW w:w="2996" w:type="dxa"/>
          </w:tcPr>
          <w:p>
            <w:pPr>
              <w:pStyle w:val="TableParagraph"/>
              <w:spacing w:before="122"/>
              <w:ind w:left="122" w:right="199"/>
              <w:rPr>
                <w:rFonts w:ascii="Times New Roman"/>
                <w:sz w:val="20"/>
              </w:rPr>
            </w:pPr>
            <w:r>
              <w:rPr>
                <w:rFonts w:ascii="Times New Roman"/>
                <w:sz w:val="20"/>
              </w:rPr>
              <w:t>Number of times the child is exposed to sugars between meals</w:t>
            </w:r>
          </w:p>
        </w:tc>
        <w:tc>
          <w:tcPr>
            <w:tcW w:w="1316" w:type="dxa"/>
          </w:tcPr>
          <w:p>
            <w:pPr>
              <w:pStyle w:val="TableParagraph"/>
              <w:spacing w:before="125"/>
              <w:ind w:left="200" w:right="175"/>
              <w:jc w:val="center"/>
              <w:rPr>
                <w:rFonts w:ascii="Times New Roman"/>
                <w:sz w:val="20"/>
              </w:rPr>
            </w:pPr>
            <w:r>
              <w:rPr>
                <w:rFonts w:ascii="Times New Roman"/>
                <w:sz w:val="20"/>
              </w:rPr>
              <w:t>447.602</w:t>
            </w:r>
          </w:p>
        </w:tc>
        <w:tc>
          <w:tcPr>
            <w:tcW w:w="720" w:type="dxa"/>
          </w:tcPr>
          <w:p>
            <w:pPr>
              <w:pStyle w:val="TableParagraph"/>
              <w:spacing w:before="125"/>
              <w:ind w:right="25"/>
              <w:jc w:val="center"/>
              <w:rPr>
                <w:rFonts w:ascii="Times New Roman"/>
                <w:sz w:val="20"/>
              </w:rPr>
            </w:pPr>
            <w:r>
              <w:rPr>
                <w:rFonts w:ascii="Times New Roman"/>
                <w:w w:val="99"/>
                <w:sz w:val="20"/>
              </w:rPr>
              <w:t>1</w:t>
            </w:r>
          </w:p>
        </w:tc>
        <w:tc>
          <w:tcPr>
            <w:tcW w:w="1129" w:type="dxa"/>
          </w:tcPr>
          <w:p>
            <w:pPr>
              <w:pStyle w:val="TableParagraph"/>
              <w:spacing w:before="125"/>
              <w:ind w:left="203" w:right="235"/>
              <w:jc w:val="center"/>
              <w:rPr>
                <w:rFonts w:ascii="Times New Roman"/>
                <w:sz w:val="20"/>
              </w:rPr>
            </w:pPr>
            <w:r>
              <w:rPr>
                <w:rFonts w:ascii="Times New Roman"/>
                <w:sz w:val="20"/>
              </w:rPr>
              <w:t>447.602</w:t>
            </w:r>
          </w:p>
        </w:tc>
        <w:tc>
          <w:tcPr>
            <w:tcW w:w="899" w:type="dxa"/>
          </w:tcPr>
          <w:p>
            <w:pPr>
              <w:pStyle w:val="TableParagraph"/>
              <w:spacing w:before="125"/>
              <w:ind w:left="237" w:right="171"/>
              <w:jc w:val="center"/>
              <w:rPr>
                <w:rFonts w:ascii="Times New Roman"/>
                <w:sz w:val="20"/>
              </w:rPr>
            </w:pPr>
            <w:r>
              <w:rPr>
                <w:rFonts w:ascii="Times New Roman"/>
                <w:sz w:val="20"/>
              </w:rPr>
              <w:t>4.011</w:t>
            </w:r>
          </w:p>
        </w:tc>
        <w:tc>
          <w:tcPr>
            <w:tcW w:w="727" w:type="dxa"/>
          </w:tcPr>
          <w:p>
            <w:pPr>
              <w:pStyle w:val="TableParagraph"/>
              <w:spacing w:before="125"/>
              <w:ind w:left="170" w:right="166"/>
              <w:jc w:val="center"/>
              <w:rPr>
                <w:rFonts w:ascii="Times New Roman"/>
                <w:sz w:val="20"/>
              </w:rPr>
            </w:pPr>
            <w:r>
              <w:rPr>
                <w:rFonts w:ascii="Times New Roman"/>
                <w:sz w:val="20"/>
              </w:rPr>
              <w:t>.047</w:t>
            </w:r>
          </w:p>
        </w:tc>
        <w:tc>
          <w:tcPr>
            <w:tcW w:w="1283" w:type="dxa"/>
          </w:tcPr>
          <w:p>
            <w:pPr>
              <w:pStyle w:val="TableParagraph"/>
              <w:spacing w:before="125"/>
              <w:ind w:left="165" w:right="165"/>
              <w:jc w:val="center"/>
              <w:rPr>
                <w:rFonts w:ascii="Times New Roman"/>
                <w:sz w:val="20"/>
              </w:rPr>
            </w:pPr>
            <w:r>
              <w:rPr>
                <w:rFonts w:ascii="Times New Roman"/>
                <w:sz w:val="20"/>
              </w:rPr>
              <w:t>0.151</w:t>
            </w:r>
          </w:p>
        </w:tc>
      </w:tr>
      <w:tr>
        <w:trPr>
          <w:trHeight w:val="432" w:hRule="exact"/>
        </w:trPr>
        <w:tc>
          <w:tcPr>
            <w:tcW w:w="2996" w:type="dxa"/>
          </w:tcPr>
          <w:p>
            <w:pPr>
              <w:pStyle w:val="TableParagraph"/>
              <w:spacing w:before="33"/>
              <w:ind w:left="122" w:right="343"/>
              <w:rPr>
                <w:rFonts w:ascii="Times New Roman"/>
                <w:sz w:val="20"/>
              </w:rPr>
            </w:pPr>
            <w:r>
              <w:rPr>
                <w:rFonts w:ascii="Times New Roman"/>
                <w:sz w:val="20"/>
              </w:rPr>
              <w:t>Length of bottle feeding</w:t>
            </w:r>
          </w:p>
        </w:tc>
        <w:tc>
          <w:tcPr>
            <w:tcW w:w="1316" w:type="dxa"/>
          </w:tcPr>
          <w:p>
            <w:pPr>
              <w:pStyle w:val="TableParagraph"/>
              <w:spacing w:before="33"/>
              <w:ind w:left="200" w:right="175"/>
              <w:jc w:val="center"/>
              <w:rPr>
                <w:rFonts w:ascii="Times New Roman"/>
                <w:sz w:val="20"/>
              </w:rPr>
            </w:pPr>
            <w:r>
              <w:rPr>
                <w:rFonts w:ascii="Times New Roman"/>
                <w:sz w:val="20"/>
              </w:rPr>
              <w:t>239.465</w:t>
            </w:r>
          </w:p>
        </w:tc>
        <w:tc>
          <w:tcPr>
            <w:tcW w:w="720" w:type="dxa"/>
          </w:tcPr>
          <w:p>
            <w:pPr>
              <w:pStyle w:val="TableParagraph"/>
              <w:spacing w:before="33"/>
              <w:ind w:right="25"/>
              <w:jc w:val="center"/>
              <w:rPr>
                <w:rFonts w:ascii="Times New Roman"/>
                <w:sz w:val="20"/>
              </w:rPr>
            </w:pPr>
            <w:r>
              <w:rPr>
                <w:rFonts w:ascii="Times New Roman"/>
                <w:w w:val="99"/>
                <w:sz w:val="20"/>
              </w:rPr>
              <w:t>1</w:t>
            </w:r>
          </w:p>
        </w:tc>
        <w:tc>
          <w:tcPr>
            <w:tcW w:w="1129" w:type="dxa"/>
          </w:tcPr>
          <w:p>
            <w:pPr>
              <w:pStyle w:val="TableParagraph"/>
              <w:spacing w:before="33"/>
              <w:ind w:left="203" w:right="235"/>
              <w:jc w:val="center"/>
              <w:rPr>
                <w:rFonts w:ascii="Times New Roman"/>
                <w:sz w:val="20"/>
              </w:rPr>
            </w:pPr>
            <w:r>
              <w:rPr>
                <w:rFonts w:ascii="Times New Roman"/>
                <w:sz w:val="20"/>
              </w:rPr>
              <w:t>239.465</w:t>
            </w:r>
          </w:p>
        </w:tc>
        <w:tc>
          <w:tcPr>
            <w:tcW w:w="899" w:type="dxa"/>
          </w:tcPr>
          <w:p>
            <w:pPr>
              <w:pStyle w:val="TableParagraph"/>
              <w:spacing w:before="33"/>
              <w:ind w:left="237" w:right="171"/>
              <w:jc w:val="center"/>
              <w:rPr>
                <w:rFonts w:ascii="Times New Roman"/>
                <w:sz w:val="20"/>
              </w:rPr>
            </w:pPr>
            <w:r>
              <w:rPr>
                <w:rFonts w:ascii="Times New Roman"/>
                <w:sz w:val="20"/>
              </w:rPr>
              <w:t>2.146</w:t>
            </w:r>
          </w:p>
        </w:tc>
        <w:tc>
          <w:tcPr>
            <w:tcW w:w="727" w:type="dxa"/>
          </w:tcPr>
          <w:p>
            <w:pPr>
              <w:pStyle w:val="TableParagraph"/>
              <w:spacing w:before="33"/>
              <w:ind w:left="170" w:right="166"/>
              <w:jc w:val="center"/>
              <w:rPr>
                <w:rFonts w:ascii="Times New Roman"/>
                <w:sz w:val="20"/>
              </w:rPr>
            </w:pPr>
            <w:r>
              <w:rPr>
                <w:rFonts w:ascii="Times New Roman"/>
                <w:sz w:val="20"/>
              </w:rPr>
              <w:t>.145</w:t>
            </w:r>
          </w:p>
        </w:tc>
        <w:tc>
          <w:tcPr>
            <w:tcW w:w="1283" w:type="dxa"/>
          </w:tcPr>
          <w:p>
            <w:pPr>
              <w:pStyle w:val="TableParagraph"/>
              <w:spacing w:before="33"/>
              <w:ind w:left="165" w:right="165"/>
              <w:jc w:val="center"/>
              <w:rPr>
                <w:rFonts w:ascii="Times New Roman"/>
                <w:sz w:val="20"/>
              </w:rPr>
            </w:pPr>
            <w:r>
              <w:rPr>
                <w:rFonts w:ascii="Times New Roman"/>
                <w:sz w:val="20"/>
              </w:rPr>
              <w:t>0.081</w:t>
            </w:r>
          </w:p>
        </w:tc>
      </w:tr>
      <w:tr>
        <w:trPr>
          <w:trHeight w:val="545" w:hRule="exact"/>
        </w:trPr>
        <w:tc>
          <w:tcPr>
            <w:tcW w:w="2996" w:type="dxa"/>
          </w:tcPr>
          <w:p>
            <w:pPr>
              <w:pStyle w:val="TableParagraph"/>
              <w:spacing w:before="146"/>
              <w:ind w:left="122" w:right="343"/>
              <w:rPr>
                <w:rFonts w:ascii="Times New Roman"/>
                <w:sz w:val="20"/>
              </w:rPr>
            </w:pPr>
            <w:r>
              <w:rPr>
                <w:rFonts w:ascii="Times New Roman"/>
                <w:sz w:val="20"/>
              </w:rPr>
              <w:t>Residual</w:t>
            </w:r>
          </w:p>
        </w:tc>
        <w:tc>
          <w:tcPr>
            <w:tcW w:w="1316" w:type="dxa"/>
          </w:tcPr>
          <w:p>
            <w:pPr>
              <w:pStyle w:val="TableParagraph"/>
              <w:spacing w:before="146"/>
              <w:ind w:left="200" w:right="176"/>
              <w:jc w:val="center"/>
              <w:rPr>
                <w:rFonts w:ascii="Times New Roman"/>
                <w:sz w:val="20"/>
              </w:rPr>
            </w:pPr>
            <w:r>
              <w:rPr>
                <w:rFonts w:ascii="Times New Roman"/>
                <w:sz w:val="20"/>
              </w:rPr>
              <w:t>13,837.342</w:t>
            </w:r>
          </w:p>
        </w:tc>
        <w:tc>
          <w:tcPr>
            <w:tcW w:w="720" w:type="dxa"/>
          </w:tcPr>
          <w:p>
            <w:pPr>
              <w:pStyle w:val="TableParagraph"/>
              <w:spacing w:before="146"/>
              <w:ind w:left="178" w:right="202"/>
              <w:jc w:val="center"/>
              <w:rPr>
                <w:rFonts w:ascii="Times New Roman"/>
                <w:sz w:val="20"/>
              </w:rPr>
            </w:pPr>
            <w:r>
              <w:rPr>
                <w:rFonts w:ascii="Times New Roman"/>
                <w:sz w:val="20"/>
              </w:rPr>
              <w:t>124</w:t>
            </w:r>
          </w:p>
        </w:tc>
        <w:tc>
          <w:tcPr>
            <w:tcW w:w="1129" w:type="dxa"/>
          </w:tcPr>
          <w:p>
            <w:pPr>
              <w:pStyle w:val="TableParagraph"/>
              <w:spacing w:before="146"/>
              <w:ind w:left="203" w:right="235"/>
              <w:jc w:val="center"/>
              <w:rPr>
                <w:rFonts w:ascii="Times New Roman"/>
                <w:sz w:val="20"/>
              </w:rPr>
            </w:pPr>
            <w:r>
              <w:rPr>
                <w:rFonts w:ascii="Times New Roman"/>
                <w:sz w:val="20"/>
              </w:rPr>
              <w:t>111.591</w:t>
            </w:r>
          </w:p>
        </w:tc>
        <w:tc>
          <w:tcPr>
            <w:tcW w:w="899" w:type="dxa"/>
          </w:tcPr>
          <w:p>
            <w:pPr/>
          </w:p>
        </w:tc>
        <w:tc>
          <w:tcPr>
            <w:tcW w:w="727" w:type="dxa"/>
          </w:tcPr>
          <w:p>
            <w:pPr/>
          </w:p>
        </w:tc>
        <w:tc>
          <w:tcPr>
            <w:tcW w:w="1283" w:type="dxa"/>
          </w:tcPr>
          <w:p>
            <w:pPr/>
          </w:p>
        </w:tc>
      </w:tr>
      <w:tr>
        <w:trPr>
          <w:trHeight w:val="700" w:hRule="exact"/>
        </w:trPr>
        <w:tc>
          <w:tcPr>
            <w:tcW w:w="2996" w:type="dxa"/>
            <w:tcBorders>
              <w:bottom w:val="single" w:sz="4" w:space="0" w:color="000000"/>
            </w:tcBorders>
          </w:tcPr>
          <w:p>
            <w:pPr>
              <w:pStyle w:val="TableParagraph"/>
              <w:spacing w:before="146"/>
              <w:ind w:left="122" w:right="343"/>
              <w:rPr>
                <w:rFonts w:ascii="Times New Roman"/>
                <w:sz w:val="20"/>
              </w:rPr>
            </w:pPr>
            <w:r>
              <w:rPr>
                <w:rFonts w:ascii="Times New Roman"/>
                <w:sz w:val="20"/>
              </w:rPr>
              <w:t>Total</w:t>
            </w:r>
          </w:p>
        </w:tc>
        <w:tc>
          <w:tcPr>
            <w:tcW w:w="1316" w:type="dxa"/>
            <w:tcBorders>
              <w:bottom w:val="single" w:sz="4" w:space="0" w:color="000000"/>
            </w:tcBorders>
          </w:tcPr>
          <w:p>
            <w:pPr>
              <w:pStyle w:val="TableParagraph"/>
              <w:spacing w:before="146"/>
              <w:ind w:left="200" w:right="176"/>
              <w:jc w:val="center"/>
              <w:rPr>
                <w:rFonts w:ascii="Times New Roman"/>
                <w:sz w:val="20"/>
              </w:rPr>
            </w:pPr>
            <w:r>
              <w:rPr>
                <w:rFonts w:ascii="Times New Roman"/>
                <w:sz w:val="20"/>
              </w:rPr>
              <w:t>18.021.320</w:t>
            </w:r>
          </w:p>
        </w:tc>
        <w:tc>
          <w:tcPr>
            <w:tcW w:w="720" w:type="dxa"/>
            <w:tcBorders>
              <w:bottom w:val="single" w:sz="4" w:space="0" w:color="000000"/>
            </w:tcBorders>
          </w:tcPr>
          <w:p>
            <w:pPr>
              <w:pStyle w:val="TableParagraph"/>
              <w:spacing w:before="146"/>
              <w:ind w:left="178" w:right="202"/>
              <w:jc w:val="center"/>
              <w:rPr>
                <w:rFonts w:ascii="Times New Roman"/>
                <w:sz w:val="20"/>
              </w:rPr>
            </w:pPr>
            <w:r>
              <w:rPr>
                <w:rFonts w:ascii="Times New Roman"/>
                <w:sz w:val="20"/>
              </w:rPr>
              <w:t>130</w:t>
            </w:r>
          </w:p>
        </w:tc>
        <w:tc>
          <w:tcPr>
            <w:tcW w:w="1129" w:type="dxa"/>
            <w:tcBorders>
              <w:bottom w:val="single" w:sz="4" w:space="0" w:color="000000"/>
            </w:tcBorders>
          </w:tcPr>
          <w:p>
            <w:pPr/>
          </w:p>
        </w:tc>
        <w:tc>
          <w:tcPr>
            <w:tcW w:w="899" w:type="dxa"/>
            <w:tcBorders>
              <w:bottom w:val="single" w:sz="4" w:space="0" w:color="000000"/>
            </w:tcBorders>
          </w:tcPr>
          <w:p>
            <w:pPr/>
          </w:p>
        </w:tc>
        <w:tc>
          <w:tcPr>
            <w:tcW w:w="727" w:type="dxa"/>
            <w:tcBorders>
              <w:bottom w:val="single" w:sz="4" w:space="0" w:color="000000"/>
            </w:tcBorders>
          </w:tcPr>
          <w:p>
            <w:pPr/>
          </w:p>
        </w:tc>
        <w:tc>
          <w:tcPr>
            <w:tcW w:w="1283" w:type="dxa"/>
            <w:tcBorders>
              <w:bottom w:val="single" w:sz="4" w:space="0" w:color="000000"/>
            </w:tcBorders>
          </w:tcPr>
          <w:p>
            <w:pPr/>
          </w:p>
        </w:tc>
      </w:tr>
    </w:tbl>
    <w:p>
      <w:pPr>
        <w:spacing w:after="0"/>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tbl>
      <w:tblPr>
        <w:tblW w:w="0" w:type="auto"/>
        <w:jc w:val="left"/>
        <w:tblInd w:w="232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061"/>
        <w:gridCol w:w="2040"/>
        <w:gridCol w:w="1623"/>
      </w:tblGrid>
      <w:tr>
        <w:trPr>
          <w:trHeight w:val="751" w:hRule="exact"/>
        </w:trPr>
        <w:tc>
          <w:tcPr>
            <w:tcW w:w="4724" w:type="dxa"/>
            <w:gridSpan w:val="3"/>
            <w:tcBorders>
              <w:left w:val="nil"/>
              <w:right w:val="nil"/>
            </w:tcBorders>
          </w:tcPr>
          <w:p>
            <w:pPr>
              <w:pStyle w:val="TableParagraph"/>
              <w:spacing w:line="364" w:lineRule="auto" w:before="10"/>
              <w:ind w:left="1500" w:hanging="1290"/>
              <w:rPr>
                <w:rFonts w:ascii="Times New Roman"/>
                <w:b/>
                <w:sz w:val="20"/>
              </w:rPr>
            </w:pPr>
            <w:r>
              <w:rPr>
                <w:rFonts w:ascii="Times New Roman"/>
                <w:sz w:val="20"/>
              </w:rPr>
              <w:t>Table 3. </w:t>
            </w:r>
            <w:r>
              <w:rPr>
                <w:rFonts w:ascii="Times New Roman"/>
                <w:b/>
                <w:sz w:val="20"/>
              </w:rPr>
              <w:t>Mean and standard deviation in preschool Mazahuas (ICDAS )</w:t>
            </w:r>
          </w:p>
        </w:tc>
      </w:tr>
      <w:tr>
        <w:trPr>
          <w:trHeight w:val="389" w:hRule="exact"/>
        </w:trPr>
        <w:tc>
          <w:tcPr>
            <w:tcW w:w="1061" w:type="dxa"/>
            <w:vMerge w:val="restart"/>
            <w:tcBorders>
              <w:left w:val="nil"/>
              <w:right w:val="single" w:sz="4" w:space="0" w:color="000000"/>
            </w:tcBorders>
          </w:tcPr>
          <w:p>
            <w:pPr>
              <w:pStyle w:val="TableParagraph"/>
              <w:spacing w:before="22"/>
              <w:ind w:left="237"/>
              <w:rPr>
                <w:rFonts w:ascii="Times New Roman"/>
                <w:sz w:val="20"/>
              </w:rPr>
            </w:pPr>
            <w:r>
              <w:rPr>
                <w:rFonts w:ascii="Times New Roman"/>
                <w:sz w:val="20"/>
              </w:rPr>
              <w:t>ICDAS</w:t>
            </w:r>
          </w:p>
          <w:p>
            <w:pPr>
              <w:pStyle w:val="TableParagraph"/>
              <w:spacing w:before="115"/>
              <w:ind w:left="326"/>
              <w:rPr>
                <w:rFonts w:ascii="Times New Roman"/>
                <w:sz w:val="20"/>
              </w:rPr>
            </w:pPr>
            <w:r>
              <w:rPr>
                <w:rFonts w:ascii="Times New Roman"/>
                <w:sz w:val="20"/>
              </w:rPr>
              <w:t>Code</w:t>
            </w:r>
          </w:p>
        </w:tc>
        <w:tc>
          <w:tcPr>
            <w:tcW w:w="3663" w:type="dxa"/>
            <w:gridSpan w:val="2"/>
            <w:tcBorders>
              <w:left w:val="single" w:sz="4" w:space="0" w:color="000000"/>
              <w:bottom w:val="single" w:sz="4" w:space="0" w:color="000000"/>
              <w:right w:val="nil"/>
            </w:tcBorders>
          </w:tcPr>
          <w:p>
            <w:pPr>
              <w:pStyle w:val="TableParagraph"/>
              <w:spacing w:before="10"/>
              <w:ind w:left="1339" w:right="1340"/>
              <w:jc w:val="center"/>
              <w:rPr>
                <w:rFonts w:ascii="Times New Roman"/>
                <w:sz w:val="20"/>
              </w:rPr>
            </w:pPr>
            <w:r>
              <w:rPr>
                <w:rFonts w:ascii="Times New Roman"/>
                <w:sz w:val="20"/>
              </w:rPr>
              <w:t>Caries code</w:t>
            </w:r>
          </w:p>
        </w:tc>
      </w:tr>
      <w:tr>
        <w:trPr>
          <w:trHeight w:val="370" w:hRule="exact"/>
        </w:trPr>
        <w:tc>
          <w:tcPr>
            <w:tcW w:w="1061" w:type="dxa"/>
            <w:vMerge/>
            <w:tcBorders>
              <w:left w:val="nil"/>
              <w:bottom w:val="single" w:sz="4" w:space="0" w:color="000000"/>
              <w:right w:val="single" w:sz="4" w:space="0" w:color="000000"/>
            </w:tcBorders>
          </w:tcPr>
          <w:p>
            <w:pPr/>
          </w:p>
        </w:tc>
        <w:tc>
          <w:tcPr>
            <w:tcW w:w="2040" w:type="dxa"/>
            <w:tcBorders>
              <w:top w:val="single" w:sz="4" w:space="0" w:color="000000"/>
              <w:left w:val="single" w:sz="4" w:space="0" w:color="000000"/>
              <w:bottom w:val="single" w:sz="4" w:space="0" w:color="000000"/>
              <w:right w:val="single" w:sz="4" w:space="0" w:color="000000"/>
            </w:tcBorders>
          </w:tcPr>
          <w:p>
            <w:pPr>
              <w:pStyle w:val="TableParagraph"/>
              <w:spacing w:before="7"/>
              <w:ind w:left="789"/>
              <w:rPr>
                <w:rFonts w:ascii="Times New Roman"/>
                <w:sz w:val="20"/>
              </w:rPr>
            </w:pPr>
            <w:r>
              <w:rPr>
                <w:rFonts w:ascii="Times New Roman"/>
                <w:sz w:val="20"/>
              </w:rPr>
              <w:t>Mean</w:t>
            </w:r>
          </w:p>
        </w:tc>
        <w:tc>
          <w:tcPr>
            <w:tcW w:w="1623" w:type="dxa"/>
            <w:tcBorders>
              <w:top w:val="single" w:sz="4" w:space="0" w:color="000000"/>
              <w:left w:val="single" w:sz="4" w:space="0" w:color="000000"/>
              <w:bottom w:val="single" w:sz="4" w:space="0" w:color="000000"/>
              <w:right w:val="nil"/>
            </w:tcBorders>
          </w:tcPr>
          <w:p>
            <w:pPr>
              <w:pStyle w:val="TableParagraph"/>
              <w:spacing w:before="7"/>
              <w:ind w:left="659" w:right="662"/>
              <w:jc w:val="center"/>
              <w:rPr>
                <w:rFonts w:ascii="Times New Roman"/>
                <w:sz w:val="20"/>
              </w:rPr>
            </w:pPr>
            <w:r>
              <w:rPr>
                <w:rFonts w:ascii="Times New Roman"/>
                <w:sz w:val="20"/>
              </w:rPr>
              <w:t>SD</w:t>
            </w:r>
          </w:p>
        </w:tc>
      </w:tr>
      <w:tr>
        <w:trPr>
          <w:trHeight w:val="319" w:hRule="exact"/>
        </w:trPr>
        <w:tc>
          <w:tcPr>
            <w:tcW w:w="1061" w:type="dxa"/>
            <w:tcBorders>
              <w:top w:val="single" w:sz="4" w:space="0" w:color="000000"/>
              <w:left w:val="nil"/>
              <w:bottom w:val="nil"/>
              <w:right w:val="nil"/>
            </w:tcBorders>
          </w:tcPr>
          <w:p>
            <w:pPr>
              <w:pStyle w:val="TableParagraph"/>
              <w:spacing w:before="7"/>
              <w:ind w:right="473"/>
              <w:jc w:val="right"/>
              <w:rPr>
                <w:rFonts w:ascii="Times New Roman"/>
                <w:sz w:val="20"/>
              </w:rPr>
            </w:pPr>
            <w:r>
              <w:rPr>
                <w:rFonts w:ascii="Times New Roman"/>
                <w:w w:val="99"/>
                <w:sz w:val="20"/>
              </w:rPr>
              <w:t>0</w:t>
            </w:r>
          </w:p>
        </w:tc>
        <w:tc>
          <w:tcPr>
            <w:tcW w:w="2040" w:type="dxa"/>
            <w:tcBorders>
              <w:top w:val="single" w:sz="4" w:space="0" w:color="000000"/>
              <w:left w:val="nil"/>
              <w:bottom w:val="nil"/>
              <w:right w:val="nil"/>
            </w:tcBorders>
          </w:tcPr>
          <w:p>
            <w:pPr>
              <w:pStyle w:val="TableParagraph"/>
              <w:spacing w:before="7"/>
              <w:ind w:left="796"/>
              <w:rPr>
                <w:rFonts w:ascii="Times New Roman"/>
                <w:sz w:val="20"/>
              </w:rPr>
            </w:pPr>
            <w:r>
              <w:rPr>
                <w:rFonts w:ascii="Times New Roman"/>
                <w:sz w:val="20"/>
              </w:rPr>
              <w:t>79.33</w:t>
            </w:r>
          </w:p>
        </w:tc>
        <w:tc>
          <w:tcPr>
            <w:tcW w:w="1623" w:type="dxa"/>
            <w:tcBorders>
              <w:top w:val="single" w:sz="4" w:space="0" w:color="000000"/>
              <w:left w:val="nil"/>
              <w:bottom w:val="nil"/>
              <w:right w:val="nil"/>
            </w:tcBorders>
          </w:tcPr>
          <w:p>
            <w:pPr>
              <w:pStyle w:val="TableParagraph"/>
              <w:spacing w:before="7"/>
              <w:ind w:left="616" w:right="616"/>
              <w:jc w:val="center"/>
              <w:rPr>
                <w:rFonts w:ascii="Times New Roman"/>
                <w:sz w:val="20"/>
              </w:rPr>
            </w:pPr>
            <w:r>
              <w:rPr>
                <w:rFonts w:ascii="Times New Roman"/>
                <w:sz w:val="20"/>
              </w:rPr>
              <w:t>9.71</w:t>
            </w:r>
          </w:p>
        </w:tc>
      </w:tr>
      <w:tr>
        <w:trPr>
          <w:trHeight w:val="360" w:hRule="exact"/>
        </w:trPr>
        <w:tc>
          <w:tcPr>
            <w:tcW w:w="1061" w:type="dxa"/>
            <w:tcBorders>
              <w:top w:val="nil"/>
              <w:left w:val="nil"/>
              <w:bottom w:val="nil"/>
              <w:right w:val="nil"/>
            </w:tcBorders>
          </w:tcPr>
          <w:p>
            <w:pPr>
              <w:pStyle w:val="TableParagraph"/>
              <w:spacing w:before="54"/>
              <w:ind w:right="473"/>
              <w:jc w:val="right"/>
              <w:rPr>
                <w:rFonts w:ascii="Times New Roman"/>
                <w:sz w:val="20"/>
              </w:rPr>
            </w:pPr>
            <w:r>
              <w:rPr>
                <w:rFonts w:ascii="Times New Roman"/>
                <w:w w:val="99"/>
                <w:sz w:val="20"/>
              </w:rPr>
              <w:t>1</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1.05</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1.43</w:t>
            </w:r>
          </w:p>
        </w:tc>
      </w:tr>
      <w:tr>
        <w:trPr>
          <w:trHeight w:val="360" w:hRule="exact"/>
        </w:trPr>
        <w:tc>
          <w:tcPr>
            <w:tcW w:w="1061" w:type="dxa"/>
            <w:tcBorders>
              <w:top w:val="nil"/>
              <w:left w:val="nil"/>
              <w:bottom w:val="nil"/>
              <w:right w:val="nil"/>
            </w:tcBorders>
          </w:tcPr>
          <w:p>
            <w:pPr>
              <w:pStyle w:val="TableParagraph"/>
              <w:spacing w:before="54"/>
              <w:ind w:right="473"/>
              <w:jc w:val="right"/>
              <w:rPr>
                <w:rFonts w:ascii="Times New Roman"/>
                <w:sz w:val="20"/>
              </w:rPr>
            </w:pPr>
            <w:r>
              <w:rPr>
                <w:rFonts w:ascii="Times New Roman"/>
                <w:w w:val="99"/>
                <w:sz w:val="20"/>
              </w:rPr>
              <w:t>2</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0.60</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1.86</w:t>
            </w:r>
          </w:p>
        </w:tc>
      </w:tr>
      <w:tr>
        <w:trPr>
          <w:trHeight w:val="360" w:hRule="exact"/>
        </w:trPr>
        <w:tc>
          <w:tcPr>
            <w:tcW w:w="1061" w:type="dxa"/>
            <w:tcBorders>
              <w:top w:val="nil"/>
              <w:left w:val="nil"/>
              <w:bottom w:val="nil"/>
              <w:right w:val="nil"/>
            </w:tcBorders>
          </w:tcPr>
          <w:p>
            <w:pPr>
              <w:pStyle w:val="TableParagraph"/>
              <w:spacing w:before="54"/>
              <w:ind w:right="473"/>
              <w:jc w:val="right"/>
              <w:rPr>
                <w:rFonts w:ascii="Times New Roman"/>
                <w:sz w:val="20"/>
              </w:rPr>
            </w:pPr>
            <w:r>
              <w:rPr>
                <w:rFonts w:ascii="Times New Roman"/>
                <w:w w:val="99"/>
                <w:sz w:val="20"/>
              </w:rPr>
              <w:t>3</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0.74</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1.20</w:t>
            </w:r>
          </w:p>
        </w:tc>
      </w:tr>
      <w:tr>
        <w:trPr>
          <w:trHeight w:val="360" w:hRule="exact"/>
        </w:trPr>
        <w:tc>
          <w:tcPr>
            <w:tcW w:w="1061" w:type="dxa"/>
            <w:tcBorders>
              <w:top w:val="nil"/>
              <w:left w:val="nil"/>
              <w:bottom w:val="nil"/>
              <w:right w:val="nil"/>
            </w:tcBorders>
          </w:tcPr>
          <w:p>
            <w:pPr>
              <w:pStyle w:val="TableParagraph"/>
              <w:spacing w:before="54"/>
              <w:ind w:right="473"/>
              <w:jc w:val="right"/>
              <w:rPr>
                <w:rFonts w:ascii="Times New Roman"/>
                <w:sz w:val="20"/>
              </w:rPr>
            </w:pPr>
            <w:r>
              <w:rPr>
                <w:rFonts w:ascii="Times New Roman"/>
                <w:w w:val="99"/>
                <w:sz w:val="20"/>
              </w:rPr>
              <w:t>4</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0.04</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0.22</w:t>
            </w:r>
          </w:p>
        </w:tc>
      </w:tr>
      <w:tr>
        <w:trPr>
          <w:trHeight w:val="360" w:hRule="exact"/>
        </w:trPr>
        <w:tc>
          <w:tcPr>
            <w:tcW w:w="1061" w:type="dxa"/>
            <w:tcBorders>
              <w:top w:val="nil"/>
              <w:left w:val="nil"/>
              <w:bottom w:val="nil"/>
              <w:right w:val="nil"/>
            </w:tcBorders>
          </w:tcPr>
          <w:p>
            <w:pPr>
              <w:pStyle w:val="TableParagraph"/>
              <w:spacing w:before="54"/>
              <w:ind w:right="473"/>
              <w:jc w:val="right"/>
              <w:rPr>
                <w:rFonts w:ascii="Times New Roman"/>
                <w:sz w:val="20"/>
              </w:rPr>
            </w:pPr>
            <w:r>
              <w:rPr>
                <w:rFonts w:ascii="Times New Roman"/>
                <w:w w:val="99"/>
                <w:sz w:val="20"/>
              </w:rPr>
              <w:t>5</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4.29</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5.48</w:t>
            </w:r>
          </w:p>
        </w:tc>
      </w:tr>
      <w:tr>
        <w:trPr>
          <w:trHeight w:val="360" w:hRule="exact"/>
        </w:trPr>
        <w:tc>
          <w:tcPr>
            <w:tcW w:w="1061" w:type="dxa"/>
            <w:tcBorders>
              <w:top w:val="nil"/>
              <w:left w:val="nil"/>
              <w:bottom w:val="nil"/>
              <w:right w:val="nil"/>
            </w:tcBorders>
          </w:tcPr>
          <w:p>
            <w:pPr>
              <w:pStyle w:val="TableParagraph"/>
              <w:spacing w:before="54"/>
              <w:ind w:right="473"/>
              <w:jc w:val="right"/>
              <w:rPr>
                <w:rFonts w:ascii="Times New Roman"/>
                <w:sz w:val="20"/>
              </w:rPr>
            </w:pPr>
            <w:r>
              <w:rPr>
                <w:rFonts w:ascii="Times New Roman"/>
                <w:w w:val="99"/>
                <w:sz w:val="20"/>
              </w:rPr>
              <w:t>6</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1.51</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4.39</w:t>
            </w:r>
          </w:p>
        </w:tc>
      </w:tr>
      <w:tr>
        <w:trPr>
          <w:trHeight w:val="360" w:hRule="exact"/>
        </w:trPr>
        <w:tc>
          <w:tcPr>
            <w:tcW w:w="1061" w:type="dxa"/>
            <w:tcBorders>
              <w:top w:val="nil"/>
              <w:left w:val="nil"/>
              <w:bottom w:val="nil"/>
              <w:right w:val="nil"/>
            </w:tcBorders>
          </w:tcPr>
          <w:p>
            <w:pPr>
              <w:pStyle w:val="TableParagraph"/>
              <w:spacing w:before="54"/>
              <w:ind w:right="428"/>
              <w:jc w:val="right"/>
              <w:rPr>
                <w:rFonts w:ascii="Times New Roman"/>
                <w:sz w:val="20"/>
              </w:rPr>
            </w:pPr>
            <w:r>
              <w:rPr>
                <w:rFonts w:ascii="Times New Roman"/>
                <w:sz w:val="20"/>
              </w:rPr>
              <w:t>97</w:t>
            </w:r>
          </w:p>
        </w:tc>
        <w:tc>
          <w:tcPr>
            <w:tcW w:w="2040" w:type="dxa"/>
            <w:tcBorders>
              <w:top w:val="nil"/>
              <w:left w:val="nil"/>
              <w:bottom w:val="nil"/>
              <w:right w:val="nil"/>
            </w:tcBorders>
          </w:tcPr>
          <w:p>
            <w:pPr>
              <w:pStyle w:val="TableParagraph"/>
              <w:spacing w:before="54"/>
              <w:ind w:left="847"/>
              <w:rPr>
                <w:rFonts w:ascii="Times New Roman"/>
                <w:sz w:val="20"/>
              </w:rPr>
            </w:pPr>
            <w:r>
              <w:rPr>
                <w:rFonts w:ascii="Times New Roman"/>
                <w:sz w:val="20"/>
              </w:rPr>
              <w:t>0.04</w:t>
            </w:r>
          </w:p>
        </w:tc>
        <w:tc>
          <w:tcPr>
            <w:tcW w:w="1623" w:type="dxa"/>
            <w:tcBorders>
              <w:top w:val="nil"/>
              <w:left w:val="nil"/>
              <w:bottom w:val="nil"/>
              <w:right w:val="nil"/>
            </w:tcBorders>
          </w:tcPr>
          <w:p>
            <w:pPr>
              <w:pStyle w:val="TableParagraph"/>
              <w:spacing w:before="54"/>
              <w:ind w:left="616" w:right="616"/>
              <w:jc w:val="center"/>
              <w:rPr>
                <w:rFonts w:ascii="Times New Roman"/>
                <w:sz w:val="20"/>
              </w:rPr>
            </w:pPr>
            <w:r>
              <w:rPr>
                <w:rFonts w:ascii="Times New Roman"/>
                <w:sz w:val="20"/>
              </w:rPr>
              <w:t>0.44</w:t>
            </w:r>
          </w:p>
        </w:tc>
      </w:tr>
      <w:tr>
        <w:trPr>
          <w:trHeight w:val="430" w:hRule="exact"/>
        </w:trPr>
        <w:tc>
          <w:tcPr>
            <w:tcW w:w="1061" w:type="dxa"/>
            <w:tcBorders>
              <w:top w:val="nil"/>
              <w:left w:val="nil"/>
              <w:right w:val="nil"/>
            </w:tcBorders>
          </w:tcPr>
          <w:p>
            <w:pPr>
              <w:pStyle w:val="TableParagraph"/>
              <w:spacing w:before="54"/>
              <w:ind w:right="428"/>
              <w:jc w:val="right"/>
              <w:rPr>
                <w:rFonts w:ascii="Times New Roman"/>
                <w:sz w:val="20"/>
              </w:rPr>
            </w:pPr>
            <w:r>
              <w:rPr>
                <w:rFonts w:ascii="Times New Roman"/>
                <w:sz w:val="20"/>
              </w:rPr>
              <w:t>99</w:t>
            </w:r>
          </w:p>
        </w:tc>
        <w:tc>
          <w:tcPr>
            <w:tcW w:w="2040" w:type="dxa"/>
            <w:tcBorders>
              <w:top w:val="nil"/>
              <w:left w:val="nil"/>
              <w:right w:val="nil"/>
            </w:tcBorders>
          </w:tcPr>
          <w:p>
            <w:pPr>
              <w:pStyle w:val="TableParagraph"/>
              <w:spacing w:before="54"/>
              <w:ind w:left="820"/>
              <w:rPr>
                <w:rFonts w:ascii="Times New Roman"/>
                <w:sz w:val="20"/>
              </w:rPr>
            </w:pPr>
            <w:r>
              <w:rPr>
                <w:rFonts w:ascii="Times New Roman"/>
                <w:sz w:val="20"/>
              </w:rPr>
              <w:t>0. 12</w:t>
            </w:r>
          </w:p>
        </w:tc>
        <w:tc>
          <w:tcPr>
            <w:tcW w:w="1623" w:type="dxa"/>
            <w:tcBorders>
              <w:top w:val="nil"/>
              <w:left w:val="nil"/>
              <w:right w:val="nil"/>
            </w:tcBorders>
          </w:tcPr>
          <w:p>
            <w:pPr>
              <w:pStyle w:val="TableParagraph"/>
              <w:spacing w:before="54"/>
              <w:ind w:left="616" w:right="616"/>
              <w:jc w:val="center"/>
              <w:rPr>
                <w:rFonts w:ascii="Times New Roman"/>
                <w:sz w:val="20"/>
              </w:rPr>
            </w:pPr>
            <w:r>
              <w:rPr>
                <w:rFonts w:ascii="Times New Roman"/>
                <w:sz w:val="20"/>
              </w:rPr>
              <w:t>0.85</w:t>
            </w:r>
          </w:p>
        </w:tc>
      </w:tr>
    </w:tbl>
    <w:p>
      <w:pPr>
        <w:spacing w:after="0"/>
        <w:jc w:val="center"/>
        <w:rPr>
          <w:rFonts w:ascii="Times New Roman"/>
          <w:sz w:val="20"/>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3"/>
        </w:rPr>
      </w:pPr>
    </w:p>
    <w:tbl>
      <w:tblPr>
        <w:tblW w:w="0" w:type="auto"/>
        <w:jc w:val="left"/>
        <w:tblInd w:w="2121"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061"/>
        <w:gridCol w:w="2040"/>
        <w:gridCol w:w="2040"/>
      </w:tblGrid>
      <w:tr>
        <w:trPr>
          <w:trHeight w:val="749" w:hRule="exact"/>
        </w:trPr>
        <w:tc>
          <w:tcPr>
            <w:tcW w:w="5142" w:type="dxa"/>
            <w:gridSpan w:val="3"/>
            <w:tcBorders>
              <w:left w:val="nil"/>
              <w:right w:val="nil"/>
            </w:tcBorders>
          </w:tcPr>
          <w:p>
            <w:pPr>
              <w:pStyle w:val="TableParagraph"/>
              <w:spacing w:line="362" w:lineRule="auto" w:before="10"/>
              <w:ind w:left="1735" w:right="389" w:hanging="1314"/>
              <w:rPr>
                <w:rFonts w:ascii="Times New Roman"/>
                <w:b/>
                <w:sz w:val="20"/>
              </w:rPr>
            </w:pPr>
            <w:r>
              <w:rPr>
                <w:rFonts w:ascii="Times New Roman"/>
                <w:sz w:val="20"/>
              </w:rPr>
              <w:t>Table 4. </w:t>
            </w:r>
            <w:r>
              <w:rPr>
                <w:rFonts w:ascii="Times New Roman"/>
                <w:b/>
                <w:sz w:val="20"/>
              </w:rPr>
              <w:t>Mean and standard deviation in preschool Mazahuas (ICDAS)</w:t>
            </w:r>
          </w:p>
        </w:tc>
      </w:tr>
      <w:tr>
        <w:trPr>
          <w:trHeight w:val="389" w:hRule="exact"/>
        </w:trPr>
        <w:tc>
          <w:tcPr>
            <w:tcW w:w="1061" w:type="dxa"/>
            <w:vMerge w:val="restart"/>
            <w:tcBorders>
              <w:left w:val="nil"/>
              <w:right w:val="single" w:sz="4" w:space="0" w:color="000000"/>
            </w:tcBorders>
          </w:tcPr>
          <w:p>
            <w:pPr>
              <w:pStyle w:val="TableParagraph"/>
              <w:spacing w:before="22"/>
              <w:ind w:left="237"/>
              <w:rPr>
                <w:rFonts w:ascii="Times New Roman"/>
                <w:sz w:val="20"/>
              </w:rPr>
            </w:pPr>
            <w:r>
              <w:rPr>
                <w:rFonts w:ascii="Times New Roman"/>
                <w:sz w:val="20"/>
              </w:rPr>
              <w:t>ICDAS</w:t>
            </w:r>
          </w:p>
          <w:p>
            <w:pPr>
              <w:pStyle w:val="TableParagraph"/>
              <w:spacing w:before="115"/>
              <w:ind w:left="326"/>
              <w:rPr>
                <w:rFonts w:ascii="Times New Roman"/>
                <w:sz w:val="20"/>
              </w:rPr>
            </w:pPr>
            <w:r>
              <w:rPr>
                <w:rFonts w:ascii="Times New Roman"/>
                <w:sz w:val="20"/>
              </w:rPr>
              <w:t>Code</w:t>
            </w:r>
          </w:p>
        </w:tc>
        <w:tc>
          <w:tcPr>
            <w:tcW w:w="4080" w:type="dxa"/>
            <w:gridSpan w:val="2"/>
            <w:tcBorders>
              <w:left w:val="single" w:sz="4" w:space="0" w:color="000000"/>
              <w:bottom w:val="single" w:sz="4" w:space="0" w:color="000000"/>
              <w:right w:val="nil"/>
            </w:tcBorders>
          </w:tcPr>
          <w:p>
            <w:pPr>
              <w:pStyle w:val="TableParagraph"/>
              <w:spacing w:before="10"/>
              <w:ind w:left="811"/>
              <w:rPr>
                <w:rFonts w:ascii="Times New Roman"/>
                <w:sz w:val="20"/>
              </w:rPr>
            </w:pPr>
            <w:r>
              <w:rPr>
                <w:rFonts w:ascii="Times New Roman"/>
                <w:sz w:val="20"/>
              </w:rPr>
              <w:t>Restorations and sealants codes</w:t>
            </w:r>
          </w:p>
        </w:tc>
      </w:tr>
      <w:tr>
        <w:trPr>
          <w:trHeight w:val="370" w:hRule="exact"/>
        </w:trPr>
        <w:tc>
          <w:tcPr>
            <w:tcW w:w="1061" w:type="dxa"/>
            <w:vMerge/>
            <w:tcBorders>
              <w:left w:val="nil"/>
              <w:bottom w:val="single" w:sz="4" w:space="0" w:color="000000"/>
              <w:right w:val="single" w:sz="4" w:space="0" w:color="000000"/>
            </w:tcBorders>
          </w:tcPr>
          <w:p>
            <w:pPr/>
          </w:p>
        </w:tc>
        <w:tc>
          <w:tcPr>
            <w:tcW w:w="2040" w:type="dxa"/>
            <w:tcBorders>
              <w:top w:val="single" w:sz="4" w:space="0" w:color="000000"/>
              <w:left w:val="single" w:sz="4" w:space="0" w:color="000000"/>
              <w:bottom w:val="single" w:sz="4" w:space="0" w:color="000000"/>
              <w:right w:val="single" w:sz="4" w:space="0" w:color="000000"/>
            </w:tcBorders>
          </w:tcPr>
          <w:p>
            <w:pPr>
              <w:pStyle w:val="TableParagraph"/>
              <w:spacing w:before="7"/>
              <w:ind w:right="785"/>
              <w:jc w:val="right"/>
              <w:rPr>
                <w:rFonts w:ascii="Times New Roman"/>
                <w:sz w:val="20"/>
              </w:rPr>
            </w:pPr>
            <w:r>
              <w:rPr>
                <w:rFonts w:ascii="Times New Roman"/>
                <w:sz w:val="20"/>
              </w:rPr>
              <w:t>Mean</w:t>
            </w:r>
          </w:p>
        </w:tc>
        <w:tc>
          <w:tcPr>
            <w:tcW w:w="2040" w:type="dxa"/>
            <w:tcBorders>
              <w:top w:val="single" w:sz="4" w:space="0" w:color="000000"/>
              <w:left w:val="single" w:sz="4" w:space="0" w:color="000000"/>
              <w:bottom w:val="single" w:sz="4" w:space="0" w:color="000000"/>
              <w:right w:val="nil"/>
            </w:tcBorders>
          </w:tcPr>
          <w:p>
            <w:pPr>
              <w:pStyle w:val="TableParagraph"/>
              <w:spacing w:before="7"/>
              <w:ind w:left="866" w:right="873"/>
              <w:jc w:val="center"/>
              <w:rPr>
                <w:rFonts w:ascii="Times New Roman"/>
                <w:sz w:val="20"/>
              </w:rPr>
            </w:pPr>
            <w:r>
              <w:rPr>
                <w:rFonts w:ascii="Times New Roman"/>
                <w:sz w:val="20"/>
              </w:rPr>
              <w:t>SD</w:t>
            </w:r>
          </w:p>
        </w:tc>
      </w:tr>
      <w:tr>
        <w:trPr>
          <w:trHeight w:val="321" w:hRule="exact"/>
        </w:trPr>
        <w:tc>
          <w:tcPr>
            <w:tcW w:w="1061" w:type="dxa"/>
            <w:tcBorders>
              <w:top w:val="single" w:sz="4" w:space="0" w:color="000000"/>
              <w:left w:val="nil"/>
              <w:bottom w:val="nil"/>
              <w:right w:val="nil"/>
            </w:tcBorders>
          </w:tcPr>
          <w:p>
            <w:pPr>
              <w:pStyle w:val="TableParagraph"/>
              <w:spacing w:before="10"/>
              <w:ind w:left="12"/>
              <w:jc w:val="center"/>
              <w:rPr>
                <w:rFonts w:ascii="Times New Roman"/>
                <w:sz w:val="20"/>
              </w:rPr>
            </w:pPr>
            <w:r>
              <w:rPr>
                <w:rFonts w:ascii="Times New Roman"/>
                <w:w w:val="99"/>
                <w:sz w:val="20"/>
              </w:rPr>
              <w:t>0</w:t>
            </w:r>
          </w:p>
        </w:tc>
        <w:tc>
          <w:tcPr>
            <w:tcW w:w="2040" w:type="dxa"/>
            <w:tcBorders>
              <w:top w:val="single" w:sz="4" w:space="0" w:color="000000"/>
              <w:left w:val="nil"/>
              <w:bottom w:val="nil"/>
              <w:right w:val="nil"/>
            </w:tcBorders>
          </w:tcPr>
          <w:p>
            <w:pPr>
              <w:pStyle w:val="TableParagraph"/>
              <w:spacing w:before="10"/>
              <w:ind w:right="792"/>
              <w:jc w:val="right"/>
              <w:rPr>
                <w:rFonts w:ascii="Times New Roman"/>
                <w:sz w:val="20"/>
              </w:rPr>
            </w:pPr>
            <w:r>
              <w:rPr>
                <w:rFonts w:ascii="Times New Roman"/>
                <w:sz w:val="20"/>
              </w:rPr>
              <w:t>86.95</w:t>
            </w:r>
          </w:p>
        </w:tc>
        <w:tc>
          <w:tcPr>
            <w:tcW w:w="2040" w:type="dxa"/>
            <w:tcBorders>
              <w:top w:val="single" w:sz="4" w:space="0" w:color="000000"/>
              <w:left w:val="nil"/>
              <w:bottom w:val="nil"/>
              <w:right w:val="nil"/>
            </w:tcBorders>
          </w:tcPr>
          <w:p>
            <w:pPr>
              <w:pStyle w:val="TableParagraph"/>
              <w:spacing w:before="10"/>
              <w:ind w:left="825" w:right="825"/>
              <w:jc w:val="center"/>
              <w:rPr>
                <w:rFonts w:ascii="Times New Roman"/>
                <w:sz w:val="20"/>
              </w:rPr>
            </w:pPr>
            <w:r>
              <w:rPr>
                <w:rFonts w:ascii="Times New Roman"/>
                <w:sz w:val="20"/>
              </w:rPr>
              <w:t>4.38</w:t>
            </w:r>
          </w:p>
        </w:tc>
      </w:tr>
      <w:tr>
        <w:trPr>
          <w:trHeight w:val="360" w:hRule="exact"/>
        </w:trPr>
        <w:tc>
          <w:tcPr>
            <w:tcW w:w="1061" w:type="dxa"/>
            <w:tcBorders>
              <w:top w:val="nil"/>
              <w:left w:val="nil"/>
              <w:bottom w:val="nil"/>
              <w:right w:val="nil"/>
            </w:tcBorders>
          </w:tcPr>
          <w:p>
            <w:pPr>
              <w:pStyle w:val="TableParagraph"/>
              <w:spacing w:before="54"/>
              <w:ind w:left="12"/>
              <w:jc w:val="center"/>
              <w:rPr>
                <w:rFonts w:ascii="Times New Roman"/>
                <w:sz w:val="20"/>
              </w:rPr>
            </w:pPr>
            <w:r>
              <w:rPr>
                <w:rFonts w:ascii="Times New Roman"/>
                <w:w w:val="99"/>
                <w:sz w:val="20"/>
              </w:rPr>
              <w:t>1</w:t>
            </w:r>
          </w:p>
        </w:tc>
        <w:tc>
          <w:tcPr>
            <w:tcW w:w="2040" w:type="dxa"/>
            <w:tcBorders>
              <w:top w:val="nil"/>
              <w:left w:val="nil"/>
              <w:bottom w:val="nil"/>
              <w:right w:val="nil"/>
            </w:tcBorders>
          </w:tcPr>
          <w:p>
            <w:pPr>
              <w:pStyle w:val="TableParagraph"/>
              <w:spacing w:before="54"/>
              <w:ind w:left="765"/>
              <w:rPr>
                <w:rFonts w:ascii="Times New Roman"/>
                <w:sz w:val="20"/>
              </w:rPr>
            </w:pPr>
            <w:r>
              <w:rPr>
                <w:rFonts w:ascii="Times New Roman"/>
                <w:sz w:val="20"/>
              </w:rPr>
              <w:t>0.00</w:t>
            </w:r>
          </w:p>
        </w:tc>
        <w:tc>
          <w:tcPr>
            <w:tcW w:w="2040" w:type="dxa"/>
            <w:tcBorders>
              <w:top w:val="nil"/>
              <w:left w:val="nil"/>
              <w:bottom w:val="nil"/>
              <w:right w:val="nil"/>
            </w:tcBorders>
          </w:tcPr>
          <w:p>
            <w:pPr>
              <w:pStyle w:val="TableParagraph"/>
              <w:spacing w:before="54"/>
              <w:ind w:left="825" w:right="825"/>
              <w:jc w:val="center"/>
              <w:rPr>
                <w:rFonts w:ascii="Times New Roman"/>
                <w:sz w:val="20"/>
              </w:rPr>
            </w:pPr>
            <w:r>
              <w:rPr>
                <w:rFonts w:ascii="Times New Roman"/>
                <w:sz w:val="20"/>
              </w:rPr>
              <w:t>0.00</w:t>
            </w:r>
          </w:p>
        </w:tc>
      </w:tr>
      <w:tr>
        <w:trPr>
          <w:trHeight w:val="359" w:hRule="exact"/>
        </w:trPr>
        <w:tc>
          <w:tcPr>
            <w:tcW w:w="1061" w:type="dxa"/>
            <w:tcBorders>
              <w:top w:val="nil"/>
              <w:left w:val="nil"/>
              <w:bottom w:val="nil"/>
              <w:right w:val="nil"/>
            </w:tcBorders>
          </w:tcPr>
          <w:p>
            <w:pPr>
              <w:pStyle w:val="TableParagraph"/>
              <w:spacing w:before="54"/>
              <w:ind w:left="12"/>
              <w:jc w:val="center"/>
              <w:rPr>
                <w:rFonts w:ascii="Times New Roman"/>
                <w:sz w:val="20"/>
              </w:rPr>
            </w:pPr>
            <w:r>
              <w:rPr>
                <w:rFonts w:ascii="Times New Roman"/>
                <w:w w:val="99"/>
                <w:sz w:val="20"/>
              </w:rPr>
              <w:t>2</w:t>
            </w:r>
          </w:p>
        </w:tc>
        <w:tc>
          <w:tcPr>
            <w:tcW w:w="2040" w:type="dxa"/>
            <w:tcBorders>
              <w:top w:val="nil"/>
              <w:left w:val="nil"/>
              <w:bottom w:val="nil"/>
              <w:right w:val="nil"/>
            </w:tcBorders>
          </w:tcPr>
          <w:p>
            <w:pPr>
              <w:pStyle w:val="TableParagraph"/>
              <w:spacing w:before="54"/>
              <w:ind w:left="765"/>
              <w:rPr>
                <w:rFonts w:ascii="Times New Roman"/>
                <w:sz w:val="20"/>
              </w:rPr>
            </w:pPr>
            <w:r>
              <w:rPr>
                <w:rFonts w:ascii="Times New Roman"/>
                <w:sz w:val="20"/>
              </w:rPr>
              <w:t>0.00</w:t>
            </w:r>
          </w:p>
        </w:tc>
        <w:tc>
          <w:tcPr>
            <w:tcW w:w="2040" w:type="dxa"/>
            <w:tcBorders>
              <w:top w:val="nil"/>
              <w:left w:val="nil"/>
              <w:bottom w:val="nil"/>
              <w:right w:val="nil"/>
            </w:tcBorders>
          </w:tcPr>
          <w:p>
            <w:pPr>
              <w:pStyle w:val="TableParagraph"/>
              <w:spacing w:before="54"/>
              <w:ind w:left="825" w:right="825"/>
              <w:jc w:val="center"/>
              <w:rPr>
                <w:rFonts w:ascii="Times New Roman"/>
                <w:sz w:val="20"/>
              </w:rPr>
            </w:pPr>
            <w:r>
              <w:rPr>
                <w:rFonts w:ascii="Times New Roman"/>
                <w:sz w:val="20"/>
              </w:rPr>
              <w:t>0.00</w:t>
            </w:r>
          </w:p>
        </w:tc>
      </w:tr>
      <w:tr>
        <w:trPr>
          <w:trHeight w:val="359" w:hRule="exact"/>
        </w:trPr>
        <w:tc>
          <w:tcPr>
            <w:tcW w:w="1061" w:type="dxa"/>
            <w:tcBorders>
              <w:top w:val="nil"/>
              <w:left w:val="nil"/>
              <w:bottom w:val="nil"/>
              <w:right w:val="nil"/>
            </w:tcBorders>
          </w:tcPr>
          <w:p>
            <w:pPr>
              <w:pStyle w:val="TableParagraph"/>
              <w:spacing w:before="52"/>
              <w:ind w:left="12"/>
              <w:jc w:val="center"/>
              <w:rPr>
                <w:rFonts w:ascii="Times New Roman"/>
                <w:sz w:val="20"/>
              </w:rPr>
            </w:pPr>
            <w:r>
              <w:rPr>
                <w:rFonts w:ascii="Times New Roman"/>
                <w:w w:val="99"/>
                <w:sz w:val="20"/>
              </w:rPr>
              <w:t>3</w:t>
            </w:r>
          </w:p>
        </w:tc>
        <w:tc>
          <w:tcPr>
            <w:tcW w:w="2040" w:type="dxa"/>
            <w:tcBorders>
              <w:top w:val="nil"/>
              <w:left w:val="nil"/>
              <w:bottom w:val="nil"/>
              <w:right w:val="nil"/>
            </w:tcBorders>
          </w:tcPr>
          <w:p>
            <w:pPr>
              <w:pStyle w:val="TableParagraph"/>
              <w:spacing w:before="52"/>
              <w:ind w:left="765"/>
              <w:rPr>
                <w:rFonts w:ascii="Times New Roman"/>
                <w:sz w:val="20"/>
              </w:rPr>
            </w:pPr>
            <w:r>
              <w:rPr>
                <w:rFonts w:ascii="Times New Roman"/>
                <w:sz w:val="20"/>
              </w:rPr>
              <w:t>0.02</w:t>
            </w:r>
          </w:p>
        </w:tc>
        <w:tc>
          <w:tcPr>
            <w:tcW w:w="2040" w:type="dxa"/>
            <w:tcBorders>
              <w:top w:val="nil"/>
              <w:left w:val="nil"/>
              <w:bottom w:val="nil"/>
              <w:right w:val="nil"/>
            </w:tcBorders>
          </w:tcPr>
          <w:p>
            <w:pPr>
              <w:pStyle w:val="TableParagraph"/>
              <w:spacing w:before="52"/>
              <w:ind w:left="825" w:right="825"/>
              <w:jc w:val="center"/>
              <w:rPr>
                <w:rFonts w:ascii="Times New Roman"/>
                <w:sz w:val="20"/>
              </w:rPr>
            </w:pPr>
            <w:r>
              <w:rPr>
                <w:rFonts w:ascii="Times New Roman"/>
                <w:sz w:val="20"/>
              </w:rPr>
              <w:t>0.17</w:t>
            </w:r>
          </w:p>
        </w:tc>
      </w:tr>
      <w:tr>
        <w:trPr>
          <w:trHeight w:val="360" w:hRule="exact"/>
        </w:trPr>
        <w:tc>
          <w:tcPr>
            <w:tcW w:w="1061" w:type="dxa"/>
            <w:tcBorders>
              <w:top w:val="nil"/>
              <w:left w:val="nil"/>
              <w:bottom w:val="nil"/>
              <w:right w:val="nil"/>
            </w:tcBorders>
          </w:tcPr>
          <w:p>
            <w:pPr>
              <w:pStyle w:val="TableParagraph"/>
              <w:spacing w:before="54"/>
              <w:ind w:left="12"/>
              <w:jc w:val="center"/>
              <w:rPr>
                <w:rFonts w:ascii="Times New Roman"/>
                <w:sz w:val="20"/>
              </w:rPr>
            </w:pPr>
            <w:r>
              <w:rPr>
                <w:rFonts w:ascii="Times New Roman"/>
                <w:w w:val="99"/>
                <w:sz w:val="20"/>
              </w:rPr>
              <w:t>4</w:t>
            </w:r>
          </w:p>
        </w:tc>
        <w:tc>
          <w:tcPr>
            <w:tcW w:w="2040" w:type="dxa"/>
            <w:tcBorders>
              <w:top w:val="nil"/>
              <w:left w:val="nil"/>
              <w:bottom w:val="nil"/>
              <w:right w:val="nil"/>
            </w:tcBorders>
          </w:tcPr>
          <w:p>
            <w:pPr>
              <w:pStyle w:val="TableParagraph"/>
              <w:spacing w:before="54"/>
              <w:ind w:right="842"/>
              <w:jc w:val="right"/>
              <w:rPr>
                <w:rFonts w:ascii="Times New Roman"/>
                <w:sz w:val="20"/>
              </w:rPr>
            </w:pPr>
            <w:r>
              <w:rPr>
                <w:rFonts w:ascii="Times New Roman"/>
                <w:sz w:val="20"/>
              </w:rPr>
              <w:t>0.09</w:t>
            </w:r>
          </w:p>
        </w:tc>
        <w:tc>
          <w:tcPr>
            <w:tcW w:w="2040" w:type="dxa"/>
            <w:tcBorders>
              <w:top w:val="nil"/>
              <w:left w:val="nil"/>
              <w:bottom w:val="nil"/>
              <w:right w:val="nil"/>
            </w:tcBorders>
          </w:tcPr>
          <w:p>
            <w:pPr>
              <w:pStyle w:val="TableParagraph"/>
              <w:spacing w:before="54"/>
              <w:ind w:left="825" w:right="825"/>
              <w:jc w:val="center"/>
              <w:rPr>
                <w:rFonts w:ascii="Times New Roman"/>
                <w:sz w:val="20"/>
              </w:rPr>
            </w:pPr>
            <w:r>
              <w:rPr>
                <w:rFonts w:ascii="Times New Roman"/>
                <w:sz w:val="20"/>
              </w:rPr>
              <w:t>0.53</w:t>
            </w:r>
          </w:p>
        </w:tc>
      </w:tr>
      <w:tr>
        <w:trPr>
          <w:trHeight w:val="360" w:hRule="exact"/>
        </w:trPr>
        <w:tc>
          <w:tcPr>
            <w:tcW w:w="1061" w:type="dxa"/>
            <w:tcBorders>
              <w:top w:val="nil"/>
              <w:left w:val="nil"/>
              <w:bottom w:val="nil"/>
              <w:right w:val="nil"/>
            </w:tcBorders>
          </w:tcPr>
          <w:p>
            <w:pPr>
              <w:pStyle w:val="TableParagraph"/>
              <w:spacing w:before="54"/>
              <w:ind w:left="12"/>
              <w:jc w:val="center"/>
              <w:rPr>
                <w:rFonts w:ascii="Times New Roman"/>
                <w:sz w:val="20"/>
              </w:rPr>
            </w:pPr>
            <w:r>
              <w:rPr>
                <w:rFonts w:ascii="Times New Roman"/>
                <w:w w:val="99"/>
                <w:sz w:val="20"/>
              </w:rPr>
              <w:t>5</w:t>
            </w:r>
          </w:p>
        </w:tc>
        <w:tc>
          <w:tcPr>
            <w:tcW w:w="2040" w:type="dxa"/>
            <w:tcBorders>
              <w:top w:val="nil"/>
              <w:left w:val="nil"/>
              <w:bottom w:val="nil"/>
              <w:right w:val="nil"/>
            </w:tcBorders>
          </w:tcPr>
          <w:p>
            <w:pPr>
              <w:pStyle w:val="TableParagraph"/>
              <w:spacing w:before="54"/>
              <w:ind w:right="842"/>
              <w:jc w:val="right"/>
              <w:rPr>
                <w:rFonts w:ascii="Times New Roman"/>
                <w:sz w:val="20"/>
              </w:rPr>
            </w:pPr>
            <w:r>
              <w:rPr>
                <w:rFonts w:ascii="Times New Roman"/>
                <w:sz w:val="20"/>
              </w:rPr>
              <w:t>0.47</w:t>
            </w:r>
          </w:p>
        </w:tc>
        <w:tc>
          <w:tcPr>
            <w:tcW w:w="2040" w:type="dxa"/>
            <w:tcBorders>
              <w:top w:val="nil"/>
              <w:left w:val="nil"/>
              <w:bottom w:val="nil"/>
              <w:right w:val="nil"/>
            </w:tcBorders>
          </w:tcPr>
          <w:p>
            <w:pPr>
              <w:pStyle w:val="TableParagraph"/>
              <w:spacing w:before="54"/>
              <w:ind w:left="825" w:right="825"/>
              <w:jc w:val="center"/>
              <w:rPr>
                <w:rFonts w:ascii="Times New Roman"/>
                <w:sz w:val="20"/>
              </w:rPr>
            </w:pPr>
            <w:r>
              <w:rPr>
                <w:rFonts w:ascii="Times New Roman"/>
                <w:sz w:val="20"/>
              </w:rPr>
              <w:t>3.30</w:t>
            </w:r>
          </w:p>
        </w:tc>
      </w:tr>
      <w:tr>
        <w:trPr>
          <w:trHeight w:val="360" w:hRule="exact"/>
        </w:trPr>
        <w:tc>
          <w:tcPr>
            <w:tcW w:w="1061" w:type="dxa"/>
            <w:tcBorders>
              <w:top w:val="nil"/>
              <w:left w:val="nil"/>
              <w:bottom w:val="nil"/>
              <w:right w:val="nil"/>
            </w:tcBorders>
          </w:tcPr>
          <w:p>
            <w:pPr>
              <w:pStyle w:val="TableParagraph"/>
              <w:spacing w:before="54"/>
              <w:ind w:left="12"/>
              <w:jc w:val="center"/>
              <w:rPr>
                <w:rFonts w:ascii="Times New Roman"/>
                <w:sz w:val="20"/>
              </w:rPr>
            </w:pPr>
            <w:r>
              <w:rPr>
                <w:rFonts w:ascii="Times New Roman"/>
                <w:w w:val="99"/>
                <w:sz w:val="20"/>
              </w:rPr>
              <w:t>6</w:t>
            </w:r>
          </w:p>
        </w:tc>
        <w:tc>
          <w:tcPr>
            <w:tcW w:w="2040" w:type="dxa"/>
            <w:tcBorders>
              <w:top w:val="nil"/>
              <w:left w:val="nil"/>
              <w:bottom w:val="nil"/>
              <w:right w:val="nil"/>
            </w:tcBorders>
          </w:tcPr>
          <w:p>
            <w:pPr>
              <w:pStyle w:val="TableParagraph"/>
              <w:spacing w:before="54"/>
              <w:ind w:right="842"/>
              <w:jc w:val="right"/>
              <w:rPr>
                <w:rFonts w:ascii="Times New Roman"/>
                <w:sz w:val="20"/>
              </w:rPr>
            </w:pPr>
            <w:r>
              <w:rPr>
                <w:rFonts w:ascii="Times New Roman"/>
                <w:sz w:val="20"/>
              </w:rPr>
              <w:t>0.00</w:t>
            </w:r>
          </w:p>
        </w:tc>
        <w:tc>
          <w:tcPr>
            <w:tcW w:w="2040" w:type="dxa"/>
            <w:tcBorders>
              <w:top w:val="nil"/>
              <w:left w:val="nil"/>
              <w:bottom w:val="nil"/>
              <w:right w:val="nil"/>
            </w:tcBorders>
          </w:tcPr>
          <w:p>
            <w:pPr>
              <w:pStyle w:val="TableParagraph"/>
              <w:spacing w:before="54"/>
              <w:ind w:left="825" w:right="825"/>
              <w:jc w:val="center"/>
              <w:rPr>
                <w:rFonts w:ascii="Times New Roman"/>
                <w:sz w:val="20"/>
              </w:rPr>
            </w:pPr>
            <w:r>
              <w:rPr>
                <w:rFonts w:ascii="Times New Roman"/>
                <w:sz w:val="20"/>
              </w:rPr>
              <w:t>0.00</w:t>
            </w:r>
          </w:p>
        </w:tc>
      </w:tr>
      <w:tr>
        <w:trPr>
          <w:trHeight w:val="360" w:hRule="exact"/>
        </w:trPr>
        <w:tc>
          <w:tcPr>
            <w:tcW w:w="1061" w:type="dxa"/>
            <w:tcBorders>
              <w:top w:val="nil"/>
              <w:left w:val="nil"/>
              <w:bottom w:val="nil"/>
              <w:right w:val="nil"/>
            </w:tcBorders>
          </w:tcPr>
          <w:p>
            <w:pPr>
              <w:pStyle w:val="TableParagraph"/>
              <w:spacing w:before="54"/>
              <w:ind w:left="12"/>
              <w:jc w:val="center"/>
              <w:rPr>
                <w:rFonts w:ascii="Times New Roman"/>
                <w:sz w:val="20"/>
              </w:rPr>
            </w:pPr>
            <w:r>
              <w:rPr>
                <w:rFonts w:ascii="Times New Roman"/>
                <w:w w:val="99"/>
                <w:sz w:val="20"/>
              </w:rPr>
              <w:t>7</w:t>
            </w:r>
          </w:p>
        </w:tc>
        <w:tc>
          <w:tcPr>
            <w:tcW w:w="2040" w:type="dxa"/>
            <w:tcBorders>
              <w:top w:val="nil"/>
              <w:left w:val="nil"/>
              <w:bottom w:val="nil"/>
              <w:right w:val="nil"/>
            </w:tcBorders>
          </w:tcPr>
          <w:p>
            <w:pPr>
              <w:pStyle w:val="TableParagraph"/>
              <w:spacing w:before="54"/>
              <w:ind w:right="842"/>
              <w:jc w:val="right"/>
              <w:rPr>
                <w:rFonts w:ascii="Times New Roman"/>
                <w:sz w:val="20"/>
              </w:rPr>
            </w:pPr>
            <w:r>
              <w:rPr>
                <w:rFonts w:ascii="Times New Roman"/>
                <w:sz w:val="20"/>
              </w:rPr>
              <w:t>0.00</w:t>
            </w:r>
          </w:p>
        </w:tc>
        <w:tc>
          <w:tcPr>
            <w:tcW w:w="2040" w:type="dxa"/>
            <w:tcBorders>
              <w:top w:val="nil"/>
              <w:left w:val="nil"/>
              <w:bottom w:val="nil"/>
              <w:right w:val="nil"/>
            </w:tcBorders>
          </w:tcPr>
          <w:p>
            <w:pPr>
              <w:pStyle w:val="TableParagraph"/>
              <w:spacing w:before="54"/>
              <w:ind w:left="825" w:right="825"/>
              <w:jc w:val="center"/>
              <w:rPr>
                <w:rFonts w:ascii="Times New Roman"/>
                <w:sz w:val="20"/>
              </w:rPr>
            </w:pPr>
            <w:r>
              <w:rPr>
                <w:rFonts w:ascii="Times New Roman"/>
                <w:sz w:val="20"/>
              </w:rPr>
              <w:t>0.00</w:t>
            </w:r>
          </w:p>
        </w:tc>
      </w:tr>
      <w:tr>
        <w:trPr>
          <w:trHeight w:val="430" w:hRule="exact"/>
        </w:trPr>
        <w:tc>
          <w:tcPr>
            <w:tcW w:w="1061" w:type="dxa"/>
            <w:tcBorders>
              <w:top w:val="nil"/>
              <w:left w:val="nil"/>
              <w:right w:val="nil"/>
            </w:tcBorders>
          </w:tcPr>
          <w:p>
            <w:pPr>
              <w:pStyle w:val="TableParagraph"/>
              <w:spacing w:before="54"/>
              <w:ind w:left="12"/>
              <w:jc w:val="center"/>
              <w:rPr>
                <w:rFonts w:ascii="Times New Roman"/>
                <w:sz w:val="20"/>
              </w:rPr>
            </w:pPr>
            <w:r>
              <w:rPr>
                <w:rFonts w:ascii="Times New Roman"/>
                <w:w w:val="99"/>
                <w:sz w:val="20"/>
              </w:rPr>
              <w:t>8</w:t>
            </w:r>
          </w:p>
        </w:tc>
        <w:tc>
          <w:tcPr>
            <w:tcW w:w="2040" w:type="dxa"/>
            <w:tcBorders>
              <w:top w:val="nil"/>
              <w:left w:val="nil"/>
              <w:right w:val="nil"/>
            </w:tcBorders>
          </w:tcPr>
          <w:p>
            <w:pPr>
              <w:pStyle w:val="TableParagraph"/>
              <w:spacing w:before="54"/>
              <w:ind w:right="842"/>
              <w:jc w:val="right"/>
              <w:rPr>
                <w:rFonts w:ascii="Times New Roman"/>
                <w:sz w:val="20"/>
              </w:rPr>
            </w:pPr>
            <w:r>
              <w:rPr>
                <w:rFonts w:ascii="Times New Roman"/>
                <w:sz w:val="20"/>
              </w:rPr>
              <w:t>0.03</w:t>
            </w:r>
          </w:p>
        </w:tc>
        <w:tc>
          <w:tcPr>
            <w:tcW w:w="2040" w:type="dxa"/>
            <w:tcBorders>
              <w:top w:val="nil"/>
              <w:left w:val="nil"/>
              <w:right w:val="nil"/>
            </w:tcBorders>
          </w:tcPr>
          <w:p>
            <w:pPr>
              <w:pStyle w:val="TableParagraph"/>
              <w:spacing w:before="54"/>
              <w:ind w:left="825" w:right="825"/>
              <w:jc w:val="center"/>
              <w:rPr>
                <w:rFonts w:ascii="Times New Roman"/>
                <w:sz w:val="20"/>
              </w:rPr>
            </w:pPr>
            <w:r>
              <w:rPr>
                <w:rFonts w:ascii="Times New Roman"/>
                <w:sz w:val="20"/>
              </w:rPr>
              <w:t>0.28</w:t>
            </w:r>
          </w:p>
        </w:tc>
      </w:tr>
    </w:tbl>
    <w:p>
      <w:pPr>
        <w:spacing w:after="0"/>
        <w:jc w:val="center"/>
        <w:rPr>
          <w:rFonts w:ascii="Times New Roman"/>
          <w:sz w:val="20"/>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spacing w:before="6" w:after="1"/>
        <w:rPr>
          <w:rFonts w:ascii="Times New Roman"/>
          <w:sz w:val="15"/>
        </w:rPr>
      </w:pPr>
    </w:p>
    <w:tbl>
      <w:tblPr>
        <w:tblW w:w="0" w:type="auto"/>
        <w:jc w:val="left"/>
        <w:tblInd w:w="9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92"/>
        <w:gridCol w:w="1941"/>
        <w:gridCol w:w="1891"/>
      </w:tblGrid>
      <w:tr>
        <w:trPr>
          <w:trHeight w:val="710" w:hRule="exact"/>
        </w:trPr>
        <w:tc>
          <w:tcPr>
            <w:tcW w:w="8025" w:type="dxa"/>
            <w:gridSpan w:val="3"/>
            <w:tcBorders>
              <w:bottom w:val="single" w:sz="4" w:space="0" w:color="000000"/>
            </w:tcBorders>
          </w:tcPr>
          <w:p>
            <w:pPr>
              <w:pStyle w:val="TableParagraph"/>
              <w:spacing w:line="204" w:lineRule="exact"/>
              <w:ind w:left="201" w:right="201"/>
              <w:jc w:val="center"/>
              <w:rPr>
                <w:rFonts w:ascii="Times New Roman"/>
                <w:sz w:val="20"/>
              </w:rPr>
            </w:pPr>
            <w:r>
              <w:rPr>
                <w:rFonts w:ascii="Times New Roman"/>
                <w:sz w:val="20"/>
              </w:rPr>
              <w:t>Table 5</w:t>
            </w:r>
            <w:r>
              <w:rPr>
                <w:rFonts w:ascii="Times New Roman"/>
                <w:b/>
                <w:sz w:val="20"/>
              </w:rPr>
              <w:t>. Frequency and percentage of sociodemographic, </w:t>
            </w:r>
            <w:r>
              <w:rPr>
                <w:rFonts w:ascii="Times New Roman"/>
                <w:sz w:val="20"/>
              </w:rPr>
              <w:t>oral hygiene habits</w:t>
            </w:r>
            <w:r>
              <w:rPr>
                <w:rFonts w:ascii="Times New Roman"/>
                <w:b/>
                <w:sz w:val="20"/>
              </w:rPr>
              <w:t>, </w:t>
            </w:r>
            <w:r>
              <w:rPr>
                <w:rFonts w:ascii="Times New Roman"/>
                <w:sz w:val="20"/>
              </w:rPr>
              <w:t>breastfeeding</w:t>
            </w:r>
          </w:p>
          <w:p>
            <w:pPr>
              <w:pStyle w:val="TableParagraph"/>
              <w:spacing w:before="34"/>
              <w:ind w:left="201" w:right="201"/>
              <w:jc w:val="center"/>
              <w:rPr>
                <w:rFonts w:ascii="Times New Roman"/>
                <w:sz w:val="20"/>
              </w:rPr>
            </w:pPr>
            <w:r>
              <w:rPr>
                <w:rFonts w:ascii="Times New Roman"/>
                <w:sz w:val="20"/>
              </w:rPr>
              <w:t>practices</w:t>
            </w:r>
          </w:p>
        </w:tc>
      </w:tr>
      <w:tr>
        <w:trPr>
          <w:trHeight w:val="485" w:hRule="exact"/>
        </w:trPr>
        <w:tc>
          <w:tcPr>
            <w:tcW w:w="4192" w:type="dxa"/>
            <w:tcBorders>
              <w:top w:val="single" w:sz="4" w:space="0" w:color="000000"/>
              <w:bottom w:val="single" w:sz="12" w:space="0" w:color="000000"/>
            </w:tcBorders>
          </w:tcPr>
          <w:p>
            <w:pPr>
              <w:pStyle w:val="TableParagraph"/>
              <w:spacing w:line="228" w:lineRule="exact"/>
              <w:ind w:left="1784" w:right="1679"/>
              <w:jc w:val="center"/>
              <w:rPr>
                <w:rFonts w:ascii="Times New Roman"/>
                <w:sz w:val="20"/>
              </w:rPr>
            </w:pPr>
            <w:r>
              <w:rPr>
                <w:rFonts w:ascii="Times New Roman"/>
                <w:sz w:val="20"/>
              </w:rPr>
              <w:t>Variable</w:t>
            </w:r>
          </w:p>
        </w:tc>
        <w:tc>
          <w:tcPr>
            <w:tcW w:w="1941" w:type="dxa"/>
            <w:tcBorders>
              <w:top w:val="single" w:sz="4" w:space="0" w:color="000000"/>
              <w:bottom w:val="single" w:sz="12" w:space="0" w:color="000000"/>
            </w:tcBorders>
          </w:tcPr>
          <w:p>
            <w:pPr>
              <w:pStyle w:val="TableParagraph"/>
              <w:spacing w:line="228" w:lineRule="exact"/>
              <w:ind w:left="576" w:right="481"/>
              <w:jc w:val="center"/>
              <w:rPr>
                <w:rFonts w:ascii="Times New Roman"/>
                <w:sz w:val="20"/>
              </w:rPr>
            </w:pPr>
            <w:r>
              <w:rPr>
                <w:rFonts w:ascii="Times New Roman"/>
                <w:sz w:val="20"/>
              </w:rPr>
              <w:t>Frequency</w:t>
            </w:r>
          </w:p>
        </w:tc>
        <w:tc>
          <w:tcPr>
            <w:tcW w:w="1891" w:type="dxa"/>
            <w:tcBorders>
              <w:top w:val="single" w:sz="4" w:space="0" w:color="000000"/>
              <w:bottom w:val="single" w:sz="12" w:space="0" w:color="000000"/>
            </w:tcBorders>
          </w:tcPr>
          <w:p>
            <w:pPr>
              <w:pStyle w:val="TableParagraph"/>
              <w:spacing w:line="228" w:lineRule="exact"/>
              <w:ind w:left="481" w:right="492"/>
              <w:jc w:val="center"/>
              <w:rPr>
                <w:rFonts w:ascii="Times New Roman"/>
                <w:sz w:val="20"/>
              </w:rPr>
            </w:pPr>
            <w:r>
              <w:rPr>
                <w:rFonts w:ascii="Times New Roman"/>
                <w:sz w:val="20"/>
              </w:rPr>
              <w:t>Percentage</w:t>
            </w:r>
          </w:p>
        </w:tc>
      </w:tr>
      <w:tr>
        <w:trPr>
          <w:trHeight w:val="490" w:hRule="exact"/>
        </w:trPr>
        <w:tc>
          <w:tcPr>
            <w:tcW w:w="8025" w:type="dxa"/>
            <w:gridSpan w:val="3"/>
            <w:tcBorders>
              <w:top w:val="single" w:sz="12" w:space="0" w:color="000000"/>
              <w:bottom w:val="single" w:sz="8" w:space="0" w:color="000000"/>
            </w:tcBorders>
          </w:tcPr>
          <w:p>
            <w:pPr>
              <w:pStyle w:val="TableParagraph"/>
              <w:spacing w:before="3"/>
              <w:ind w:left="194" w:right="201"/>
              <w:jc w:val="center"/>
              <w:rPr>
                <w:rFonts w:ascii="Times New Roman"/>
                <w:b/>
                <w:sz w:val="20"/>
              </w:rPr>
            </w:pPr>
            <w:r>
              <w:rPr>
                <w:rFonts w:ascii="Times New Roman"/>
                <w:b/>
                <w:sz w:val="20"/>
              </w:rPr>
              <w:t>Sociodemographic</w:t>
            </w:r>
          </w:p>
        </w:tc>
      </w:tr>
      <w:tr>
        <w:trPr>
          <w:trHeight w:val="368" w:hRule="exact"/>
        </w:trPr>
        <w:tc>
          <w:tcPr>
            <w:tcW w:w="4192" w:type="dxa"/>
            <w:tcBorders>
              <w:top w:val="single" w:sz="8" w:space="0" w:color="000000"/>
            </w:tcBorders>
          </w:tcPr>
          <w:p>
            <w:pPr>
              <w:pStyle w:val="TableParagraph"/>
              <w:spacing w:before="3"/>
              <w:ind w:left="108"/>
              <w:rPr>
                <w:rFonts w:ascii="Times New Roman" w:hAnsi="Times New Roman"/>
                <w:b/>
                <w:sz w:val="20"/>
              </w:rPr>
            </w:pPr>
            <w:r>
              <w:rPr>
                <w:rFonts w:ascii="Times New Roman" w:hAnsi="Times New Roman"/>
                <w:b/>
                <w:sz w:val="20"/>
              </w:rPr>
              <w:t>Children’s family life</w:t>
            </w:r>
          </w:p>
        </w:tc>
        <w:tc>
          <w:tcPr>
            <w:tcW w:w="1941" w:type="dxa"/>
            <w:tcBorders>
              <w:top w:val="single" w:sz="8" w:space="0" w:color="000000"/>
            </w:tcBorders>
          </w:tcPr>
          <w:p>
            <w:pPr/>
          </w:p>
        </w:tc>
        <w:tc>
          <w:tcPr>
            <w:tcW w:w="1891" w:type="dxa"/>
            <w:tcBorders>
              <w:top w:val="single" w:sz="8" w:space="0" w:color="000000"/>
            </w:tcBorders>
          </w:tcPr>
          <w:p>
            <w:pPr/>
          </w:p>
        </w:tc>
      </w:tr>
      <w:tr>
        <w:trPr>
          <w:trHeight w:val="462" w:hRule="exact"/>
        </w:trPr>
        <w:tc>
          <w:tcPr>
            <w:tcW w:w="4192" w:type="dxa"/>
          </w:tcPr>
          <w:p>
            <w:pPr>
              <w:pStyle w:val="TableParagraph"/>
              <w:spacing w:before="103"/>
              <w:ind w:left="108"/>
              <w:rPr>
                <w:rFonts w:ascii="Times New Roman"/>
                <w:sz w:val="20"/>
              </w:rPr>
            </w:pPr>
            <w:r>
              <w:rPr>
                <w:rFonts w:ascii="Times New Roman"/>
                <w:sz w:val="20"/>
              </w:rPr>
              <w:t>Lives with both parents</w:t>
            </w:r>
          </w:p>
        </w:tc>
        <w:tc>
          <w:tcPr>
            <w:tcW w:w="1941" w:type="dxa"/>
          </w:tcPr>
          <w:p>
            <w:pPr>
              <w:pStyle w:val="TableParagraph"/>
              <w:spacing w:before="103"/>
              <w:ind w:left="576" w:right="479"/>
              <w:jc w:val="center"/>
              <w:rPr>
                <w:rFonts w:ascii="Times New Roman"/>
                <w:sz w:val="20"/>
              </w:rPr>
            </w:pPr>
            <w:r>
              <w:rPr>
                <w:rFonts w:ascii="Times New Roman"/>
                <w:sz w:val="20"/>
              </w:rPr>
              <w:t>107</w:t>
            </w:r>
          </w:p>
        </w:tc>
        <w:tc>
          <w:tcPr>
            <w:tcW w:w="1891" w:type="dxa"/>
          </w:tcPr>
          <w:p>
            <w:pPr>
              <w:pStyle w:val="TableParagraph"/>
              <w:spacing w:before="103"/>
              <w:ind w:left="481" w:right="489"/>
              <w:jc w:val="center"/>
              <w:rPr>
                <w:rFonts w:ascii="Times New Roman"/>
                <w:sz w:val="20"/>
              </w:rPr>
            </w:pPr>
            <w:r>
              <w:rPr>
                <w:rFonts w:ascii="Times New Roman"/>
                <w:sz w:val="20"/>
              </w:rPr>
              <w:t>81.7%</w:t>
            </w:r>
          </w:p>
        </w:tc>
      </w:tr>
      <w:tr>
        <w:trPr>
          <w:trHeight w:val="464" w:hRule="exact"/>
        </w:trPr>
        <w:tc>
          <w:tcPr>
            <w:tcW w:w="4192" w:type="dxa"/>
          </w:tcPr>
          <w:p>
            <w:pPr>
              <w:pStyle w:val="TableParagraph"/>
              <w:spacing w:before="106"/>
              <w:ind w:left="108"/>
              <w:rPr>
                <w:rFonts w:ascii="Times New Roman"/>
                <w:sz w:val="20"/>
              </w:rPr>
            </w:pPr>
            <w:r>
              <w:rPr>
                <w:rFonts w:ascii="Times New Roman"/>
                <w:sz w:val="20"/>
              </w:rPr>
              <w:t>Lives only with his/her mother</w:t>
            </w:r>
          </w:p>
        </w:tc>
        <w:tc>
          <w:tcPr>
            <w:tcW w:w="1941" w:type="dxa"/>
          </w:tcPr>
          <w:p>
            <w:pPr>
              <w:pStyle w:val="TableParagraph"/>
              <w:spacing w:before="106"/>
              <w:ind w:left="96"/>
              <w:jc w:val="center"/>
              <w:rPr>
                <w:rFonts w:ascii="Times New Roman"/>
                <w:sz w:val="20"/>
              </w:rPr>
            </w:pPr>
            <w:r>
              <w:rPr>
                <w:rFonts w:ascii="Times New Roman"/>
                <w:w w:val="99"/>
                <w:sz w:val="20"/>
              </w:rPr>
              <w:t>9</w:t>
            </w:r>
          </w:p>
        </w:tc>
        <w:tc>
          <w:tcPr>
            <w:tcW w:w="1891" w:type="dxa"/>
          </w:tcPr>
          <w:p>
            <w:pPr>
              <w:pStyle w:val="TableParagraph"/>
              <w:spacing w:before="106"/>
              <w:ind w:left="481" w:right="489"/>
              <w:jc w:val="center"/>
              <w:rPr>
                <w:rFonts w:ascii="Times New Roman"/>
                <w:sz w:val="20"/>
              </w:rPr>
            </w:pPr>
            <w:r>
              <w:rPr>
                <w:rFonts w:ascii="Times New Roman"/>
                <w:sz w:val="20"/>
              </w:rPr>
              <w:t>6.9%</w:t>
            </w:r>
          </w:p>
        </w:tc>
      </w:tr>
      <w:tr>
        <w:trPr>
          <w:trHeight w:val="465" w:hRule="exact"/>
        </w:trPr>
        <w:tc>
          <w:tcPr>
            <w:tcW w:w="4192" w:type="dxa"/>
          </w:tcPr>
          <w:p>
            <w:pPr>
              <w:pStyle w:val="TableParagraph"/>
              <w:spacing w:before="105"/>
              <w:ind w:left="108"/>
              <w:rPr>
                <w:rFonts w:ascii="Times New Roman"/>
                <w:sz w:val="20"/>
              </w:rPr>
            </w:pPr>
            <w:r>
              <w:rPr>
                <w:rFonts w:ascii="Times New Roman"/>
                <w:sz w:val="20"/>
              </w:rPr>
              <w:t>Lives with his/her grandparents</w:t>
            </w:r>
          </w:p>
        </w:tc>
        <w:tc>
          <w:tcPr>
            <w:tcW w:w="1941" w:type="dxa"/>
          </w:tcPr>
          <w:p>
            <w:pPr>
              <w:pStyle w:val="TableParagraph"/>
              <w:spacing w:before="105"/>
              <w:ind w:left="576" w:right="479"/>
              <w:jc w:val="center"/>
              <w:rPr>
                <w:rFonts w:ascii="Times New Roman"/>
                <w:sz w:val="20"/>
              </w:rPr>
            </w:pPr>
            <w:r>
              <w:rPr>
                <w:rFonts w:ascii="Times New Roman"/>
                <w:sz w:val="20"/>
              </w:rPr>
              <w:t>10</w:t>
            </w:r>
          </w:p>
        </w:tc>
        <w:tc>
          <w:tcPr>
            <w:tcW w:w="1891" w:type="dxa"/>
          </w:tcPr>
          <w:p>
            <w:pPr>
              <w:pStyle w:val="TableParagraph"/>
              <w:spacing w:before="105"/>
              <w:ind w:left="481" w:right="489"/>
              <w:jc w:val="center"/>
              <w:rPr>
                <w:rFonts w:ascii="Times New Roman"/>
                <w:sz w:val="20"/>
              </w:rPr>
            </w:pPr>
            <w:r>
              <w:rPr>
                <w:rFonts w:ascii="Times New Roman"/>
                <w:sz w:val="20"/>
              </w:rPr>
              <w:t>7.6%</w:t>
            </w:r>
          </w:p>
        </w:tc>
      </w:tr>
      <w:tr>
        <w:trPr>
          <w:trHeight w:val="467" w:hRule="exact"/>
        </w:trPr>
        <w:tc>
          <w:tcPr>
            <w:tcW w:w="4192" w:type="dxa"/>
          </w:tcPr>
          <w:p>
            <w:pPr>
              <w:pStyle w:val="TableParagraph"/>
              <w:spacing w:before="107"/>
              <w:ind w:left="108"/>
              <w:rPr>
                <w:rFonts w:ascii="Times New Roman"/>
                <w:sz w:val="20"/>
              </w:rPr>
            </w:pPr>
            <w:r>
              <w:rPr>
                <w:rFonts w:ascii="Times New Roman"/>
                <w:sz w:val="20"/>
              </w:rPr>
              <w:t>Lives with his/her parents and grandparents</w:t>
            </w:r>
          </w:p>
        </w:tc>
        <w:tc>
          <w:tcPr>
            <w:tcW w:w="1941" w:type="dxa"/>
          </w:tcPr>
          <w:p>
            <w:pPr>
              <w:pStyle w:val="TableParagraph"/>
              <w:spacing w:before="107"/>
              <w:ind w:left="96"/>
              <w:jc w:val="center"/>
              <w:rPr>
                <w:rFonts w:ascii="Times New Roman"/>
                <w:sz w:val="20"/>
              </w:rPr>
            </w:pPr>
            <w:r>
              <w:rPr>
                <w:rFonts w:ascii="Times New Roman"/>
                <w:w w:val="99"/>
                <w:sz w:val="20"/>
              </w:rPr>
              <w:t>5</w:t>
            </w:r>
          </w:p>
        </w:tc>
        <w:tc>
          <w:tcPr>
            <w:tcW w:w="1891" w:type="dxa"/>
          </w:tcPr>
          <w:p>
            <w:pPr>
              <w:pStyle w:val="TableParagraph"/>
              <w:spacing w:before="107"/>
              <w:ind w:left="481" w:right="489"/>
              <w:jc w:val="center"/>
              <w:rPr>
                <w:rFonts w:ascii="Times New Roman"/>
                <w:sz w:val="20"/>
              </w:rPr>
            </w:pPr>
            <w:r>
              <w:rPr>
                <w:rFonts w:ascii="Times New Roman"/>
                <w:sz w:val="20"/>
              </w:rPr>
              <w:t>3.8%</w:t>
            </w:r>
          </w:p>
        </w:tc>
      </w:tr>
      <w:tr>
        <w:trPr>
          <w:trHeight w:val="464" w:hRule="exact"/>
        </w:trPr>
        <w:tc>
          <w:tcPr>
            <w:tcW w:w="4192" w:type="dxa"/>
          </w:tcPr>
          <w:p>
            <w:pPr>
              <w:pStyle w:val="TableParagraph"/>
              <w:spacing w:before="108"/>
              <w:ind w:left="108"/>
              <w:rPr>
                <w:rFonts w:ascii="Times New Roman"/>
                <w:b/>
                <w:sz w:val="20"/>
              </w:rPr>
            </w:pPr>
            <w:r>
              <w:rPr>
                <w:rFonts w:ascii="Times New Roman"/>
                <w:b/>
                <w:sz w:val="20"/>
              </w:rPr>
              <w:t>Primary Caregiver</w:t>
            </w:r>
          </w:p>
        </w:tc>
        <w:tc>
          <w:tcPr>
            <w:tcW w:w="1941" w:type="dxa"/>
          </w:tcPr>
          <w:p>
            <w:pPr/>
          </w:p>
        </w:tc>
        <w:tc>
          <w:tcPr>
            <w:tcW w:w="1891" w:type="dxa"/>
          </w:tcPr>
          <w:p>
            <w:pPr/>
          </w:p>
        </w:tc>
      </w:tr>
      <w:tr>
        <w:trPr>
          <w:trHeight w:val="462" w:hRule="exact"/>
        </w:trPr>
        <w:tc>
          <w:tcPr>
            <w:tcW w:w="4192" w:type="dxa"/>
          </w:tcPr>
          <w:p>
            <w:pPr>
              <w:pStyle w:val="TableParagraph"/>
              <w:spacing w:before="104"/>
              <w:ind w:left="108"/>
              <w:rPr>
                <w:rFonts w:ascii="Times New Roman"/>
                <w:sz w:val="20"/>
              </w:rPr>
            </w:pPr>
            <w:r>
              <w:rPr>
                <w:rFonts w:ascii="Times New Roman"/>
                <w:sz w:val="20"/>
              </w:rPr>
              <w:t>Both parents</w:t>
            </w:r>
          </w:p>
        </w:tc>
        <w:tc>
          <w:tcPr>
            <w:tcW w:w="1941" w:type="dxa"/>
          </w:tcPr>
          <w:p>
            <w:pPr>
              <w:pStyle w:val="TableParagraph"/>
              <w:spacing w:before="104"/>
              <w:ind w:left="96"/>
              <w:jc w:val="center"/>
              <w:rPr>
                <w:rFonts w:ascii="Times New Roman"/>
                <w:sz w:val="20"/>
              </w:rPr>
            </w:pPr>
            <w:r>
              <w:rPr>
                <w:rFonts w:ascii="Times New Roman"/>
                <w:w w:val="99"/>
                <w:sz w:val="20"/>
              </w:rPr>
              <w:t>5</w:t>
            </w:r>
          </w:p>
        </w:tc>
        <w:tc>
          <w:tcPr>
            <w:tcW w:w="1891" w:type="dxa"/>
          </w:tcPr>
          <w:p>
            <w:pPr>
              <w:pStyle w:val="TableParagraph"/>
              <w:spacing w:before="104"/>
              <w:ind w:left="481" w:right="489"/>
              <w:jc w:val="center"/>
              <w:rPr>
                <w:rFonts w:ascii="Times New Roman"/>
                <w:sz w:val="20"/>
              </w:rPr>
            </w:pPr>
            <w:r>
              <w:rPr>
                <w:rFonts w:ascii="Times New Roman"/>
                <w:sz w:val="20"/>
              </w:rPr>
              <w:t>3.8%</w:t>
            </w:r>
          </w:p>
        </w:tc>
      </w:tr>
      <w:tr>
        <w:trPr>
          <w:trHeight w:val="464" w:hRule="exact"/>
        </w:trPr>
        <w:tc>
          <w:tcPr>
            <w:tcW w:w="4192" w:type="dxa"/>
          </w:tcPr>
          <w:p>
            <w:pPr>
              <w:pStyle w:val="TableParagraph"/>
              <w:spacing w:before="105"/>
              <w:ind w:left="108"/>
              <w:rPr>
                <w:rFonts w:ascii="Times New Roman"/>
                <w:sz w:val="20"/>
              </w:rPr>
            </w:pPr>
            <w:r>
              <w:rPr>
                <w:rFonts w:ascii="Times New Roman"/>
                <w:sz w:val="20"/>
              </w:rPr>
              <w:t>His/her mother</w:t>
            </w:r>
          </w:p>
        </w:tc>
        <w:tc>
          <w:tcPr>
            <w:tcW w:w="1941" w:type="dxa"/>
          </w:tcPr>
          <w:p>
            <w:pPr>
              <w:pStyle w:val="TableParagraph"/>
              <w:spacing w:before="105"/>
              <w:ind w:left="576" w:right="479"/>
              <w:jc w:val="center"/>
              <w:rPr>
                <w:rFonts w:ascii="Times New Roman"/>
                <w:sz w:val="20"/>
              </w:rPr>
            </w:pPr>
            <w:r>
              <w:rPr>
                <w:rFonts w:ascii="Times New Roman"/>
                <w:sz w:val="20"/>
              </w:rPr>
              <w:t>113</w:t>
            </w:r>
          </w:p>
        </w:tc>
        <w:tc>
          <w:tcPr>
            <w:tcW w:w="1891" w:type="dxa"/>
          </w:tcPr>
          <w:p>
            <w:pPr>
              <w:pStyle w:val="TableParagraph"/>
              <w:spacing w:before="105"/>
              <w:ind w:left="481" w:right="489"/>
              <w:jc w:val="center"/>
              <w:rPr>
                <w:rFonts w:ascii="Times New Roman"/>
                <w:sz w:val="20"/>
              </w:rPr>
            </w:pPr>
            <w:r>
              <w:rPr>
                <w:rFonts w:ascii="Times New Roman"/>
                <w:sz w:val="20"/>
              </w:rPr>
              <w:t>86.3%</w:t>
            </w:r>
          </w:p>
        </w:tc>
      </w:tr>
      <w:tr>
        <w:trPr>
          <w:trHeight w:val="464" w:hRule="exact"/>
        </w:trPr>
        <w:tc>
          <w:tcPr>
            <w:tcW w:w="4192" w:type="dxa"/>
          </w:tcPr>
          <w:p>
            <w:pPr>
              <w:pStyle w:val="TableParagraph"/>
              <w:spacing w:before="106"/>
              <w:ind w:left="108"/>
              <w:rPr>
                <w:rFonts w:ascii="Times New Roman"/>
                <w:sz w:val="20"/>
              </w:rPr>
            </w:pPr>
            <w:r>
              <w:rPr>
                <w:rFonts w:ascii="Times New Roman"/>
                <w:sz w:val="20"/>
              </w:rPr>
              <w:t>His/her father</w:t>
            </w:r>
          </w:p>
        </w:tc>
        <w:tc>
          <w:tcPr>
            <w:tcW w:w="1941" w:type="dxa"/>
          </w:tcPr>
          <w:p>
            <w:pPr>
              <w:pStyle w:val="TableParagraph"/>
              <w:spacing w:before="106"/>
              <w:ind w:left="96"/>
              <w:jc w:val="center"/>
              <w:rPr>
                <w:rFonts w:ascii="Times New Roman"/>
                <w:sz w:val="20"/>
              </w:rPr>
            </w:pPr>
            <w:r>
              <w:rPr>
                <w:rFonts w:ascii="Times New Roman"/>
                <w:w w:val="99"/>
                <w:sz w:val="20"/>
              </w:rPr>
              <w:t>2</w:t>
            </w:r>
          </w:p>
        </w:tc>
        <w:tc>
          <w:tcPr>
            <w:tcW w:w="1891" w:type="dxa"/>
          </w:tcPr>
          <w:p>
            <w:pPr>
              <w:pStyle w:val="TableParagraph"/>
              <w:spacing w:before="106"/>
              <w:ind w:left="481" w:right="489"/>
              <w:jc w:val="center"/>
              <w:rPr>
                <w:rFonts w:ascii="Times New Roman"/>
                <w:sz w:val="20"/>
              </w:rPr>
            </w:pPr>
            <w:r>
              <w:rPr>
                <w:rFonts w:ascii="Times New Roman"/>
                <w:sz w:val="20"/>
              </w:rPr>
              <w:t>1.5%</w:t>
            </w:r>
          </w:p>
        </w:tc>
      </w:tr>
      <w:tr>
        <w:trPr>
          <w:trHeight w:val="464" w:hRule="exact"/>
        </w:trPr>
        <w:tc>
          <w:tcPr>
            <w:tcW w:w="4192" w:type="dxa"/>
          </w:tcPr>
          <w:p>
            <w:pPr>
              <w:pStyle w:val="TableParagraph"/>
              <w:spacing w:before="105"/>
              <w:ind w:left="108"/>
              <w:rPr>
                <w:rFonts w:ascii="Times New Roman"/>
                <w:sz w:val="20"/>
              </w:rPr>
            </w:pPr>
            <w:r>
              <w:rPr>
                <w:rFonts w:ascii="Times New Roman"/>
                <w:sz w:val="20"/>
              </w:rPr>
              <w:t>His/ her Grandmother</w:t>
            </w:r>
          </w:p>
        </w:tc>
        <w:tc>
          <w:tcPr>
            <w:tcW w:w="1941" w:type="dxa"/>
          </w:tcPr>
          <w:p>
            <w:pPr>
              <w:pStyle w:val="TableParagraph"/>
              <w:spacing w:before="105"/>
              <w:ind w:left="576" w:right="479"/>
              <w:jc w:val="center"/>
              <w:rPr>
                <w:rFonts w:ascii="Times New Roman"/>
                <w:sz w:val="20"/>
              </w:rPr>
            </w:pPr>
            <w:r>
              <w:rPr>
                <w:rFonts w:ascii="Times New Roman"/>
                <w:sz w:val="20"/>
              </w:rPr>
              <w:t>10</w:t>
            </w:r>
          </w:p>
        </w:tc>
        <w:tc>
          <w:tcPr>
            <w:tcW w:w="1891" w:type="dxa"/>
          </w:tcPr>
          <w:p>
            <w:pPr>
              <w:pStyle w:val="TableParagraph"/>
              <w:spacing w:before="105"/>
              <w:ind w:left="481" w:right="489"/>
              <w:jc w:val="center"/>
              <w:rPr>
                <w:rFonts w:ascii="Times New Roman"/>
                <w:sz w:val="20"/>
              </w:rPr>
            </w:pPr>
            <w:r>
              <w:rPr>
                <w:rFonts w:ascii="Times New Roman"/>
                <w:sz w:val="20"/>
              </w:rPr>
              <w:t>7.6%</w:t>
            </w:r>
          </w:p>
        </w:tc>
      </w:tr>
      <w:tr>
        <w:trPr>
          <w:trHeight w:val="467" w:hRule="exact"/>
        </w:trPr>
        <w:tc>
          <w:tcPr>
            <w:tcW w:w="4192" w:type="dxa"/>
          </w:tcPr>
          <w:p>
            <w:pPr>
              <w:pStyle w:val="TableParagraph"/>
              <w:spacing w:before="106"/>
              <w:ind w:left="108"/>
              <w:rPr>
                <w:rFonts w:ascii="Times New Roman"/>
                <w:sz w:val="20"/>
              </w:rPr>
            </w:pPr>
            <w:r>
              <w:rPr>
                <w:rFonts w:ascii="Times New Roman"/>
                <w:sz w:val="20"/>
              </w:rPr>
              <w:t>Other (uncle)</w:t>
            </w:r>
          </w:p>
        </w:tc>
        <w:tc>
          <w:tcPr>
            <w:tcW w:w="1941" w:type="dxa"/>
          </w:tcPr>
          <w:p>
            <w:pPr>
              <w:pStyle w:val="TableParagraph"/>
              <w:spacing w:before="106"/>
              <w:ind w:left="96"/>
              <w:jc w:val="center"/>
              <w:rPr>
                <w:rFonts w:ascii="Times New Roman"/>
                <w:sz w:val="20"/>
              </w:rPr>
            </w:pPr>
            <w:r>
              <w:rPr>
                <w:rFonts w:ascii="Times New Roman"/>
                <w:w w:val="99"/>
                <w:sz w:val="20"/>
              </w:rPr>
              <w:t>1</w:t>
            </w:r>
          </w:p>
        </w:tc>
        <w:tc>
          <w:tcPr>
            <w:tcW w:w="1891" w:type="dxa"/>
          </w:tcPr>
          <w:p>
            <w:pPr>
              <w:pStyle w:val="TableParagraph"/>
              <w:spacing w:before="106"/>
              <w:ind w:left="481" w:right="489"/>
              <w:jc w:val="center"/>
              <w:rPr>
                <w:rFonts w:ascii="Times New Roman"/>
                <w:sz w:val="20"/>
              </w:rPr>
            </w:pPr>
            <w:r>
              <w:rPr>
                <w:rFonts w:ascii="Times New Roman"/>
                <w:sz w:val="20"/>
              </w:rPr>
              <w:t>0.8%</w:t>
            </w:r>
          </w:p>
        </w:tc>
      </w:tr>
      <w:tr>
        <w:trPr>
          <w:trHeight w:val="465" w:hRule="exact"/>
        </w:trPr>
        <w:tc>
          <w:tcPr>
            <w:tcW w:w="4192" w:type="dxa"/>
          </w:tcPr>
          <w:p>
            <w:pPr>
              <w:pStyle w:val="TableParagraph"/>
              <w:spacing w:before="108"/>
              <w:ind w:left="108"/>
              <w:rPr>
                <w:rFonts w:ascii="Times New Roman" w:hAnsi="Times New Roman"/>
                <w:b/>
                <w:sz w:val="20"/>
              </w:rPr>
            </w:pPr>
            <w:r>
              <w:rPr>
                <w:rFonts w:ascii="Times New Roman" w:hAnsi="Times New Roman"/>
                <w:b/>
                <w:sz w:val="20"/>
              </w:rPr>
              <w:t>Father’s occupation</w:t>
            </w:r>
          </w:p>
        </w:tc>
        <w:tc>
          <w:tcPr>
            <w:tcW w:w="1941" w:type="dxa"/>
          </w:tcPr>
          <w:p>
            <w:pPr/>
          </w:p>
        </w:tc>
        <w:tc>
          <w:tcPr>
            <w:tcW w:w="1891" w:type="dxa"/>
          </w:tcPr>
          <w:p>
            <w:pPr/>
          </w:p>
        </w:tc>
      </w:tr>
      <w:tr>
        <w:trPr>
          <w:trHeight w:val="462" w:hRule="exact"/>
        </w:trPr>
        <w:tc>
          <w:tcPr>
            <w:tcW w:w="4192" w:type="dxa"/>
          </w:tcPr>
          <w:p>
            <w:pPr>
              <w:pStyle w:val="TableParagraph"/>
              <w:spacing w:before="104"/>
              <w:ind w:left="108"/>
              <w:rPr>
                <w:rFonts w:ascii="Times New Roman"/>
                <w:sz w:val="20"/>
              </w:rPr>
            </w:pPr>
            <w:r>
              <w:rPr>
                <w:rFonts w:ascii="Times New Roman"/>
                <w:sz w:val="20"/>
              </w:rPr>
              <w:t>None</w:t>
            </w:r>
          </w:p>
        </w:tc>
        <w:tc>
          <w:tcPr>
            <w:tcW w:w="1941" w:type="dxa"/>
          </w:tcPr>
          <w:p>
            <w:pPr>
              <w:pStyle w:val="TableParagraph"/>
              <w:spacing w:before="104"/>
              <w:ind w:left="576" w:right="479"/>
              <w:jc w:val="center"/>
              <w:rPr>
                <w:rFonts w:ascii="Times New Roman"/>
                <w:sz w:val="20"/>
              </w:rPr>
            </w:pPr>
            <w:r>
              <w:rPr>
                <w:rFonts w:ascii="Times New Roman"/>
                <w:sz w:val="20"/>
              </w:rPr>
              <w:t>12</w:t>
            </w:r>
          </w:p>
        </w:tc>
        <w:tc>
          <w:tcPr>
            <w:tcW w:w="1891" w:type="dxa"/>
          </w:tcPr>
          <w:p>
            <w:pPr>
              <w:pStyle w:val="TableParagraph"/>
              <w:spacing w:before="104"/>
              <w:ind w:left="481" w:right="489"/>
              <w:jc w:val="center"/>
              <w:rPr>
                <w:rFonts w:ascii="Times New Roman"/>
                <w:sz w:val="20"/>
              </w:rPr>
            </w:pPr>
            <w:r>
              <w:rPr>
                <w:rFonts w:ascii="Times New Roman"/>
                <w:sz w:val="20"/>
              </w:rPr>
              <w:t>9.2%</w:t>
            </w:r>
          </w:p>
        </w:tc>
      </w:tr>
      <w:tr>
        <w:trPr>
          <w:trHeight w:val="464" w:hRule="exact"/>
        </w:trPr>
        <w:tc>
          <w:tcPr>
            <w:tcW w:w="4192" w:type="dxa"/>
          </w:tcPr>
          <w:p>
            <w:pPr>
              <w:pStyle w:val="TableParagraph"/>
              <w:spacing w:before="105"/>
              <w:ind w:left="108"/>
              <w:rPr>
                <w:rFonts w:ascii="Times New Roman"/>
                <w:sz w:val="20"/>
              </w:rPr>
            </w:pPr>
            <w:r>
              <w:rPr>
                <w:rFonts w:ascii="Times New Roman"/>
                <w:sz w:val="20"/>
              </w:rPr>
              <w:t>Small farmers</w:t>
            </w:r>
          </w:p>
        </w:tc>
        <w:tc>
          <w:tcPr>
            <w:tcW w:w="1941" w:type="dxa"/>
          </w:tcPr>
          <w:p>
            <w:pPr>
              <w:pStyle w:val="TableParagraph"/>
              <w:spacing w:before="105"/>
              <w:ind w:left="576" w:right="479"/>
              <w:jc w:val="center"/>
              <w:rPr>
                <w:rFonts w:ascii="Times New Roman"/>
                <w:sz w:val="20"/>
              </w:rPr>
            </w:pPr>
            <w:r>
              <w:rPr>
                <w:rFonts w:ascii="Times New Roman"/>
                <w:sz w:val="20"/>
              </w:rPr>
              <w:t>19</w:t>
            </w:r>
          </w:p>
        </w:tc>
        <w:tc>
          <w:tcPr>
            <w:tcW w:w="1891" w:type="dxa"/>
          </w:tcPr>
          <w:p>
            <w:pPr>
              <w:pStyle w:val="TableParagraph"/>
              <w:spacing w:before="105"/>
              <w:ind w:left="481" w:right="489"/>
              <w:jc w:val="center"/>
              <w:rPr>
                <w:rFonts w:ascii="Times New Roman"/>
                <w:sz w:val="20"/>
              </w:rPr>
            </w:pPr>
            <w:r>
              <w:rPr>
                <w:rFonts w:ascii="Times New Roman"/>
                <w:sz w:val="20"/>
              </w:rPr>
              <w:t>14.5%</w:t>
            </w:r>
          </w:p>
        </w:tc>
      </w:tr>
      <w:tr>
        <w:trPr>
          <w:trHeight w:val="466" w:hRule="exact"/>
        </w:trPr>
        <w:tc>
          <w:tcPr>
            <w:tcW w:w="4192" w:type="dxa"/>
          </w:tcPr>
          <w:p>
            <w:pPr>
              <w:pStyle w:val="TableParagraph"/>
              <w:spacing w:before="106"/>
              <w:ind w:left="108"/>
              <w:rPr>
                <w:rFonts w:ascii="Times New Roman"/>
                <w:sz w:val="20"/>
              </w:rPr>
            </w:pPr>
            <w:r>
              <w:rPr>
                <w:rFonts w:ascii="Times New Roman"/>
                <w:sz w:val="20"/>
              </w:rPr>
              <w:t>Builder/ bricklayer</w:t>
            </w:r>
          </w:p>
        </w:tc>
        <w:tc>
          <w:tcPr>
            <w:tcW w:w="1941" w:type="dxa"/>
          </w:tcPr>
          <w:p>
            <w:pPr>
              <w:pStyle w:val="TableParagraph"/>
              <w:spacing w:before="106"/>
              <w:ind w:left="576" w:right="479"/>
              <w:jc w:val="center"/>
              <w:rPr>
                <w:rFonts w:ascii="Times New Roman"/>
                <w:sz w:val="20"/>
              </w:rPr>
            </w:pPr>
            <w:r>
              <w:rPr>
                <w:rFonts w:ascii="Times New Roman"/>
                <w:sz w:val="20"/>
              </w:rPr>
              <w:t>87</w:t>
            </w:r>
          </w:p>
        </w:tc>
        <w:tc>
          <w:tcPr>
            <w:tcW w:w="1891" w:type="dxa"/>
          </w:tcPr>
          <w:p>
            <w:pPr>
              <w:pStyle w:val="TableParagraph"/>
              <w:spacing w:before="106"/>
              <w:ind w:left="481" w:right="489"/>
              <w:jc w:val="center"/>
              <w:rPr>
                <w:rFonts w:ascii="Times New Roman"/>
                <w:sz w:val="20"/>
              </w:rPr>
            </w:pPr>
            <w:r>
              <w:rPr>
                <w:rFonts w:ascii="Times New Roman"/>
                <w:sz w:val="20"/>
              </w:rPr>
              <w:t>66.4%</w:t>
            </w:r>
          </w:p>
        </w:tc>
      </w:tr>
      <w:tr>
        <w:trPr>
          <w:trHeight w:val="467" w:hRule="exact"/>
        </w:trPr>
        <w:tc>
          <w:tcPr>
            <w:tcW w:w="4192" w:type="dxa"/>
          </w:tcPr>
          <w:p>
            <w:pPr>
              <w:pStyle w:val="TableParagraph"/>
              <w:spacing w:before="106"/>
              <w:ind w:left="108"/>
              <w:rPr>
                <w:rFonts w:ascii="Times New Roman"/>
                <w:sz w:val="20"/>
              </w:rPr>
            </w:pPr>
            <w:r>
              <w:rPr>
                <w:rFonts w:ascii="Times New Roman"/>
                <w:sz w:val="20"/>
                <w:u w:val="single"/>
              </w:rPr>
              <w:t>Other</w:t>
            </w:r>
          </w:p>
        </w:tc>
        <w:tc>
          <w:tcPr>
            <w:tcW w:w="1941" w:type="dxa"/>
          </w:tcPr>
          <w:p>
            <w:pPr>
              <w:pStyle w:val="TableParagraph"/>
              <w:spacing w:before="106"/>
              <w:ind w:left="576" w:right="479"/>
              <w:jc w:val="center"/>
              <w:rPr>
                <w:rFonts w:ascii="Times New Roman"/>
                <w:sz w:val="20"/>
              </w:rPr>
            </w:pPr>
            <w:r>
              <w:rPr>
                <w:rFonts w:ascii="Times New Roman"/>
                <w:sz w:val="20"/>
              </w:rPr>
              <w:t>13</w:t>
            </w:r>
          </w:p>
        </w:tc>
        <w:tc>
          <w:tcPr>
            <w:tcW w:w="1891" w:type="dxa"/>
          </w:tcPr>
          <w:p>
            <w:pPr>
              <w:pStyle w:val="TableParagraph"/>
              <w:spacing w:before="106"/>
              <w:ind w:left="481" w:right="489"/>
              <w:jc w:val="center"/>
              <w:rPr>
                <w:rFonts w:ascii="Times New Roman"/>
                <w:sz w:val="20"/>
              </w:rPr>
            </w:pPr>
            <w:r>
              <w:rPr>
                <w:rFonts w:ascii="Times New Roman"/>
                <w:sz w:val="20"/>
              </w:rPr>
              <w:t>9.9%</w:t>
            </w:r>
          </w:p>
        </w:tc>
      </w:tr>
      <w:tr>
        <w:trPr>
          <w:trHeight w:val="464" w:hRule="exact"/>
        </w:trPr>
        <w:tc>
          <w:tcPr>
            <w:tcW w:w="4192" w:type="dxa"/>
          </w:tcPr>
          <w:p>
            <w:pPr>
              <w:pStyle w:val="TableParagraph"/>
              <w:spacing w:before="108"/>
              <w:ind w:left="108"/>
              <w:rPr>
                <w:rFonts w:ascii="Times New Roman" w:hAnsi="Times New Roman"/>
                <w:b/>
                <w:sz w:val="20"/>
              </w:rPr>
            </w:pPr>
            <w:r>
              <w:rPr>
                <w:rFonts w:ascii="Times New Roman" w:hAnsi="Times New Roman"/>
                <w:b/>
                <w:sz w:val="20"/>
              </w:rPr>
              <w:t>Mother’s occupation</w:t>
            </w:r>
          </w:p>
        </w:tc>
        <w:tc>
          <w:tcPr>
            <w:tcW w:w="1941" w:type="dxa"/>
          </w:tcPr>
          <w:p>
            <w:pPr/>
          </w:p>
        </w:tc>
        <w:tc>
          <w:tcPr>
            <w:tcW w:w="1891" w:type="dxa"/>
          </w:tcPr>
          <w:p>
            <w:pPr/>
          </w:p>
        </w:tc>
      </w:tr>
      <w:tr>
        <w:trPr>
          <w:trHeight w:val="462" w:hRule="exact"/>
        </w:trPr>
        <w:tc>
          <w:tcPr>
            <w:tcW w:w="4192" w:type="dxa"/>
          </w:tcPr>
          <w:p>
            <w:pPr>
              <w:pStyle w:val="TableParagraph"/>
              <w:spacing w:before="104"/>
              <w:ind w:left="108"/>
              <w:rPr>
                <w:rFonts w:ascii="Times New Roman"/>
                <w:sz w:val="20"/>
              </w:rPr>
            </w:pPr>
            <w:r>
              <w:rPr>
                <w:rFonts w:ascii="Times New Roman"/>
                <w:sz w:val="20"/>
              </w:rPr>
              <w:t>Housewife</w:t>
            </w:r>
          </w:p>
        </w:tc>
        <w:tc>
          <w:tcPr>
            <w:tcW w:w="1941" w:type="dxa"/>
          </w:tcPr>
          <w:p>
            <w:pPr>
              <w:pStyle w:val="TableParagraph"/>
              <w:spacing w:before="104"/>
              <w:ind w:left="576" w:right="479"/>
              <w:jc w:val="center"/>
              <w:rPr>
                <w:rFonts w:ascii="Times New Roman"/>
                <w:sz w:val="20"/>
              </w:rPr>
            </w:pPr>
            <w:r>
              <w:rPr>
                <w:rFonts w:ascii="Times New Roman"/>
                <w:sz w:val="20"/>
              </w:rPr>
              <w:t>118</w:t>
            </w:r>
          </w:p>
        </w:tc>
        <w:tc>
          <w:tcPr>
            <w:tcW w:w="1891" w:type="dxa"/>
          </w:tcPr>
          <w:p>
            <w:pPr>
              <w:pStyle w:val="TableParagraph"/>
              <w:spacing w:before="104"/>
              <w:ind w:left="481" w:right="489"/>
              <w:jc w:val="center"/>
              <w:rPr>
                <w:rFonts w:ascii="Times New Roman"/>
                <w:sz w:val="20"/>
              </w:rPr>
            </w:pPr>
            <w:r>
              <w:rPr>
                <w:rFonts w:ascii="Times New Roman"/>
                <w:sz w:val="20"/>
              </w:rPr>
              <w:t>90.1%</w:t>
            </w:r>
          </w:p>
        </w:tc>
      </w:tr>
      <w:tr>
        <w:trPr>
          <w:trHeight w:val="465" w:hRule="exact"/>
        </w:trPr>
        <w:tc>
          <w:tcPr>
            <w:tcW w:w="4192" w:type="dxa"/>
          </w:tcPr>
          <w:p>
            <w:pPr>
              <w:pStyle w:val="TableParagraph"/>
              <w:spacing w:before="105"/>
              <w:ind w:left="108"/>
              <w:rPr>
                <w:rFonts w:ascii="Times New Roman"/>
                <w:sz w:val="20"/>
              </w:rPr>
            </w:pPr>
            <w:r>
              <w:rPr>
                <w:rFonts w:ascii="Times New Roman"/>
                <w:sz w:val="20"/>
              </w:rPr>
              <w:t>Housewife and small farmer</w:t>
            </w:r>
          </w:p>
        </w:tc>
        <w:tc>
          <w:tcPr>
            <w:tcW w:w="1941" w:type="dxa"/>
          </w:tcPr>
          <w:p>
            <w:pPr>
              <w:pStyle w:val="TableParagraph"/>
              <w:spacing w:before="105"/>
              <w:ind w:left="96"/>
              <w:jc w:val="center"/>
              <w:rPr>
                <w:rFonts w:ascii="Times New Roman"/>
                <w:sz w:val="20"/>
              </w:rPr>
            </w:pPr>
            <w:r>
              <w:rPr>
                <w:rFonts w:ascii="Times New Roman"/>
                <w:w w:val="99"/>
                <w:sz w:val="20"/>
              </w:rPr>
              <w:t>1</w:t>
            </w:r>
          </w:p>
        </w:tc>
        <w:tc>
          <w:tcPr>
            <w:tcW w:w="1891" w:type="dxa"/>
          </w:tcPr>
          <w:p>
            <w:pPr>
              <w:pStyle w:val="TableParagraph"/>
              <w:spacing w:before="105"/>
              <w:ind w:left="481" w:right="489"/>
              <w:jc w:val="center"/>
              <w:rPr>
                <w:rFonts w:ascii="Times New Roman"/>
                <w:sz w:val="20"/>
              </w:rPr>
            </w:pPr>
            <w:r>
              <w:rPr>
                <w:rFonts w:ascii="Times New Roman"/>
                <w:sz w:val="20"/>
              </w:rPr>
              <w:t>0.8%</w:t>
            </w:r>
          </w:p>
        </w:tc>
      </w:tr>
      <w:tr>
        <w:trPr>
          <w:trHeight w:val="467" w:hRule="exact"/>
        </w:trPr>
        <w:tc>
          <w:tcPr>
            <w:tcW w:w="4192" w:type="dxa"/>
          </w:tcPr>
          <w:p>
            <w:pPr>
              <w:pStyle w:val="TableParagraph"/>
              <w:spacing w:before="107"/>
              <w:ind w:left="108"/>
              <w:rPr>
                <w:rFonts w:ascii="Times New Roman"/>
                <w:sz w:val="20"/>
              </w:rPr>
            </w:pPr>
            <w:r>
              <w:rPr>
                <w:rFonts w:ascii="Times New Roman"/>
                <w:sz w:val="20"/>
                <w:u w:val="single"/>
              </w:rPr>
              <w:t>Other</w:t>
            </w:r>
          </w:p>
        </w:tc>
        <w:tc>
          <w:tcPr>
            <w:tcW w:w="1941" w:type="dxa"/>
          </w:tcPr>
          <w:p>
            <w:pPr>
              <w:pStyle w:val="TableParagraph"/>
              <w:spacing w:before="107"/>
              <w:ind w:left="576" w:right="479"/>
              <w:jc w:val="center"/>
              <w:rPr>
                <w:rFonts w:ascii="Times New Roman"/>
                <w:sz w:val="20"/>
              </w:rPr>
            </w:pPr>
            <w:r>
              <w:rPr>
                <w:rFonts w:ascii="Times New Roman"/>
                <w:sz w:val="20"/>
              </w:rPr>
              <w:t>12</w:t>
            </w:r>
          </w:p>
        </w:tc>
        <w:tc>
          <w:tcPr>
            <w:tcW w:w="1891" w:type="dxa"/>
          </w:tcPr>
          <w:p>
            <w:pPr>
              <w:pStyle w:val="TableParagraph"/>
              <w:spacing w:before="107"/>
              <w:ind w:left="481" w:right="489"/>
              <w:jc w:val="center"/>
              <w:rPr>
                <w:rFonts w:ascii="Times New Roman"/>
                <w:sz w:val="20"/>
              </w:rPr>
            </w:pPr>
            <w:r>
              <w:rPr>
                <w:rFonts w:ascii="Times New Roman"/>
                <w:sz w:val="20"/>
              </w:rPr>
              <w:t>9.2%</w:t>
            </w:r>
          </w:p>
        </w:tc>
      </w:tr>
      <w:tr>
        <w:trPr>
          <w:trHeight w:val="464" w:hRule="exact"/>
        </w:trPr>
        <w:tc>
          <w:tcPr>
            <w:tcW w:w="4192" w:type="dxa"/>
          </w:tcPr>
          <w:p>
            <w:pPr>
              <w:pStyle w:val="TableParagraph"/>
              <w:spacing w:before="108"/>
              <w:ind w:left="108"/>
              <w:rPr>
                <w:rFonts w:ascii="Times New Roman" w:hAnsi="Times New Roman"/>
                <w:b/>
                <w:sz w:val="20"/>
              </w:rPr>
            </w:pPr>
            <w:r>
              <w:rPr>
                <w:rFonts w:ascii="Times New Roman" w:hAnsi="Times New Roman"/>
                <w:b/>
                <w:sz w:val="20"/>
              </w:rPr>
              <w:t>Mother’s educational level</w:t>
            </w:r>
          </w:p>
        </w:tc>
        <w:tc>
          <w:tcPr>
            <w:tcW w:w="1941" w:type="dxa"/>
          </w:tcPr>
          <w:p>
            <w:pPr/>
          </w:p>
        </w:tc>
        <w:tc>
          <w:tcPr>
            <w:tcW w:w="1891" w:type="dxa"/>
          </w:tcPr>
          <w:p>
            <w:pPr/>
          </w:p>
        </w:tc>
      </w:tr>
      <w:tr>
        <w:trPr>
          <w:trHeight w:val="462" w:hRule="exact"/>
        </w:trPr>
        <w:tc>
          <w:tcPr>
            <w:tcW w:w="4192" w:type="dxa"/>
          </w:tcPr>
          <w:p>
            <w:pPr>
              <w:pStyle w:val="TableParagraph"/>
              <w:spacing w:before="104"/>
              <w:ind w:left="108"/>
              <w:rPr>
                <w:rFonts w:ascii="Times New Roman"/>
                <w:sz w:val="20"/>
              </w:rPr>
            </w:pPr>
            <w:r>
              <w:rPr>
                <w:rFonts w:ascii="Times New Roman"/>
                <w:sz w:val="20"/>
              </w:rPr>
              <w:t>No basic studies completed</w:t>
            </w:r>
          </w:p>
        </w:tc>
        <w:tc>
          <w:tcPr>
            <w:tcW w:w="1941" w:type="dxa"/>
          </w:tcPr>
          <w:p>
            <w:pPr>
              <w:pStyle w:val="TableParagraph"/>
              <w:spacing w:before="104"/>
              <w:ind w:left="576" w:right="479"/>
              <w:jc w:val="center"/>
              <w:rPr>
                <w:rFonts w:ascii="Times New Roman"/>
                <w:sz w:val="20"/>
              </w:rPr>
            </w:pPr>
            <w:r>
              <w:rPr>
                <w:rFonts w:ascii="Times New Roman"/>
                <w:sz w:val="20"/>
              </w:rPr>
              <w:t>54</w:t>
            </w:r>
          </w:p>
        </w:tc>
        <w:tc>
          <w:tcPr>
            <w:tcW w:w="1891" w:type="dxa"/>
          </w:tcPr>
          <w:p>
            <w:pPr>
              <w:pStyle w:val="TableParagraph"/>
              <w:spacing w:before="104"/>
              <w:ind w:left="481" w:right="489"/>
              <w:jc w:val="center"/>
              <w:rPr>
                <w:rFonts w:ascii="Times New Roman"/>
                <w:sz w:val="20"/>
              </w:rPr>
            </w:pPr>
            <w:r>
              <w:rPr>
                <w:rFonts w:ascii="Times New Roman"/>
                <w:sz w:val="20"/>
              </w:rPr>
              <w:t>41.2%</w:t>
            </w:r>
          </w:p>
        </w:tc>
      </w:tr>
      <w:tr>
        <w:trPr>
          <w:trHeight w:val="331" w:hRule="exact"/>
        </w:trPr>
        <w:tc>
          <w:tcPr>
            <w:tcW w:w="4192" w:type="dxa"/>
          </w:tcPr>
          <w:p>
            <w:pPr>
              <w:pStyle w:val="TableParagraph"/>
              <w:spacing w:before="105"/>
              <w:ind w:left="108"/>
              <w:rPr>
                <w:rFonts w:ascii="Times New Roman"/>
                <w:sz w:val="20"/>
              </w:rPr>
            </w:pPr>
            <w:r>
              <w:rPr>
                <w:rFonts w:ascii="Times New Roman"/>
                <w:sz w:val="20"/>
              </w:rPr>
              <w:t>Elementary school</w:t>
            </w:r>
          </w:p>
        </w:tc>
        <w:tc>
          <w:tcPr>
            <w:tcW w:w="1941" w:type="dxa"/>
          </w:tcPr>
          <w:p>
            <w:pPr>
              <w:pStyle w:val="TableParagraph"/>
              <w:spacing w:before="105"/>
              <w:ind w:left="576" w:right="479"/>
              <w:jc w:val="center"/>
              <w:rPr>
                <w:rFonts w:ascii="Times New Roman"/>
                <w:sz w:val="20"/>
              </w:rPr>
            </w:pPr>
            <w:r>
              <w:rPr>
                <w:rFonts w:ascii="Times New Roman"/>
                <w:sz w:val="20"/>
              </w:rPr>
              <w:t>53</w:t>
            </w:r>
          </w:p>
        </w:tc>
        <w:tc>
          <w:tcPr>
            <w:tcW w:w="1891" w:type="dxa"/>
          </w:tcPr>
          <w:p>
            <w:pPr>
              <w:pStyle w:val="TableParagraph"/>
              <w:spacing w:before="105"/>
              <w:ind w:left="481" w:right="489"/>
              <w:jc w:val="center"/>
              <w:rPr>
                <w:rFonts w:ascii="Times New Roman"/>
                <w:sz w:val="20"/>
              </w:rPr>
            </w:pPr>
            <w:r>
              <w:rPr>
                <w:rFonts w:ascii="Times New Roman"/>
                <w:sz w:val="20"/>
              </w:rPr>
              <w:t>40.5%</w:t>
            </w:r>
          </w:p>
        </w:tc>
      </w:tr>
    </w:tbl>
    <w:p>
      <w:pPr>
        <w:spacing w:after="0"/>
        <w:jc w:val="center"/>
        <w:rPr>
          <w:rFonts w:ascii="Times New Roman"/>
          <w:sz w:val="20"/>
        </w:rPr>
        <w:sectPr>
          <w:footerReference w:type="default" r:id="rId34"/>
          <w:pgSz w:w="12240" w:h="15840"/>
          <w:pgMar w:footer="964" w:header="686" w:top="1080" w:bottom="1160" w:left="1280" w:right="1560"/>
        </w:sectPr>
      </w:pPr>
    </w:p>
    <w:p>
      <w:pPr>
        <w:pStyle w:val="BodyText"/>
        <w:rPr>
          <w:rFonts w:ascii="Times New Roman"/>
          <w:sz w:val="20"/>
        </w:rPr>
      </w:pPr>
    </w:p>
    <w:p>
      <w:pPr>
        <w:pStyle w:val="BodyText"/>
        <w:rPr>
          <w:rFonts w:ascii="Times New Roman"/>
          <w:sz w:val="20"/>
        </w:rPr>
      </w:pPr>
    </w:p>
    <w:p>
      <w:pPr>
        <w:pStyle w:val="BodyText"/>
        <w:spacing w:before="6" w:after="1"/>
        <w:rPr>
          <w:rFonts w:ascii="Times New Roman"/>
          <w:sz w:val="15"/>
        </w:rPr>
      </w:pPr>
    </w:p>
    <w:tbl>
      <w:tblPr>
        <w:tblW w:w="0" w:type="auto"/>
        <w:jc w:val="left"/>
        <w:tblInd w:w="9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16"/>
        <w:gridCol w:w="2073"/>
        <w:gridCol w:w="1936"/>
      </w:tblGrid>
      <w:tr>
        <w:trPr>
          <w:trHeight w:val="331" w:hRule="exact"/>
        </w:trPr>
        <w:tc>
          <w:tcPr>
            <w:tcW w:w="4016" w:type="dxa"/>
          </w:tcPr>
          <w:p>
            <w:pPr>
              <w:pStyle w:val="TableParagraph"/>
              <w:spacing w:line="204" w:lineRule="exact"/>
              <w:ind w:left="108"/>
              <w:rPr>
                <w:rFonts w:ascii="Times New Roman"/>
                <w:sz w:val="20"/>
              </w:rPr>
            </w:pPr>
            <w:r>
              <w:rPr>
                <w:rFonts w:ascii="Times New Roman"/>
                <w:sz w:val="20"/>
              </w:rPr>
              <w:t>Middle school</w:t>
            </w:r>
          </w:p>
        </w:tc>
        <w:tc>
          <w:tcPr>
            <w:tcW w:w="2073" w:type="dxa"/>
          </w:tcPr>
          <w:p>
            <w:pPr>
              <w:pStyle w:val="TableParagraph"/>
              <w:spacing w:line="204" w:lineRule="exact"/>
              <w:ind w:right="774"/>
              <w:jc w:val="right"/>
              <w:rPr>
                <w:rFonts w:ascii="Times New Roman"/>
                <w:sz w:val="20"/>
              </w:rPr>
            </w:pPr>
            <w:r>
              <w:rPr>
                <w:rFonts w:ascii="Times New Roman"/>
                <w:sz w:val="20"/>
              </w:rPr>
              <w:t>21</w:t>
            </w:r>
          </w:p>
        </w:tc>
        <w:tc>
          <w:tcPr>
            <w:tcW w:w="1936" w:type="dxa"/>
          </w:tcPr>
          <w:p>
            <w:pPr>
              <w:pStyle w:val="TableParagraph"/>
              <w:spacing w:line="204" w:lineRule="exact"/>
              <w:ind w:left="725"/>
              <w:rPr>
                <w:rFonts w:ascii="Times New Roman"/>
                <w:sz w:val="20"/>
              </w:rPr>
            </w:pPr>
            <w:r>
              <w:rPr>
                <w:rFonts w:ascii="Times New Roman"/>
                <w:sz w:val="20"/>
              </w:rPr>
              <w:t>16.0%</w:t>
            </w:r>
          </w:p>
        </w:tc>
      </w:tr>
      <w:tr>
        <w:trPr>
          <w:trHeight w:val="467" w:hRule="exact"/>
        </w:trPr>
        <w:tc>
          <w:tcPr>
            <w:tcW w:w="4016" w:type="dxa"/>
          </w:tcPr>
          <w:p>
            <w:pPr>
              <w:pStyle w:val="TableParagraph"/>
              <w:spacing w:before="105"/>
              <w:ind w:left="108"/>
              <w:rPr>
                <w:rFonts w:ascii="Times New Roman"/>
                <w:sz w:val="20"/>
              </w:rPr>
            </w:pPr>
            <w:r>
              <w:rPr>
                <w:rFonts w:ascii="Times New Roman"/>
                <w:sz w:val="20"/>
              </w:rPr>
              <w:t>High school and/or University</w:t>
            </w:r>
          </w:p>
        </w:tc>
        <w:tc>
          <w:tcPr>
            <w:tcW w:w="2073" w:type="dxa"/>
          </w:tcPr>
          <w:p>
            <w:pPr>
              <w:pStyle w:val="TableParagraph"/>
              <w:spacing w:before="105"/>
              <w:ind w:right="826"/>
              <w:jc w:val="right"/>
              <w:rPr>
                <w:rFonts w:ascii="Times New Roman"/>
                <w:sz w:val="20"/>
              </w:rPr>
            </w:pPr>
            <w:r>
              <w:rPr>
                <w:rFonts w:ascii="Times New Roman"/>
                <w:w w:val="99"/>
                <w:sz w:val="20"/>
              </w:rPr>
              <w:t>3</w:t>
            </w:r>
          </w:p>
        </w:tc>
        <w:tc>
          <w:tcPr>
            <w:tcW w:w="1936" w:type="dxa"/>
          </w:tcPr>
          <w:p>
            <w:pPr>
              <w:pStyle w:val="TableParagraph"/>
              <w:spacing w:before="105"/>
              <w:ind w:left="776"/>
              <w:rPr>
                <w:rFonts w:ascii="Times New Roman"/>
                <w:sz w:val="20"/>
              </w:rPr>
            </w:pPr>
            <w:r>
              <w:rPr>
                <w:rFonts w:ascii="Times New Roman"/>
                <w:sz w:val="20"/>
              </w:rPr>
              <w:t>2.3%</w:t>
            </w:r>
          </w:p>
        </w:tc>
      </w:tr>
      <w:tr>
        <w:trPr>
          <w:trHeight w:val="464" w:hRule="exact"/>
        </w:trPr>
        <w:tc>
          <w:tcPr>
            <w:tcW w:w="4016" w:type="dxa"/>
          </w:tcPr>
          <w:p>
            <w:pPr>
              <w:pStyle w:val="TableParagraph"/>
              <w:spacing w:before="109"/>
              <w:ind w:left="108"/>
              <w:rPr>
                <w:rFonts w:ascii="Times New Roman" w:hAnsi="Times New Roman"/>
                <w:b/>
                <w:sz w:val="20"/>
              </w:rPr>
            </w:pPr>
            <w:r>
              <w:rPr>
                <w:rFonts w:ascii="Times New Roman" w:hAnsi="Times New Roman"/>
                <w:b/>
                <w:sz w:val="20"/>
              </w:rPr>
              <w:t>Father’s educational level</w:t>
            </w:r>
          </w:p>
        </w:tc>
        <w:tc>
          <w:tcPr>
            <w:tcW w:w="2073" w:type="dxa"/>
          </w:tcPr>
          <w:p>
            <w:pPr/>
          </w:p>
        </w:tc>
        <w:tc>
          <w:tcPr>
            <w:tcW w:w="1936" w:type="dxa"/>
          </w:tcPr>
          <w:p>
            <w:pPr/>
          </w:p>
        </w:tc>
      </w:tr>
      <w:tr>
        <w:trPr>
          <w:trHeight w:val="462" w:hRule="exact"/>
        </w:trPr>
        <w:tc>
          <w:tcPr>
            <w:tcW w:w="4016" w:type="dxa"/>
          </w:tcPr>
          <w:p>
            <w:pPr>
              <w:pStyle w:val="TableParagraph"/>
              <w:spacing w:before="103"/>
              <w:ind w:left="108"/>
              <w:rPr>
                <w:rFonts w:ascii="Times New Roman"/>
                <w:sz w:val="20"/>
              </w:rPr>
            </w:pPr>
            <w:r>
              <w:rPr>
                <w:rFonts w:ascii="Times New Roman"/>
                <w:sz w:val="20"/>
              </w:rPr>
              <w:t>No basic studies completed</w:t>
            </w:r>
          </w:p>
        </w:tc>
        <w:tc>
          <w:tcPr>
            <w:tcW w:w="2073" w:type="dxa"/>
          </w:tcPr>
          <w:p>
            <w:pPr>
              <w:pStyle w:val="TableParagraph"/>
              <w:spacing w:before="103"/>
              <w:ind w:right="774"/>
              <w:jc w:val="right"/>
              <w:rPr>
                <w:rFonts w:ascii="Times New Roman"/>
                <w:sz w:val="20"/>
              </w:rPr>
            </w:pPr>
            <w:r>
              <w:rPr>
                <w:rFonts w:ascii="Times New Roman"/>
                <w:sz w:val="20"/>
              </w:rPr>
              <w:t>40</w:t>
            </w:r>
          </w:p>
        </w:tc>
        <w:tc>
          <w:tcPr>
            <w:tcW w:w="1936" w:type="dxa"/>
          </w:tcPr>
          <w:p>
            <w:pPr>
              <w:pStyle w:val="TableParagraph"/>
              <w:spacing w:before="103"/>
              <w:ind w:left="725"/>
              <w:rPr>
                <w:rFonts w:ascii="Times New Roman"/>
                <w:sz w:val="20"/>
              </w:rPr>
            </w:pPr>
            <w:r>
              <w:rPr>
                <w:rFonts w:ascii="Times New Roman"/>
                <w:sz w:val="20"/>
              </w:rPr>
              <w:t>30.6%</w:t>
            </w:r>
          </w:p>
        </w:tc>
      </w:tr>
      <w:tr>
        <w:trPr>
          <w:trHeight w:val="464" w:hRule="exact"/>
        </w:trPr>
        <w:tc>
          <w:tcPr>
            <w:tcW w:w="4016" w:type="dxa"/>
          </w:tcPr>
          <w:p>
            <w:pPr>
              <w:pStyle w:val="TableParagraph"/>
              <w:spacing w:before="106"/>
              <w:ind w:left="108"/>
              <w:rPr>
                <w:rFonts w:ascii="Times New Roman"/>
                <w:sz w:val="20"/>
              </w:rPr>
            </w:pPr>
            <w:r>
              <w:rPr>
                <w:rFonts w:ascii="Times New Roman"/>
                <w:sz w:val="20"/>
              </w:rPr>
              <w:t>Elementary school</w:t>
            </w:r>
          </w:p>
        </w:tc>
        <w:tc>
          <w:tcPr>
            <w:tcW w:w="2073" w:type="dxa"/>
          </w:tcPr>
          <w:p>
            <w:pPr>
              <w:pStyle w:val="TableParagraph"/>
              <w:spacing w:before="106"/>
              <w:ind w:right="774"/>
              <w:jc w:val="right"/>
              <w:rPr>
                <w:rFonts w:ascii="Times New Roman"/>
                <w:sz w:val="20"/>
              </w:rPr>
            </w:pPr>
            <w:r>
              <w:rPr>
                <w:rFonts w:ascii="Times New Roman"/>
                <w:sz w:val="20"/>
              </w:rPr>
              <w:t>48</w:t>
            </w:r>
          </w:p>
        </w:tc>
        <w:tc>
          <w:tcPr>
            <w:tcW w:w="1936" w:type="dxa"/>
          </w:tcPr>
          <w:p>
            <w:pPr>
              <w:pStyle w:val="TableParagraph"/>
              <w:spacing w:before="106"/>
              <w:ind w:left="725"/>
              <w:rPr>
                <w:rFonts w:ascii="Times New Roman"/>
                <w:sz w:val="20"/>
              </w:rPr>
            </w:pPr>
            <w:r>
              <w:rPr>
                <w:rFonts w:ascii="Times New Roman"/>
                <w:sz w:val="20"/>
              </w:rPr>
              <w:t>36.6%</w:t>
            </w:r>
          </w:p>
        </w:tc>
      </w:tr>
      <w:tr>
        <w:trPr>
          <w:trHeight w:val="464" w:hRule="exact"/>
        </w:trPr>
        <w:tc>
          <w:tcPr>
            <w:tcW w:w="4016" w:type="dxa"/>
          </w:tcPr>
          <w:p>
            <w:pPr>
              <w:pStyle w:val="TableParagraph"/>
              <w:spacing w:before="105"/>
              <w:ind w:left="108"/>
              <w:rPr>
                <w:rFonts w:ascii="Times New Roman"/>
                <w:sz w:val="20"/>
              </w:rPr>
            </w:pPr>
            <w:r>
              <w:rPr>
                <w:rFonts w:ascii="Times New Roman"/>
                <w:sz w:val="20"/>
              </w:rPr>
              <w:t>Middle school</w:t>
            </w:r>
          </w:p>
        </w:tc>
        <w:tc>
          <w:tcPr>
            <w:tcW w:w="2073" w:type="dxa"/>
          </w:tcPr>
          <w:p>
            <w:pPr>
              <w:pStyle w:val="TableParagraph"/>
              <w:spacing w:before="105"/>
              <w:ind w:right="774"/>
              <w:jc w:val="right"/>
              <w:rPr>
                <w:rFonts w:ascii="Times New Roman"/>
                <w:sz w:val="20"/>
              </w:rPr>
            </w:pPr>
            <w:r>
              <w:rPr>
                <w:rFonts w:ascii="Times New Roman"/>
                <w:sz w:val="20"/>
              </w:rPr>
              <w:t>38</w:t>
            </w:r>
          </w:p>
        </w:tc>
        <w:tc>
          <w:tcPr>
            <w:tcW w:w="1936" w:type="dxa"/>
          </w:tcPr>
          <w:p>
            <w:pPr>
              <w:pStyle w:val="TableParagraph"/>
              <w:spacing w:before="105"/>
              <w:ind w:left="725"/>
              <w:rPr>
                <w:rFonts w:ascii="Times New Roman"/>
                <w:sz w:val="20"/>
              </w:rPr>
            </w:pPr>
            <w:r>
              <w:rPr>
                <w:rFonts w:ascii="Times New Roman"/>
                <w:sz w:val="20"/>
              </w:rPr>
              <w:t>29.0%</w:t>
            </w:r>
          </w:p>
        </w:tc>
      </w:tr>
      <w:tr>
        <w:trPr>
          <w:trHeight w:val="525" w:hRule="exact"/>
        </w:trPr>
        <w:tc>
          <w:tcPr>
            <w:tcW w:w="4016" w:type="dxa"/>
          </w:tcPr>
          <w:p>
            <w:pPr>
              <w:pStyle w:val="TableParagraph"/>
              <w:spacing w:before="106"/>
              <w:ind w:left="108"/>
              <w:rPr>
                <w:rFonts w:ascii="Times New Roman"/>
                <w:sz w:val="20"/>
              </w:rPr>
            </w:pPr>
            <w:r>
              <w:rPr>
                <w:rFonts w:ascii="Times New Roman"/>
                <w:sz w:val="20"/>
              </w:rPr>
              <w:t>High school and/or University</w:t>
            </w:r>
          </w:p>
        </w:tc>
        <w:tc>
          <w:tcPr>
            <w:tcW w:w="2073" w:type="dxa"/>
          </w:tcPr>
          <w:p>
            <w:pPr>
              <w:pStyle w:val="TableParagraph"/>
              <w:spacing w:before="106"/>
              <w:ind w:right="826"/>
              <w:jc w:val="right"/>
              <w:rPr>
                <w:rFonts w:ascii="Times New Roman"/>
                <w:sz w:val="20"/>
              </w:rPr>
            </w:pPr>
            <w:r>
              <w:rPr>
                <w:rFonts w:ascii="Times New Roman"/>
                <w:w w:val="99"/>
                <w:sz w:val="20"/>
              </w:rPr>
              <w:t>5</w:t>
            </w:r>
          </w:p>
        </w:tc>
        <w:tc>
          <w:tcPr>
            <w:tcW w:w="1936" w:type="dxa"/>
          </w:tcPr>
          <w:p>
            <w:pPr>
              <w:pStyle w:val="TableParagraph"/>
              <w:spacing w:before="106"/>
              <w:ind w:left="776"/>
              <w:rPr>
                <w:rFonts w:ascii="Times New Roman"/>
                <w:sz w:val="20"/>
              </w:rPr>
            </w:pPr>
            <w:r>
              <w:rPr>
                <w:rFonts w:ascii="Times New Roman"/>
                <w:sz w:val="20"/>
              </w:rPr>
              <w:t>3.8%</w:t>
            </w:r>
          </w:p>
        </w:tc>
      </w:tr>
      <w:tr>
        <w:trPr>
          <w:trHeight w:val="465" w:hRule="exact"/>
        </w:trPr>
        <w:tc>
          <w:tcPr>
            <w:tcW w:w="4016" w:type="dxa"/>
          </w:tcPr>
          <w:p>
            <w:pPr>
              <w:pStyle w:val="TableParagraph"/>
              <w:spacing w:before="166"/>
              <w:ind w:left="108"/>
              <w:rPr>
                <w:rFonts w:ascii="Times New Roman" w:hAnsi="Times New Roman"/>
                <w:b/>
                <w:sz w:val="20"/>
              </w:rPr>
            </w:pPr>
            <w:r>
              <w:rPr>
                <w:rFonts w:ascii="Times New Roman" w:hAnsi="Times New Roman"/>
                <w:b/>
                <w:sz w:val="20"/>
              </w:rPr>
              <w:t>Primary caregiver’s educational level</w:t>
            </w:r>
          </w:p>
        </w:tc>
        <w:tc>
          <w:tcPr>
            <w:tcW w:w="2073" w:type="dxa"/>
          </w:tcPr>
          <w:p>
            <w:pPr/>
          </w:p>
        </w:tc>
        <w:tc>
          <w:tcPr>
            <w:tcW w:w="1936" w:type="dxa"/>
          </w:tcPr>
          <w:p>
            <w:pPr/>
          </w:p>
        </w:tc>
      </w:tr>
      <w:tr>
        <w:trPr>
          <w:trHeight w:val="406" w:hRule="exact"/>
        </w:trPr>
        <w:tc>
          <w:tcPr>
            <w:tcW w:w="4016" w:type="dxa"/>
          </w:tcPr>
          <w:p>
            <w:pPr>
              <w:pStyle w:val="TableParagraph"/>
              <w:spacing w:before="46"/>
              <w:ind w:left="108"/>
              <w:rPr>
                <w:rFonts w:ascii="Times New Roman"/>
                <w:sz w:val="20"/>
              </w:rPr>
            </w:pPr>
            <w:r>
              <w:rPr>
                <w:rFonts w:ascii="Times New Roman"/>
                <w:sz w:val="20"/>
              </w:rPr>
              <w:t>No basic studies completed</w:t>
            </w:r>
          </w:p>
        </w:tc>
        <w:tc>
          <w:tcPr>
            <w:tcW w:w="2073" w:type="dxa"/>
          </w:tcPr>
          <w:p>
            <w:pPr>
              <w:pStyle w:val="TableParagraph"/>
              <w:spacing w:before="46"/>
              <w:ind w:right="774"/>
              <w:jc w:val="right"/>
              <w:rPr>
                <w:rFonts w:ascii="Times New Roman"/>
                <w:sz w:val="20"/>
              </w:rPr>
            </w:pPr>
            <w:r>
              <w:rPr>
                <w:rFonts w:ascii="Times New Roman"/>
                <w:sz w:val="20"/>
              </w:rPr>
              <w:t>59</w:t>
            </w:r>
          </w:p>
        </w:tc>
        <w:tc>
          <w:tcPr>
            <w:tcW w:w="1936" w:type="dxa"/>
          </w:tcPr>
          <w:p>
            <w:pPr>
              <w:pStyle w:val="TableParagraph"/>
              <w:spacing w:before="46"/>
              <w:ind w:left="725"/>
              <w:rPr>
                <w:rFonts w:ascii="Times New Roman"/>
                <w:sz w:val="20"/>
              </w:rPr>
            </w:pPr>
            <w:r>
              <w:rPr>
                <w:rFonts w:ascii="Times New Roman"/>
                <w:sz w:val="20"/>
              </w:rPr>
              <w:t>45.1%</w:t>
            </w:r>
          </w:p>
        </w:tc>
      </w:tr>
      <w:tr>
        <w:trPr>
          <w:trHeight w:val="464" w:hRule="exact"/>
        </w:trPr>
        <w:tc>
          <w:tcPr>
            <w:tcW w:w="4016" w:type="dxa"/>
          </w:tcPr>
          <w:p>
            <w:pPr>
              <w:pStyle w:val="TableParagraph"/>
              <w:spacing w:before="106"/>
              <w:ind w:left="108"/>
              <w:rPr>
                <w:rFonts w:ascii="Times New Roman"/>
                <w:sz w:val="20"/>
              </w:rPr>
            </w:pPr>
            <w:r>
              <w:rPr>
                <w:rFonts w:ascii="Times New Roman"/>
                <w:sz w:val="20"/>
              </w:rPr>
              <w:t>Elementary school</w:t>
            </w:r>
          </w:p>
        </w:tc>
        <w:tc>
          <w:tcPr>
            <w:tcW w:w="2073" w:type="dxa"/>
          </w:tcPr>
          <w:p>
            <w:pPr>
              <w:pStyle w:val="TableParagraph"/>
              <w:spacing w:before="106"/>
              <w:ind w:right="774"/>
              <w:jc w:val="right"/>
              <w:rPr>
                <w:rFonts w:ascii="Times New Roman"/>
                <w:sz w:val="20"/>
              </w:rPr>
            </w:pPr>
            <w:r>
              <w:rPr>
                <w:rFonts w:ascii="Times New Roman"/>
                <w:sz w:val="20"/>
              </w:rPr>
              <w:t>49</w:t>
            </w:r>
          </w:p>
        </w:tc>
        <w:tc>
          <w:tcPr>
            <w:tcW w:w="1936" w:type="dxa"/>
          </w:tcPr>
          <w:p>
            <w:pPr>
              <w:pStyle w:val="TableParagraph"/>
              <w:spacing w:before="106"/>
              <w:ind w:left="725"/>
              <w:rPr>
                <w:rFonts w:ascii="Times New Roman"/>
                <w:sz w:val="20"/>
              </w:rPr>
            </w:pPr>
            <w:r>
              <w:rPr>
                <w:rFonts w:ascii="Times New Roman"/>
                <w:sz w:val="20"/>
              </w:rPr>
              <w:t>37.4%</w:t>
            </w:r>
          </w:p>
        </w:tc>
      </w:tr>
      <w:tr>
        <w:trPr>
          <w:trHeight w:val="464" w:hRule="exact"/>
        </w:trPr>
        <w:tc>
          <w:tcPr>
            <w:tcW w:w="4016" w:type="dxa"/>
          </w:tcPr>
          <w:p>
            <w:pPr>
              <w:pStyle w:val="TableParagraph"/>
              <w:spacing w:before="105"/>
              <w:ind w:left="108"/>
              <w:rPr>
                <w:rFonts w:ascii="Times New Roman"/>
                <w:sz w:val="20"/>
              </w:rPr>
            </w:pPr>
            <w:r>
              <w:rPr>
                <w:rFonts w:ascii="Times New Roman"/>
                <w:sz w:val="20"/>
              </w:rPr>
              <w:t>Middle school</w:t>
            </w:r>
          </w:p>
        </w:tc>
        <w:tc>
          <w:tcPr>
            <w:tcW w:w="2073" w:type="dxa"/>
          </w:tcPr>
          <w:p>
            <w:pPr>
              <w:pStyle w:val="TableParagraph"/>
              <w:spacing w:before="105"/>
              <w:ind w:right="774"/>
              <w:jc w:val="right"/>
              <w:rPr>
                <w:rFonts w:ascii="Times New Roman"/>
                <w:sz w:val="20"/>
              </w:rPr>
            </w:pPr>
            <w:r>
              <w:rPr>
                <w:rFonts w:ascii="Times New Roman"/>
                <w:sz w:val="20"/>
              </w:rPr>
              <w:t>20</w:t>
            </w:r>
          </w:p>
        </w:tc>
        <w:tc>
          <w:tcPr>
            <w:tcW w:w="1936" w:type="dxa"/>
          </w:tcPr>
          <w:p>
            <w:pPr>
              <w:pStyle w:val="TableParagraph"/>
              <w:spacing w:before="105"/>
              <w:ind w:left="725"/>
              <w:rPr>
                <w:rFonts w:ascii="Times New Roman"/>
                <w:sz w:val="20"/>
              </w:rPr>
            </w:pPr>
            <w:r>
              <w:rPr>
                <w:rFonts w:ascii="Times New Roman"/>
                <w:sz w:val="20"/>
              </w:rPr>
              <w:t>15.3%</w:t>
            </w:r>
          </w:p>
        </w:tc>
      </w:tr>
      <w:tr>
        <w:trPr>
          <w:trHeight w:val="584" w:hRule="exact"/>
        </w:trPr>
        <w:tc>
          <w:tcPr>
            <w:tcW w:w="4016" w:type="dxa"/>
            <w:tcBorders>
              <w:bottom w:val="single" w:sz="8" w:space="0" w:color="000000"/>
            </w:tcBorders>
          </w:tcPr>
          <w:p>
            <w:pPr>
              <w:pStyle w:val="TableParagraph"/>
              <w:spacing w:before="106"/>
              <w:ind w:left="108"/>
              <w:rPr>
                <w:rFonts w:ascii="Times New Roman"/>
                <w:sz w:val="20"/>
              </w:rPr>
            </w:pPr>
            <w:r>
              <w:rPr>
                <w:rFonts w:ascii="Times New Roman"/>
                <w:sz w:val="20"/>
              </w:rPr>
              <w:t>High school level and/or University</w:t>
            </w:r>
          </w:p>
        </w:tc>
        <w:tc>
          <w:tcPr>
            <w:tcW w:w="2073" w:type="dxa"/>
            <w:tcBorders>
              <w:bottom w:val="single" w:sz="8" w:space="0" w:color="000000"/>
            </w:tcBorders>
          </w:tcPr>
          <w:p>
            <w:pPr>
              <w:pStyle w:val="TableParagraph"/>
              <w:spacing w:before="106"/>
              <w:ind w:right="826"/>
              <w:jc w:val="right"/>
              <w:rPr>
                <w:rFonts w:ascii="Times New Roman"/>
                <w:sz w:val="20"/>
              </w:rPr>
            </w:pPr>
            <w:r>
              <w:rPr>
                <w:rFonts w:ascii="Times New Roman"/>
                <w:w w:val="99"/>
                <w:sz w:val="20"/>
              </w:rPr>
              <w:t>3</w:t>
            </w:r>
          </w:p>
        </w:tc>
        <w:tc>
          <w:tcPr>
            <w:tcW w:w="1936" w:type="dxa"/>
            <w:tcBorders>
              <w:bottom w:val="single" w:sz="8" w:space="0" w:color="000000"/>
            </w:tcBorders>
          </w:tcPr>
          <w:p>
            <w:pPr>
              <w:pStyle w:val="TableParagraph"/>
              <w:spacing w:before="106"/>
              <w:ind w:left="776"/>
              <w:rPr>
                <w:rFonts w:ascii="Times New Roman"/>
                <w:sz w:val="20"/>
              </w:rPr>
            </w:pPr>
            <w:r>
              <w:rPr>
                <w:rFonts w:ascii="Times New Roman"/>
                <w:sz w:val="20"/>
              </w:rPr>
              <w:t>2.3%</w:t>
            </w:r>
          </w:p>
        </w:tc>
      </w:tr>
      <w:tr>
        <w:trPr>
          <w:trHeight w:val="485" w:hRule="exact"/>
        </w:trPr>
        <w:tc>
          <w:tcPr>
            <w:tcW w:w="8025" w:type="dxa"/>
            <w:gridSpan w:val="3"/>
            <w:tcBorders>
              <w:top w:val="single" w:sz="8" w:space="0" w:color="000000"/>
              <w:bottom w:val="single" w:sz="8" w:space="0" w:color="000000"/>
            </w:tcBorders>
          </w:tcPr>
          <w:p>
            <w:pPr>
              <w:pStyle w:val="TableParagraph"/>
              <w:spacing w:line="226" w:lineRule="exact"/>
              <w:ind w:left="195" w:right="201"/>
              <w:jc w:val="center"/>
              <w:rPr>
                <w:rFonts w:ascii="Times New Roman"/>
                <w:sz w:val="20"/>
              </w:rPr>
            </w:pPr>
            <w:r>
              <w:rPr>
                <w:rFonts w:ascii="Times New Roman"/>
                <w:sz w:val="20"/>
              </w:rPr>
              <w:t>Oral hygiene habits</w:t>
            </w:r>
          </w:p>
        </w:tc>
      </w:tr>
      <w:tr>
        <w:trPr>
          <w:trHeight w:val="367" w:hRule="exact"/>
        </w:trPr>
        <w:tc>
          <w:tcPr>
            <w:tcW w:w="4016" w:type="dxa"/>
            <w:tcBorders>
              <w:top w:val="single" w:sz="8" w:space="0" w:color="000000"/>
            </w:tcBorders>
          </w:tcPr>
          <w:p>
            <w:pPr>
              <w:pStyle w:val="TableParagraph"/>
              <w:ind w:left="108"/>
              <w:rPr>
                <w:rFonts w:ascii="Times New Roman"/>
                <w:b/>
                <w:sz w:val="20"/>
              </w:rPr>
            </w:pPr>
            <w:r>
              <w:rPr>
                <w:rFonts w:ascii="Times New Roman"/>
                <w:b/>
                <w:sz w:val="20"/>
              </w:rPr>
              <w:t>Toothbrush ownership</w:t>
            </w:r>
          </w:p>
        </w:tc>
        <w:tc>
          <w:tcPr>
            <w:tcW w:w="2073" w:type="dxa"/>
            <w:tcBorders>
              <w:top w:val="single" w:sz="8" w:space="0" w:color="000000"/>
            </w:tcBorders>
          </w:tcPr>
          <w:p>
            <w:pPr/>
          </w:p>
        </w:tc>
        <w:tc>
          <w:tcPr>
            <w:tcW w:w="1936" w:type="dxa"/>
            <w:tcBorders>
              <w:top w:val="single" w:sz="8" w:space="0" w:color="000000"/>
            </w:tcBorders>
          </w:tcPr>
          <w:p>
            <w:pPr/>
          </w:p>
        </w:tc>
      </w:tr>
      <w:tr>
        <w:trPr>
          <w:trHeight w:val="462" w:hRule="exact"/>
        </w:trPr>
        <w:tc>
          <w:tcPr>
            <w:tcW w:w="4016" w:type="dxa"/>
          </w:tcPr>
          <w:p>
            <w:pPr>
              <w:pStyle w:val="TableParagraph"/>
              <w:spacing w:before="104"/>
              <w:ind w:left="108"/>
              <w:rPr>
                <w:rFonts w:ascii="Times New Roman"/>
                <w:sz w:val="20"/>
              </w:rPr>
            </w:pPr>
            <w:r>
              <w:rPr>
                <w:rFonts w:ascii="Times New Roman"/>
                <w:sz w:val="20"/>
              </w:rPr>
              <w:t>Yes</w:t>
            </w:r>
          </w:p>
        </w:tc>
        <w:tc>
          <w:tcPr>
            <w:tcW w:w="2073" w:type="dxa"/>
          </w:tcPr>
          <w:p>
            <w:pPr>
              <w:pStyle w:val="TableParagraph"/>
              <w:spacing w:before="104"/>
              <w:ind w:right="725"/>
              <w:jc w:val="right"/>
              <w:rPr>
                <w:rFonts w:ascii="Times New Roman"/>
                <w:sz w:val="20"/>
              </w:rPr>
            </w:pPr>
            <w:r>
              <w:rPr>
                <w:rFonts w:ascii="Times New Roman"/>
                <w:sz w:val="20"/>
              </w:rPr>
              <w:t>115</w:t>
            </w:r>
          </w:p>
        </w:tc>
        <w:tc>
          <w:tcPr>
            <w:tcW w:w="1936" w:type="dxa"/>
          </w:tcPr>
          <w:p>
            <w:pPr>
              <w:pStyle w:val="TableParagraph"/>
              <w:spacing w:before="104"/>
              <w:ind w:left="725"/>
              <w:rPr>
                <w:rFonts w:ascii="Times New Roman"/>
                <w:sz w:val="20"/>
              </w:rPr>
            </w:pPr>
            <w:r>
              <w:rPr>
                <w:rFonts w:ascii="Times New Roman"/>
                <w:sz w:val="20"/>
              </w:rPr>
              <w:t>87.8%</w:t>
            </w:r>
          </w:p>
        </w:tc>
      </w:tr>
      <w:tr>
        <w:trPr>
          <w:trHeight w:val="467" w:hRule="exact"/>
        </w:trPr>
        <w:tc>
          <w:tcPr>
            <w:tcW w:w="4016" w:type="dxa"/>
          </w:tcPr>
          <w:p>
            <w:pPr>
              <w:pStyle w:val="TableParagraph"/>
              <w:spacing w:before="105"/>
              <w:ind w:left="108"/>
              <w:rPr>
                <w:rFonts w:ascii="Times New Roman"/>
                <w:sz w:val="20"/>
              </w:rPr>
            </w:pPr>
            <w:r>
              <w:rPr>
                <w:rFonts w:ascii="Times New Roman"/>
                <w:sz w:val="20"/>
              </w:rPr>
              <w:t>No</w:t>
            </w:r>
          </w:p>
        </w:tc>
        <w:tc>
          <w:tcPr>
            <w:tcW w:w="2073" w:type="dxa"/>
          </w:tcPr>
          <w:p>
            <w:pPr>
              <w:pStyle w:val="TableParagraph"/>
              <w:spacing w:before="105"/>
              <w:ind w:right="774"/>
              <w:jc w:val="right"/>
              <w:rPr>
                <w:rFonts w:ascii="Times New Roman"/>
                <w:sz w:val="20"/>
              </w:rPr>
            </w:pPr>
            <w:r>
              <w:rPr>
                <w:rFonts w:ascii="Times New Roman"/>
                <w:sz w:val="20"/>
              </w:rPr>
              <w:t>16</w:t>
            </w:r>
          </w:p>
        </w:tc>
        <w:tc>
          <w:tcPr>
            <w:tcW w:w="1936" w:type="dxa"/>
          </w:tcPr>
          <w:p>
            <w:pPr>
              <w:pStyle w:val="TableParagraph"/>
              <w:spacing w:before="105"/>
              <w:ind w:left="725"/>
              <w:rPr>
                <w:rFonts w:ascii="Times New Roman"/>
                <w:sz w:val="20"/>
              </w:rPr>
            </w:pPr>
            <w:r>
              <w:rPr>
                <w:rFonts w:ascii="Times New Roman"/>
                <w:sz w:val="20"/>
              </w:rPr>
              <w:t>12.2%</w:t>
            </w:r>
          </w:p>
        </w:tc>
      </w:tr>
      <w:tr>
        <w:trPr>
          <w:trHeight w:val="464" w:hRule="exact"/>
        </w:trPr>
        <w:tc>
          <w:tcPr>
            <w:tcW w:w="4016" w:type="dxa"/>
          </w:tcPr>
          <w:p>
            <w:pPr>
              <w:pStyle w:val="TableParagraph"/>
              <w:spacing w:before="109"/>
              <w:ind w:left="108"/>
              <w:rPr>
                <w:rFonts w:ascii="Times New Roman"/>
                <w:b/>
                <w:sz w:val="20"/>
              </w:rPr>
            </w:pPr>
            <w:r>
              <w:rPr>
                <w:rFonts w:ascii="Times New Roman"/>
                <w:b/>
                <w:sz w:val="20"/>
              </w:rPr>
              <w:t>Toothbrush replacement period</w:t>
            </w:r>
          </w:p>
        </w:tc>
        <w:tc>
          <w:tcPr>
            <w:tcW w:w="2073" w:type="dxa"/>
          </w:tcPr>
          <w:p>
            <w:pPr/>
          </w:p>
        </w:tc>
        <w:tc>
          <w:tcPr>
            <w:tcW w:w="1936" w:type="dxa"/>
          </w:tcPr>
          <w:p>
            <w:pPr/>
          </w:p>
        </w:tc>
      </w:tr>
      <w:tr>
        <w:trPr>
          <w:trHeight w:val="462" w:hRule="exact"/>
        </w:trPr>
        <w:tc>
          <w:tcPr>
            <w:tcW w:w="4016" w:type="dxa"/>
          </w:tcPr>
          <w:p>
            <w:pPr>
              <w:pStyle w:val="TableParagraph"/>
              <w:spacing w:before="103"/>
              <w:ind w:left="108"/>
              <w:rPr>
                <w:rFonts w:ascii="Times New Roman"/>
                <w:sz w:val="20"/>
              </w:rPr>
            </w:pPr>
            <w:r>
              <w:rPr>
                <w:rFonts w:ascii="Times New Roman"/>
                <w:sz w:val="20"/>
              </w:rPr>
              <w:t>Does not change it</w:t>
            </w:r>
          </w:p>
        </w:tc>
        <w:tc>
          <w:tcPr>
            <w:tcW w:w="2073" w:type="dxa"/>
          </w:tcPr>
          <w:p>
            <w:pPr>
              <w:pStyle w:val="TableParagraph"/>
              <w:spacing w:before="103"/>
              <w:ind w:right="774"/>
              <w:jc w:val="right"/>
              <w:rPr>
                <w:rFonts w:ascii="Times New Roman"/>
                <w:sz w:val="20"/>
              </w:rPr>
            </w:pPr>
            <w:r>
              <w:rPr>
                <w:rFonts w:ascii="Times New Roman"/>
                <w:sz w:val="20"/>
              </w:rPr>
              <w:t>17</w:t>
            </w:r>
          </w:p>
        </w:tc>
        <w:tc>
          <w:tcPr>
            <w:tcW w:w="1936" w:type="dxa"/>
          </w:tcPr>
          <w:p>
            <w:pPr>
              <w:pStyle w:val="TableParagraph"/>
              <w:spacing w:before="103"/>
              <w:ind w:left="725"/>
              <w:rPr>
                <w:rFonts w:ascii="Times New Roman"/>
                <w:sz w:val="20"/>
              </w:rPr>
            </w:pPr>
            <w:r>
              <w:rPr>
                <w:rFonts w:ascii="Times New Roman"/>
                <w:sz w:val="20"/>
              </w:rPr>
              <w:t>13.0%</w:t>
            </w:r>
          </w:p>
        </w:tc>
      </w:tr>
      <w:tr>
        <w:trPr>
          <w:trHeight w:val="466" w:hRule="exact"/>
        </w:trPr>
        <w:tc>
          <w:tcPr>
            <w:tcW w:w="4016" w:type="dxa"/>
          </w:tcPr>
          <w:p>
            <w:pPr>
              <w:pStyle w:val="TableParagraph"/>
              <w:spacing w:before="106"/>
              <w:ind w:left="108"/>
              <w:rPr>
                <w:rFonts w:ascii="Times New Roman"/>
                <w:sz w:val="20"/>
              </w:rPr>
            </w:pPr>
            <w:r>
              <w:rPr>
                <w:rFonts w:ascii="Times New Roman"/>
                <w:sz w:val="20"/>
              </w:rPr>
              <w:t>Every six months</w:t>
            </w:r>
          </w:p>
        </w:tc>
        <w:tc>
          <w:tcPr>
            <w:tcW w:w="2073" w:type="dxa"/>
          </w:tcPr>
          <w:p>
            <w:pPr>
              <w:pStyle w:val="TableParagraph"/>
              <w:spacing w:before="106"/>
              <w:ind w:right="774"/>
              <w:jc w:val="right"/>
              <w:rPr>
                <w:rFonts w:ascii="Times New Roman"/>
                <w:sz w:val="20"/>
              </w:rPr>
            </w:pPr>
            <w:r>
              <w:rPr>
                <w:rFonts w:ascii="Times New Roman"/>
                <w:sz w:val="20"/>
              </w:rPr>
              <w:t>43</w:t>
            </w:r>
          </w:p>
        </w:tc>
        <w:tc>
          <w:tcPr>
            <w:tcW w:w="1936" w:type="dxa"/>
          </w:tcPr>
          <w:p>
            <w:pPr>
              <w:pStyle w:val="TableParagraph"/>
              <w:spacing w:before="106"/>
              <w:ind w:left="776"/>
              <w:rPr>
                <w:rFonts w:ascii="Times New Roman"/>
                <w:sz w:val="20"/>
              </w:rPr>
            </w:pPr>
            <w:r>
              <w:rPr>
                <w:rFonts w:ascii="Times New Roman"/>
                <w:sz w:val="20"/>
              </w:rPr>
              <w:t>2.3%</w:t>
            </w:r>
          </w:p>
        </w:tc>
      </w:tr>
      <w:tr>
        <w:trPr>
          <w:trHeight w:val="464" w:hRule="exact"/>
        </w:trPr>
        <w:tc>
          <w:tcPr>
            <w:tcW w:w="4016" w:type="dxa"/>
          </w:tcPr>
          <w:p>
            <w:pPr>
              <w:pStyle w:val="TableParagraph"/>
              <w:spacing w:before="106"/>
              <w:ind w:left="108"/>
              <w:rPr>
                <w:rFonts w:ascii="Times New Roman"/>
                <w:sz w:val="20"/>
              </w:rPr>
            </w:pPr>
            <w:r>
              <w:rPr>
                <w:rFonts w:ascii="Times New Roman"/>
                <w:sz w:val="20"/>
              </w:rPr>
              <w:t>Each year</w:t>
            </w:r>
          </w:p>
        </w:tc>
        <w:tc>
          <w:tcPr>
            <w:tcW w:w="2073" w:type="dxa"/>
          </w:tcPr>
          <w:p>
            <w:pPr>
              <w:pStyle w:val="TableParagraph"/>
              <w:spacing w:before="106"/>
              <w:ind w:right="826"/>
              <w:jc w:val="right"/>
              <w:rPr>
                <w:rFonts w:ascii="Times New Roman"/>
                <w:sz w:val="20"/>
              </w:rPr>
            </w:pPr>
            <w:r>
              <w:rPr>
                <w:rFonts w:ascii="Times New Roman"/>
                <w:w w:val="99"/>
                <w:sz w:val="20"/>
              </w:rPr>
              <w:t>3</w:t>
            </w:r>
          </w:p>
        </w:tc>
        <w:tc>
          <w:tcPr>
            <w:tcW w:w="1936" w:type="dxa"/>
          </w:tcPr>
          <w:p>
            <w:pPr>
              <w:pStyle w:val="TableParagraph"/>
              <w:spacing w:before="106"/>
              <w:ind w:left="725"/>
              <w:rPr>
                <w:rFonts w:ascii="Times New Roman"/>
                <w:sz w:val="20"/>
              </w:rPr>
            </w:pPr>
            <w:r>
              <w:rPr>
                <w:rFonts w:ascii="Times New Roman"/>
                <w:sz w:val="20"/>
              </w:rPr>
              <w:t>32.8%</w:t>
            </w:r>
          </w:p>
        </w:tc>
      </w:tr>
      <w:tr>
        <w:trPr>
          <w:trHeight w:val="464" w:hRule="exact"/>
        </w:trPr>
        <w:tc>
          <w:tcPr>
            <w:tcW w:w="4016" w:type="dxa"/>
          </w:tcPr>
          <w:p>
            <w:pPr>
              <w:pStyle w:val="TableParagraph"/>
              <w:spacing w:before="105"/>
              <w:ind w:left="108"/>
              <w:rPr>
                <w:rFonts w:ascii="Times New Roman"/>
                <w:sz w:val="20"/>
              </w:rPr>
            </w:pPr>
            <w:r>
              <w:rPr>
                <w:rFonts w:ascii="Times New Roman"/>
                <w:sz w:val="20"/>
              </w:rPr>
              <w:t>Every three months</w:t>
            </w:r>
          </w:p>
        </w:tc>
        <w:tc>
          <w:tcPr>
            <w:tcW w:w="2073" w:type="dxa"/>
          </w:tcPr>
          <w:p>
            <w:pPr>
              <w:pStyle w:val="TableParagraph"/>
              <w:spacing w:before="105"/>
              <w:ind w:right="774"/>
              <w:jc w:val="right"/>
              <w:rPr>
                <w:rFonts w:ascii="Times New Roman"/>
                <w:sz w:val="20"/>
              </w:rPr>
            </w:pPr>
            <w:r>
              <w:rPr>
                <w:rFonts w:ascii="Times New Roman"/>
                <w:sz w:val="20"/>
              </w:rPr>
              <w:t>51</w:t>
            </w:r>
          </w:p>
        </w:tc>
        <w:tc>
          <w:tcPr>
            <w:tcW w:w="1936" w:type="dxa"/>
          </w:tcPr>
          <w:p>
            <w:pPr>
              <w:pStyle w:val="TableParagraph"/>
              <w:spacing w:before="105"/>
              <w:ind w:left="725"/>
              <w:rPr>
                <w:rFonts w:ascii="Times New Roman"/>
                <w:sz w:val="20"/>
              </w:rPr>
            </w:pPr>
            <w:r>
              <w:rPr>
                <w:rFonts w:ascii="Times New Roman"/>
                <w:sz w:val="20"/>
              </w:rPr>
              <w:t>38.9%</w:t>
            </w:r>
          </w:p>
        </w:tc>
      </w:tr>
      <w:tr>
        <w:trPr>
          <w:trHeight w:val="467" w:hRule="exact"/>
        </w:trPr>
        <w:tc>
          <w:tcPr>
            <w:tcW w:w="4016" w:type="dxa"/>
          </w:tcPr>
          <w:p>
            <w:pPr>
              <w:pStyle w:val="TableParagraph"/>
              <w:spacing w:before="106"/>
              <w:ind w:left="108"/>
              <w:rPr>
                <w:rFonts w:ascii="Times New Roman"/>
                <w:sz w:val="20"/>
              </w:rPr>
            </w:pPr>
            <w:r>
              <w:rPr>
                <w:rFonts w:ascii="Times New Roman"/>
                <w:sz w:val="20"/>
                <w:u w:val="single"/>
              </w:rPr>
              <w:t>Other</w:t>
            </w:r>
          </w:p>
        </w:tc>
        <w:tc>
          <w:tcPr>
            <w:tcW w:w="2073" w:type="dxa"/>
          </w:tcPr>
          <w:p>
            <w:pPr>
              <w:pStyle w:val="TableParagraph"/>
              <w:spacing w:before="106"/>
              <w:ind w:right="774"/>
              <w:jc w:val="right"/>
              <w:rPr>
                <w:rFonts w:ascii="Times New Roman"/>
                <w:sz w:val="20"/>
              </w:rPr>
            </w:pPr>
            <w:r>
              <w:rPr>
                <w:rFonts w:ascii="Times New Roman"/>
                <w:sz w:val="20"/>
              </w:rPr>
              <w:t>17</w:t>
            </w:r>
          </w:p>
        </w:tc>
        <w:tc>
          <w:tcPr>
            <w:tcW w:w="1936" w:type="dxa"/>
          </w:tcPr>
          <w:p>
            <w:pPr>
              <w:pStyle w:val="TableParagraph"/>
              <w:spacing w:before="106"/>
              <w:ind w:left="725"/>
              <w:rPr>
                <w:rFonts w:ascii="Times New Roman"/>
                <w:sz w:val="20"/>
              </w:rPr>
            </w:pPr>
            <w:r>
              <w:rPr>
                <w:rFonts w:ascii="Times New Roman"/>
                <w:sz w:val="20"/>
              </w:rPr>
              <w:t>13.0%</w:t>
            </w:r>
          </w:p>
        </w:tc>
      </w:tr>
      <w:tr>
        <w:trPr>
          <w:trHeight w:val="465" w:hRule="exact"/>
        </w:trPr>
        <w:tc>
          <w:tcPr>
            <w:tcW w:w="4016" w:type="dxa"/>
          </w:tcPr>
          <w:p>
            <w:pPr>
              <w:pStyle w:val="TableParagraph"/>
              <w:spacing w:before="108"/>
              <w:ind w:left="108"/>
              <w:rPr>
                <w:rFonts w:ascii="Times New Roman"/>
                <w:b/>
                <w:sz w:val="20"/>
              </w:rPr>
            </w:pPr>
            <w:r>
              <w:rPr>
                <w:rFonts w:ascii="Times New Roman"/>
                <w:b/>
                <w:sz w:val="20"/>
              </w:rPr>
              <w:t>Toothpaste usage</w:t>
            </w:r>
          </w:p>
        </w:tc>
        <w:tc>
          <w:tcPr>
            <w:tcW w:w="2073" w:type="dxa"/>
          </w:tcPr>
          <w:p>
            <w:pPr/>
          </w:p>
        </w:tc>
        <w:tc>
          <w:tcPr>
            <w:tcW w:w="1936" w:type="dxa"/>
          </w:tcPr>
          <w:p>
            <w:pPr/>
          </w:p>
        </w:tc>
      </w:tr>
      <w:tr>
        <w:trPr>
          <w:trHeight w:val="462" w:hRule="exact"/>
        </w:trPr>
        <w:tc>
          <w:tcPr>
            <w:tcW w:w="4016" w:type="dxa"/>
          </w:tcPr>
          <w:p>
            <w:pPr>
              <w:pStyle w:val="TableParagraph"/>
              <w:spacing w:before="104"/>
              <w:ind w:left="108"/>
              <w:rPr>
                <w:rFonts w:ascii="Times New Roman"/>
                <w:sz w:val="20"/>
              </w:rPr>
            </w:pPr>
            <w:r>
              <w:rPr>
                <w:rFonts w:ascii="Times New Roman"/>
                <w:sz w:val="20"/>
              </w:rPr>
              <w:t>Yes</w:t>
            </w:r>
          </w:p>
        </w:tc>
        <w:tc>
          <w:tcPr>
            <w:tcW w:w="2073" w:type="dxa"/>
          </w:tcPr>
          <w:p>
            <w:pPr>
              <w:pStyle w:val="TableParagraph"/>
              <w:spacing w:before="104"/>
              <w:ind w:right="725"/>
              <w:jc w:val="right"/>
              <w:rPr>
                <w:rFonts w:ascii="Times New Roman"/>
                <w:sz w:val="20"/>
              </w:rPr>
            </w:pPr>
            <w:r>
              <w:rPr>
                <w:rFonts w:ascii="Times New Roman"/>
                <w:sz w:val="20"/>
              </w:rPr>
              <w:t>113</w:t>
            </w:r>
          </w:p>
        </w:tc>
        <w:tc>
          <w:tcPr>
            <w:tcW w:w="1936" w:type="dxa"/>
          </w:tcPr>
          <w:p>
            <w:pPr>
              <w:pStyle w:val="TableParagraph"/>
              <w:spacing w:before="104"/>
              <w:ind w:left="725"/>
              <w:rPr>
                <w:rFonts w:ascii="Times New Roman"/>
                <w:sz w:val="20"/>
              </w:rPr>
            </w:pPr>
            <w:r>
              <w:rPr>
                <w:rFonts w:ascii="Times New Roman"/>
                <w:sz w:val="20"/>
              </w:rPr>
              <w:t>86.3%</w:t>
            </w:r>
          </w:p>
        </w:tc>
      </w:tr>
      <w:tr>
        <w:trPr>
          <w:trHeight w:val="467" w:hRule="exact"/>
        </w:trPr>
        <w:tc>
          <w:tcPr>
            <w:tcW w:w="4016" w:type="dxa"/>
          </w:tcPr>
          <w:p>
            <w:pPr>
              <w:pStyle w:val="TableParagraph"/>
              <w:spacing w:before="105"/>
              <w:ind w:left="108"/>
              <w:rPr>
                <w:rFonts w:ascii="Times New Roman"/>
                <w:sz w:val="20"/>
              </w:rPr>
            </w:pPr>
            <w:r>
              <w:rPr>
                <w:rFonts w:ascii="Times New Roman"/>
                <w:sz w:val="20"/>
              </w:rPr>
              <w:t>No</w:t>
            </w:r>
          </w:p>
        </w:tc>
        <w:tc>
          <w:tcPr>
            <w:tcW w:w="2073" w:type="dxa"/>
          </w:tcPr>
          <w:p>
            <w:pPr>
              <w:pStyle w:val="TableParagraph"/>
              <w:spacing w:before="105"/>
              <w:ind w:right="774"/>
              <w:jc w:val="right"/>
              <w:rPr>
                <w:rFonts w:ascii="Times New Roman"/>
                <w:sz w:val="20"/>
              </w:rPr>
            </w:pPr>
            <w:r>
              <w:rPr>
                <w:rFonts w:ascii="Times New Roman"/>
                <w:sz w:val="20"/>
              </w:rPr>
              <w:t>17</w:t>
            </w:r>
          </w:p>
        </w:tc>
        <w:tc>
          <w:tcPr>
            <w:tcW w:w="1936" w:type="dxa"/>
          </w:tcPr>
          <w:p>
            <w:pPr>
              <w:pStyle w:val="TableParagraph"/>
              <w:spacing w:before="105"/>
              <w:ind w:left="725"/>
              <w:rPr>
                <w:rFonts w:ascii="Times New Roman"/>
                <w:sz w:val="20"/>
              </w:rPr>
            </w:pPr>
            <w:r>
              <w:rPr>
                <w:rFonts w:ascii="Times New Roman"/>
                <w:sz w:val="20"/>
              </w:rPr>
              <w:t>13.0%</w:t>
            </w:r>
          </w:p>
        </w:tc>
      </w:tr>
      <w:tr>
        <w:trPr>
          <w:trHeight w:val="464" w:hRule="exact"/>
        </w:trPr>
        <w:tc>
          <w:tcPr>
            <w:tcW w:w="4016" w:type="dxa"/>
          </w:tcPr>
          <w:p>
            <w:pPr>
              <w:pStyle w:val="TableParagraph"/>
              <w:spacing w:before="109"/>
              <w:ind w:left="108"/>
              <w:rPr>
                <w:rFonts w:ascii="Times New Roman"/>
                <w:b/>
                <w:sz w:val="20"/>
              </w:rPr>
            </w:pPr>
            <w:r>
              <w:rPr>
                <w:rFonts w:ascii="Times New Roman"/>
                <w:b/>
                <w:sz w:val="20"/>
              </w:rPr>
              <w:t>Dental self-cleaning</w:t>
            </w:r>
          </w:p>
        </w:tc>
        <w:tc>
          <w:tcPr>
            <w:tcW w:w="2073" w:type="dxa"/>
          </w:tcPr>
          <w:p>
            <w:pPr/>
          </w:p>
        </w:tc>
        <w:tc>
          <w:tcPr>
            <w:tcW w:w="1936" w:type="dxa"/>
          </w:tcPr>
          <w:p>
            <w:pPr/>
          </w:p>
        </w:tc>
      </w:tr>
      <w:tr>
        <w:trPr>
          <w:trHeight w:val="329" w:hRule="exact"/>
        </w:trPr>
        <w:tc>
          <w:tcPr>
            <w:tcW w:w="4016" w:type="dxa"/>
          </w:tcPr>
          <w:p>
            <w:pPr>
              <w:pStyle w:val="TableParagraph"/>
              <w:spacing w:before="103"/>
              <w:ind w:left="108"/>
              <w:rPr>
                <w:rFonts w:ascii="Times New Roman"/>
                <w:sz w:val="20"/>
              </w:rPr>
            </w:pPr>
            <w:r>
              <w:rPr>
                <w:rFonts w:ascii="Times New Roman"/>
                <w:sz w:val="20"/>
              </w:rPr>
              <w:t>Yes</w:t>
            </w:r>
          </w:p>
        </w:tc>
        <w:tc>
          <w:tcPr>
            <w:tcW w:w="2073" w:type="dxa"/>
          </w:tcPr>
          <w:p>
            <w:pPr>
              <w:pStyle w:val="TableParagraph"/>
              <w:spacing w:before="103"/>
              <w:ind w:right="774"/>
              <w:jc w:val="right"/>
              <w:rPr>
                <w:rFonts w:ascii="Times New Roman"/>
                <w:sz w:val="20"/>
              </w:rPr>
            </w:pPr>
            <w:r>
              <w:rPr>
                <w:rFonts w:ascii="Times New Roman"/>
                <w:sz w:val="20"/>
              </w:rPr>
              <w:t>99</w:t>
            </w:r>
          </w:p>
        </w:tc>
        <w:tc>
          <w:tcPr>
            <w:tcW w:w="1936" w:type="dxa"/>
          </w:tcPr>
          <w:p>
            <w:pPr>
              <w:pStyle w:val="TableParagraph"/>
              <w:spacing w:before="103"/>
              <w:ind w:left="725"/>
              <w:rPr>
                <w:rFonts w:ascii="Times New Roman"/>
                <w:sz w:val="20"/>
              </w:rPr>
            </w:pPr>
            <w:r>
              <w:rPr>
                <w:rFonts w:ascii="Times New Roman"/>
                <w:sz w:val="20"/>
              </w:rPr>
              <w:t>75.6%</w:t>
            </w:r>
          </w:p>
        </w:tc>
      </w:tr>
    </w:tbl>
    <w:p>
      <w:pPr>
        <w:spacing w:after="0"/>
        <w:rPr>
          <w:rFonts w:ascii="Times New Roman"/>
          <w:sz w:val="20"/>
        </w:rPr>
        <w:sectPr>
          <w:footerReference w:type="default" r:id="rId35"/>
          <w:pgSz w:w="12240" w:h="15840"/>
          <w:pgMar w:footer="964" w:header="686" w:top="1080" w:bottom="1160" w:left="1280" w:right="1560"/>
          <w:pgNumType w:start="61"/>
        </w:sectPr>
      </w:pPr>
    </w:p>
    <w:p>
      <w:pPr>
        <w:pStyle w:val="BodyText"/>
        <w:rPr>
          <w:rFonts w:ascii="Times New Roman"/>
          <w:sz w:val="20"/>
        </w:rPr>
      </w:pPr>
    </w:p>
    <w:p>
      <w:pPr>
        <w:pStyle w:val="BodyText"/>
        <w:rPr>
          <w:rFonts w:ascii="Times New Roman"/>
          <w:sz w:val="20"/>
        </w:rPr>
      </w:pPr>
    </w:p>
    <w:p>
      <w:pPr>
        <w:pStyle w:val="BodyText"/>
        <w:spacing w:before="6" w:after="1"/>
        <w:rPr>
          <w:rFonts w:ascii="Times New Roman"/>
          <w:sz w:val="15"/>
        </w:rPr>
      </w:pPr>
    </w:p>
    <w:tbl>
      <w:tblPr>
        <w:tblW w:w="0" w:type="auto"/>
        <w:jc w:val="left"/>
        <w:tblInd w:w="9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98"/>
        <w:gridCol w:w="2790"/>
        <w:gridCol w:w="1936"/>
      </w:tblGrid>
      <w:tr>
        <w:trPr>
          <w:trHeight w:val="334" w:hRule="exact"/>
        </w:trPr>
        <w:tc>
          <w:tcPr>
            <w:tcW w:w="3298" w:type="dxa"/>
          </w:tcPr>
          <w:p>
            <w:pPr>
              <w:pStyle w:val="TableParagraph"/>
              <w:spacing w:line="204" w:lineRule="exact"/>
              <w:ind w:left="108"/>
              <w:rPr>
                <w:rFonts w:ascii="Times New Roman"/>
                <w:sz w:val="20"/>
              </w:rPr>
            </w:pPr>
            <w:r>
              <w:rPr>
                <w:rFonts w:ascii="Times New Roman"/>
                <w:sz w:val="20"/>
              </w:rPr>
              <w:t>No</w:t>
            </w:r>
          </w:p>
        </w:tc>
        <w:tc>
          <w:tcPr>
            <w:tcW w:w="2790" w:type="dxa"/>
          </w:tcPr>
          <w:p>
            <w:pPr>
              <w:pStyle w:val="TableParagraph"/>
              <w:spacing w:line="204" w:lineRule="exact"/>
              <w:ind w:right="774"/>
              <w:jc w:val="right"/>
              <w:rPr>
                <w:rFonts w:ascii="Times New Roman"/>
                <w:sz w:val="20"/>
              </w:rPr>
            </w:pPr>
            <w:r>
              <w:rPr>
                <w:rFonts w:ascii="Times New Roman"/>
                <w:sz w:val="20"/>
              </w:rPr>
              <w:t>32</w:t>
            </w:r>
          </w:p>
        </w:tc>
        <w:tc>
          <w:tcPr>
            <w:tcW w:w="1936" w:type="dxa"/>
          </w:tcPr>
          <w:p>
            <w:pPr>
              <w:pStyle w:val="TableParagraph"/>
              <w:spacing w:line="204" w:lineRule="exact"/>
              <w:ind w:left="725"/>
              <w:rPr>
                <w:rFonts w:ascii="Times New Roman"/>
                <w:sz w:val="20"/>
              </w:rPr>
            </w:pPr>
            <w:r>
              <w:rPr>
                <w:rFonts w:ascii="Times New Roman"/>
                <w:sz w:val="20"/>
              </w:rPr>
              <w:t>24.4%</w:t>
            </w:r>
          </w:p>
        </w:tc>
      </w:tr>
      <w:tr>
        <w:trPr>
          <w:trHeight w:val="464" w:hRule="exact"/>
        </w:trPr>
        <w:tc>
          <w:tcPr>
            <w:tcW w:w="3298" w:type="dxa"/>
          </w:tcPr>
          <w:p>
            <w:pPr>
              <w:pStyle w:val="TableParagraph"/>
              <w:spacing w:before="108"/>
              <w:ind w:left="158"/>
              <w:rPr>
                <w:rFonts w:ascii="Times New Roman"/>
                <w:b/>
                <w:sz w:val="20"/>
              </w:rPr>
            </w:pPr>
            <w:r>
              <w:rPr>
                <w:rFonts w:ascii="Times New Roman"/>
                <w:b/>
                <w:sz w:val="20"/>
              </w:rPr>
              <w:t>Toothbrushing frequency</w:t>
            </w:r>
          </w:p>
        </w:tc>
        <w:tc>
          <w:tcPr>
            <w:tcW w:w="2790" w:type="dxa"/>
          </w:tcPr>
          <w:p>
            <w:pPr/>
          </w:p>
        </w:tc>
        <w:tc>
          <w:tcPr>
            <w:tcW w:w="1936" w:type="dxa"/>
          </w:tcPr>
          <w:p>
            <w:pPr/>
          </w:p>
        </w:tc>
      </w:tr>
      <w:tr>
        <w:trPr>
          <w:trHeight w:val="462" w:hRule="exact"/>
        </w:trPr>
        <w:tc>
          <w:tcPr>
            <w:tcW w:w="3298" w:type="dxa"/>
          </w:tcPr>
          <w:p>
            <w:pPr>
              <w:pStyle w:val="TableParagraph"/>
              <w:spacing w:before="104"/>
              <w:ind w:left="108"/>
              <w:rPr>
                <w:rFonts w:ascii="Times New Roman"/>
                <w:sz w:val="20"/>
              </w:rPr>
            </w:pPr>
            <w:r>
              <w:rPr>
                <w:rFonts w:ascii="Times New Roman"/>
                <w:sz w:val="20"/>
              </w:rPr>
              <w:t>Not brush</w:t>
            </w:r>
          </w:p>
        </w:tc>
        <w:tc>
          <w:tcPr>
            <w:tcW w:w="2790" w:type="dxa"/>
          </w:tcPr>
          <w:p>
            <w:pPr>
              <w:pStyle w:val="TableParagraph"/>
              <w:spacing w:before="104"/>
              <w:ind w:right="774"/>
              <w:jc w:val="right"/>
              <w:rPr>
                <w:rFonts w:ascii="Times New Roman"/>
                <w:sz w:val="20"/>
              </w:rPr>
            </w:pPr>
            <w:r>
              <w:rPr>
                <w:rFonts w:ascii="Times New Roman"/>
                <w:sz w:val="20"/>
              </w:rPr>
              <w:t>16</w:t>
            </w:r>
          </w:p>
        </w:tc>
        <w:tc>
          <w:tcPr>
            <w:tcW w:w="1936" w:type="dxa"/>
          </w:tcPr>
          <w:p>
            <w:pPr>
              <w:pStyle w:val="TableParagraph"/>
              <w:spacing w:before="104"/>
              <w:ind w:left="725"/>
              <w:rPr>
                <w:rFonts w:ascii="Times New Roman"/>
                <w:sz w:val="20"/>
              </w:rPr>
            </w:pPr>
            <w:r>
              <w:rPr>
                <w:rFonts w:ascii="Times New Roman"/>
                <w:sz w:val="20"/>
              </w:rPr>
              <w:t>12.2%</w:t>
            </w:r>
          </w:p>
        </w:tc>
      </w:tr>
      <w:tr>
        <w:trPr>
          <w:trHeight w:val="464" w:hRule="exact"/>
        </w:trPr>
        <w:tc>
          <w:tcPr>
            <w:tcW w:w="3298" w:type="dxa"/>
          </w:tcPr>
          <w:p>
            <w:pPr>
              <w:pStyle w:val="TableParagraph"/>
              <w:spacing w:before="105"/>
              <w:ind w:left="108"/>
              <w:rPr>
                <w:rFonts w:ascii="Times New Roman"/>
                <w:sz w:val="20"/>
              </w:rPr>
            </w:pPr>
            <w:r>
              <w:rPr>
                <w:rFonts w:ascii="Times New Roman"/>
                <w:sz w:val="20"/>
              </w:rPr>
              <w:t>Once a day</w:t>
            </w:r>
          </w:p>
        </w:tc>
        <w:tc>
          <w:tcPr>
            <w:tcW w:w="2790" w:type="dxa"/>
          </w:tcPr>
          <w:p>
            <w:pPr>
              <w:pStyle w:val="TableParagraph"/>
              <w:spacing w:before="105"/>
              <w:ind w:right="774"/>
              <w:jc w:val="right"/>
              <w:rPr>
                <w:rFonts w:ascii="Times New Roman"/>
                <w:sz w:val="20"/>
              </w:rPr>
            </w:pPr>
            <w:r>
              <w:rPr>
                <w:rFonts w:ascii="Times New Roman"/>
                <w:sz w:val="20"/>
              </w:rPr>
              <w:t>44</w:t>
            </w:r>
          </w:p>
        </w:tc>
        <w:tc>
          <w:tcPr>
            <w:tcW w:w="1936" w:type="dxa"/>
          </w:tcPr>
          <w:p>
            <w:pPr>
              <w:pStyle w:val="TableParagraph"/>
              <w:spacing w:before="105"/>
              <w:ind w:left="725"/>
              <w:rPr>
                <w:rFonts w:ascii="Times New Roman"/>
                <w:sz w:val="20"/>
              </w:rPr>
            </w:pPr>
            <w:r>
              <w:rPr>
                <w:rFonts w:ascii="Times New Roman"/>
                <w:sz w:val="20"/>
              </w:rPr>
              <w:t>33.6%</w:t>
            </w:r>
          </w:p>
        </w:tc>
      </w:tr>
      <w:tr>
        <w:trPr>
          <w:trHeight w:val="464" w:hRule="exact"/>
        </w:trPr>
        <w:tc>
          <w:tcPr>
            <w:tcW w:w="3298" w:type="dxa"/>
          </w:tcPr>
          <w:p>
            <w:pPr>
              <w:pStyle w:val="TableParagraph"/>
              <w:spacing w:before="106"/>
              <w:ind w:left="108"/>
              <w:rPr>
                <w:rFonts w:ascii="Times New Roman"/>
                <w:sz w:val="20"/>
              </w:rPr>
            </w:pPr>
            <w:r>
              <w:rPr>
                <w:rFonts w:ascii="Times New Roman"/>
                <w:sz w:val="20"/>
              </w:rPr>
              <w:t>Twice perday</w:t>
            </w:r>
          </w:p>
        </w:tc>
        <w:tc>
          <w:tcPr>
            <w:tcW w:w="2790" w:type="dxa"/>
          </w:tcPr>
          <w:p>
            <w:pPr>
              <w:pStyle w:val="TableParagraph"/>
              <w:spacing w:before="106"/>
              <w:ind w:right="774"/>
              <w:jc w:val="right"/>
              <w:rPr>
                <w:rFonts w:ascii="Times New Roman"/>
                <w:sz w:val="20"/>
              </w:rPr>
            </w:pPr>
            <w:r>
              <w:rPr>
                <w:rFonts w:ascii="Times New Roman"/>
                <w:sz w:val="20"/>
              </w:rPr>
              <w:t>65</w:t>
            </w:r>
          </w:p>
        </w:tc>
        <w:tc>
          <w:tcPr>
            <w:tcW w:w="1936" w:type="dxa"/>
          </w:tcPr>
          <w:p>
            <w:pPr>
              <w:pStyle w:val="TableParagraph"/>
              <w:spacing w:before="106"/>
              <w:ind w:left="725"/>
              <w:rPr>
                <w:rFonts w:ascii="Times New Roman"/>
                <w:sz w:val="20"/>
              </w:rPr>
            </w:pPr>
            <w:r>
              <w:rPr>
                <w:rFonts w:ascii="Times New Roman"/>
                <w:sz w:val="20"/>
              </w:rPr>
              <w:t>49.6%</w:t>
            </w:r>
          </w:p>
        </w:tc>
      </w:tr>
      <w:tr>
        <w:trPr>
          <w:trHeight w:val="464" w:hRule="exact"/>
        </w:trPr>
        <w:tc>
          <w:tcPr>
            <w:tcW w:w="3298" w:type="dxa"/>
          </w:tcPr>
          <w:p>
            <w:pPr>
              <w:pStyle w:val="TableParagraph"/>
              <w:spacing w:before="105"/>
              <w:ind w:left="108"/>
              <w:rPr>
                <w:rFonts w:ascii="Times New Roman"/>
                <w:sz w:val="20"/>
              </w:rPr>
            </w:pPr>
            <w:r>
              <w:rPr>
                <w:rFonts w:ascii="Times New Roman"/>
                <w:sz w:val="20"/>
              </w:rPr>
              <w:t>Three times a day</w:t>
            </w:r>
          </w:p>
        </w:tc>
        <w:tc>
          <w:tcPr>
            <w:tcW w:w="2790" w:type="dxa"/>
          </w:tcPr>
          <w:p>
            <w:pPr>
              <w:pStyle w:val="TableParagraph"/>
              <w:spacing w:before="105"/>
              <w:ind w:right="826"/>
              <w:jc w:val="right"/>
              <w:rPr>
                <w:rFonts w:ascii="Times New Roman"/>
                <w:sz w:val="20"/>
              </w:rPr>
            </w:pPr>
            <w:r>
              <w:rPr>
                <w:rFonts w:ascii="Times New Roman"/>
                <w:w w:val="99"/>
                <w:sz w:val="20"/>
              </w:rPr>
              <w:t>4</w:t>
            </w:r>
          </w:p>
        </w:tc>
        <w:tc>
          <w:tcPr>
            <w:tcW w:w="1936" w:type="dxa"/>
          </w:tcPr>
          <w:p>
            <w:pPr>
              <w:pStyle w:val="TableParagraph"/>
              <w:spacing w:before="105"/>
              <w:ind w:left="776"/>
              <w:rPr>
                <w:rFonts w:ascii="Times New Roman"/>
                <w:sz w:val="20"/>
              </w:rPr>
            </w:pPr>
            <w:r>
              <w:rPr>
                <w:rFonts w:ascii="Times New Roman"/>
                <w:sz w:val="20"/>
              </w:rPr>
              <w:t>3.1%</w:t>
            </w:r>
          </w:p>
        </w:tc>
      </w:tr>
      <w:tr>
        <w:trPr>
          <w:trHeight w:val="584" w:hRule="exact"/>
        </w:trPr>
        <w:tc>
          <w:tcPr>
            <w:tcW w:w="3298" w:type="dxa"/>
            <w:tcBorders>
              <w:bottom w:val="single" w:sz="8" w:space="0" w:color="000000"/>
            </w:tcBorders>
          </w:tcPr>
          <w:p>
            <w:pPr>
              <w:pStyle w:val="TableParagraph"/>
              <w:spacing w:before="106"/>
              <w:ind w:left="108"/>
              <w:rPr>
                <w:rFonts w:ascii="Times New Roman"/>
                <w:sz w:val="20"/>
              </w:rPr>
            </w:pPr>
            <w:r>
              <w:rPr>
                <w:rFonts w:ascii="Times New Roman"/>
                <w:sz w:val="20"/>
              </w:rPr>
              <w:t>Other</w:t>
            </w:r>
          </w:p>
        </w:tc>
        <w:tc>
          <w:tcPr>
            <w:tcW w:w="2790" w:type="dxa"/>
            <w:tcBorders>
              <w:bottom w:val="single" w:sz="8" w:space="0" w:color="000000"/>
            </w:tcBorders>
          </w:tcPr>
          <w:p>
            <w:pPr>
              <w:pStyle w:val="TableParagraph"/>
              <w:spacing w:before="106"/>
              <w:ind w:right="826"/>
              <w:jc w:val="right"/>
              <w:rPr>
                <w:rFonts w:ascii="Times New Roman"/>
                <w:sz w:val="20"/>
              </w:rPr>
            </w:pPr>
            <w:r>
              <w:rPr>
                <w:rFonts w:ascii="Times New Roman"/>
                <w:w w:val="99"/>
                <w:sz w:val="20"/>
              </w:rPr>
              <w:t>2</w:t>
            </w:r>
          </w:p>
        </w:tc>
        <w:tc>
          <w:tcPr>
            <w:tcW w:w="1936" w:type="dxa"/>
            <w:tcBorders>
              <w:bottom w:val="single" w:sz="8" w:space="0" w:color="000000"/>
            </w:tcBorders>
          </w:tcPr>
          <w:p>
            <w:pPr>
              <w:pStyle w:val="TableParagraph"/>
              <w:spacing w:before="106"/>
              <w:ind w:left="776"/>
              <w:rPr>
                <w:rFonts w:ascii="Times New Roman"/>
                <w:sz w:val="20"/>
              </w:rPr>
            </w:pPr>
            <w:r>
              <w:rPr>
                <w:rFonts w:ascii="Times New Roman"/>
                <w:sz w:val="20"/>
              </w:rPr>
              <w:t>1.5%</w:t>
            </w:r>
          </w:p>
        </w:tc>
      </w:tr>
      <w:tr>
        <w:trPr>
          <w:trHeight w:val="368" w:hRule="exact"/>
        </w:trPr>
        <w:tc>
          <w:tcPr>
            <w:tcW w:w="3298" w:type="dxa"/>
            <w:tcBorders>
              <w:top w:val="single" w:sz="8" w:space="0" w:color="000000"/>
            </w:tcBorders>
          </w:tcPr>
          <w:p>
            <w:pPr>
              <w:pStyle w:val="TableParagraph"/>
              <w:spacing w:before="3"/>
              <w:ind w:left="108"/>
              <w:rPr>
                <w:rFonts w:ascii="Times New Roman"/>
                <w:b/>
                <w:sz w:val="20"/>
              </w:rPr>
            </w:pPr>
            <w:r>
              <w:rPr>
                <w:rFonts w:ascii="Times New Roman"/>
                <w:b/>
                <w:sz w:val="20"/>
              </w:rPr>
              <w:t>Brushes their child's teeth</w:t>
            </w:r>
          </w:p>
        </w:tc>
        <w:tc>
          <w:tcPr>
            <w:tcW w:w="2790" w:type="dxa"/>
            <w:tcBorders>
              <w:top w:val="single" w:sz="8" w:space="0" w:color="000000"/>
            </w:tcBorders>
          </w:tcPr>
          <w:p>
            <w:pPr/>
          </w:p>
        </w:tc>
        <w:tc>
          <w:tcPr>
            <w:tcW w:w="1936" w:type="dxa"/>
            <w:tcBorders>
              <w:top w:val="single" w:sz="8" w:space="0" w:color="000000"/>
            </w:tcBorders>
          </w:tcPr>
          <w:p>
            <w:pPr/>
          </w:p>
        </w:tc>
      </w:tr>
      <w:tr>
        <w:trPr>
          <w:trHeight w:val="462" w:hRule="exact"/>
        </w:trPr>
        <w:tc>
          <w:tcPr>
            <w:tcW w:w="3298" w:type="dxa"/>
          </w:tcPr>
          <w:p>
            <w:pPr>
              <w:pStyle w:val="TableParagraph"/>
              <w:spacing w:before="103"/>
              <w:ind w:left="108"/>
              <w:rPr>
                <w:rFonts w:ascii="Times New Roman"/>
                <w:sz w:val="20"/>
              </w:rPr>
            </w:pPr>
            <w:r>
              <w:rPr>
                <w:rFonts w:ascii="Times New Roman"/>
                <w:sz w:val="20"/>
              </w:rPr>
              <w:t>Yes</w:t>
            </w:r>
          </w:p>
        </w:tc>
        <w:tc>
          <w:tcPr>
            <w:tcW w:w="2790" w:type="dxa"/>
          </w:tcPr>
          <w:p>
            <w:pPr>
              <w:pStyle w:val="TableParagraph"/>
              <w:spacing w:before="103"/>
              <w:ind w:right="774"/>
              <w:jc w:val="right"/>
              <w:rPr>
                <w:rFonts w:ascii="Times New Roman"/>
                <w:sz w:val="20"/>
              </w:rPr>
            </w:pPr>
            <w:r>
              <w:rPr>
                <w:rFonts w:ascii="Times New Roman"/>
                <w:sz w:val="20"/>
              </w:rPr>
              <w:t>43</w:t>
            </w:r>
          </w:p>
        </w:tc>
        <w:tc>
          <w:tcPr>
            <w:tcW w:w="1936" w:type="dxa"/>
          </w:tcPr>
          <w:p>
            <w:pPr>
              <w:pStyle w:val="TableParagraph"/>
              <w:spacing w:before="103"/>
              <w:ind w:left="790" w:right="756"/>
              <w:jc w:val="center"/>
              <w:rPr>
                <w:rFonts w:ascii="Times New Roman"/>
                <w:sz w:val="20"/>
              </w:rPr>
            </w:pPr>
            <w:r>
              <w:rPr>
                <w:rFonts w:ascii="Times New Roman"/>
                <w:sz w:val="20"/>
              </w:rPr>
              <w:t>32.8</w:t>
            </w:r>
          </w:p>
        </w:tc>
      </w:tr>
      <w:tr>
        <w:trPr>
          <w:trHeight w:val="584" w:hRule="exact"/>
        </w:trPr>
        <w:tc>
          <w:tcPr>
            <w:tcW w:w="3298" w:type="dxa"/>
            <w:tcBorders>
              <w:bottom w:val="single" w:sz="8" w:space="0" w:color="000000"/>
            </w:tcBorders>
          </w:tcPr>
          <w:p>
            <w:pPr>
              <w:pStyle w:val="TableParagraph"/>
              <w:spacing w:before="106"/>
              <w:ind w:left="108"/>
              <w:rPr>
                <w:rFonts w:ascii="Times New Roman"/>
                <w:sz w:val="20"/>
              </w:rPr>
            </w:pPr>
            <w:r>
              <w:rPr>
                <w:rFonts w:ascii="Times New Roman"/>
                <w:sz w:val="20"/>
              </w:rPr>
              <w:t>No</w:t>
            </w:r>
          </w:p>
        </w:tc>
        <w:tc>
          <w:tcPr>
            <w:tcW w:w="2790" w:type="dxa"/>
            <w:tcBorders>
              <w:bottom w:val="single" w:sz="8" w:space="0" w:color="000000"/>
            </w:tcBorders>
          </w:tcPr>
          <w:p>
            <w:pPr>
              <w:pStyle w:val="TableParagraph"/>
              <w:spacing w:before="106"/>
              <w:ind w:right="774"/>
              <w:jc w:val="right"/>
              <w:rPr>
                <w:rFonts w:ascii="Times New Roman"/>
                <w:sz w:val="20"/>
              </w:rPr>
            </w:pPr>
            <w:r>
              <w:rPr>
                <w:rFonts w:ascii="Times New Roman"/>
                <w:sz w:val="20"/>
              </w:rPr>
              <w:t>88</w:t>
            </w:r>
          </w:p>
        </w:tc>
        <w:tc>
          <w:tcPr>
            <w:tcW w:w="1936" w:type="dxa"/>
            <w:tcBorders>
              <w:bottom w:val="single" w:sz="8" w:space="0" w:color="000000"/>
            </w:tcBorders>
          </w:tcPr>
          <w:p>
            <w:pPr>
              <w:pStyle w:val="TableParagraph"/>
              <w:spacing w:before="106"/>
              <w:ind w:left="790" w:right="756"/>
              <w:jc w:val="center"/>
              <w:rPr>
                <w:rFonts w:ascii="Times New Roman"/>
                <w:sz w:val="20"/>
              </w:rPr>
            </w:pPr>
            <w:r>
              <w:rPr>
                <w:rFonts w:ascii="Times New Roman"/>
                <w:sz w:val="20"/>
              </w:rPr>
              <w:t>67.2</w:t>
            </w:r>
          </w:p>
        </w:tc>
      </w:tr>
      <w:tr>
        <w:trPr>
          <w:trHeight w:val="485" w:hRule="exact"/>
        </w:trPr>
        <w:tc>
          <w:tcPr>
            <w:tcW w:w="8025" w:type="dxa"/>
            <w:gridSpan w:val="3"/>
            <w:tcBorders>
              <w:top w:val="single" w:sz="8" w:space="0" w:color="000000"/>
              <w:bottom w:val="single" w:sz="8" w:space="0" w:color="000000"/>
            </w:tcBorders>
          </w:tcPr>
          <w:p>
            <w:pPr>
              <w:pStyle w:val="TableParagraph"/>
              <w:spacing w:line="228" w:lineRule="exact"/>
              <w:ind w:left="197" w:right="201"/>
              <w:jc w:val="center"/>
              <w:rPr>
                <w:rFonts w:ascii="Times New Roman"/>
                <w:sz w:val="20"/>
              </w:rPr>
            </w:pPr>
            <w:r>
              <w:rPr>
                <w:rFonts w:ascii="Times New Roman"/>
                <w:sz w:val="20"/>
              </w:rPr>
              <w:t>Breastfeeding practices</w:t>
            </w:r>
          </w:p>
        </w:tc>
      </w:tr>
      <w:tr>
        <w:trPr>
          <w:trHeight w:val="368" w:hRule="exact"/>
        </w:trPr>
        <w:tc>
          <w:tcPr>
            <w:tcW w:w="3298" w:type="dxa"/>
            <w:tcBorders>
              <w:top w:val="single" w:sz="8" w:space="0" w:color="000000"/>
            </w:tcBorders>
          </w:tcPr>
          <w:p>
            <w:pPr>
              <w:pStyle w:val="TableParagraph"/>
              <w:spacing w:before="3"/>
              <w:ind w:left="108"/>
              <w:rPr>
                <w:rFonts w:ascii="Times New Roman"/>
                <w:b/>
                <w:sz w:val="20"/>
              </w:rPr>
            </w:pPr>
            <w:r>
              <w:rPr>
                <w:rFonts w:ascii="Times New Roman"/>
                <w:b/>
                <w:sz w:val="20"/>
              </w:rPr>
              <w:t>Breastfeeding</w:t>
            </w:r>
          </w:p>
        </w:tc>
        <w:tc>
          <w:tcPr>
            <w:tcW w:w="2790" w:type="dxa"/>
            <w:tcBorders>
              <w:top w:val="single" w:sz="8" w:space="0" w:color="000000"/>
            </w:tcBorders>
          </w:tcPr>
          <w:p>
            <w:pPr/>
          </w:p>
        </w:tc>
        <w:tc>
          <w:tcPr>
            <w:tcW w:w="1936" w:type="dxa"/>
            <w:tcBorders>
              <w:top w:val="single" w:sz="8" w:space="0" w:color="000000"/>
            </w:tcBorders>
          </w:tcPr>
          <w:p>
            <w:pPr/>
          </w:p>
        </w:tc>
      </w:tr>
      <w:tr>
        <w:trPr>
          <w:trHeight w:val="462" w:hRule="exact"/>
        </w:trPr>
        <w:tc>
          <w:tcPr>
            <w:tcW w:w="3298" w:type="dxa"/>
          </w:tcPr>
          <w:p>
            <w:pPr>
              <w:pStyle w:val="TableParagraph"/>
              <w:spacing w:before="103"/>
              <w:ind w:left="108"/>
              <w:rPr>
                <w:rFonts w:ascii="Times New Roman"/>
                <w:sz w:val="20"/>
              </w:rPr>
            </w:pPr>
            <w:r>
              <w:rPr>
                <w:rFonts w:ascii="Times New Roman"/>
                <w:sz w:val="20"/>
              </w:rPr>
              <w:t>Yes</w:t>
            </w:r>
          </w:p>
        </w:tc>
        <w:tc>
          <w:tcPr>
            <w:tcW w:w="2790" w:type="dxa"/>
          </w:tcPr>
          <w:p>
            <w:pPr>
              <w:pStyle w:val="TableParagraph"/>
              <w:spacing w:before="103"/>
              <w:ind w:right="725"/>
              <w:jc w:val="right"/>
              <w:rPr>
                <w:rFonts w:ascii="Times New Roman"/>
                <w:sz w:val="20"/>
              </w:rPr>
            </w:pPr>
            <w:r>
              <w:rPr>
                <w:rFonts w:ascii="Times New Roman"/>
                <w:sz w:val="20"/>
              </w:rPr>
              <w:t>125</w:t>
            </w:r>
          </w:p>
        </w:tc>
        <w:tc>
          <w:tcPr>
            <w:tcW w:w="1936" w:type="dxa"/>
          </w:tcPr>
          <w:p>
            <w:pPr>
              <w:pStyle w:val="TableParagraph"/>
              <w:spacing w:before="103"/>
              <w:ind w:left="725"/>
              <w:rPr>
                <w:rFonts w:ascii="Times New Roman"/>
                <w:sz w:val="20"/>
              </w:rPr>
            </w:pPr>
            <w:r>
              <w:rPr>
                <w:rFonts w:ascii="Times New Roman"/>
                <w:sz w:val="20"/>
              </w:rPr>
              <w:t>95.4%</w:t>
            </w:r>
          </w:p>
        </w:tc>
      </w:tr>
      <w:tr>
        <w:trPr>
          <w:trHeight w:val="467" w:hRule="exact"/>
        </w:trPr>
        <w:tc>
          <w:tcPr>
            <w:tcW w:w="3298" w:type="dxa"/>
          </w:tcPr>
          <w:p>
            <w:pPr>
              <w:pStyle w:val="TableParagraph"/>
              <w:spacing w:before="106"/>
              <w:ind w:left="108"/>
              <w:rPr>
                <w:rFonts w:ascii="Times New Roman"/>
                <w:sz w:val="20"/>
              </w:rPr>
            </w:pPr>
            <w:r>
              <w:rPr>
                <w:rFonts w:ascii="Times New Roman"/>
                <w:sz w:val="20"/>
              </w:rPr>
              <w:t>No</w:t>
            </w:r>
          </w:p>
        </w:tc>
        <w:tc>
          <w:tcPr>
            <w:tcW w:w="2790" w:type="dxa"/>
          </w:tcPr>
          <w:p>
            <w:pPr>
              <w:pStyle w:val="TableParagraph"/>
              <w:spacing w:before="106"/>
              <w:ind w:right="826"/>
              <w:jc w:val="right"/>
              <w:rPr>
                <w:rFonts w:ascii="Times New Roman"/>
                <w:sz w:val="20"/>
              </w:rPr>
            </w:pPr>
            <w:r>
              <w:rPr>
                <w:rFonts w:ascii="Times New Roman"/>
                <w:w w:val="99"/>
                <w:sz w:val="20"/>
              </w:rPr>
              <w:t>6</w:t>
            </w:r>
          </w:p>
        </w:tc>
        <w:tc>
          <w:tcPr>
            <w:tcW w:w="1936" w:type="dxa"/>
          </w:tcPr>
          <w:p>
            <w:pPr>
              <w:pStyle w:val="TableParagraph"/>
              <w:spacing w:before="106"/>
              <w:ind w:left="776"/>
              <w:rPr>
                <w:rFonts w:ascii="Times New Roman"/>
                <w:sz w:val="20"/>
              </w:rPr>
            </w:pPr>
            <w:r>
              <w:rPr>
                <w:rFonts w:ascii="Times New Roman"/>
                <w:sz w:val="20"/>
              </w:rPr>
              <w:t>4.6%</w:t>
            </w:r>
          </w:p>
        </w:tc>
      </w:tr>
      <w:tr>
        <w:trPr>
          <w:trHeight w:val="465" w:hRule="exact"/>
        </w:trPr>
        <w:tc>
          <w:tcPr>
            <w:tcW w:w="3298" w:type="dxa"/>
          </w:tcPr>
          <w:p>
            <w:pPr>
              <w:pStyle w:val="TableParagraph"/>
              <w:spacing w:before="108"/>
              <w:ind w:left="108"/>
              <w:rPr>
                <w:rFonts w:ascii="Times New Roman"/>
                <w:b/>
                <w:sz w:val="20"/>
              </w:rPr>
            </w:pPr>
            <w:r>
              <w:rPr>
                <w:rFonts w:ascii="Times New Roman"/>
                <w:b/>
                <w:sz w:val="20"/>
              </w:rPr>
              <w:t>Length of breastfeeding</w:t>
            </w:r>
          </w:p>
        </w:tc>
        <w:tc>
          <w:tcPr>
            <w:tcW w:w="2790" w:type="dxa"/>
          </w:tcPr>
          <w:p>
            <w:pPr/>
          </w:p>
        </w:tc>
        <w:tc>
          <w:tcPr>
            <w:tcW w:w="1936" w:type="dxa"/>
          </w:tcPr>
          <w:p>
            <w:pPr/>
          </w:p>
        </w:tc>
      </w:tr>
      <w:tr>
        <w:trPr>
          <w:trHeight w:val="462" w:hRule="exact"/>
        </w:trPr>
        <w:tc>
          <w:tcPr>
            <w:tcW w:w="3298" w:type="dxa"/>
          </w:tcPr>
          <w:p>
            <w:pPr>
              <w:pStyle w:val="TableParagraph"/>
              <w:spacing w:before="104"/>
              <w:ind w:left="108"/>
              <w:rPr>
                <w:rFonts w:ascii="Times New Roman"/>
                <w:sz w:val="20"/>
              </w:rPr>
            </w:pPr>
            <w:r>
              <w:rPr>
                <w:rFonts w:ascii="Times New Roman"/>
                <w:sz w:val="20"/>
              </w:rPr>
              <w:t>Less than a year</w:t>
            </w:r>
          </w:p>
        </w:tc>
        <w:tc>
          <w:tcPr>
            <w:tcW w:w="2790" w:type="dxa"/>
          </w:tcPr>
          <w:p>
            <w:pPr>
              <w:pStyle w:val="TableParagraph"/>
              <w:spacing w:before="104"/>
              <w:ind w:right="774"/>
              <w:jc w:val="right"/>
              <w:rPr>
                <w:rFonts w:ascii="Times New Roman"/>
                <w:sz w:val="20"/>
              </w:rPr>
            </w:pPr>
            <w:r>
              <w:rPr>
                <w:rFonts w:ascii="Times New Roman"/>
                <w:sz w:val="20"/>
              </w:rPr>
              <w:t>10</w:t>
            </w:r>
          </w:p>
        </w:tc>
        <w:tc>
          <w:tcPr>
            <w:tcW w:w="1936" w:type="dxa"/>
          </w:tcPr>
          <w:p>
            <w:pPr>
              <w:pStyle w:val="TableParagraph"/>
              <w:spacing w:before="104"/>
              <w:ind w:left="776"/>
              <w:rPr>
                <w:rFonts w:ascii="Times New Roman"/>
                <w:sz w:val="20"/>
              </w:rPr>
            </w:pPr>
            <w:r>
              <w:rPr>
                <w:rFonts w:ascii="Times New Roman"/>
                <w:sz w:val="20"/>
              </w:rPr>
              <w:t>7.6%</w:t>
            </w:r>
          </w:p>
        </w:tc>
      </w:tr>
      <w:tr>
        <w:trPr>
          <w:trHeight w:val="464" w:hRule="exact"/>
        </w:trPr>
        <w:tc>
          <w:tcPr>
            <w:tcW w:w="3298" w:type="dxa"/>
          </w:tcPr>
          <w:p>
            <w:pPr>
              <w:pStyle w:val="TableParagraph"/>
              <w:spacing w:before="105"/>
              <w:ind w:left="108"/>
              <w:rPr>
                <w:rFonts w:ascii="Times New Roman"/>
                <w:sz w:val="20"/>
              </w:rPr>
            </w:pPr>
            <w:r>
              <w:rPr>
                <w:rFonts w:ascii="Times New Roman"/>
                <w:sz w:val="20"/>
              </w:rPr>
              <w:t>1 year</w:t>
            </w:r>
          </w:p>
        </w:tc>
        <w:tc>
          <w:tcPr>
            <w:tcW w:w="2790" w:type="dxa"/>
          </w:tcPr>
          <w:p>
            <w:pPr>
              <w:pStyle w:val="TableParagraph"/>
              <w:spacing w:before="105"/>
              <w:ind w:right="774"/>
              <w:jc w:val="right"/>
              <w:rPr>
                <w:rFonts w:ascii="Times New Roman"/>
                <w:sz w:val="20"/>
              </w:rPr>
            </w:pPr>
            <w:r>
              <w:rPr>
                <w:rFonts w:ascii="Times New Roman"/>
                <w:sz w:val="20"/>
              </w:rPr>
              <w:t>79</w:t>
            </w:r>
          </w:p>
        </w:tc>
        <w:tc>
          <w:tcPr>
            <w:tcW w:w="1936" w:type="dxa"/>
          </w:tcPr>
          <w:p>
            <w:pPr>
              <w:pStyle w:val="TableParagraph"/>
              <w:spacing w:before="105"/>
              <w:ind w:left="725"/>
              <w:rPr>
                <w:rFonts w:ascii="Times New Roman"/>
                <w:sz w:val="20"/>
              </w:rPr>
            </w:pPr>
            <w:r>
              <w:rPr>
                <w:rFonts w:ascii="Times New Roman"/>
                <w:sz w:val="20"/>
              </w:rPr>
              <w:t>60.3%</w:t>
            </w:r>
          </w:p>
        </w:tc>
      </w:tr>
      <w:tr>
        <w:trPr>
          <w:trHeight w:val="464" w:hRule="exact"/>
        </w:trPr>
        <w:tc>
          <w:tcPr>
            <w:tcW w:w="3298" w:type="dxa"/>
          </w:tcPr>
          <w:p>
            <w:pPr>
              <w:pStyle w:val="TableParagraph"/>
              <w:spacing w:before="106"/>
              <w:ind w:left="108"/>
              <w:rPr>
                <w:rFonts w:ascii="Times New Roman"/>
                <w:sz w:val="20"/>
              </w:rPr>
            </w:pPr>
            <w:r>
              <w:rPr>
                <w:rFonts w:ascii="Times New Roman"/>
                <w:sz w:val="20"/>
              </w:rPr>
              <w:t>2 years</w:t>
            </w:r>
          </w:p>
        </w:tc>
        <w:tc>
          <w:tcPr>
            <w:tcW w:w="2790" w:type="dxa"/>
          </w:tcPr>
          <w:p>
            <w:pPr>
              <w:pStyle w:val="TableParagraph"/>
              <w:spacing w:before="106"/>
              <w:ind w:right="774"/>
              <w:jc w:val="right"/>
              <w:rPr>
                <w:rFonts w:ascii="Times New Roman"/>
                <w:sz w:val="20"/>
              </w:rPr>
            </w:pPr>
            <w:r>
              <w:rPr>
                <w:rFonts w:ascii="Times New Roman"/>
                <w:sz w:val="20"/>
              </w:rPr>
              <w:t>39</w:t>
            </w:r>
          </w:p>
        </w:tc>
        <w:tc>
          <w:tcPr>
            <w:tcW w:w="1936" w:type="dxa"/>
          </w:tcPr>
          <w:p>
            <w:pPr>
              <w:pStyle w:val="TableParagraph"/>
              <w:spacing w:before="106"/>
              <w:ind w:left="725"/>
              <w:rPr>
                <w:rFonts w:ascii="Times New Roman"/>
                <w:sz w:val="20"/>
              </w:rPr>
            </w:pPr>
            <w:r>
              <w:rPr>
                <w:rFonts w:ascii="Times New Roman"/>
                <w:sz w:val="20"/>
              </w:rPr>
              <w:t>29.8%</w:t>
            </w:r>
          </w:p>
        </w:tc>
      </w:tr>
      <w:tr>
        <w:trPr>
          <w:trHeight w:val="464" w:hRule="exact"/>
        </w:trPr>
        <w:tc>
          <w:tcPr>
            <w:tcW w:w="3298" w:type="dxa"/>
          </w:tcPr>
          <w:p>
            <w:pPr>
              <w:pStyle w:val="TableParagraph"/>
              <w:spacing w:before="105"/>
              <w:ind w:left="108"/>
              <w:rPr>
                <w:rFonts w:ascii="Times New Roman"/>
                <w:sz w:val="20"/>
              </w:rPr>
            </w:pPr>
            <w:r>
              <w:rPr>
                <w:rFonts w:ascii="Times New Roman"/>
                <w:sz w:val="20"/>
              </w:rPr>
              <w:t>3 years</w:t>
            </w:r>
          </w:p>
        </w:tc>
        <w:tc>
          <w:tcPr>
            <w:tcW w:w="2790" w:type="dxa"/>
          </w:tcPr>
          <w:p>
            <w:pPr>
              <w:pStyle w:val="TableParagraph"/>
              <w:spacing w:before="105"/>
              <w:ind w:right="826"/>
              <w:jc w:val="right"/>
              <w:rPr>
                <w:rFonts w:ascii="Times New Roman"/>
                <w:sz w:val="20"/>
              </w:rPr>
            </w:pPr>
            <w:r>
              <w:rPr>
                <w:rFonts w:ascii="Times New Roman"/>
                <w:w w:val="99"/>
                <w:sz w:val="20"/>
              </w:rPr>
              <w:t>2</w:t>
            </w:r>
          </w:p>
        </w:tc>
        <w:tc>
          <w:tcPr>
            <w:tcW w:w="1936" w:type="dxa"/>
          </w:tcPr>
          <w:p>
            <w:pPr>
              <w:pStyle w:val="TableParagraph"/>
              <w:spacing w:before="105"/>
              <w:ind w:left="776"/>
              <w:rPr>
                <w:rFonts w:ascii="Times New Roman"/>
                <w:sz w:val="20"/>
              </w:rPr>
            </w:pPr>
            <w:r>
              <w:rPr>
                <w:rFonts w:ascii="Times New Roman"/>
                <w:sz w:val="20"/>
              </w:rPr>
              <w:t>1.5%</w:t>
            </w:r>
          </w:p>
        </w:tc>
      </w:tr>
      <w:tr>
        <w:trPr>
          <w:trHeight w:val="467" w:hRule="exact"/>
        </w:trPr>
        <w:tc>
          <w:tcPr>
            <w:tcW w:w="3298" w:type="dxa"/>
          </w:tcPr>
          <w:p>
            <w:pPr>
              <w:pStyle w:val="TableParagraph"/>
              <w:spacing w:before="106"/>
              <w:ind w:left="108"/>
              <w:rPr>
                <w:rFonts w:ascii="Times New Roman"/>
                <w:sz w:val="20"/>
              </w:rPr>
            </w:pPr>
            <w:r>
              <w:rPr>
                <w:rFonts w:ascii="Times New Roman"/>
                <w:sz w:val="20"/>
              </w:rPr>
              <w:t>5 years</w:t>
            </w:r>
          </w:p>
        </w:tc>
        <w:tc>
          <w:tcPr>
            <w:tcW w:w="2790" w:type="dxa"/>
          </w:tcPr>
          <w:p>
            <w:pPr>
              <w:pStyle w:val="TableParagraph"/>
              <w:spacing w:before="106"/>
              <w:ind w:right="826"/>
              <w:jc w:val="right"/>
              <w:rPr>
                <w:rFonts w:ascii="Times New Roman"/>
                <w:sz w:val="20"/>
              </w:rPr>
            </w:pPr>
            <w:r>
              <w:rPr>
                <w:rFonts w:ascii="Times New Roman"/>
                <w:w w:val="99"/>
                <w:sz w:val="20"/>
              </w:rPr>
              <w:t>1</w:t>
            </w:r>
          </w:p>
        </w:tc>
        <w:tc>
          <w:tcPr>
            <w:tcW w:w="1936" w:type="dxa"/>
          </w:tcPr>
          <w:p>
            <w:pPr>
              <w:pStyle w:val="TableParagraph"/>
              <w:spacing w:before="106"/>
              <w:ind w:left="776"/>
              <w:rPr>
                <w:rFonts w:ascii="Times New Roman"/>
                <w:sz w:val="20"/>
              </w:rPr>
            </w:pPr>
            <w:r>
              <w:rPr>
                <w:rFonts w:ascii="Times New Roman"/>
                <w:sz w:val="20"/>
              </w:rPr>
              <w:t>0.8%</w:t>
            </w:r>
          </w:p>
        </w:tc>
      </w:tr>
      <w:tr>
        <w:trPr>
          <w:trHeight w:val="464" w:hRule="exact"/>
        </w:trPr>
        <w:tc>
          <w:tcPr>
            <w:tcW w:w="3298" w:type="dxa"/>
          </w:tcPr>
          <w:p>
            <w:pPr>
              <w:pStyle w:val="TableParagraph"/>
              <w:spacing w:before="108"/>
              <w:ind w:left="108"/>
              <w:rPr>
                <w:rFonts w:ascii="Times New Roman"/>
                <w:b/>
                <w:sz w:val="20"/>
              </w:rPr>
            </w:pPr>
            <w:r>
              <w:rPr>
                <w:rFonts w:ascii="Times New Roman"/>
                <w:b/>
                <w:sz w:val="20"/>
              </w:rPr>
              <w:t>Bottle feeding</w:t>
            </w:r>
          </w:p>
        </w:tc>
        <w:tc>
          <w:tcPr>
            <w:tcW w:w="2790" w:type="dxa"/>
          </w:tcPr>
          <w:p>
            <w:pPr/>
          </w:p>
        </w:tc>
        <w:tc>
          <w:tcPr>
            <w:tcW w:w="1936" w:type="dxa"/>
          </w:tcPr>
          <w:p>
            <w:pPr/>
          </w:p>
        </w:tc>
      </w:tr>
      <w:tr>
        <w:trPr>
          <w:trHeight w:val="462" w:hRule="exact"/>
        </w:trPr>
        <w:tc>
          <w:tcPr>
            <w:tcW w:w="3298" w:type="dxa"/>
          </w:tcPr>
          <w:p>
            <w:pPr>
              <w:pStyle w:val="TableParagraph"/>
              <w:spacing w:before="104"/>
              <w:ind w:left="108"/>
              <w:rPr>
                <w:rFonts w:ascii="Times New Roman"/>
                <w:sz w:val="20"/>
              </w:rPr>
            </w:pPr>
            <w:r>
              <w:rPr>
                <w:rFonts w:ascii="Times New Roman"/>
                <w:sz w:val="20"/>
              </w:rPr>
              <w:t>Yes</w:t>
            </w:r>
          </w:p>
        </w:tc>
        <w:tc>
          <w:tcPr>
            <w:tcW w:w="2790" w:type="dxa"/>
          </w:tcPr>
          <w:p>
            <w:pPr>
              <w:pStyle w:val="TableParagraph"/>
              <w:spacing w:before="104"/>
              <w:ind w:right="774"/>
              <w:jc w:val="right"/>
              <w:rPr>
                <w:rFonts w:ascii="Times New Roman"/>
                <w:sz w:val="20"/>
              </w:rPr>
            </w:pPr>
            <w:r>
              <w:rPr>
                <w:rFonts w:ascii="Times New Roman"/>
                <w:sz w:val="20"/>
              </w:rPr>
              <w:t>50</w:t>
            </w:r>
          </w:p>
        </w:tc>
        <w:tc>
          <w:tcPr>
            <w:tcW w:w="1936" w:type="dxa"/>
          </w:tcPr>
          <w:p>
            <w:pPr>
              <w:pStyle w:val="TableParagraph"/>
              <w:spacing w:before="104"/>
              <w:ind w:left="725"/>
              <w:rPr>
                <w:rFonts w:ascii="Times New Roman"/>
                <w:sz w:val="20"/>
              </w:rPr>
            </w:pPr>
            <w:r>
              <w:rPr>
                <w:rFonts w:ascii="Times New Roman"/>
                <w:sz w:val="20"/>
              </w:rPr>
              <w:t>38.2%</w:t>
            </w:r>
          </w:p>
        </w:tc>
      </w:tr>
      <w:tr>
        <w:trPr>
          <w:trHeight w:val="467" w:hRule="exact"/>
        </w:trPr>
        <w:tc>
          <w:tcPr>
            <w:tcW w:w="3298" w:type="dxa"/>
          </w:tcPr>
          <w:p>
            <w:pPr>
              <w:pStyle w:val="TableParagraph"/>
              <w:spacing w:before="106"/>
              <w:ind w:left="108"/>
              <w:rPr>
                <w:rFonts w:ascii="Times New Roman"/>
                <w:sz w:val="20"/>
              </w:rPr>
            </w:pPr>
            <w:r>
              <w:rPr>
                <w:rFonts w:ascii="Times New Roman"/>
                <w:sz w:val="20"/>
              </w:rPr>
              <w:t>No</w:t>
            </w:r>
          </w:p>
        </w:tc>
        <w:tc>
          <w:tcPr>
            <w:tcW w:w="2790" w:type="dxa"/>
          </w:tcPr>
          <w:p>
            <w:pPr>
              <w:pStyle w:val="TableParagraph"/>
              <w:spacing w:before="106"/>
              <w:ind w:right="774"/>
              <w:jc w:val="right"/>
              <w:rPr>
                <w:rFonts w:ascii="Times New Roman"/>
                <w:sz w:val="20"/>
              </w:rPr>
            </w:pPr>
            <w:r>
              <w:rPr>
                <w:rFonts w:ascii="Times New Roman"/>
                <w:sz w:val="20"/>
              </w:rPr>
              <w:t>81</w:t>
            </w:r>
          </w:p>
        </w:tc>
        <w:tc>
          <w:tcPr>
            <w:tcW w:w="1936" w:type="dxa"/>
          </w:tcPr>
          <w:p>
            <w:pPr>
              <w:pStyle w:val="TableParagraph"/>
              <w:spacing w:before="106"/>
              <w:ind w:left="725"/>
              <w:rPr>
                <w:rFonts w:ascii="Times New Roman"/>
                <w:sz w:val="20"/>
              </w:rPr>
            </w:pPr>
            <w:r>
              <w:rPr>
                <w:rFonts w:ascii="Times New Roman"/>
                <w:sz w:val="20"/>
              </w:rPr>
              <w:t>61.8%</w:t>
            </w:r>
          </w:p>
        </w:tc>
      </w:tr>
      <w:tr>
        <w:trPr>
          <w:trHeight w:val="466" w:hRule="exact"/>
        </w:trPr>
        <w:tc>
          <w:tcPr>
            <w:tcW w:w="3298" w:type="dxa"/>
          </w:tcPr>
          <w:p>
            <w:pPr>
              <w:pStyle w:val="TableParagraph"/>
              <w:spacing w:before="109"/>
              <w:ind w:left="108"/>
              <w:rPr>
                <w:rFonts w:ascii="Times New Roman"/>
                <w:b/>
                <w:sz w:val="20"/>
              </w:rPr>
            </w:pPr>
            <w:r>
              <w:rPr>
                <w:rFonts w:ascii="Times New Roman"/>
                <w:b/>
                <w:sz w:val="20"/>
              </w:rPr>
              <w:t>Length of bottle feeding</w:t>
            </w:r>
          </w:p>
        </w:tc>
        <w:tc>
          <w:tcPr>
            <w:tcW w:w="2790" w:type="dxa"/>
          </w:tcPr>
          <w:p>
            <w:pPr/>
          </w:p>
        </w:tc>
        <w:tc>
          <w:tcPr>
            <w:tcW w:w="1936" w:type="dxa"/>
          </w:tcPr>
          <w:p>
            <w:pPr/>
          </w:p>
        </w:tc>
      </w:tr>
      <w:tr>
        <w:trPr>
          <w:trHeight w:val="370" w:hRule="exact"/>
        </w:trPr>
        <w:tc>
          <w:tcPr>
            <w:tcW w:w="3298" w:type="dxa"/>
          </w:tcPr>
          <w:p>
            <w:pPr>
              <w:pStyle w:val="TableParagraph"/>
              <w:spacing w:before="104"/>
              <w:ind w:left="108"/>
              <w:rPr>
                <w:rFonts w:ascii="Times New Roman"/>
                <w:sz w:val="20"/>
              </w:rPr>
            </w:pPr>
            <w:r>
              <w:rPr>
                <w:rFonts w:ascii="Times New Roman"/>
                <w:sz w:val="20"/>
              </w:rPr>
              <w:t>Less than a year</w:t>
            </w:r>
          </w:p>
        </w:tc>
        <w:tc>
          <w:tcPr>
            <w:tcW w:w="2790" w:type="dxa"/>
          </w:tcPr>
          <w:p>
            <w:pPr>
              <w:pStyle w:val="TableParagraph"/>
              <w:spacing w:before="104"/>
              <w:ind w:right="774"/>
              <w:jc w:val="right"/>
              <w:rPr>
                <w:rFonts w:ascii="Times New Roman"/>
                <w:sz w:val="20"/>
              </w:rPr>
            </w:pPr>
            <w:r>
              <w:rPr>
                <w:rFonts w:ascii="Times New Roman"/>
                <w:sz w:val="20"/>
              </w:rPr>
              <w:t>84</w:t>
            </w:r>
          </w:p>
        </w:tc>
        <w:tc>
          <w:tcPr>
            <w:tcW w:w="1936" w:type="dxa"/>
          </w:tcPr>
          <w:p>
            <w:pPr>
              <w:pStyle w:val="TableParagraph"/>
              <w:spacing w:before="104"/>
              <w:ind w:left="725"/>
              <w:rPr>
                <w:rFonts w:ascii="Times New Roman"/>
                <w:sz w:val="20"/>
              </w:rPr>
            </w:pPr>
            <w:r>
              <w:rPr>
                <w:rFonts w:ascii="Times New Roman"/>
                <w:sz w:val="20"/>
              </w:rPr>
              <w:t>64.1%</w:t>
            </w:r>
          </w:p>
        </w:tc>
      </w:tr>
      <w:tr>
        <w:trPr>
          <w:trHeight w:val="280" w:hRule="exact"/>
        </w:trPr>
        <w:tc>
          <w:tcPr>
            <w:tcW w:w="3298" w:type="dxa"/>
          </w:tcPr>
          <w:p>
            <w:pPr>
              <w:pStyle w:val="TableParagraph"/>
              <w:spacing w:before="13"/>
              <w:ind w:left="108"/>
              <w:rPr>
                <w:rFonts w:ascii="Times New Roman"/>
                <w:sz w:val="20"/>
              </w:rPr>
            </w:pPr>
            <w:r>
              <w:rPr>
                <w:rFonts w:ascii="Times New Roman"/>
                <w:sz w:val="20"/>
              </w:rPr>
              <w:t>1 year</w:t>
            </w:r>
          </w:p>
        </w:tc>
        <w:tc>
          <w:tcPr>
            <w:tcW w:w="2790" w:type="dxa"/>
          </w:tcPr>
          <w:p>
            <w:pPr>
              <w:pStyle w:val="TableParagraph"/>
              <w:spacing w:before="13"/>
              <w:ind w:right="774"/>
              <w:jc w:val="right"/>
              <w:rPr>
                <w:rFonts w:ascii="Times New Roman"/>
                <w:sz w:val="20"/>
              </w:rPr>
            </w:pPr>
            <w:r>
              <w:rPr>
                <w:rFonts w:ascii="Times New Roman"/>
                <w:sz w:val="20"/>
              </w:rPr>
              <w:t>16</w:t>
            </w:r>
          </w:p>
        </w:tc>
        <w:tc>
          <w:tcPr>
            <w:tcW w:w="1936" w:type="dxa"/>
          </w:tcPr>
          <w:p>
            <w:pPr>
              <w:pStyle w:val="TableParagraph"/>
              <w:spacing w:before="13"/>
              <w:ind w:left="725"/>
              <w:rPr>
                <w:rFonts w:ascii="Times New Roman"/>
                <w:sz w:val="20"/>
              </w:rPr>
            </w:pPr>
            <w:r>
              <w:rPr>
                <w:rFonts w:ascii="Times New Roman"/>
                <w:sz w:val="20"/>
              </w:rPr>
              <w:t>12.2%</w:t>
            </w:r>
          </w:p>
        </w:tc>
      </w:tr>
      <w:tr>
        <w:trPr>
          <w:trHeight w:val="265" w:hRule="exact"/>
        </w:trPr>
        <w:tc>
          <w:tcPr>
            <w:tcW w:w="3298" w:type="dxa"/>
          </w:tcPr>
          <w:p>
            <w:pPr>
              <w:pStyle w:val="TableParagraph"/>
              <w:spacing w:before="14"/>
              <w:ind w:left="108"/>
              <w:rPr>
                <w:rFonts w:ascii="Times New Roman"/>
                <w:sz w:val="20"/>
              </w:rPr>
            </w:pPr>
            <w:r>
              <w:rPr>
                <w:rFonts w:ascii="Times New Roman"/>
                <w:sz w:val="20"/>
              </w:rPr>
              <w:t>2 years</w:t>
            </w:r>
          </w:p>
        </w:tc>
        <w:tc>
          <w:tcPr>
            <w:tcW w:w="2790" w:type="dxa"/>
          </w:tcPr>
          <w:p>
            <w:pPr>
              <w:pStyle w:val="TableParagraph"/>
              <w:spacing w:before="14"/>
              <w:ind w:right="774"/>
              <w:jc w:val="right"/>
              <w:rPr>
                <w:rFonts w:ascii="Times New Roman"/>
                <w:sz w:val="20"/>
              </w:rPr>
            </w:pPr>
            <w:r>
              <w:rPr>
                <w:rFonts w:ascii="Times New Roman"/>
                <w:sz w:val="20"/>
              </w:rPr>
              <w:t>24</w:t>
            </w:r>
          </w:p>
        </w:tc>
        <w:tc>
          <w:tcPr>
            <w:tcW w:w="1936" w:type="dxa"/>
          </w:tcPr>
          <w:p>
            <w:pPr>
              <w:pStyle w:val="TableParagraph"/>
              <w:spacing w:before="14"/>
              <w:ind w:left="725"/>
              <w:rPr>
                <w:rFonts w:ascii="Times New Roman"/>
                <w:sz w:val="20"/>
              </w:rPr>
            </w:pPr>
            <w:r>
              <w:rPr>
                <w:rFonts w:ascii="Times New Roman"/>
                <w:sz w:val="20"/>
              </w:rPr>
              <w:t>18.3%</w:t>
            </w:r>
          </w:p>
        </w:tc>
      </w:tr>
      <w:tr>
        <w:trPr>
          <w:trHeight w:val="224" w:hRule="exact"/>
        </w:trPr>
        <w:tc>
          <w:tcPr>
            <w:tcW w:w="3298" w:type="dxa"/>
          </w:tcPr>
          <w:p>
            <w:pPr>
              <w:pStyle w:val="TableParagraph"/>
              <w:spacing w:line="229" w:lineRule="exact"/>
              <w:ind w:left="108"/>
              <w:rPr>
                <w:rFonts w:ascii="Times New Roman"/>
                <w:sz w:val="20"/>
              </w:rPr>
            </w:pPr>
            <w:r>
              <w:rPr>
                <w:rFonts w:ascii="Times New Roman"/>
                <w:sz w:val="20"/>
              </w:rPr>
              <w:t>3 years</w:t>
            </w:r>
          </w:p>
        </w:tc>
        <w:tc>
          <w:tcPr>
            <w:tcW w:w="2790" w:type="dxa"/>
          </w:tcPr>
          <w:p>
            <w:pPr>
              <w:pStyle w:val="TableParagraph"/>
              <w:spacing w:line="229" w:lineRule="exact"/>
              <w:ind w:right="826"/>
              <w:jc w:val="right"/>
              <w:rPr>
                <w:rFonts w:ascii="Times New Roman"/>
                <w:sz w:val="20"/>
              </w:rPr>
            </w:pPr>
            <w:r>
              <w:rPr>
                <w:rFonts w:ascii="Times New Roman"/>
                <w:w w:val="99"/>
                <w:sz w:val="20"/>
              </w:rPr>
              <w:t>7</w:t>
            </w:r>
          </w:p>
        </w:tc>
        <w:tc>
          <w:tcPr>
            <w:tcW w:w="1936" w:type="dxa"/>
          </w:tcPr>
          <w:p>
            <w:pPr>
              <w:pStyle w:val="TableParagraph"/>
              <w:spacing w:line="229" w:lineRule="exact"/>
              <w:ind w:left="776"/>
              <w:rPr>
                <w:rFonts w:ascii="Times New Roman"/>
                <w:sz w:val="20"/>
              </w:rPr>
            </w:pPr>
            <w:r>
              <w:rPr>
                <w:rFonts w:ascii="Times New Roman"/>
                <w:sz w:val="20"/>
              </w:rPr>
              <w:t>5.3%</w:t>
            </w:r>
          </w:p>
        </w:tc>
      </w:tr>
    </w:tbl>
    <w:p>
      <w:pPr>
        <w:spacing w:after="0" w:line="229" w:lineRule="exact"/>
        <w:rPr>
          <w:rFonts w:ascii="Times New Roman"/>
          <w:sz w:val="20"/>
        </w:rPr>
        <w:sectPr>
          <w:pgSz w:w="12240" w:h="15840"/>
          <w:pgMar w:header="686" w:footer="964" w:top="1080" w:bottom="1160" w:left="1280" w:right="1560"/>
        </w:sectPr>
      </w:pPr>
    </w:p>
    <w:p>
      <w:pPr>
        <w:pStyle w:val="BodyText"/>
        <w:rPr>
          <w:rFonts w:ascii="Times New Roman"/>
          <w:sz w:val="20"/>
        </w:rPr>
      </w:pPr>
    </w:p>
    <w:p>
      <w:pPr>
        <w:pStyle w:val="BodyText"/>
        <w:rPr>
          <w:rFonts w:ascii="Times New Roman"/>
          <w:sz w:val="20"/>
        </w:rPr>
      </w:pPr>
    </w:p>
    <w:p>
      <w:pPr>
        <w:pStyle w:val="BodyText"/>
        <w:rPr>
          <w:rFonts w:ascii="Times New Roman"/>
          <w:sz w:val="16"/>
        </w:rPr>
      </w:pPr>
    </w:p>
    <w:tbl>
      <w:tblPr>
        <w:tblW w:w="0" w:type="auto"/>
        <w:jc w:val="left"/>
        <w:tblInd w:w="8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1"/>
        <w:gridCol w:w="3349"/>
        <w:gridCol w:w="1444"/>
      </w:tblGrid>
      <w:tr>
        <w:trPr>
          <w:trHeight w:val="329" w:hRule="exact"/>
        </w:trPr>
        <w:tc>
          <w:tcPr>
            <w:tcW w:w="7625" w:type="dxa"/>
            <w:gridSpan w:val="3"/>
          </w:tcPr>
          <w:p>
            <w:pPr>
              <w:pStyle w:val="TableParagraph"/>
              <w:spacing w:line="204" w:lineRule="exact"/>
              <w:ind w:left="200"/>
              <w:rPr>
                <w:rFonts w:ascii="Times New Roman"/>
                <w:b/>
                <w:sz w:val="20"/>
              </w:rPr>
            </w:pPr>
            <w:r>
              <w:rPr>
                <w:rFonts w:ascii="Times New Roman"/>
                <w:b/>
                <w:sz w:val="20"/>
              </w:rPr>
              <w:t>Addition of sugar/honey to the bottle</w:t>
            </w:r>
          </w:p>
        </w:tc>
      </w:tr>
      <w:tr>
        <w:trPr>
          <w:trHeight w:val="462" w:hRule="exact"/>
        </w:trPr>
        <w:tc>
          <w:tcPr>
            <w:tcW w:w="2831" w:type="dxa"/>
          </w:tcPr>
          <w:p>
            <w:pPr>
              <w:pStyle w:val="TableParagraph"/>
              <w:spacing w:before="103"/>
              <w:ind w:left="200"/>
              <w:rPr>
                <w:rFonts w:ascii="Times New Roman"/>
                <w:sz w:val="20"/>
              </w:rPr>
            </w:pPr>
            <w:r>
              <w:rPr>
                <w:rFonts w:ascii="Times New Roman"/>
                <w:sz w:val="20"/>
              </w:rPr>
              <w:t>Yes</w:t>
            </w:r>
          </w:p>
        </w:tc>
        <w:tc>
          <w:tcPr>
            <w:tcW w:w="3349" w:type="dxa"/>
          </w:tcPr>
          <w:p>
            <w:pPr>
              <w:pStyle w:val="TableParagraph"/>
              <w:spacing w:before="103"/>
              <w:ind w:right="774"/>
              <w:jc w:val="right"/>
              <w:rPr>
                <w:rFonts w:ascii="Times New Roman"/>
                <w:sz w:val="20"/>
              </w:rPr>
            </w:pPr>
            <w:r>
              <w:rPr>
                <w:rFonts w:ascii="Times New Roman"/>
                <w:sz w:val="20"/>
              </w:rPr>
              <w:t>11</w:t>
            </w:r>
          </w:p>
        </w:tc>
        <w:tc>
          <w:tcPr>
            <w:tcW w:w="1444" w:type="dxa"/>
          </w:tcPr>
          <w:p>
            <w:pPr>
              <w:pStyle w:val="TableParagraph"/>
              <w:spacing w:before="103"/>
              <w:ind w:right="248"/>
              <w:jc w:val="right"/>
              <w:rPr>
                <w:rFonts w:ascii="Times New Roman"/>
                <w:sz w:val="20"/>
              </w:rPr>
            </w:pPr>
            <w:r>
              <w:rPr>
                <w:rFonts w:ascii="Times New Roman"/>
                <w:sz w:val="20"/>
              </w:rPr>
              <w:t>8.4%</w:t>
            </w:r>
          </w:p>
        </w:tc>
      </w:tr>
      <w:tr>
        <w:trPr>
          <w:trHeight w:val="332" w:hRule="exact"/>
        </w:trPr>
        <w:tc>
          <w:tcPr>
            <w:tcW w:w="2831" w:type="dxa"/>
          </w:tcPr>
          <w:p>
            <w:pPr>
              <w:pStyle w:val="TableParagraph"/>
              <w:spacing w:before="106"/>
              <w:ind w:left="200"/>
              <w:rPr>
                <w:rFonts w:ascii="Times New Roman"/>
                <w:sz w:val="20"/>
              </w:rPr>
            </w:pPr>
            <w:r>
              <w:rPr>
                <w:rFonts w:ascii="Times New Roman"/>
                <w:sz w:val="20"/>
              </w:rPr>
              <w:t>No</w:t>
            </w:r>
          </w:p>
        </w:tc>
        <w:tc>
          <w:tcPr>
            <w:tcW w:w="3349" w:type="dxa"/>
          </w:tcPr>
          <w:p>
            <w:pPr>
              <w:pStyle w:val="TableParagraph"/>
              <w:spacing w:before="106"/>
              <w:ind w:right="725"/>
              <w:jc w:val="right"/>
              <w:rPr>
                <w:rFonts w:ascii="Times New Roman"/>
                <w:sz w:val="20"/>
              </w:rPr>
            </w:pPr>
            <w:r>
              <w:rPr>
                <w:rFonts w:ascii="Times New Roman"/>
                <w:sz w:val="20"/>
              </w:rPr>
              <w:t>120</w:t>
            </w:r>
          </w:p>
        </w:tc>
        <w:tc>
          <w:tcPr>
            <w:tcW w:w="1444" w:type="dxa"/>
          </w:tcPr>
          <w:p>
            <w:pPr>
              <w:pStyle w:val="TableParagraph"/>
              <w:spacing w:before="106"/>
              <w:ind w:right="198"/>
              <w:jc w:val="right"/>
              <w:rPr>
                <w:rFonts w:ascii="Times New Roman"/>
                <w:sz w:val="20"/>
              </w:rPr>
            </w:pPr>
            <w:r>
              <w:rPr>
                <w:rFonts w:ascii="Times New Roman"/>
                <w:sz w:val="20"/>
              </w:rPr>
              <w:t>91.6%</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r>
        <w:rPr/>
        <w:pict>
          <v:group style="position:absolute;margin-left:70.544998pt;margin-top:11.543456pt;width:456.75pt;height:256.25pt;mso-position-horizontal-relative:page;mso-position-vertical-relative:paragraph;z-index:1864;mso-wrap-distance-left:0;mso-wrap-distance-right:0" coordorigin="1411,231" coordsize="9135,5125">
            <v:line style="position:absolute" from="7394,1254" to="7394,1369" stroked="true" strokeweight=".24pt" strokecolor="#858585">
              <v:stroke dashstyle="dash"/>
            </v:line>
            <v:line style="position:absolute" from="7394,1755" to="7394,1986" stroked="true" strokeweight=".24pt" strokecolor="#858585">
              <v:stroke dashstyle="dash"/>
            </v:line>
            <v:line style="position:absolute" from="7394,2370" to="7394,2600" stroked="true" strokeweight=".24pt" strokecolor="#858585">
              <v:stroke dashstyle="dash"/>
            </v:line>
            <v:line style="position:absolute" from="7394,2986" to="7394,3217" stroked="true" strokeweight=".24pt" strokecolor="#858585">
              <v:stroke dashstyle="dash"/>
            </v:line>
            <v:line style="position:absolute" from="7394,3601" to="7394,3831" stroked="true" strokeweight=".24pt" strokecolor="#858585">
              <v:stroke dashstyle="dash"/>
            </v:line>
            <v:line style="position:absolute" from="7394,4215" to="7394,4947" stroked="true" strokeweight=".24pt" strokecolor="#858585">
              <v:stroke dashstyle="dash"/>
            </v:line>
            <v:rect style="position:absolute;left:5945;top:3831;width:2174;height:384" filled="true" fillcolor="#bebebe" stroked="false">
              <v:fill type="solid"/>
            </v:rect>
            <v:rect style="position:absolute;left:5945;top:3217;width:2318;height:384" filled="true" fillcolor="#bebebe" stroked="false">
              <v:fill type="solid"/>
            </v:rect>
            <v:rect style="position:absolute;left:5945;top:2600;width:2465;height:386" filled="true" fillcolor="#bebebe" stroked="false">
              <v:fill type="solid"/>
            </v:rect>
            <v:rect style="position:absolute;left:5945;top:1986;width:2609;height:384" filled="true" fillcolor="#bebebe" stroked="false">
              <v:fill type="solid"/>
            </v:rect>
            <v:line style="position:absolute" from="8844,1254" to="8844,1369" stroked="true" strokeweight=".24pt" strokecolor="#858585">
              <v:stroke dashstyle="dash"/>
            </v:line>
            <v:line style="position:absolute" from="8844,1755" to="8844,4947" stroked="true" strokeweight=".24pt" strokecolor="#858585">
              <v:stroke dashstyle="dash"/>
            </v:line>
            <v:rect style="position:absolute;left:5945;top:1369;width:3624;height:386" filled="true" fillcolor="#bebebe" stroked="false">
              <v:fill type="solid"/>
            </v:rect>
            <v:line style="position:absolute" from="10291,1254" to="10291,4947" stroked="true" strokeweight=".24pt" strokecolor="#858585">
              <v:stroke dashstyle="dash"/>
            </v:line>
            <v:line style="position:absolute" from="5945,4947" to="10291,4947" stroked="true" strokeweight=".72pt" strokecolor="#858585"/>
            <v:line style="position:absolute" from="5945,4947" to="5945,5010" stroked="true" strokeweight=".72pt" strokecolor="#858585"/>
            <v:line style="position:absolute" from="7394,4947" to="7394,5010" stroked="true" strokeweight=".72pt" strokecolor="#858585"/>
            <v:line style="position:absolute" from="8844,4947" to="8844,5010" stroked="true" strokeweight=".72pt" strokecolor="#858585"/>
            <v:line style="position:absolute" from="10291,4947" to="10291,5010" stroked="true" strokeweight=".72pt" strokecolor="#858585"/>
            <v:line style="position:absolute" from="5945,4947" to="5945,1254" stroked="true" strokeweight=".72pt" strokecolor="#858585"/>
            <v:rect style="position:absolute;left:1418;top:238;width:9120;height:5110" filled="false" stroked="true" strokeweight=".72pt" strokecolor="#858585"/>
            <v:shape style="position:absolute;left:5945;top:4448;width:1160;height:384" type="#_x0000_t202" filled="true" fillcolor="#bebebe" stroked="false">
              <v:textbox inset="0,0,0,0">
                <w:txbxContent>
                  <w:p>
                    <w:pPr>
                      <w:spacing w:before="101"/>
                      <w:ind w:left="406" w:right="402" w:firstLine="0"/>
                      <w:jc w:val="center"/>
                      <w:rPr>
                        <w:b/>
                        <w:sz w:val="16"/>
                      </w:rPr>
                    </w:pPr>
                    <w:r>
                      <w:rPr>
                        <w:b/>
                        <w:sz w:val="16"/>
                      </w:rPr>
                      <w:t>0.08</w:t>
                    </w:r>
                  </w:p>
                </w:txbxContent>
              </v:textbox>
              <v:fill type="solid"/>
              <w10:wrap type="none"/>
            </v:shape>
            <v:shape style="position:absolute;left:1448;top:1349;width:4321;height:430"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Number of times the child is exposed to sugars</w:t>
                    </w:r>
                    <w:r>
                      <w:rPr>
                        <w:rFonts w:ascii="Times New Roman"/>
                        <w:spacing w:val="-20"/>
                        <w:sz w:val="20"/>
                      </w:rPr>
                      <w:t> </w:t>
                    </w:r>
                    <w:r>
                      <w:rPr>
                        <w:rFonts w:ascii="Times New Roman"/>
                        <w:sz w:val="20"/>
                      </w:rPr>
                      <w:t>during</w:t>
                    </w:r>
                  </w:p>
                  <w:p>
                    <w:pPr>
                      <w:spacing w:line="226" w:lineRule="exact" w:before="0"/>
                      <w:ind w:left="7" w:right="0" w:firstLine="0"/>
                      <w:jc w:val="center"/>
                      <w:rPr>
                        <w:rFonts w:ascii="Times New Roman"/>
                        <w:sz w:val="20"/>
                      </w:rPr>
                    </w:pPr>
                    <w:r>
                      <w:rPr>
                        <w:rFonts w:ascii="Times New Roman"/>
                        <w:sz w:val="20"/>
                      </w:rPr>
                      <w:t>meals</w:t>
                    </w:r>
                  </w:p>
                </w:txbxContent>
              </v:textbox>
              <w10:wrap type="none"/>
            </v:shape>
            <v:shape style="position:absolute;left:7602;top:1491;width:313;height:161" type="#_x0000_t202" filled="false" stroked="false">
              <v:textbox inset="0,0,0,0">
                <w:txbxContent>
                  <w:p>
                    <w:pPr>
                      <w:spacing w:line="161" w:lineRule="exact" w:before="0"/>
                      <w:ind w:left="0" w:right="-19" w:firstLine="0"/>
                      <w:jc w:val="left"/>
                      <w:rPr>
                        <w:b/>
                        <w:sz w:val="16"/>
                      </w:rPr>
                    </w:pPr>
                    <w:r>
                      <w:rPr>
                        <w:b/>
                        <w:sz w:val="16"/>
                      </w:rPr>
                      <w:t>0.25</w:t>
                    </w:r>
                  </w:p>
                </w:txbxContent>
              </v:textbox>
              <w10:wrap type="none"/>
            </v:shape>
            <v:shape style="position:absolute;left:2849;top:2085;width:2924;height:200" type="#_x0000_t202" filled="false" stroked="false">
              <v:textbox inset="0,0,0,0">
                <w:txbxContent>
                  <w:p>
                    <w:pPr>
                      <w:spacing w:line="199" w:lineRule="exact" w:before="0"/>
                      <w:ind w:left="0" w:right="-11" w:firstLine="0"/>
                      <w:jc w:val="left"/>
                      <w:rPr>
                        <w:rFonts w:ascii="Times New Roman" w:hAnsi="Times New Roman"/>
                        <w:sz w:val="20"/>
                      </w:rPr>
                    </w:pPr>
                    <w:r>
                      <w:rPr>
                        <w:rFonts w:ascii="Times New Roman" w:hAnsi="Times New Roman"/>
                        <w:sz w:val="20"/>
                      </w:rPr>
                      <w:t>Primay caregiver’s educational</w:t>
                    </w:r>
                    <w:r>
                      <w:rPr>
                        <w:rFonts w:ascii="Times New Roman" w:hAnsi="Times New Roman"/>
                        <w:spacing w:val="-12"/>
                        <w:sz w:val="20"/>
                      </w:rPr>
                      <w:t> </w:t>
                    </w:r>
                    <w:r>
                      <w:rPr>
                        <w:rFonts w:ascii="Times New Roman" w:hAnsi="Times New Roman"/>
                        <w:sz w:val="20"/>
                      </w:rPr>
                      <w:t>level</w:t>
                    </w:r>
                  </w:p>
                </w:txbxContent>
              </v:textbox>
              <w10:wrap type="none"/>
            </v:shape>
            <v:shape style="position:absolute;left:7095;top:2107;width:313;height:161" type="#_x0000_t202" filled="false" stroked="false">
              <v:textbox inset="0,0,0,0">
                <w:txbxContent>
                  <w:p>
                    <w:pPr>
                      <w:spacing w:line="161" w:lineRule="exact" w:before="0"/>
                      <w:ind w:left="0" w:right="-19" w:firstLine="0"/>
                      <w:jc w:val="left"/>
                      <w:rPr>
                        <w:b/>
                        <w:sz w:val="16"/>
                      </w:rPr>
                    </w:pPr>
                    <w:r>
                      <w:rPr>
                        <w:b/>
                        <w:sz w:val="16"/>
                      </w:rPr>
                      <w:t>0.18</w:t>
                    </w:r>
                  </w:p>
                </w:txbxContent>
              </v:textbox>
              <w10:wrap type="none"/>
            </v:shape>
            <v:shape style="position:absolute;left:3816;top:2695;width:1959;height:200" type="#_x0000_t202" filled="false" stroked="false">
              <v:textbox inset="0,0,0,0">
                <w:txbxContent>
                  <w:p>
                    <w:pPr>
                      <w:spacing w:line="199" w:lineRule="exact" w:before="0"/>
                      <w:ind w:left="0" w:right="-15" w:firstLine="0"/>
                      <w:jc w:val="left"/>
                      <w:rPr>
                        <w:rFonts w:ascii="Times New Roman"/>
                        <w:sz w:val="20"/>
                      </w:rPr>
                    </w:pPr>
                    <w:r>
                      <w:rPr>
                        <w:rFonts w:ascii="Times New Roman"/>
                        <w:sz w:val="20"/>
                      </w:rPr>
                      <w:t>Presence of materia</w:t>
                    </w:r>
                    <w:r>
                      <w:rPr>
                        <w:rFonts w:ascii="Times New Roman"/>
                        <w:spacing w:val="-7"/>
                        <w:sz w:val="20"/>
                      </w:rPr>
                      <w:t> </w:t>
                    </w:r>
                    <w:r>
                      <w:rPr>
                        <w:rFonts w:ascii="Times New Roman"/>
                        <w:sz w:val="20"/>
                      </w:rPr>
                      <w:t>alba</w:t>
                    </w:r>
                  </w:p>
                </w:txbxContent>
              </v:textbox>
              <w10:wrap type="none"/>
            </v:shape>
            <v:shape style="position:absolute;left:7022;top:2723;width:313;height:161" type="#_x0000_t202" filled="false" stroked="false">
              <v:textbox inset="0,0,0,0">
                <w:txbxContent>
                  <w:p>
                    <w:pPr>
                      <w:spacing w:line="161" w:lineRule="exact" w:before="0"/>
                      <w:ind w:left="0" w:right="-19" w:firstLine="0"/>
                      <w:jc w:val="left"/>
                      <w:rPr>
                        <w:b/>
                        <w:sz w:val="16"/>
                      </w:rPr>
                    </w:pPr>
                    <w:r>
                      <w:rPr>
                        <w:b/>
                        <w:sz w:val="16"/>
                      </w:rPr>
                      <w:t>0.17</w:t>
                    </w:r>
                  </w:p>
                </w:txbxContent>
              </v:textbox>
              <w10:wrap type="none"/>
            </v:shape>
            <v:shape style="position:absolute;left:2715;top:3310;width:3057;height:200" type="#_x0000_t202" filled="false" stroked="false">
              <v:textbox inset="0,0,0,0">
                <w:txbxContent>
                  <w:p>
                    <w:pPr>
                      <w:spacing w:line="199" w:lineRule="exact" w:before="0"/>
                      <w:ind w:left="0" w:right="-13" w:firstLine="0"/>
                      <w:jc w:val="left"/>
                      <w:rPr>
                        <w:rFonts w:ascii="Times New Roman"/>
                        <w:sz w:val="20"/>
                      </w:rPr>
                    </w:pPr>
                    <w:r>
                      <w:rPr>
                        <w:rFonts w:ascii="Times New Roman"/>
                        <w:sz w:val="20"/>
                      </w:rPr>
                      <w:t>Addition of sugar / honey to the</w:t>
                    </w:r>
                    <w:r>
                      <w:rPr>
                        <w:rFonts w:ascii="Times New Roman"/>
                        <w:spacing w:val="-11"/>
                        <w:sz w:val="20"/>
                      </w:rPr>
                      <w:t> </w:t>
                    </w:r>
                    <w:r>
                      <w:rPr>
                        <w:rFonts w:ascii="Times New Roman"/>
                        <w:sz w:val="20"/>
                      </w:rPr>
                      <w:t>bottle</w:t>
                    </w:r>
                  </w:p>
                </w:txbxContent>
              </v:textbox>
              <w10:wrap type="none"/>
            </v:shape>
            <v:shape style="position:absolute;left:6950;top:3338;width:313;height:161" type="#_x0000_t202" filled="false" stroked="false">
              <v:textbox inset="0,0,0,0">
                <w:txbxContent>
                  <w:p>
                    <w:pPr>
                      <w:spacing w:line="161" w:lineRule="exact" w:before="0"/>
                      <w:ind w:left="0" w:right="-19" w:firstLine="0"/>
                      <w:jc w:val="left"/>
                      <w:rPr>
                        <w:b/>
                        <w:sz w:val="16"/>
                      </w:rPr>
                    </w:pPr>
                    <w:r>
                      <w:rPr>
                        <w:b/>
                        <w:sz w:val="16"/>
                      </w:rPr>
                      <w:t>0.16</w:t>
                    </w:r>
                  </w:p>
                </w:txbxContent>
              </v:textbox>
              <w10:wrap type="none"/>
            </v:shape>
            <v:shape style="position:absolute;left:2021;top:3811;width:3750;height:429" type="#_x0000_t202" filled="false" stroked="false">
              <v:textbox inset="0,0,0,0">
                <w:txbxContent>
                  <w:p>
                    <w:pPr>
                      <w:spacing w:line="203" w:lineRule="exact" w:before="0"/>
                      <w:ind w:left="0" w:right="0" w:firstLine="0"/>
                      <w:jc w:val="center"/>
                      <w:rPr>
                        <w:rFonts w:ascii="Times New Roman"/>
                        <w:sz w:val="20"/>
                      </w:rPr>
                    </w:pPr>
                    <w:r>
                      <w:rPr>
                        <w:rFonts w:ascii="Times New Roman"/>
                        <w:sz w:val="20"/>
                      </w:rPr>
                      <w:t>Number of times the child is exposed to</w:t>
                    </w:r>
                    <w:r>
                      <w:rPr>
                        <w:rFonts w:ascii="Times New Roman"/>
                        <w:spacing w:val="-16"/>
                        <w:sz w:val="20"/>
                      </w:rPr>
                      <w:t> </w:t>
                    </w:r>
                    <w:r>
                      <w:rPr>
                        <w:rFonts w:ascii="Times New Roman"/>
                        <w:sz w:val="20"/>
                      </w:rPr>
                      <w:t>sugars</w:t>
                    </w:r>
                  </w:p>
                  <w:p>
                    <w:pPr>
                      <w:spacing w:line="226" w:lineRule="exact" w:before="0"/>
                      <w:ind w:left="4" w:right="0" w:firstLine="0"/>
                      <w:jc w:val="center"/>
                      <w:rPr>
                        <w:rFonts w:ascii="Times New Roman"/>
                        <w:sz w:val="20"/>
                      </w:rPr>
                    </w:pPr>
                    <w:r>
                      <w:rPr>
                        <w:rFonts w:ascii="Times New Roman"/>
                        <w:sz w:val="20"/>
                      </w:rPr>
                      <w:t>between meals</w:t>
                    </w:r>
                  </w:p>
                </w:txbxContent>
              </v:textbox>
              <w10:wrap type="none"/>
            </v:shape>
            <v:shape style="position:absolute;left:6877;top:3954;width:313;height:161" type="#_x0000_t202" filled="false" stroked="false">
              <v:textbox inset="0,0,0,0">
                <w:txbxContent>
                  <w:p>
                    <w:pPr>
                      <w:spacing w:line="161" w:lineRule="exact" w:before="0"/>
                      <w:ind w:left="0" w:right="-19" w:firstLine="0"/>
                      <w:jc w:val="left"/>
                      <w:rPr>
                        <w:b/>
                        <w:sz w:val="16"/>
                      </w:rPr>
                    </w:pPr>
                    <w:r>
                      <w:rPr>
                        <w:b/>
                        <w:sz w:val="16"/>
                      </w:rPr>
                      <w:t>0.15</w:t>
                    </w:r>
                  </w:p>
                </w:txbxContent>
              </v:textbox>
              <w10:wrap type="none"/>
            </v:shape>
            <v:shape style="position:absolute;left:3838;top:4542;width:1936;height:200" type="#_x0000_t202" filled="false" stroked="false">
              <v:textbox inset="0,0,0,0">
                <w:txbxContent>
                  <w:p>
                    <w:pPr>
                      <w:spacing w:line="199" w:lineRule="exact" w:before="0"/>
                      <w:ind w:left="0" w:right="-14" w:firstLine="0"/>
                      <w:jc w:val="left"/>
                      <w:rPr>
                        <w:rFonts w:ascii="Times New Roman"/>
                        <w:sz w:val="20"/>
                      </w:rPr>
                    </w:pPr>
                    <w:r>
                      <w:rPr>
                        <w:rFonts w:ascii="Times New Roman"/>
                        <w:sz w:val="20"/>
                      </w:rPr>
                      <w:t>Length of bottle</w:t>
                    </w:r>
                    <w:r>
                      <w:rPr>
                        <w:rFonts w:ascii="Times New Roman"/>
                        <w:spacing w:val="-9"/>
                        <w:sz w:val="20"/>
                      </w:rPr>
                      <w:t> </w:t>
                    </w:r>
                    <w:r>
                      <w:rPr>
                        <w:rFonts w:ascii="Times New Roman"/>
                        <w:sz w:val="20"/>
                      </w:rPr>
                      <w:t>feeding</w:t>
                    </w:r>
                  </w:p>
                </w:txbxContent>
              </v:textbox>
              <w10:wrap type="none"/>
            </v:shape>
            <v:shape style="position:absolute;left:5896;top:511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7269;top:511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0.1</w:t>
                    </w:r>
                  </w:p>
                </w:txbxContent>
              </v:textbox>
              <w10:wrap type="none"/>
            </v:shape>
            <v:shape style="position:absolute;left:8718;top:511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0.2</w:t>
                    </w:r>
                  </w:p>
                </w:txbxContent>
              </v:textbox>
              <w10:wrap type="none"/>
            </v:shape>
            <v:shape style="position:absolute;left:10167;top:511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0.3</w:t>
                    </w:r>
                  </w:p>
                </w:txbxContent>
              </v:textbox>
              <w10:wrap type="none"/>
            </v:shape>
            <w10:wrap type="topAndBottom"/>
          </v:group>
        </w:pict>
      </w:r>
    </w:p>
    <w:p>
      <w:pPr>
        <w:spacing w:after="0"/>
        <w:rPr>
          <w:rFonts w:ascii="Times New Roman"/>
          <w:sz w:val="16"/>
        </w:rPr>
        <w:sectPr>
          <w:pgSz w:w="12240" w:h="15840"/>
          <w:pgMar w:header="686" w:footer="964" w:top="1080" w:bottom="1160" w:left="1280" w:right="1560"/>
        </w:sectPr>
      </w:pPr>
    </w:p>
    <w:p>
      <w:pPr>
        <w:pStyle w:val="BodyText"/>
        <w:rPr>
          <w:rFonts w:ascii="Times New Roman"/>
          <w:sz w:val="20"/>
        </w:rPr>
      </w:pPr>
    </w:p>
    <w:p>
      <w:pPr>
        <w:pStyle w:val="BodyText"/>
        <w:spacing w:before="5"/>
        <w:rPr>
          <w:rFonts w:ascii="Times New Roman"/>
          <w:sz w:val="27"/>
        </w:rPr>
      </w:pPr>
    </w:p>
    <w:p>
      <w:pPr>
        <w:pStyle w:val="Heading1"/>
        <w:numPr>
          <w:ilvl w:val="1"/>
          <w:numId w:val="12"/>
        </w:numPr>
        <w:tabs>
          <w:tab w:pos="902" w:val="left" w:leader="none"/>
        </w:tabs>
        <w:spacing w:line="240" w:lineRule="auto" w:before="70" w:after="0"/>
        <w:ind w:left="901" w:right="0" w:hanging="403"/>
        <w:jc w:val="left"/>
      </w:pPr>
      <w:r>
        <w:rPr/>
        <w:t>Resultados</w:t>
      </w:r>
      <w:r>
        <w:rPr>
          <w:spacing w:val="-5"/>
        </w:rPr>
        <w:t> </w:t>
      </w:r>
      <w:r>
        <w:rPr/>
        <w:t>Adicionales</w:t>
      </w:r>
    </w:p>
    <w:p>
      <w:pPr>
        <w:pStyle w:val="BodyText"/>
        <w:rPr>
          <w:b/>
        </w:rPr>
      </w:pPr>
    </w:p>
    <w:p>
      <w:pPr>
        <w:pStyle w:val="BodyText"/>
        <w:rPr>
          <w:b/>
        </w:rPr>
      </w:pPr>
    </w:p>
    <w:p>
      <w:pPr>
        <w:pStyle w:val="BodyText"/>
        <w:rPr>
          <w:b/>
        </w:rPr>
      </w:pPr>
    </w:p>
    <w:p>
      <w:pPr>
        <w:pStyle w:val="BodyText"/>
        <w:spacing w:before="9"/>
        <w:rPr>
          <w:b/>
          <w:sz w:val="19"/>
        </w:rPr>
      </w:pPr>
    </w:p>
    <w:p>
      <w:pPr>
        <w:pStyle w:val="BodyText"/>
        <w:spacing w:line="480" w:lineRule="auto"/>
        <w:ind w:left="280" w:right="137"/>
        <w:jc w:val="both"/>
      </w:pPr>
      <w:r>
        <w:rPr/>
        <w:t>Los resultados del análisis de riesgo, mostraron que los niños quienes se exponen un mayor número de veces a azucares durante las comidas así como los que presentan</w:t>
      </w:r>
      <w:r>
        <w:rPr>
          <w:spacing w:val="-7"/>
        </w:rPr>
        <w:t> </w:t>
      </w:r>
      <w:r>
        <w:rPr/>
        <w:t>una</w:t>
      </w:r>
      <w:r>
        <w:rPr>
          <w:spacing w:val="-5"/>
        </w:rPr>
        <w:t> </w:t>
      </w:r>
      <w:r>
        <w:rPr>
          <w:i/>
        </w:rPr>
        <w:t>materia</w:t>
      </w:r>
      <w:r>
        <w:rPr>
          <w:i/>
          <w:spacing w:val="-9"/>
        </w:rPr>
        <w:t> </w:t>
      </w:r>
      <w:r>
        <w:rPr>
          <w:i/>
        </w:rPr>
        <w:t>alba</w:t>
      </w:r>
      <w:r>
        <w:rPr>
          <w:i/>
          <w:spacing w:val="-5"/>
        </w:rPr>
        <w:t> </w:t>
      </w:r>
      <w:r>
        <w:rPr/>
        <w:t>en</w:t>
      </w:r>
      <w:r>
        <w:rPr>
          <w:spacing w:val="-7"/>
        </w:rPr>
        <w:t> </w:t>
      </w:r>
      <w:r>
        <w:rPr/>
        <w:t>la</w:t>
      </w:r>
      <w:r>
        <w:rPr>
          <w:spacing w:val="-7"/>
        </w:rPr>
        <w:t> </w:t>
      </w:r>
      <w:r>
        <w:rPr/>
        <w:t>superficie</w:t>
      </w:r>
      <w:r>
        <w:rPr>
          <w:spacing w:val="-6"/>
        </w:rPr>
        <w:t> </w:t>
      </w:r>
      <w:r>
        <w:rPr/>
        <w:t>dental</w:t>
      </w:r>
      <w:r>
        <w:rPr>
          <w:spacing w:val="-8"/>
        </w:rPr>
        <w:t> </w:t>
      </w:r>
      <w:r>
        <w:rPr/>
        <w:t>se</w:t>
      </w:r>
      <w:r>
        <w:rPr>
          <w:spacing w:val="-6"/>
        </w:rPr>
        <w:t> </w:t>
      </w:r>
      <w:r>
        <w:rPr/>
        <w:t>encuentran</w:t>
      </w:r>
      <w:r>
        <w:rPr>
          <w:spacing w:val="-7"/>
        </w:rPr>
        <w:t> </w:t>
      </w:r>
      <w:r>
        <w:rPr/>
        <w:t>en</w:t>
      </w:r>
      <w:r>
        <w:rPr>
          <w:spacing w:val="-9"/>
        </w:rPr>
        <w:t> </w:t>
      </w:r>
      <w:r>
        <w:rPr/>
        <w:t>mayor</w:t>
      </w:r>
      <w:r>
        <w:rPr>
          <w:spacing w:val="-8"/>
        </w:rPr>
        <w:t> </w:t>
      </w:r>
      <w:r>
        <w:rPr/>
        <w:t>riesgo</w:t>
      </w:r>
      <w:r>
        <w:rPr>
          <w:spacing w:val="-7"/>
        </w:rPr>
        <w:t> </w:t>
      </w:r>
      <w:r>
        <w:rPr/>
        <w:t>de desarrollar lesiones de caries ver Tabla</w:t>
      </w:r>
      <w:r>
        <w:rPr>
          <w:spacing w:val="-11"/>
        </w:rPr>
        <w:t> </w:t>
      </w:r>
      <w:r>
        <w:rPr/>
        <w:t>4</w:t>
      </w:r>
    </w:p>
    <w:p>
      <w:pPr>
        <w:pStyle w:val="BodyText"/>
      </w:pPr>
    </w:p>
    <w:p>
      <w:pPr>
        <w:pStyle w:val="BodyText"/>
      </w:pPr>
    </w:p>
    <w:p>
      <w:pPr>
        <w:pStyle w:val="BodyText"/>
      </w:pPr>
    </w:p>
    <w:p>
      <w:pPr>
        <w:pStyle w:val="BodyText"/>
        <w:spacing w:before="11"/>
      </w:pPr>
    </w:p>
    <w:p>
      <w:pPr>
        <w:pStyle w:val="Heading1"/>
        <w:spacing w:line="276" w:lineRule="auto"/>
        <w:ind w:left="1749" w:right="135" w:hanging="502"/>
        <w:jc w:val="left"/>
      </w:pPr>
      <w:r>
        <w:rPr/>
        <w:t>Tabla 4. Factores de riesgo a caries en preescolares Mazahuas del Municipio de San José del Rincón, Estado de México</w:t>
      </w:r>
    </w:p>
    <w:p>
      <w:pPr>
        <w:pStyle w:val="BodyText"/>
        <w:rPr>
          <w:b/>
          <w:sz w:val="20"/>
        </w:rPr>
      </w:pPr>
    </w:p>
    <w:p>
      <w:pPr>
        <w:pStyle w:val="BodyText"/>
        <w:rPr>
          <w:b/>
          <w:sz w:val="20"/>
        </w:rPr>
      </w:pPr>
    </w:p>
    <w:p>
      <w:pPr>
        <w:pStyle w:val="BodyText"/>
        <w:spacing w:before="11"/>
        <w:rPr>
          <w:b/>
          <w:sz w:val="16"/>
        </w:rPr>
      </w:pPr>
    </w:p>
    <w:tbl>
      <w:tblPr>
        <w:tblW w:w="0" w:type="auto"/>
        <w:jc w:val="left"/>
        <w:tblInd w:w="849" w:type="dxa"/>
        <w:tblBorders>
          <w:top w:val="single" w:sz="4" w:space="0" w:color="2C2C2C"/>
          <w:left w:val="single" w:sz="4" w:space="0" w:color="2C2C2C"/>
          <w:bottom w:val="single" w:sz="4" w:space="0" w:color="2C2C2C"/>
          <w:right w:val="single" w:sz="4" w:space="0" w:color="2C2C2C"/>
          <w:insideH w:val="single" w:sz="4" w:space="0" w:color="2C2C2C"/>
          <w:insideV w:val="single" w:sz="4" w:space="0" w:color="2C2C2C"/>
        </w:tblBorders>
        <w:tblLayout w:type="fixed"/>
        <w:tblCellMar>
          <w:top w:w="0" w:type="dxa"/>
          <w:left w:w="0" w:type="dxa"/>
          <w:bottom w:w="0" w:type="dxa"/>
          <w:right w:w="0" w:type="dxa"/>
        </w:tblCellMar>
        <w:tblLook w:val="01E0"/>
      </w:tblPr>
      <w:tblGrid>
        <w:gridCol w:w="4782"/>
        <w:gridCol w:w="1877"/>
        <w:gridCol w:w="1743"/>
      </w:tblGrid>
      <w:tr>
        <w:trPr>
          <w:trHeight w:val="350" w:hRule="exact"/>
        </w:trPr>
        <w:tc>
          <w:tcPr>
            <w:tcW w:w="4782" w:type="dxa"/>
          </w:tcPr>
          <w:p>
            <w:pPr>
              <w:pStyle w:val="TableParagraph"/>
              <w:spacing w:before="47"/>
              <w:ind w:left="2016" w:right="2015"/>
              <w:jc w:val="center"/>
              <w:rPr>
                <w:rFonts w:ascii="Arial"/>
                <w:b/>
                <w:sz w:val="18"/>
              </w:rPr>
            </w:pPr>
            <w:r>
              <w:rPr>
                <w:rFonts w:ascii="Arial"/>
                <w:b/>
                <w:sz w:val="18"/>
              </w:rPr>
              <w:t>Variable</w:t>
            </w:r>
          </w:p>
        </w:tc>
        <w:tc>
          <w:tcPr>
            <w:tcW w:w="1877" w:type="dxa"/>
          </w:tcPr>
          <w:p>
            <w:pPr>
              <w:pStyle w:val="TableParagraph"/>
              <w:spacing w:before="47"/>
              <w:ind w:left="773" w:right="773"/>
              <w:jc w:val="center"/>
              <w:rPr>
                <w:rFonts w:ascii="Arial"/>
                <w:b/>
                <w:sz w:val="18"/>
              </w:rPr>
            </w:pPr>
            <w:r>
              <w:rPr>
                <w:rFonts w:ascii="Arial"/>
                <w:b/>
                <w:sz w:val="18"/>
              </w:rPr>
              <w:t>RM</w:t>
            </w:r>
          </w:p>
        </w:tc>
        <w:tc>
          <w:tcPr>
            <w:tcW w:w="1743" w:type="dxa"/>
          </w:tcPr>
          <w:p>
            <w:pPr>
              <w:pStyle w:val="TableParagraph"/>
              <w:spacing w:before="47"/>
              <w:ind w:left="520"/>
              <w:rPr>
                <w:rFonts w:ascii="Arial"/>
                <w:b/>
                <w:sz w:val="18"/>
              </w:rPr>
            </w:pPr>
            <w:r>
              <w:rPr>
                <w:rFonts w:ascii="Arial"/>
                <w:b/>
                <w:sz w:val="18"/>
              </w:rPr>
              <w:t>95% I.C.</w:t>
            </w:r>
          </w:p>
        </w:tc>
      </w:tr>
      <w:tr>
        <w:trPr>
          <w:trHeight w:val="586" w:hRule="exact"/>
        </w:trPr>
        <w:tc>
          <w:tcPr>
            <w:tcW w:w="4782" w:type="dxa"/>
          </w:tcPr>
          <w:p>
            <w:pPr>
              <w:pStyle w:val="TableParagraph"/>
              <w:spacing w:line="278" w:lineRule="auto" w:before="92"/>
              <w:ind w:left="103" w:right="757"/>
              <w:rPr>
                <w:rFonts w:ascii="Arial" w:hAnsi="Arial"/>
                <w:b/>
                <w:sz w:val="18"/>
              </w:rPr>
            </w:pPr>
            <w:r>
              <w:rPr>
                <w:rFonts w:ascii="Arial" w:hAnsi="Arial"/>
                <w:b/>
                <w:sz w:val="18"/>
              </w:rPr>
              <w:t>Número de veces que el niño está expuesto a azucares durante las comidas</w:t>
            </w:r>
          </w:p>
        </w:tc>
        <w:tc>
          <w:tcPr>
            <w:tcW w:w="1877" w:type="dxa"/>
          </w:tcPr>
          <w:p>
            <w:pPr>
              <w:pStyle w:val="TableParagraph"/>
              <w:spacing w:before="10"/>
              <w:rPr>
                <w:rFonts w:ascii="Arial"/>
                <w:b/>
                <w:sz w:val="18"/>
              </w:rPr>
            </w:pPr>
          </w:p>
          <w:p>
            <w:pPr>
              <w:pStyle w:val="TableParagraph"/>
              <w:ind w:left="103"/>
              <w:rPr>
                <w:rFonts w:ascii="Arial"/>
                <w:sz w:val="18"/>
              </w:rPr>
            </w:pPr>
            <w:r>
              <w:rPr>
                <w:rFonts w:ascii="Arial"/>
                <w:sz w:val="18"/>
              </w:rPr>
              <w:t>2.76</w:t>
            </w:r>
          </w:p>
        </w:tc>
        <w:tc>
          <w:tcPr>
            <w:tcW w:w="1743" w:type="dxa"/>
          </w:tcPr>
          <w:p>
            <w:pPr>
              <w:pStyle w:val="TableParagraph"/>
              <w:spacing w:before="10"/>
              <w:rPr>
                <w:rFonts w:ascii="Arial"/>
                <w:b/>
                <w:sz w:val="18"/>
              </w:rPr>
            </w:pPr>
          </w:p>
          <w:p>
            <w:pPr>
              <w:pStyle w:val="TableParagraph"/>
              <w:ind w:left="103"/>
              <w:rPr>
                <w:rFonts w:ascii="Arial"/>
                <w:sz w:val="18"/>
              </w:rPr>
            </w:pPr>
            <w:r>
              <w:rPr>
                <w:rFonts w:ascii="Arial"/>
                <w:sz w:val="18"/>
              </w:rPr>
              <w:t>0.078-1.671</w:t>
            </w:r>
          </w:p>
        </w:tc>
      </w:tr>
      <w:tr>
        <w:trPr>
          <w:trHeight w:val="350" w:hRule="exact"/>
        </w:trPr>
        <w:tc>
          <w:tcPr>
            <w:tcW w:w="4782" w:type="dxa"/>
          </w:tcPr>
          <w:p>
            <w:pPr>
              <w:pStyle w:val="TableParagraph"/>
              <w:spacing w:before="95"/>
              <w:ind w:left="103" w:right="757"/>
              <w:rPr>
                <w:rFonts w:ascii="Arial"/>
                <w:b/>
                <w:sz w:val="18"/>
              </w:rPr>
            </w:pPr>
            <w:r>
              <w:rPr>
                <w:rFonts w:ascii="Arial"/>
                <w:b/>
                <w:sz w:val="18"/>
              </w:rPr>
              <w:t>Nivel educativo del cuidador principal</w:t>
            </w:r>
          </w:p>
        </w:tc>
        <w:tc>
          <w:tcPr>
            <w:tcW w:w="1877" w:type="dxa"/>
          </w:tcPr>
          <w:p>
            <w:pPr>
              <w:pStyle w:val="TableParagraph"/>
              <w:spacing w:before="100"/>
              <w:ind w:left="103"/>
              <w:rPr>
                <w:rFonts w:ascii="Arial"/>
                <w:sz w:val="18"/>
              </w:rPr>
            </w:pPr>
            <w:r>
              <w:rPr>
                <w:rFonts w:ascii="Arial"/>
                <w:sz w:val="18"/>
              </w:rPr>
              <w:t>1.79</w:t>
            </w:r>
          </w:p>
        </w:tc>
        <w:tc>
          <w:tcPr>
            <w:tcW w:w="1743" w:type="dxa"/>
          </w:tcPr>
          <w:p>
            <w:pPr>
              <w:pStyle w:val="TableParagraph"/>
              <w:spacing w:before="100"/>
              <w:ind w:left="103"/>
              <w:rPr>
                <w:rFonts w:ascii="Arial"/>
                <w:sz w:val="18"/>
              </w:rPr>
            </w:pPr>
            <w:r>
              <w:rPr>
                <w:rFonts w:ascii="Arial"/>
                <w:sz w:val="18"/>
              </w:rPr>
              <w:t>0.080-1.527</w:t>
            </w:r>
          </w:p>
        </w:tc>
      </w:tr>
      <w:tr>
        <w:trPr>
          <w:trHeight w:val="350" w:hRule="exact"/>
        </w:trPr>
        <w:tc>
          <w:tcPr>
            <w:tcW w:w="4782" w:type="dxa"/>
          </w:tcPr>
          <w:p>
            <w:pPr>
              <w:pStyle w:val="TableParagraph"/>
              <w:spacing w:before="95"/>
              <w:ind w:left="103" w:right="757"/>
              <w:rPr>
                <w:rFonts w:ascii="Arial"/>
                <w:b/>
                <w:i/>
                <w:sz w:val="18"/>
              </w:rPr>
            </w:pPr>
            <w:r>
              <w:rPr>
                <w:rFonts w:ascii="Arial"/>
                <w:b/>
                <w:sz w:val="18"/>
              </w:rPr>
              <w:t>Presencia de </w:t>
            </w:r>
            <w:r>
              <w:rPr>
                <w:rFonts w:ascii="Arial"/>
                <w:b/>
                <w:i/>
                <w:sz w:val="18"/>
              </w:rPr>
              <w:t>materia alba</w:t>
            </w:r>
          </w:p>
        </w:tc>
        <w:tc>
          <w:tcPr>
            <w:tcW w:w="1877" w:type="dxa"/>
          </w:tcPr>
          <w:p>
            <w:pPr>
              <w:pStyle w:val="TableParagraph"/>
              <w:spacing w:before="100"/>
              <w:ind w:left="103"/>
              <w:rPr>
                <w:rFonts w:ascii="Arial"/>
                <w:sz w:val="18"/>
              </w:rPr>
            </w:pPr>
            <w:r>
              <w:rPr>
                <w:rFonts w:ascii="Arial"/>
                <w:sz w:val="18"/>
              </w:rPr>
              <w:t>1.045</w:t>
            </w:r>
          </w:p>
        </w:tc>
        <w:tc>
          <w:tcPr>
            <w:tcW w:w="1743" w:type="dxa"/>
          </w:tcPr>
          <w:p>
            <w:pPr>
              <w:pStyle w:val="TableParagraph"/>
              <w:spacing w:before="100"/>
              <w:ind w:left="103"/>
              <w:rPr>
                <w:rFonts w:ascii="Arial"/>
                <w:sz w:val="18"/>
              </w:rPr>
            </w:pPr>
            <w:r>
              <w:rPr>
                <w:rFonts w:ascii="Arial"/>
                <w:sz w:val="18"/>
              </w:rPr>
              <w:t>0.38-2.844</w:t>
            </w:r>
          </w:p>
        </w:tc>
      </w:tr>
      <w:tr>
        <w:trPr>
          <w:trHeight w:val="350" w:hRule="exact"/>
        </w:trPr>
        <w:tc>
          <w:tcPr>
            <w:tcW w:w="4782" w:type="dxa"/>
          </w:tcPr>
          <w:p>
            <w:pPr>
              <w:pStyle w:val="TableParagraph"/>
              <w:spacing w:before="95"/>
              <w:ind w:left="103" w:right="757"/>
              <w:rPr>
                <w:rFonts w:ascii="Arial" w:hAnsi="Arial"/>
                <w:b/>
                <w:sz w:val="18"/>
              </w:rPr>
            </w:pPr>
            <w:r>
              <w:rPr>
                <w:rFonts w:ascii="Arial" w:hAnsi="Arial"/>
                <w:b/>
                <w:sz w:val="18"/>
              </w:rPr>
              <w:t>Adición de azúcar/miel en el biberón</w:t>
            </w:r>
          </w:p>
        </w:tc>
        <w:tc>
          <w:tcPr>
            <w:tcW w:w="1877" w:type="dxa"/>
          </w:tcPr>
          <w:p>
            <w:pPr>
              <w:pStyle w:val="TableParagraph"/>
              <w:spacing w:before="100"/>
              <w:ind w:left="103"/>
              <w:rPr>
                <w:rFonts w:ascii="Arial"/>
                <w:sz w:val="18"/>
              </w:rPr>
            </w:pPr>
            <w:r>
              <w:rPr>
                <w:rFonts w:ascii="Arial"/>
                <w:sz w:val="18"/>
              </w:rPr>
              <w:t>1.108</w:t>
            </w:r>
          </w:p>
        </w:tc>
        <w:tc>
          <w:tcPr>
            <w:tcW w:w="1743" w:type="dxa"/>
          </w:tcPr>
          <w:p>
            <w:pPr>
              <w:pStyle w:val="TableParagraph"/>
              <w:spacing w:before="100"/>
              <w:ind w:left="103"/>
              <w:rPr>
                <w:rFonts w:ascii="Arial"/>
                <w:sz w:val="18"/>
              </w:rPr>
            </w:pPr>
            <w:r>
              <w:rPr>
                <w:rFonts w:ascii="Arial"/>
                <w:sz w:val="18"/>
              </w:rPr>
              <w:t>1.043-1.177</w:t>
            </w:r>
          </w:p>
        </w:tc>
      </w:tr>
    </w:tbl>
    <w:p>
      <w:pPr>
        <w:spacing w:after="0"/>
        <w:rPr>
          <w:rFonts w:ascii="Arial"/>
          <w:sz w:val="18"/>
        </w:rPr>
        <w:sectPr>
          <w:pgSz w:w="12240" w:h="15840"/>
          <w:pgMar w:header="686" w:footer="964" w:top="1080" w:bottom="1160" w:left="1280" w:right="1560"/>
        </w:sectPr>
      </w:pPr>
    </w:p>
    <w:p>
      <w:pPr>
        <w:pStyle w:val="BodyText"/>
        <w:rPr>
          <w:b/>
          <w:sz w:val="20"/>
        </w:rPr>
      </w:pPr>
    </w:p>
    <w:p>
      <w:pPr>
        <w:pStyle w:val="BodyText"/>
        <w:spacing w:before="3"/>
        <w:rPr>
          <w:b/>
          <w:sz w:val="27"/>
        </w:rPr>
      </w:pPr>
    </w:p>
    <w:p>
      <w:pPr>
        <w:pStyle w:val="ListParagraph"/>
        <w:numPr>
          <w:ilvl w:val="1"/>
          <w:numId w:val="14"/>
        </w:numPr>
        <w:tabs>
          <w:tab w:pos="4486" w:val="left" w:leader="none"/>
        </w:tabs>
        <w:spacing w:line="240" w:lineRule="auto" w:before="69" w:after="0"/>
        <w:ind w:left="4485" w:right="0" w:hanging="360"/>
        <w:jc w:val="left"/>
        <w:rPr>
          <w:rFonts w:ascii="Arial" w:hAnsi="Arial"/>
          <w:b/>
          <w:sz w:val="24"/>
        </w:rPr>
      </w:pPr>
      <w:r>
        <w:rPr>
          <w:rFonts w:ascii="Arial" w:hAnsi="Arial"/>
          <w:b/>
          <w:sz w:val="24"/>
        </w:rPr>
        <w:t>Discusión</w:t>
      </w:r>
    </w:p>
    <w:p>
      <w:pPr>
        <w:pStyle w:val="BodyText"/>
        <w:rPr>
          <w:b/>
        </w:rPr>
      </w:pPr>
    </w:p>
    <w:p>
      <w:pPr>
        <w:pStyle w:val="BodyText"/>
        <w:rPr>
          <w:b/>
        </w:rPr>
      </w:pPr>
    </w:p>
    <w:p>
      <w:pPr>
        <w:pStyle w:val="BodyText"/>
        <w:spacing w:line="360" w:lineRule="auto"/>
        <w:ind w:left="138" w:right="142"/>
        <w:jc w:val="both"/>
      </w:pPr>
      <w:r>
        <w:rPr/>
        <w:t>El manejo actual de la caries dental involucra la detección de lesiones tempranas, determinar los factores predisponentes para caries del paciente, realizar un diagnóstico para saber si verdaderamente la enfermedad se encuentra presente, establecer</w:t>
      </w:r>
      <w:r>
        <w:rPr>
          <w:spacing w:val="-11"/>
        </w:rPr>
        <w:t> </w:t>
      </w:r>
      <w:r>
        <w:rPr/>
        <w:t>un</w:t>
      </w:r>
      <w:r>
        <w:rPr>
          <w:spacing w:val="-9"/>
        </w:rPr>
        <w:t> </w:t>
      </w:r>
      <w:r>
        <w:rPr/>
        <w:t>pronóstico</w:t>
      </w:r>
      <w:r>
        <w:rPr>
          <w:spacing w:val="-9"/>
        </w:rPr>
        <w:t> </w:t>
      </w:r>
      <w:r>
        <w:rPr/>
        <w:t>y</w:t>
      </w:r>
      <w:r>
        <w:rPr>
          <w:spacing w:val="-13"/>
        </w:rPr>
        <w:t> </w:t>
      </w:r>
      <w:r>
        <w:rPr/>
        <w:t>ampliar</w:t>
      </w:r>
      <w:r>
        <w:rPr>
          <w:spacing w:val="-11"/>
        </w:rPr>
        <w:t> </w:t>
      </w:r>
      <w:r>
        <w:rPr/>
        <w:t>la</w:t>
      </w:r>
      <w:r>
        <w:rPr>
          <w:spacing w:val="-10"/>
        </w:rPr>
        <w:t> </w:t>
      </w:r>
      <w:r>
        <w:rPr/>
        <w:t>intervención</w:t>
      </w:r>
      <w:r>
        <w:rPr>
          <w:spacing w:val="-9"/>
        </w:rPr>
        <w:t> </w:t>
      </w:r>
      <w:r>
        <w:rPr/>
        <w:t>enfocada</w:t>
      </w:r>
      <w:r>
        <w:rPr>
          <w:spacing w:val="-12"/>
        </w:rPr>
        <w:t> </w:t>
      </w:r>
      <w:r>
        <w:rPr/>
        <w:t>en</w:t>
      </w:r>
      <w:r>
        <w:rPr>
          <w:spacing w:val="-12"/>
        </w:rPr>
        <w:t> </w:t>
      </w:r>
      <w:r>
        <w:rPr/>
        <w:t>estrategias</w:t>
      </w:r>
      <w:r>
        <w:rPr>
          <w:spacing w:val="-10"/>
        </w:rPr>
        <w:t> </w:t>
      </w:r>
      <w:r>
        <w:rPr/>
        <w:t>preventivas en el proceso de</w:t>
      </w:r>
      <w:r>
        <w:rPr>
          <w:spacing w:val="-10"/>
        </w:rPr>
        <w:t> </w:t>
      </w:r>
      <w:r>
        <w:rPr/>
        <w:t>caries.</w:t>
      </w:r>
    </w:p>
    <w:p>
      <w:pPr>
        <w:pStyle w:val="BodyText"/>
        <w:spacing w:line="360" w:lineRule="auto" w:before="204"/>
        <w:ind w:left="138" w:right="139"/>
        <w:jc w:val="both"/>
      </w:pPr>
      <w:r>
        <w:rPr/>
        <w:t>En México, las desigualdades en salud continúan siendo un tema de debate en las políticas de salud social. De acuerdo con el Consejo Nacional de Evaluación de la Política de Desarrollo Social (CONEVAL) la comunidad Mazahua perteneciente al municipio</w:t>
      </w:r>
      <w:r>
        <w:rPr>
          <w:spacing w:val="-8"/>
        </w:rPr>
        <w:t> </w:t>
      </w:r>
      <w:r>
        <w:rPr/>
        <w:t>de</w:t>
      </w:r>
      <w:r>
        <w:rPr>
          <w:spacing w:val="-11"/>
        </w:rPr>
        <w:t> </w:t>
      </w:r>
      <w:r>
        <w:rPr/>
        <w:t>San</w:t>
      </w:r>
      <w:r>
        <w:rPr>
          <w:spacing w:val="-8"/>
        </w:rPr>
        <w:t> </w:t>
      </w:r>
      <w:r>
        <w:rPr/>
        <w:t>José</w:t>
      </w:r>
      <w:r>
        <w:rPr>
          <w:spacing w:val="-13"/>
        </w:rPr>
        <w:t> </w:t>
      </w:r>
      <w:r>
        <w:rPr/>
        <w:t>del</w:t>
      </w:r>
      <w:r>
        <w:rPr>
          <w:spacing w:val="-10"/>
        </w:rPr>
        <w:t> </w:t>
      </w:r>
      <w:r>
        <w:rPr/>
        <w:t>Rincón</w:t>
      </w:r>
      <w:r>
        <w:rPr>
          <w:spacing w:val="-11"/>
        </w:rPr>
        <w:t> </w:t>
      </w:r>
      <w:r>
        <w:rPr/>
        <w:t>en</w:t>
      </w:r>
      <w:r>
        <w:rPr>
          <w:spacing w:val="-11"/>
        </w:rPr>
        <w:t> </w:t>
      </w:r>
      <w:r>
        <w:rPr/>
        <w:t>el</w:t>
      </w:r>
      <w:r>
        <w:rPr>
          <w:spacing w:val="-10"/>
        </w:rPr>
        <w:t> </w:t>
      </w:r>
      <w:r>
        <w:rPr/>
        <w:t>Estado</w:t>
      </w:r>
      <w:r>
        <w:rPr>
          <w:spacing w:val="-8"/>
        </w:rPr>
        <w:t> </w:t>
      </w:r>
      <w:r>
        <w:rPr/>
        <w:t>de</w:t>
      </w:r>
      <w:r>
        <w:rPr>
          <w:spacing w:val="-8"/>
        </w:rPr>
        <w:t> </w:t>
      </w:r>
      <w:r>
        <w:rPr/>
        <w:t>México</w:t>
      </w:r>
      <w:r>
        <w:rPr>
          <w:spacing w:val="-9"/>
        </w:rPr>
        <w:t> </w:t>
      </w:r>
      <w:r>
        <w:rPr/>
        <w:t>se</w:t>
      </w:r>
      <w:r>
        <w:rPr>
          <w:spacing w:val="-11"/>
        </w:rPr>
        <w:t> </w:t>
      </w:r>
      <w:r>
        <w:rPr/>
        <w:t>encuentra</w:t>
      </w:r>
      <w:r>
        <w:rPr>
          <w:spacing w:val="-9"/>
        </w:rPr>
        <w:t> </w:t>
      </w:r>
      <w:r>
        <w:rPr/>
        <w:t>en</w:t>
      </w:r>
      <w:r>
        <w:rPr>
          <w:spacing w:val="-11"/>
        </w:rPr>
        <w:t> </w:t>
      </w:r>
      <w:r>
        <w:rPr/>
        <w:t>el</w:t>
      </w:r>
      <w:r>
        <w:rPr>
          <w:spacing w:val="-10"/>
        </w:rPr>
        <w:t> </w:t>
      </w:r>
      <w:r>
        <w:rPr/>
        <w:t>rango</w:t>
      </w:r>
      <w:r>
        <w:rPr>
          <w:spacing w:val="-8"/>
        </w:rPr>
        <w:t> </w:t>
      </w:r>
      <w:r>
        <w:rPr/>
        <w:t>de pobreza</w:t>
      </w:r>
      <w:r>
        <w:rPr>
          <w:spacing w:val="-7"/>
        </w:rPr>
        <w:t> </w:t>
      </w:r>
      <w:r>
        <w:rPr/>
        <w:t>extrema.</w:t>
      </w:r>
    </w:p>
    <w:p>
      <w:pPr>
        <w:pStyle w:val="BodyText"/>
        <w:spacing w:line="360" w:lineRule="auto" w:before="204"/>
        <w:ind w:left="138" w:right="135"/>
        <w:jc w:val="both"/>
      </w:pPr>
      <w:r>
        <w:rPr/>
        <w:t>Existe evidencia reciente que los factores sociales y de comportamiento tienen un rol significativo en el desarrollo de caries en la dentición primaria.</w:t>
      </w:r>
    </w:p>
    <w:p>
      <w:pPr>
        <w:pStyle w:val="BodyText"/>
        <w:spacing w:line="355" w:lineRule="auto" w:before="204"/>
        <w:ind w:left="138" w:right="142"/>
        <w:jc w:val="both"/>
        <w:rPr>
          <w:sz w:val="16"/>
        </w:rPr>
      </w:pPr>
      <w:r>
        <w:rPr/>
        <w:t>La</w:t>
      </w:r>
      <w:r>
        <w:rPr>
          <w:spacing w:val="-9"/>
        </w:rPr>
        <w:t> </w:t>
      </w:r>
      <w:r>
        <w:rPr/>
        <w:t>experiencia</w:t>
      </w:r>
      <w:r>
        <w:rPr>
          <w:spacing w:val="-10"/>
        </w:rPr>
        <w:t> </w:t>
      </w:r>
      <w:r>
        <w:rPr/>
        <w:t>de</w:t>
      </w:r>
      <w:r>
        <w:rPr>
          <w:spacing w:val="-9"/>
        </w:rPr>
        <w:t> </w:t>
      </w:r>
      <w:r>
        <w:rPr/>
        <w:t>caries</w:t>
      </w:r>
      <w:r>
        <w:rPr>
          <w:spacing w:val="-8"/>
        </w:rPr>
        <w:t> </w:t>
      </w:r>
      <w:r>
        <w:rPr/>
        <w:t>dentro</w:t>
      </w:r>
      <w:r>
        <w:rPr>
          <w:spacing w:val="-12"/>
        </w:rPr>
        <w:t> </w:t>
      </w:r>
      <w:r>
        <w:rPr/>
        <w:t>de</w:t>
      </w:r>
      <w:r>
        <w:rPr>
          <w:spacing w:val="-9"/>
        </w:rPr>
        <w:t> </w:t>
      </w:r>
      <w:r>
        <w:rPr/>
        <w:t>algunos</w:t>
      </w:r>
      <w:r>
        <w:rPr>
          <w:spacing w:val="-10"/>
        </w:rPr>
        <w:t> </w:t>
      </w:r>
      <w:r>
        <w:rPr/>
        <w:t>grupos</w:t>
      </w:r>
      <w:r>
        <w:rPr>
          <w:spacing w:val="-10"/>
        </w:rPr>
        <w:t> </w:t>
      </w:r>
      <w:r>
        <w:rPr/>
        <w:t>refleja</w:t>
      </w:r>
      <w:r>
        <w:rPr>
          <w:spacing w:val="-9"/>
        </w:rPr>
        <w:t> </w:t>
      </w:r>
      <w:r>
        <w:rPr/>
        <w:t>la</w:t>
      </w:r>
      <w:r>
        <w:rPr>
          <w:spacing w:val="-10"/>
        </w:rPr>
        <w:t> </w:t>
      </w:r>
      <w:r>
        <w:rPr/>
        <w:t>importancia</w:t>
      </w:r>
      <w:r>
        <w:rPr>
          <w:spacing w:val="-10"/>
        </w:rPr>
        <w:t> </w:t>
      </w:r>
      <w:r>
        <w:rPr/>
        <w:t>de</w:t>
      </w:r>
      <w:r>
        <w:rPr>
          <w:spacing w:val="-9"/>
        </w:rPr>
        <w:t> </w:t>
      </w:r>
      <w:r>
        <w:rPr/>
        <w:t>considerar otros factores predisponentes que contribuyen el desarrollo de la</w:t>
      </w:r>
      <w:r>
        <w:rPr>
          <w:spacing w:val="-22"/>
        </w:rPr>
        <w:t> </w:t>
      </w:r>
      <w:r>
        <w:rPr/>
        <w:t>misma.</w:t>
      </w:r>
      <w:r>
        <w:rPr>
          <w:position w:val="8"/>
          <w:sz w:val="16"/>
        </w:rPr>
        <w:t>35</w:t>
      </w:r>
    </w:p>
    <w:p>
      <w:pPr>
        <w:pStyle w:val="BodyText"/>
        <w:spacing w:line="360" w:lineRule="auto" w:before="206"/>
        <w:ind w:left="138" w:right="135"/>
        <w:jc w:val="both"/>
      </w:pPr>
      <w:r>
        <w:rPr/>
        <w:t>Por otro lado, la mayoría de las madres son los cuidadores principales de los niños, cuyo nivel educativo se mantuvo como un predictor relevante. En este estudio encontramos</w:t>
      </w:r>
      <w:r>
        <w:rPr>
          <w:spacing w:val="-17"/>
        </w:rPr>
        <w:t> </w:t>
      </w:r>
      <w:r>
        <w:rPr/>
        <w:t>que</w:t>
      </w:r>
      <w:r>
        <w:rPr>
          <w:spacing w:val="-19"/>
        </w:rPr>
        <w:t> </w:t>
      </w:r>
      <w:r>
        <w:rPr/>
        <w:t>casi</w:t>
      </w:r>
      <w:r>
        <w:rPr>
          <w:spacing w:val="-18"/>
        </w:rPr>
        <w:t> </w:t>
      </w:r>
      <w:r>
        <w:rPr/>
        <w:t>la</w:t>
      </w:r>
      <w:r>
        <w:rPr>
          <w:spacing w:val="-17"/>
        </w:rPr>
        <w:t> </w:t>
      </w:r>
      <w:r>
        <w:rPr/>
        <w:t>mitad</w:t>
      </w:r>
      <w:r>
        <w:rPr>
          <w:spacing w:val="-19"/>
        </w:rPr>
        <w:t> </w:t>
      </w:r>
      <w:r>
        <w:rPr/>
        <w:t>de</w:t>
      </w:r>
      <w:r>
        <w:rPr>
          <w:spacing w:val="-19"/>
        </w:rPr>
        <w:t> </w:t>
      </w:r>
      <w:r>
        <w:rPr/>
        <w:t>los</w:t>
      </w:r>
      <w:r>
        <w:rPr>
          <w:spacing w:val="-17"/>
        </w:rPr>
        <w:t> </w:t>
      </w:r>
      <w:r>
        <w:rPr/>
        <w:t>cuidadores</w:t>
      </w:r>
      <w:r>
        <w:rPr>
          <w:spacing w:val="-17"/>
        </w:rPr>
        <w:t> </w:t>
      </w:r>
      <w:r>
        <w:rPr/>
        <w:t>primarios</w:t>
      </w:r>
      <w:r>
        <w:rPr>
          <w:spacing w:val="-17"/>
        </w:rPr>
        <w:t> </w:t>
      </w:r>
      <w:r>
        <w:rPr/>
        <w:t>no</w:t>
      </w:r>
      <w:r>
        <w:rPr>
          <w:spacing w:val="-17"/>
        </w:rPr>
        <w:t> </w:t>
      </w:r>
      <w:r>
        <w:rPr/>
        <w:t>tienen</w:t>
      </w:r>
      <w:r>
        <w:rPr>
          <w:spacing w:val="-19"/>
        </w:rPr>
        <w:t> </w:t>
      </w:r>
      <w:r>
        <w:rPr/>
        <w:t>educación</w:t>
      </w:r>
      <w:r>
        <w:rPr>
          <w:spacing w:val="-19"/>
        </w:rPr>
        <w:t> </w:t>
      </w:r>
      <w:r>
        <w:rPr/>
        <w:t>básica, lo que significa que ellos no son capaces de leer y</w:t>
      </w:r>
      <w:r>
        <w:rPr>
          <w:spacing w:val="-22"/>
        </w:rPr>
        <w:t> </w:t>
      </w:r>
      <w:r>
        <w:rPr/>
        <w:t>escribir.</w:t>
      </w:r>
    </w:p>
    <w:p>
      <w:pPr>
        <w:pStyle w:val="BodyText"/>
        <w:spacing w:line="357" w:lineRule="auto" w:before="202"/>
        <w:ind w:left="138" w:right="145"/>
        <w:jc w:val="both"/>
        <w:rPr>
          <w:sz w:val="16"/>
        </w:rPr>
      </w:pPr>
      <w:r>
        <w:rPr/>
        <w:t>Un estudio realizado en Osaka Japón en niños preescolares concluyó que a mayor nivel de educación de los padres, en particular el nivel educativo de la madre podría estar asociada con la reducción de riesgo a caries dental en niños preescolares.</w:t>
      </w:r>
      <w:r>
        <w:rPr>
          <w:position w:val="8"/>
          <w:sz w:val="16"/>
        </w:rPr>
        <w:t>38</w:t>
      </w:r>
    </w:p>
    <w:p>
      <w:pPr>
        <w:pStyle w:val="BodyText"/>
        <w:spacing w:line="360" w:lineRule="auto" w:before="203"/>
        <w:ind w:left="138" w:right="139"/>
        <w:jc w:val="both"/>
      </w:pPr>
      <w:r>
        <w:rPr/>
        <w:t>El</w:t>
      </w:r>
      <w:r>
        <w:rPr>
          <w:spacing w:val="-5"/>
        </w:rPr>
        <w:t> </w:t>
      </w:r>
      <w:r>
        <w:rPr/>
        <w:t>factor</w:t>
      </w:r>
      <w:r>
        <w:rPr>
          <w:spacing w:val="-5"/>
        </w:rPr>
        <w:t> </w:t>
      </w:r>
      <w:r>
        <w:rPr/>
        <w:t>de</w:t>
      </w:r>
      <w:r>
        <w:rPr>
          <w:spacing w:val="-4"/>
        </w:rPr>
        <w:t> </w:t>
      </w:r>
      <w:r>
        <w:rPr/>
        <w:t>riesgo</w:t>
      </w:r>
      <w:r>
        <w:rPr>
          <w:spacing w:val="-4"/>
        </w:rPr>
        <w:t> </w:t>
      </w:r>
      <w:r>
        <w:rPr/>
        <w:t>con</w:t>
      </w:r>
      <w:r>
        <w:rPr>
          <w:spacing w:val="-6"/>
        </w:rPr>
        <w:t> </w:t>
      </w:r>
      <w:r>
        <w:rPr/>
        <w:t>mayor</w:t>
      </w:r>
      <w:r>
        <w:rPr>
          <w:spacing w:val="-5"/>
        </w:rPr>
        <w:t> </w:t>
      </w:r>
      <w:r>
        <w:rPr/>
        <w:t>importancia</w:t>
      </w:r>
      <w:r>
        <w:rPr>
          <w:spacing w:val="-4"/>
        </w:rPr>
        <w:t> </w:t>
      </w:r>
      <w:r>
        <w:rPr/>
        <w:t>que</w:t>
      </w:r>
      <w:r>
        <w:rPr>
          <w:spacing w:val="-6"/>
        </w:rPr>
        <w:t> </w:t>
      </w:r>
      <w:r>
        <w:rPr/>
        <w:t>demostró</w:t>
      </w:r>
      <w:r>
        <w:rPr>
          <w:spacing w:val="-4"/>
        </w:rPr>
        <w:t> </w:t>
      </w:r>
      <w:r>
        <w:rPr/>
        <w:t>este</w:t>
      </w:r>
      <w:r>
        <w:rPr>
          <w:spacing w:val="-4"/>
        </w:rPr>
        <w:t> </w:t>
      </w:r>
      <w:r>
        <w:rPr/>
        <w:t>estudio</w:t>
      </w:r>
      <w:r>
        <w:rPr>
          <w:spacing w:val="-6"/>
        </w:rPr>
        <w:t> </w:t>
      </w:r>
      <w:r>
        <w:rPr/>
        <w:t>fue</w:t>
      </w:r>
      <w:r>
        <w:rPr>
          <w:spacing w:val="-4"/>
        </w:rPr>
        <w:t> </w:t>
      </w:r>
      <w:r>
        <w:rPr/>
        <w:t>la</w:t>
      </w:r>
      <w:r>
        <w:rPr>
          <w:spacing w:val="-4"/>
        </w:rPr>
        <w:t> </w:t>
      </w:r>
      <w:r>
        <w:rPr/>
        <w:t>adición</w:t>
      </w:r>
      <w:r>
        <w:rPr>
          <w:spacing w:val="-6"/>
        </w:rPr>
        <w:t> </w:t>
      </w:r>
      <w:r>
        <w:rPr/>
        <w:t>de azúcar en las comidas y entre comidas, debido al consumo de bebidas azucaradas, tales como los refrescos, café endulzado, agua </w:t>
      </w:r>
      <w:r>
        <w:rPr>
          <w:color w:val="FF0000"/>
        </w:rPr>
        <w:t>saborizada </w:t>
      </w:r>
      <w:r>
        <w:rPr/>
        <w:t>y de atole, se encuentran asociados con la prevalencia de caries, en los preescolares Mazahuas de 3 a 5 años, así como la severidad en la experiencia de caries. Dentro de las limitaciones que</w:t>
      </w:r>
      <w:r>
        <w:rPr>
          <w:spacing w:val="-42"/>
        </w:rPr>
        <w:t> </w:t>
      </w:r>
      <w:r>
        <w:rPr/>
        <w:t>tuvo</w:t>
      </w:r>
    </w:p>
    <w:p>
      <w:pPr>
        <w:spacing w:after="0" w:line="360" w:lineRule="auto"/>
        <w:jc w:val="both"/>
        <w:sectPr>
          <w:pgSz w:w="12240" w:h="15840"/>
          <w:pgMar w:header="686" w:footer="964" w:top="1080" w:bottom="1160" w:left="1280" w:right="1560"/>
        </w:sectPr>
      </w:pPr>
    </w:p>
    <w:p>
      <w:pPr>
        <w:pStyle w:val="BodyText"/>
        <w:rPr>
          <w:sz w:val="20"/>
        </w:rPr>
      </w:pPr>
    </w:p>
    <w:p>
      <w:pPr>
        <w:pStyle w:val="BodyText"/>
        <w:spacing w:before="5"/>
        <w:rPr>
          <w:sz w:val="27"/>
        </w:rPr>
      </w:pPr>
    </w:p>
    <w:p>
      <w:pPr>
        <w:pStyle w:val="BodyText"/>
        <w:spacing w:line="360" w:lineRule="auto" w:before="70"/>
        <w:ind w:left="138" w:right="138"/>
        <w:jc w:val="both"/>
      </w:pPr>
      <w:r>
        <w:rPr/>
        <w:t>este estudio fue que la descripción de la ingesta de alimentos durante y entre las comidas, fue de un día previo al estudio, por lo que se necesita un análisis más profundo de los hábitos alimenticios a partir del estudio actual.</w:t>
      </w:r>
    </w:p>
    <w:p>
      <w:pPr>
        <w:pStyle w:val="BodyText"/>
        <w:spacing w:line="357" w:lineRule="auto" w:before="204"/>
        <w:ind w:left="138" w:right="144"/>
        <w:jc w:val="both"/>
        <w:rPr>
          <w:sz w:val="16"/>
        </w:rPr>
      </w:pPr>
      <w:r>
        <w:rPr/>
        <w:t>Previos estudios conducidos en comunidades como los reportados en Manitoba First Nations en Canadá identificaron que los niños que fueron alimentados con biberón y quienes recibieron el 100% de jugo de frutas en sus botellas fueron más susceptibles de tener caries. Así como también niños que incluyeron en su consumo diario jugos, bebidas dulces y comida rápida estuvieron asociados con presencia de caries.</w:t>
      </w:r>
      <w:r>
        <w:rPr>
          <w:position w:val="8"/>
          <w:sz w:val="16"/>
        </w:rPr>
        <w:t>39</w:t>
      </w:r>
    </w:p>
    <w:p>
      <w:pPr>
        <w:pStyle w:val="BodyText"/>
        <w:spacing w:line="360" w:lineRule="auto" w:before="204"/>
        <w:ind w:left="138" w:right="135"/>
        <w:jc w:val="both"/>
      </w:pPr>
      <w:r>
        <w:rPr/>
        <w:t>Se sabe que los factores de comportamiento y sociales dentro de las comunidades indígenas en México han tenido un cambio sustancial. En el presente estudio encontramos que la alimentación con leche materna sigue siendo un patrón de comportamiento más frecuente que la alimentación con biberón en las comunidades Mazahuas, sin embargo, encontramos que un factor de riesgo relevante es añadir azúcar o miel a los biberones. Éste factor no sólo fue uno de los más significativos asociados</w:t>
      </w:r>
      <w:r>
        <w:rPr>
          <w:spacing w:val="-16"/>
        </w:rPr>
        <w:t> </w:t>
      </w:r>
      <w:r>
        <w:rPr/>
        <w:t>a</w:t>
      </w:r>
      <w:r>
        <w:rPr>
          <w:spacing w:val="-16"/>
        </w:rPr>
        <w:t> </w:t>
      </w:r>
      <w:r>
        <w:rPr/>
        <w:t>caries</w:t>
      </w:r>
      <w:r>
        <w:rPr>
          <w:spacing w:val="-16"/>
        </w:rPr>
        <w:t> </w:t>
      </w:r>
      <w:r>
        <w:rPr/>
        <w:t>dental</w:t>
      </w:r>
      <w:r>
        <w:rPr>
          <w:spacing w:val="-17"/>
        </w:rPr>
        <w:t> </w:t>
      </w:r>
      <w:r>
        <w:rPr/>
        <w:t>en</w:t>
      </w:r>
      <w:r>
        <w:rPr>
          <w:spacing w:val="-16"/>
        </w:rPr>
        <w:t> </w:t>
      </w:r>
      <w:r>
        <w:rPr/>
        <w:t>los</w:t>
      </w:r>
      <w:r>
        <w:rPr>
          <w:spacing w:val="-16"/>
        </w:rPr>
        <w:t> </w:t>
      </w:r>
      <w:r>
        <w:rPr/>
        <w:t>niños,</w:t>
      </w:r>
      <w:r>
        <w:rPr>
          <w:spacing w:val="-16"/>
        </w:rPr>
        <w:t> </w:t>
      </w:r>
      <w:r>
        <w:rPr/>
        <w:t>sino</w:t>
      </w:r>
      <w:r>
        <w:rPr>
          <w:spacing w:val="-16"/>
        </w:rPr>
        <w:t> </w:t>
      </w:r>
      <w:r>
        <w:rPr/>
        <w:t>que</w:t>
      </w:r>
      <w:r>
        <w:rPr>
          <w:spacing w:val="-16"/>
        </w:rPr>
        <w:t> </w:t>
      </w:r>
      <w:r>
        <w:rPr/>
        <w:t>también</w:t>
      </w:r>
      <w:r>
        <w:rPr>
          <w:spacing w:val="-18"/>
        </w:rPr>
        <w:t> </w:t>
      </w:r>
      <w:r>
        <w:rPr/>
        <w:t>está</w:t>
      </w:r>
      <w:r>
        <w:rPr>
          <w:spacing w:val="-15"/>
        </w:rPr>
        <w:t> </w:t>
      </w:r>
      <w:r>
        <w:rPr/>
        <w:t>relacionado</w:t>
      </w:r>
      <w:r>
        <w:rPr>
          <w:spacing w:val="-16"/>
        </w:rPr>
        <w:t> </w:t>
      </w:r>
      <w:r>
        <w:rPr/>
        <w:t>con</w:t>
      </w:r>
      <w:r>
        <w:rPr>
          <w:spacing w:val="-16"/>
        </w:rPr>
        <w:t> </w:t>
      </w:r>
      <w:r>
        <w:rPr>
          <w:spacing w:val="3"/>
        </w:rPr>
        <w:t>la</w:t>
      </w:r>
      <w:r>
        <w:rPr>
          <w:spacing w:val="-16"/>
        </w:rPr>
        <w:t> </w:t>
      </w:r>
      <w:r>
        <w:rPr/>
        <w:t>Caries Temprana de la Infancia y Caries Temprana de la Infancia</w:t>
      </w:r>
      <w:r>
        <w:rPr>
          <w:spacing w:val="-32"/>
        </w:rPr>
        <w:t> </w:t>
      </w:r>
      <w:r>
        <w:rPr/>
        <w:t>Severa.</w:t>
      </w:r>
    </w:p>
    <w:p>
      <w:pPr>
        <w:pStyle w:val="BodyText"/>
        <w:spacing w:line="357" w:lineRule="auto" w:before="204"/>
        <w:ind w:left="138" w:right="145"/>
        <w:jc w:val="both"/>
        <w:rPr>
          <w:sz w:val="16"/>
        </w:rPr>
      </w:pPr>
      <w:r>
        <w:rPr/>
        <w:t>Otro estudio realizado en Australia en niños de 4 a 5 años reportó que los niños alimentados con biberón durante todo el día y la noche tuvieron fue un factor predisponente de comportamiento para la experiencia de caries.</w:t>
      </w:r>
      <w:r>
        <w:rPr>
          <w:position w:val="8"/>
          <w:sz w:val="16"/>
        </w:rPr>
        <w:t>40</w:t>
      </w:r>
    </w:p>
    <w:p>
      <w:pPr>
        <w:pStyle w:val="BodyText"/>
        <w:spacing w:line="357" w:lineRule="auto" w:before="203"/>
        <w:ind w:left="138" w:right="143"/>
        <w:jc w:val="both"/>
        <w:rPr>
          <w:sz w:val="16"/>
        </w:rPr>
      </w:pPr>
      <w:r>
        <w:rPr/>
        <w:t>En Finlandia se llevó a cabo un estudio en niños de 3 años en donde los resultados indicaron</w:t>
      </w:r>
      <w:r>
        <w:rPr>
          <w:spacing w:val="-6"/>
        </w:rPr>
        <w:t> </w:t>
      </w:r>
      <w:r>
        <w:rPr/>
        <w:t>que</w:t>
      </w:r>
      <w:r>
        <w:rPr>
          <w:spacing w:val="-4"/>
        </w:rPr>
        <w:t> </w:t>
      </w:r>
      <w:r>
        <w:rPr/>
        <w:t>las</w:t>
      </w:r>
      <w:r>
        <w:rPr>
          <w:spacing w:val="-7"/>
        </w:rPr>
        <w:t> </w:t>
      </w:r>
      <w:r>
        <w:rPr/>
        <w:t>madres</w:t>
      </w:r>
      <w:r>
        <w:rPr>
          <w:spacing w:val="-4"/>
        </w:rPr>
        <w:t> </w:t>
      </w:r>
      <w:r>
        <w:rPr/>
        <w:t>resultaron</w:t>
      </w:r>
      <w:r>
        <w:rPr>
          <w:spacing w:val="-6"/>
        </w:rPr>
        <w:t> </w:t>
      </w:r>
      <w:r>
        <w:rPr/>
        <w:t>ser</w:t>
      </w:r>
      <w:r>
        <w:rPr>
          <w:spacing w:val="-7"/>
        </w:rPr>
        <w:t> </w:t>
      </w:r>
      <w:r>
        <w:rPr/>
        <w:t>el</w:t>
      </w:r>
      <w:r>
        <w:rPr>
          <w:spacing w:val="-5"/>
        </w:rPr>
        <w:t> </w:t>
      </w:r>
      <w:r>
        <w:rPr/>
        <w:t>principal</w:t>
      </w:r>
      <w:r>
        <w:rPr>
          <w:spacing w:val="-7"/>
        </w:rPr>
        <w:t> </w:t>
      </w:r>
      <w:r>
        <w:rPr/>
        <w:t>emisor</w:t>
      </w:r>
      <w:r>
        <w:rPr>
          <w:spacing w:val="-7"/>
        </w:rPr>
        <w:t> </w:t>
      </w:r>
      <w:r>
        <w:rPr/>
        <w:t>de</w:t>
      </w:r>
      <w:r>
        <w:rPr>
          <w:spacing w:val="-6"/>
        </w:rPr>
        <w:t> </w:t>
      </w:r>
      <w:r>
        <w:rPr/>
        <w:t>hábitos</w:t>
      </w:r>
      <w:r>
        <w:rPr>
          <w:spacing w:val="-4"/>
        </w:rPr>
        <w:t> </w:t>
      </w:r>
      <w:r>
        <w:rPr/>
        <w:t>de</w:t>
      </w:r>
      <w:r>
        <w:rPr>
          <w:spacing w:val="-4"/>
        </w:rPr>
        <w:t> </w:t>
      </w:r>
      <w:r>
        <w:rPr/>
        <w:t>salud</w:t>
      </w:r>
      <w:r>
        <w:rPr>
          <w:spacing w:val="-5"/>
        </w:rPr>
        <w:t> </w:t>
      </w:r>
      <w:r>
        <w:rPr/>
        <w:t>oral</w:t>
      </w:r>
      <w:r>
        <w:rPr>
          <w:spacing w:val="-7"/>
        </w:rPr>
        <w:t> </w:t>
      </w:r>
      <w:r>
        <w:rPr/>
        <w:t>en los</w:t>
      </w:r>
      <w:r>
        <w:rPr>
          <w:spacing w:val="-2"/>
        </w:rPr>
        <w:t> </w:t>
      </w:r>
      <w:r>
        <w:rPr/>
        <w:t>niños.</w:t>
      </w:r>
      <w:r>
        <w:rPr>
          <w:position w:val="8"/>
          <w:sz w:val="16"/>
        </w:rPr>
        <w:t>41</w:t>
      </w:r>
    </w:p>
    <w:p>
      <w:pPr>
        <w:pStyle w:val="BodyText"/>
        <w:spacing w:line="360" w:lineRule="auto" w:before="204"/>
        <w:ind w:left="138" w:right="137"/>
        <w:jc w:val="both"/>
      </w:pPr>
      <w:r>
        <w:rPr/>
        <w:t>El presente estudio analizó que la presencia de materia blanca sobre las superficies dentales de los niños indicó que a pesar de contar con cepillos orales proporcionados por el municipio la higiene dental no es un hábito que se lleve a cabo diario en la mayoría de los niños de esta población.</w:t>
      </w:r>
    </w:p>
    <w:p>
      <w:pPr>
        <w:spacing w:after="0" w:line="360" w:lineRule="auto"/>
        <w:jc w:val="both"/>
        <w:sectPr>
          <w:pgSz w:w="12240" w:h="15840"/>
          <w:pgMar w:header="686" w:footer="964" w:top="1080" w:bottom="1160" w:left="1280" w:right="1560"/>
        </w:sectPr>
      </w:pPr>
    </w:p>
    <w:p>
      <w:pPr>
        <w:pStyle w:val="BodyText"/>
        <w:rPr>
          <w:sz w:val="20"/>
        </w:rPr>
      </w:pPr>
    </w:p>
    <w:p>
      <w:pPr>
        <w:pStyle w:val="BodyText"/>
        <w:spacing w:before="5"/>
        <w:rPr>
          <w:sz w:val="27"/>
        </w:rPr>
      </w:pPr>
    </w:p>
    <w:p>
      <w:pPr>
        <w:pStyle w:val="BodyText"/>
        <w:spacing w:line="357" w:lineRule="auto" w:before="70"/>
        <w:ind w:left="138" w:right="146"/>
        <w:jc w:val="both"/>
        <w:rPr>
          <w:sz w:val="16"/>
        </w:rPr>
      </w:pPr>
      <w:r>
        <w:rPr/>
        <w:t>Otra investigación realizada en Japón indicó una fuerte asociación entre el consumo de azúcar, bebidas endulzadas, poca frecuencia en el cepillado dental de los padres en el desarrollo de caries dental.</w:t>
      </w:r>
      <w:r>
        <w:rPr>
          <w:position w:val="8"/>
          <w:sz w:val="16"/>
        </w:rPr>
        <w:t>42</w:t>
      </w:r>
    </w:p>
    <w:p>
      <w:pPr>
        <w:pStyle w:val="BodyText"/>
        <w:spacing w:line="360" w:lineRule="auto" w:before="203"/>
        <w:ind w:left="138" w:right="140"/>
        <w:jc w:val="both"/>
      </w:pPr>
      <w:r>
        <w:rPr/>
        <w:t>Otro factor de riesgo que tiene otras implicaciones en el comportamiento en cuanto a hábitos higiénicos se refiere es la presencia de caries dental en las madres o cuidadores</w:t>
      </w:r>
      <w:r>
        <w:rPr>
          <w:spacing w:val="-16"/>
        </w:rPr>
        <w:t> </w:t>
      </w:r>
      <w:r>
        <w:rPr/>
        <w:t>principales,</w:t>
      </w:r>
      <w:r>
        <w:rPr>
          <w:spacing w:val="-16"/>
        </w:rPr>
        <w:t> </w:t>
      </w:r>
      <w:r>
        <w:rPr/>
        <w:t>siendo</w:t>
      </w:r>
      <w:r>
        <w:rPr>
          <w:spacing w:val="-16"/>
        </w:rPr>
        <w:t> </w:t>
      </w:r>
      <w:r>
        <w:rPr/>
        <w:t>ellas</w:t>
      </w:r>
      <w:r>
        <w:rPr>
          <w:spacing w:val="-14"/>
        </w:rPr>
        <w:t> </w:t>
      </w:r>
      <w:r>
        <w:rPr/>
        <w:t>las</w:t>
      </w:r>
      <w:r>
        <w:rPr>
          <w:spacing w:val="-16"/>
        </w:rPr>
        <w:t> </w:t>
      </w:r>
      <w:r>
        <w:rPr/>
        <w:t>que</w:t>
      </w:r>
      <w:r>
        <w:rPr>
          <w:spacing w:val="-16"/>
        </w:rPr>
        <w:t> </w:t>
      </w:r>
      <w:r>
        <w:rPr/>
        <w:t>transmiten</w:t>
      </w:r>
      <w:r>
        <w:rPr>
          <w:spacing w:val="-15"/>
        </w:rPr>
        <w:t> </w:t>
      </w:r>
      <w:r>
        <w:rPr/>
        <w:t>los</w:t>
      </w:r>
      <w:r>
        <w:rPr>
          <w:spacing w:val="-16"/>
        </w:rPr>
        <w:t> </w:t>
      </w:r>
      <w:r>
        <w:rPr/>
        <w:t>hábitos</w:t>
      </w:r>
      <w:r>
        <w:rPr>
          <w:spacing w:val="-16"/>
        </w:rPr>
        <w:t> </w:t>
      </w:r>
      <w:r>
        <w:rPr/>
        <w:t>de</w:t>
      </w:r>
      <w:r>
        <w:rPr>
          <w:spacing w:val="-13"/>
        </w:rPr>
        <w:t> </w:t>
      </w:r>
      <w:r>
        <w:rPr/>
        <w:t>salud</w:t>
      </w:r>
      <w:r>
        <w:rPr>
          <w:spacing w:val="-16"/>
        </w:rPr>
        <w:t> </w:t>
      </w:r>
      <w:r>
        <w:rPr/>
        <w:t>a</w:t>
      </w:r>
      <w:r>
        <w:rPr>
          <w:spacing w:val="-13"/>
        </w:rPr>
        <w:t> </w:t>
      </w:r>
      <w:r>
        <w:rPr/>
        <w:t>los</w:t>
      </w:r>
      <w:r>
        <w:rPr>
          <w:spacing w:val="-16"/>
        </w:rPr>
        <w:t> </w:t>
      </w:r>
      <w:r>
        <w:rPr/>
        <w:t>niños.</w:t>
      </w:r>
    </w:p>
    <w:p>
      <w:pPr>
        <w:pStyle w:val="BodyText"/>
        <w:spacing w:line="360" w:lineRule="auto" w:before="202"/>
        <w:ind w:left="138" w:right="140"/>
        <w:jc w:val="both"/>
        <w:rPr>
          <w:sz w:val="16"/>
        </w:rPr>
      </w:pPr>
      <w:r>
        <w:rPr/>
        <w:t>Un estudio realizado en Mendota una comunidad rural principalmente hispana en el Valle Central de California concluyeron que las madres con caries no tratadas casi doblaban los momios de los niños con caries no tratadas y significativamente aumentaba la severidad de caries en ellos.</w:t>
      </w:r>
      <w:r>
        <w:rPr>
          <w:position w:val="8"/>
          <w:sz w:val="16"/>
        </w:rPr>
        <w:t>43</w:t>
      </w:r>
    </w:p>
    <w:p>
      <w:pPr>
        <w:pStyle w:val="BodyText"/>
        <w:spacing w:line="360" w:lineRule="auto" w:before="200"/>
        <w:ind w:left="138" w:right="146"/>
        <w:jc w:val="both"/>
      </w:pPr>
      <w:r>
        <w:rPr/>
        <w:t>Las iniciativas en la promoción y prevención de la salud oral deberán estar dirigidas a estos indicadores de riesgo, así como a las comunidades rurales que se encuentran más alejadas.</w:t>
      </w:r>
    </w:p>
    <w:p>
      <w:pPr>
        <w:spacing w:after="0" w:line="36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numPr>
          <w:ilvl w:val="1"/>
          <w:numId w:val="14"/>
        </w:numPr>
        <w:tabs>
          <w:tab w:pos="4273" w:val="left" w:leader="none"/>
        </w:tabs>
        <w:spacing w:line="240" w:lineRule="auto" w:before="69" w:after="0"/>
        <w:ind w:left="4272" w:right="0" w:hanging="360"/>
        <w:jc w:val="left"/>
      </w:pPr>
      <w:r>
        <w:rPr/>
        <w:t>Conclusiones</w:t>
      </w:r>
    </w:p>
    <w:p>
      <w:pPr>
        <w:pStyle w:val="BodyText"/>
        <w:rPr>
          <w:b/>
        </w:rPr>
      </w:pPr>
    </w:p>
    <w:p>
      <w:pPr>
        <w:pStyle w:val="BodyText"/>
        <w:rPr>
          <w:b/>
        </w:rPr>
      </w:pPr>
    </w:p>
    <w:p>
      <w:pPr>
        <w:pStyle w:val="BodyText"/>
        <w:spacing w:line="360" w:lineRule="auto"/>
        <w:ind w:left="280" w:right="139"/>
        <w:jc w:val="both"/>
      </w:pPr>
      <w:r>
        <w:rPr/>
        <w:t>Los preescolares Mazahuas quienes estuvieron expuestos, a un número mayor de veces</w:t>
      </w:r>
      <w:r>
        <w:rPr>
          <w:spacing w:val="-5"/>
        </w:rPr>
        <w:t> </w:t>
      </w:r>
      <w:r>
        <w:rPr/>
        <w:t>a</w:t>
      </w:r>
      <w:r>
        <w:rPr>
          <w:spacing w:val="-5"/>
        </w:rPr>
        <w:t> </w:t>
      </w:r>
      <w:r>
        <w:rPr/>
        <w:t>azucares</w:t>
      </w:r>
      <w:r>
        <w:rPr>
          <w:spacing w:val="-5"/>
        </w:rPr>
        <w:t> </w:t>
      </w:r>
      <w:r>
        <w:rPr/>
        <w:t>durante</w:t>
      </w:r>
      <w:r>
        <w:rPr>
          <w:spacing w:val="-4"/>
        </w:rPr>
        <w:t> </w:t>
      </w:r>
      <w:r>
        <w:rPr/>
        <w:t>las</w:t>
      </w:r>
      <w:r>
        <w:rPr>
          <w:spacing w:val="-7"/>
        </w:rPr>
        <w:t> </w:t>
      </w:r>
      <w:r>
        <w:rPr/>
        <w:t>comidas,</w:t>
      </w:r>
      <w:r>
        <w:rPr>
          <w:spacing w:val="-4"/>
        </w:rPr>
        <w:t> </w:t>
      </w:r>
      <w:r>
        <w:rPr/>
        <w:t>cuyos</w:t>
      </w:r>
      <w:r>
        <w:rPr>
          <w:spacing w:val="-5"/>
        </w:rPr>
        <w:t> </w:t>
      </w:r>
      <w:r>
        <w:rPr/>
        <w:t>cuidadores</w:t>
      </w:r>
      <w:r>
        <w:rPr>
          <w:spacing w:val="-8"/>
        </w:rPr>
        <w:t> </w:t>
      </w:r>
      <w:r>
        <w:rPr/>
        <w:t>principales</w:t>
      </w:r>
      <w:r>
        <w:rPr>
          <w:spacing w:val="-7"/>
        </w:rPr>
        <w:t> </w:t>
      </w:r>
      <w:r>
        <w:rPr/>
        <w:t>no</w:t>
      </w:r>
      <w:r>
        <w:rPr>
          <w:spacing w:val="-5"/>
        </w:rPr>
        <w:t> </w:t>
      </w:r>
      <w:r>
        <w:rPr/>
        <w:t>cuentan</w:t>
      </w:r>
      <w:r>
        <w:rPr>
          <w:spacing w:val="-5"/>
        </w:rPr>
        <w:t> </w:t>
      </w:r>
      <w:r>
        <w:rPr/>
        <w:t>con un nivel educativo alto, presentaron </w:t>
      </w:r>
      <w:r>
        <w:rPr>
          <w:i/>
        </w:rPr>
        <w:t>materia alba, </w:t>
      </w:r>
      <w:r>
        <w:rPr/>
        <w:t>y adicionaron azúcar a miel al biberón se encuentran en mayor riesgo de desarrollar lesiones de caries. Con lo</w:t>
      </w:r>
      <w:r>
        <w:rPr>
          <w:spacing w:val="-39"/>
        </w:rPr>
        <w:t> </w:t>
      </w:r>
      <w:r>
        <w:rPr/>
        <w:t>que se confirma los resultados del</w:t>
      </w:r>
      <w:r>
        <w:rPr>
          <w:spacing w:val="-15"/>
        </w:rPr>
        <w:t> </w:t>
      </w:r>
      <w:r>
        <w:rPr/>
        <w:t>modelo.</w:t>
      </w:r>
    </w:p>
    <w:p>
      <w:pPr>
        <w:spacing w:after="0" w:line="360" w:lineRule="auto"/>
        <w:jc w:val="both"/>
        <w:sectPr>
          <w:pgSz w:w="12240" w:h="15840"/>
          <w:pgMar w:header="686" w:footer="964" w:top="1080" w:bottom="1160" w:left="1280" w:right="1560"/>
        </w:sectPr>
      </w:pPr>
    </w:p>
    <w:p>
      <w:pPr>
        <w:pStyle w:val="BodyText"/>
        <w:rPr>
          <w:sz w:val="20"/>
        </w:rPr>
      </w:pPr>
    </w:p>
    <w:p>
      <w:pPr>
        <w:pStyle w:val="BodyText"/>
        <w:spacing w:before="3"/>
        <w:rPr>
          <w:sz w:val="27"/>
        </w:rPr>
      </w:pPr>
    </w:p>
    <w:p>
      <w:pPr>
        <w:pStyle w:val="Heading1"/>
        <w:numPr>
          <w:ilvl w:val="1"/>
          <w:numId w:val="14"/>
        </w:numPr>
        <w:tabs>
          <w:tab w:pos="3550" w:val="left" w:leader="none"/>
        </w:tabs>
        <w:spacing w:line="240" w:lineRule="auto" w:before="69" w:after="0"/>
        <w:ind w:left="3549" w:right="0" w:hanging="360"/>
        <w:jc w:val="left"/>
      </w:pPr>
      <w:r>
        <w:rPr/>
        <w:t>Referencias</w:t>
      </w:r>
      <w:r>
        <w:rPr>
          <w:spacing w:val="-3"/>
        </w:rPr>
        <w:t> </w:t>
      </w:r>
      <w:r>
        <w:rPr/>
        <w:t>Bibliográficas</w:t>
      </w:r>
    </w:p>
    <w:p>
      <w:pPr>
        <w:pStyle w:val="BodyText"/>
        <w:rPr>
          <w:b/>
          <w:sz w:val="20"/>
        </w:rPr>
      </w:pPr>
    </w:p>
    <w:p>
      <w:pPr>
        <w:pStyle w:val="BodyText"/>
        <w:rPr>
          <w:b/>
          <w:sz w:val="20"/>
        </w:rPr>
      </w:pPr>
    </w:p>
    <w:p>
      <w:pPr>
        <w:pStyle w:val="BodyText"/>
        <w:spacing w:before="10"/>
        <w:rPr>
          <w:b/>
          <w:sz w:val="11"/>
        </w:rPr>
      </w:pPr>
    </w:p>
    <w:tbl>
      <w:tblPr>
        <w:tblW w:w="0" w:type="auto"/>
        <w:jc w:val="left"/>
        <w:tblInd w:w="1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0"/>
        <w:gridCol w:w="8563"/>
      </w:tblGrid>
      <w:tr>
        <w:trPr>
          <w:trHeight w:val="415" w:hRule="exact"/>
        </w:trPr>
        <w:tc>
          <w:tcPr>
            <w:tcW w:w="600" w:type="dxa"/>
          </w:tcPr>
          <w:p>
            <w:pPr>
              <w:pStyle w:val="TableParagraph"/>
              <w:spacing w:line="235" w:lineRule="exact"/>
              <w:ind w:right="106"/>
              <w:jc w:val="right"/>
              <w:rPr>
                <w:sz w:val="23"/>
              </w:rPr>
            </w:pPr>
            <w:r>
              <w:rPr>
                <w:sz w:val="23"/>
              </w:rPr>
              <w:t>1.</w:t>
            </w:r>
          </w:p>
        </w:tc>
        <w:tc>
          <w:tcPr>
            <w:tcW w:w="8563" w:type="dxa"/>
          </w:tcPr>
          <w:p>
            <w:pPr>
              <w:pStyle w:val="TableParagraph"/>
              <w:spacing w:line="235" w:lineRule="exact"/>
              <w:ind w:left="106" w:right="40"/>
              <w:rPr>
                <w:sz w:val="23"/>
              </w:rPr>
            </w:pPr>
            <w:r>
              <w:rPr>
                <w:sz w:val="23"/>
              </w:rPr>
              <w:t>van Houte J. Role of micro-organisms in caries etiology. J Dent Res. 1994;73(3):672-81.</w:t>
            </w:r>
          </w:p>
        </w:tc>
      </w:tr>
      <w:tr>
        <w:trPr>
          <w:trHeight w:val="1142" w:hRule="exact"/>
        </w:trPr>
        <w:tc>
          <w:tcPr>
            <w:tcW w:w="600" w:type="dxa"/>
          </w:tcPr>
          <w:p>
            <w:pPr>
              <w:pStyle w:val="TableParagraph"/>
              <w:spacing w:before="138"/>
              <w:ind w:right="106"/>
              <w:jc w:val="right"/>
              <w:rPr>
                <w:sz w:val="23"/>
              </w:rPr>
            </w:pPr>
            <w:r>
              <w:rPr>
                <w:sz w:val="23"/>
              </w:rPr>
              <w:t>2.</w:t>
            </w:r>
          </w:p>
        </w:tc>
        <w:tc>
          <w:tcPr>
            <w:tcW w:w="8563" w:type="dxa"/>
          </w:tcPr>
          <w:p>
            <w:pPr>
              <w:pStyle w:val="TableParagraph"/>
              <w:spacing w:before="138"/>
              <w:ind w:left="106" w:right="40"/>
              <w:rPr>
                <w:sz w:val="23"/>
              </w:rPr>
            </w:pPr>
            <w:r>
              <w:rPr>
                <w:sz w:val="23"/>
              </w:rPr>
              <w:t>Takahashi N, Nyvad B. The role of bacteria in the caries process: ecological perspectives.</w:t>
            </w:r>
          </w:p>
          <w:p>
            <w:pPr>
              <w:pStyle w:val="TableParagraph"/>
              <w:spacing w:before="4"/>
              <w:rPr>
                <w:rFonts w:ascii="Arial"/>
                <w:b/>
                <w:sz w:val="24"/>
              </w:rPr>
            </w:pPr>
          </w:p>
          <w:p>
            <w:pPr>
              <w:pStyle w:val="TableParagraph"/>
              <w:spacing w:before="1"/>
              <w:ind w:left="106" w:right="40"/>
              <w:rPr>
                <w:sz w:val="23"/>
              </w:rPr>
            </w:pPr>
            <w:r>
              <w:rPr>
                <w:sz w:val="23"/>
              </w:rPr>
              <w:t>J Dent Res. 2011;90(3):294-303</w:t>
            </w:r>
          </w:p>
        </w:tc>
      </w:tr>
      <w:tr>
        <w:trPr>
          <w:trHeight w:val="1123" w:hRule="exact"/>
        </w:trPr>
        <w:tc>
          <w:tcPr>
            <w:tcW w:w="600" w:type="dxa"/>
          </w:tcPr>
          <w:p>
            <w:pPr>
              <w:pStyle w:val="TableParagraph"/>
              <w:spacing w:before="119"/>
              <w:ind w:right="106"/>
              <w:jc w:val="right"/>
              <w:rPr>
                <w:sz w:val="23"/>
              </w:rPr>
            </w:pPr>
            <w:r>
              <w:rPr>
                <w:sz w:val="23"/>
              </w:rPr>
              <w:t>3.</w:t>
            </w:r>
          </w:p>
        </w:tc>
        <w:tc>
          <w:tcPr>
            <w:tcW w:w="8563" w:type="dxa"/>
          </w:tcPr>
          <w:p>
            <w:pPr>
              <w:pStyle w:val="TableParagraph"/>
              <w:spacing w:before="119"/>
              <w:ind w:left="106" w:right="40"/>
              <w:rPr>
                <w:sz w:val="23"/>
              </w:rPr>
            </w:pPr>
            <w:r>
              <w:rPr>
                <w:sz w:val="23"/>
              </w:rPr>
              <w:t>Lingström P, van Ruyven FO, van Houte J, Kent R. The pH of dental plaque in its  relation</w:t>
            </w:r>
          </w:p>
          <w:p>
            <w:pPr>
              <w:pStyle w:val="TableParagraph"/>
              <w:spacing w:before="4"/>
              <w:rPr>
                <w:rFonts w:ascii="Arial"/>
                <w:b/>
                <w:sz w:val="24"/>
              </w:rPr>
            </w:pPr>
          </w:p>
          <w:p>
            <w:pPr>
              <w:pStyle w:val="TableParagraph"/>
              <w:spacing w:before="1"/>
              <w:ind w:left="106" w:right="40"/>
              <w:rPr>
                <w:sz w:val="23"/>
              </w:rPr>
            </w:pPr>
            <w:r>
              <w:rPr>
                <w:sz w:val="23"/>
              </w:rPr>
              <w:t>to early enamel caries and dental plaque flora in humans. J Dent Res. 2000;79(2):770-7.</w:t>
            </w:r>
          </w:p>
        </w:tc>
      </w:tr>
      <w:tr>
        <w:trPr>
          <w:trHeight w:val="1685" w:hRule="exact"/>
        </w:trPr>
        <w:tc>
          <w:tcPr>
            <w:tcW w:w="600" w:type="dxa"/>
          </w:tcPr>
          <w:p>
            <w:pPr>
              <w:pStyle w:val="TableParagraph"/>
              <w:spacing w:before="119"/>
              <w:ind w:right="106"/>
              <w:jc w:val="right"/>
              <w:rPr>
                <w:sz w:val="23"/>
              </w:rPr>
            </w:pPr>
            <w:r>
              <w:rPr>
                <w:sz w:val="23"/>
              </w:rPr>
              <w:t>4.</w:t>
            </w:r>
          </w:p>
        </w:tc>
        <w:tc>
          <w:tcPr>
            <w:tcW w:w="8563" w:type="dxa"/>
          </w:tcPr>
          <w:p>
            <w:pPr>
              <w:pStyle w:val="TableParagraph"/>
              <w:spacing w:line="480" w:lineRule="auto" w:before="119"/>
              <w:ind w:left="106" w:right="40"/>
              <w:rPr>
                <w:sz w:val="23"/>
              </w:rPr>
            </w:pPr>
            <w:r>
              <w:rPr>
                <w:sz w:val="23"/>
              </w:rPr>
              <w:t>van Ruyven FO, Lingström P, van Houte J, Kent R. Relationship among mutans streptococci,  "low-pH"  bacteria,  and  lodophilic  polysaccharide-producing  bacteria  in</w:t>
            </w:r>
          </w:p>
          <w:p>
            <w:pPr>
              <w:pStyle w:val="TableParagraph"/>
              <w:ind w:left="106" w:right="40"/>
              <w:rPr>
                <w:sz w:val="23"/>
              </w:rPr>
            </w:pPr>
            <w:r>
              <w:rPr>
                <w:sz w:val="23"/>
              </w:rPr>
              <w:t>dental plaque and early enamel caries in humans. J Dent Res. 2000;79(2):778-84.</w:t>
            </w:r>
          </w:p>
        </w:tc>
      </w:tr>
      <w:tr>
        <w:trPr>
          <w:trHeight w:val="1123" w:hRule="exact"/>
        </w:trPr>
        <w:tc>
          <w:tcPr>
            <w:tcW w:w="600" w:type="dxa"/>
          </w:tcPr>
          <w:p>
            <w:pPr>
              <w:pStyle w:val="TableParagraph"/>
              <w:spacing w:before="119"/>
              <w:ind w:right="106"/>
              <w:jc w:val="right"/>
              <w:rPr>
                <w:sz w:val="23"/>
              </w:rPr>
            </w:pPr>
            <w:r>
              <w:rPr>
                <w:sz w:val="23"/>
              </w:rPr>
              <w:t>5.</w:t>
            </w:r>
          </w:p>
        </w:tc>
        <w:tc>
          <w:tcPr>
            <w:tcW w:w="8563" w:type="dxa"/>
          </w:tcPr>
          <w:p>
            <w:pPr>
              <w:pStyle w:val="TableParagraph"/>
              <w:spacing w:before="119"/>
              <w:ind w:left="106" w:right="40"/>
              <w:rPr>
                <w:sz w:val="23"/>
              </w:rPr>
            </w:pPr>
            <w:r>
              <w:rPr>
                <w:sz w:val="23"/>
              </w:rPr>
              <w:t>Arends  J,  Christoffersen  J.  The  nature  of  early  caries  lesions  in  enamel.  J  Dent</w:t>
            </w:r>
          </w:p>
          <w:p>
            <w:pPr>
              <w:pStyle w:val="TableParagraph"/>
              <w:spacing w:before="4"/>
              <w:rPr>
                <w:rFonts w:ascii="Arial"/>
                <w:b/>
                <w:sz w:val="24"/>
              </w:rPr>
            </w:pPr>
          </w:p>
          <w:p>
            <w:pPr>
              <w:pStyle w:val="TableParagraph"/>
              <w:spacing w:before="1"/>
              <w:ind w:left="106" w:right="40"/>
              <w:rPr>
                <w:sz w:val="23"/>
              </w:rPr>
            </w:pPr>
            <w:r>
              <w:rPr>
                <w:sz w:val="23"/>
              </w:rPr>
              <w:t>Res.1986;65(1):2-11.</w:t>
            </w:r>
          </w:p>
        </w:tc>
      </w:tr>
      <w:tr>
        <w:trPr>
          <w:trHeight w:val="1124" w:hRule="exact"/>
        </w:trPr>
        <w:tc>
          <w:tcPr>
            <w:tcW w:w="600" w:type="dxa"/>
          </w:tcPr>
          <w:p>
            <w:pPr>
              <w:pStyle w:val="TableParagraph"/>
              <w:spacing w:before="119"/>
              <w:ind w:right="106"/>
              <w:jc w:val="right"/>
              <w:rPr>
                <w:sz w:val="23"/>
              </w:rPr>
            </w:pPr>
            <w:r>
              <w:rPr>
                <w:sz w:val="23"/>
              </w:rPr>
              <w:t>6.</w:t>
            </w:r>
          </w:p>
        </w:tc>
        <w:tc>
          <w:tcPr>
            <w:tcW w:w="8563" w:type="dxa"/>
          </w:tcPr>
          <w:p>
            <w:pPr>
              <w:pStyle w:val="TableParagraph"/>
              <w:spacing w:before="119"/>
              <w:ind w:left="106" w:right="40"/>
              <w:rPr>
                <w:sz w:val="23"/>
              </w:rPr>
            </w:pPr>
            <w:r>
              <w:rPr>
                <w:sz w:val="23"/>
              </w:rPr>
              <w:t>Gussy MG, Waters EG, Walsh O, Kilpatrick NM.Early childhood caries: current   evidence</w:t>
            </w:r>
          </w:p>
          <w:p>
            <w:pPr>
              <w:pStyle w:val="TableParagraph"/>
              <w:spacing w:before="5"/>
              <w:rPr>
                <w:rFonts w:ascii="Arial"/>
                <w:b/>
                <w:sz w:val="24"/>
              </w:rPr>
            </w:pPr>
          </w:p>
          <w:p>
            <w:pPr>
              <w:pStyle w:val="TableParagraph"/>
              <w:ind w:left="106" w:right="40"/>
              <w:rPr>
                <w:sz w:val="23"/>
              </w:rPr>
            </w:pPr>
            <w:r>
              <w:rPr>
                <w:sz w:val="23"/>
              </w:rPr>
              <w:t>for aetiology and prevention. J Paediatr Child Health. 2006; 42(1-2):37-43.</w:t>
            </w:r>
          </w:p>
        </w:tc>
      </w:tr>
      <w:tr>
        <w:trPr>
          <w:trHeight w:val="581" w:hRule="exact"/>
        </w:trPr>
        <w:tc>
          <w:tcPr>
            <w:tcW w:w="600" w:type="dxa"/>
          </w:tcPr>
          <w:p>
            <w:pPr>
              <w:pStyle w:val="TableParagraph"/>
              <w:spacing w:before="119"/>
              <w:ind w:right="106"/>
              <w:jc w:val="right"/>
              <w:rPr>
                <w:sz w:val="23"/>
              </w:rPr>
            </w:pPr>
            <w:r>
              <w:rPr>
                <w:sz w:val="23"/>
              </w:rPr>
              <w:t>7.</w:t>
            </w:r>
          </w:p>
        </w:tc>
        <w:tc>
          <w:tcPr>
            <w:tcW w:w="8563" w:type="dxa"/>
          </w:tcPr>
          <w:p>
            <w:pPr>
              <w:pStyle w:val="TableParagraph"/>
              <w:spacing w:before="119"/>
              <w:ind w:left="106" w:right="40"/>
              <w:rPr>
                <w:sz w:val="23"/>
              </w:rPr>
            </w:pPr>
            <w:r>
              <w:rPr>
                <w:sz w:val="23"/>
              </w:rPr>
              <w:t>Axelsson P. Preventive materials, methods, and programs. Slovakia: Quintessence; 2004</w:t>
            </w:r>
          </w:p>
        </w:tc>
      </w:tr>
      <w:tr>
        <w:trPr>
          <w:trHeight w:val="600" w:hRule="exact"/>
        </w:trPr>
        <w:tc>
          <w:tcPr>
            <w:tcW w:w="600" w:type="dxa"/>
          </w:tcPr>
          <w:p>
            <w:pPr>
              <w:pStyle w:val="TableParagraph"/>
              <w:spacing w:before="138"/>
              <w:ind w:right="106"/>
              <w:jc w:val="right"/>
              <w:rPr>
                <w:sz w:val="23"/>
              </w:rPr>
            </w:pPr>
            <w:r>
              <w:rPr>
                <w:sz w:val="23"/>
              </w:rPr>
              <w:t>8.</w:t>
            </w:r>
          </w:p>
        </w:tc>
        <w:tc>
          <w:tcPr>
            <w:tcW w:w="8563" w:type="dxa"/>
          </w:tcPr>
          <w:p>
            <w:pPr>
              <w:pStyle w:val="TableParagraph"/>
              <w:spacing w:before="138"/>
              <w:ind w:left="106" w:right="40"/>
              <w:rPr>
                <w:sz w:val="23"/>
              </w:rPr>
            </w:pPr>
            <w:r>
              <w:rPr>
                <w:sz w:val="23"/>
              </w:rPr>
              <w:t>Axelsson P. </w:t>
            </w:r>
            <w:r>
              <w:rPr>
                <w:i/>
                <w:sz w:val="23"/>
              </w:rPr>
              <w:t>Diagnosis and risk prediction of dental caries</w:t>
            </w:r>
            <w:r>
              <w:rPr>
                <w:sz w:val="23"/>
              </w:rPr>
              <w:t>. Germany :Quintessence; 2000:</w:t>
            </w:r>
          </w:p>
        </w:tc>
      </w:tr>
      <w:tr>
        <w:trPr>
          <w:trHeight w:val="1142" w:hRule="exact"/>
        </w:trPr>
        <w:tc>
          <w:tcPr>
            <w:tcW w:w="600" w:type="dxa"/>
          </w:tcPr>
          <w:p>
            <w:pPr>
              <w:pStyle w:val="TableParagraph"/>
              <w:spacing w:before="138"/>
              <w:ind w:right="106"/>
              <w:jc w:val="right"/>
              <w:rPr>
                <w:sz w:val="23"/>
              </w:rPr>
            </w:pPr>
            <w:r>
              <w:rPr>
                <w:sz w:val="23"/>
              </w:rPr>
              <w:t>9.</w:t>
            </w:r>
          </w:p>
        </w:tc>
        <w:tc>
          <w:tcPr>
            <w:tcW w:w="8563" w:type="dxa"/>
          </w:tcPr>
          <w:p>
            <w:pPr>
              <w:pStyle w:val="TableParagraph"/>
              <w:spacing w:before="138"/>
              <w:ind w:left="106" w:right="40"/>
              <w:rPr>
                <w:sz w:val="23"/>
              </w:rPr>
            </w:pPr>
            <w:r>
              <w:rPr>
                <w:sz w:val="23"/>
              </w:rPr>
              <w:t>Featherstone JD  The science and practice of caries prevention. J Am Dent Assoc.   2000;</w:t>
            </w:r>
          </w:p>
          <w:p>
            <w:pPr>
              <w:pStyle w:val="TableParagraph"/>
              <w:spacing w:before="4"/>
              <w:rPr>
                <w:rFonts w:ascii="Arial"/>
                <w:b/>
                <w:sz w:val="24"/>
              </w:rPr>
            </w:pPr>
          </w:p>
          <w:p>
            <w:pPr>
              <w:pStyle w:val="TableParagraph"/>
              <w:spacing w:before="1"/>
              <w:ind w:left="106" w:right="40"/>
              <w:rPr>
                <w:sz w:val="23"/>
              </w:rPr>
            </w:pPr>
            <w:r>
              <w:rPr>
                <w:sz w:val="23"/>
              </w:rPr>
              <w:t>131 (7): 887-99.</w:t>
            </w:r>
          </w:p>
        </w:tc>
      </w:tr>
      <w:tr>
        <w:trPr>
          <w:trHeight w:val="581" w:hRule="exact"/>
        </w:trPr>
        <w:tc>
          <w:tcPr>
            <w:tcW w:w="600" w:type="dxa"/>
          </w:tcPr>
          <w:p>
            <w:pPr>
              <w:pStyle w:val="TableParagraph"/>
              <w:spacing w:before="119"/>
              <w:ind w:right="104"/>
              <w:jc w:val="right"/>
              <w:rPr>
                <w:sz w:val="23"/>
              </w:rPr>
            </w:pPr>
            <w:r>
              <w:rPr>
                <w:sz w:val="23"/>
              </w:rPr>
              <w:t>11.</w:t>
            </w:r>
          </w:p>
        </w:tc>
        <w:tc>
          <w:tcPr>
            <w:tcW w:w="8563" w:type="dxa"/>
          </w:tcPr>
          <w:p>
            <w:pPr>
              <w:pStyle w:val="TableParagraph"/>
              <w:spacing w:before="119"/>
              <w:ind w:left="106" w:right="40"/>
              <w:rPr>
                <w:sz w:val="23"/>
              </w:rPr>
            </w:pPr>
            <w:r>
              <w:rPr>
                <w:sz w:val="23"/>
              </w:rPr>
              <w:t>Koch G, &amp; Poulsen S. </w:t>
            </w:r>
            <w:r>
              <w:rPr>
                <w:i/>
                <w:sz w:val="23"/>
              </w:rPr>
              <w:t>Pediatric dentistry-a clinical approach</w:t>
            </w:r>
            <w:r>
              <w:rPr>
                <w:sz w:val="23"/>
              </w:rPr>
              <w:t>. Denmark: Blackwell; 2006.</w:t>
            </w:r>
          </w:p>
        </w:tc>
      </w:tr>
      <w:tr>
        <w:trPr>
          <w:trHeight w:val="1539" w:hRule="exact"/>
        </w:trPr>
        <w:tc>
          <w:tcPr>
            <w:tcW w:w="600" w:type="dxa"/>
          </w:tcPr>
          <w:p>
            <w:pPr>
              <w:pStyle w:val="TableParagraph"/>
              <w:spacing w:before="139"/>
              <w:ind w:right="104"/>
              <w:jc w:val="right"/>
              <w:rPr>
                <w:sz w:val="23"/>
              </w:rPr>
            </w:pPr>
            <w:r>
              <w:rPr>
                <w:sz w:val="23"/>
              </w:rPr>
              <w:t>12.</w:t>
            </w:r>
          </w:p>
        </w:tc>
        <w:tc>
          <w:tcPr>
            <w:tcW w:w="8563" w:type="dxa"/>
          </w:tcPr>
          <w:p>
            <w:pPr>
              <w:pStyle w:val="TableParagraph"/>
              <w:spacing w:before="139"/>
              <w:ind w:left="106" w:right="40"/>
              <w:rPr>
                <w:sz w:val="23"/>
              </w:rPr>
            </w:pPr>
            <w:r>
              <w:rPr>
                <w:sz w:val="23"/>
              </w:rPr>
              <w:t>Petersen PE. The World Oral Health Report 2003: continuous improvement of oral health</w:t>
            </w:r>
          </w:p>
          <w:p>
            <w:pPr>
              <w:pStyle w:val="TableParagraph"/>
              <w:spacing w:line="560" w:lineRule="atLeast" w:before="1"/>
              <w:ind w:left="106" w:right="40"/>
              <w:rPr>
                <w:sz w:val="23"/>
              </w:rPr>
            </w:pPr>
            <w:r>
              <w:rPr>
                <w:sz w:val="23"/>
              </w:rPr>
              <w:t>in the 21st century-the approach of the Who Global Oral Health Programme. </w:t>
            </w:r>
            <w:r>
              <w:rPr>
                <w:i/>
                <w:sz w:val="23"/>
              </w:rPr>
              <w:t>Community </w:t>
            </w:r>
            <w:r>
              <w:rPr>
                <w:i/>
                <w:sz w:val="23"/>
              </w:rPr>
              <w:t>Dent Oral Epidemiology</w:t>
            </w:r>
            <w:r>
              <w:rPr>
                <w:sz w:val="23"/>
              </w:rPr>
              <w:t>. 2003; 31 Suppl 1: 3-23.</w:t>
            </w:r>
          </w:p>
        </w:tc>
      </w:tr>
    </w:tbl>
    <w:p>
      <w:pPr>
        <w:spacing w:after="0" w:line="560" w:lineRule="atLeast"/>
        <w:rPr>
          <w:sz w:val="23"/>
        </w:rPr>
        <w:sectPr>
          <w:pgSz w:w="12240" w:h="15840"/>
          <w:pgMar w:header="686" w:footer="964" w:top="1080" w:bottom="1160" w:left="1280" w:right="1500"/>
        </w:sectPr>
      </w:pPr>
    </w:p>
    <w:p>
      <w:pPr>
        <w:pStyle w:val="BodyText"/>
        <w:rPr>
          <w:rFonts w:ascii="Times New Roman"/>
          <w:sz w:val="20"/>
        </w:rPr>
      </w:pPr>
    </w:p>
    <w:p>
      <w:pPr>
        <w:pStyle w:val="BodyText"/>
        <w:rPr>
          <w:rFonts w:ascii="Times New Roman"/>
          <w:sz w:val="20"/>
        </w:rPr>
      </w:pPr>
    </w:p>
    <w:p>
      <w:pPr>
        <w:pStyle w:val="BodyText"/>
        <w:spacing w:before="4" w:after="1"/>
        <w:rPr>
          <w:rFonts w:ascii="Times New Roman"/>
          <w:sz w:val="17"/>
        </w:rPr>
      </w:pPr>
    </w:p>
    <w:tbl>
      <w:tblPr>
        <w:tblW w:w="0" w:type="auto"/>
        <w:jc w:val="left"/>
        <w:tblInd w:w="1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0"/>
        <w:gridCol w:w="8567"/>
      </w:tblGrid>
      <w:tr>
        <w:trPr>
          <w:trHeight w:val="958" w:hRule="exact"/>
        </w:trPr>
        <w:tc>
          <w:tcPr>
            <w:tcW w:w="600" w:type="dxa"/>
          </w:tcPr>
          <w:p>
            <w:pPr>
              <w:pStyle w:val="TableParagraph"/>
              <w:spacing w:line="235" w:lineRule="exact"/>
              <w:ind w:right="104"/>
              <w:jc w:val="right"/>
              <w:rPr>
                <w:sz w:val="23"/>
              </w:rPr>
            </w:pPr>
            <w:r>
              <w:rPr>
                <w:sz w:val="23"/>
              </w:rPr>
              <w:t>13.</w:t>
            </w:r>
          </w:p>
        </w:tc>
        <w:tc>
          <w:tcPr>
            <w:tcW w:w="8567" w:type="dxa"/>
          </w:tcPr>
          <w:p>
            <w:pPr>
              <w:pStyle w:val="TableParagraph"/>
              <w:spacing w:line="235" w:lineRule="exact"/>
              <w:ind w:left="106" w:right="24"/>
              <w:rPr>
                <w:sz w:val="23"/>
              </w:rPr>
            </w:pPr>
            <w:r>
              <w:rPr>
                <w:sz w:val="23"/>
              </w:rPr>
              <w:t>Marthaler TM, O’Mullane, DM. The prevalence of dental caries in Europe 1990-1995.</w:t>
            </w:r>
          </w:p>
          <w:p>
            <w:pPr>
              <w:pStyle w:val="TableParagraph"/>
              <w:spacing w:before="4"/>
              <w:rPr>
                <w:rFonts w:ascii="Times New Roman"/>
                <w:sz w:val="24"/>
              </w:rPr>
            </w:pPr>
          </w:p>
          <w:p>
            <w:pPr>
              <w:pStyle w:val="TableParagraph"/>
              <w:spacing w:before="1"/>
              <w:ind w:left="106" w:right="24"/>
              <w:rPr>
                <w:sz w:val="23"/>
              </w:rPr>
            </w:pPr>
            <w:r>
              <w:rPr>
                <w:sz w:val="23"/>
              </w:rPr>
              <w:t>Symposium Report. Caries Res. 1996;30(4):237-55.</w:t>
            </w:r>
          </w:p>
        </w:tc>
      </w:tr>
      <w:tr>
        <w:trPr>
          <w:trHeight w:val="1685" w:hRule="exact"/>
        </w:trPr>
        <w:tc>
          <w:tcPr>
            <w:tcW w:w="600" w:type="dxa"/>
          </w:tcPr>
          <w:p>
            <w:pPr>
              <w:pStyle w:val="TableParagraph"/>
              <w:spacing w:before="119"/>
              <w:ind w:right="104"/>
              <w:jc w:val="right"/>
              <w:rPr>
                <w:sz w:val="23"/>
              </w:rPr>
            </w:pPr>
            <w:r>
              <w:rPr>
                <w:sz w:val="23"/>
              </w:rPr>
              <w:t>14.</w:t>
            </w:r>
          </w:p>
        </w:tc>
        <w:tc>
          <w:tcPr>
            <w:tcW w:w="8567" w:type="dxa"/>
          </w:tcPr>
          <w:p>
            <w:pPr>
              <w:pStyle w:val="TableParagraph"/>
              <w:spacing w:line="480" w:lineRule="auto" w:before="119"/>
              <w:ind w:left="106" w:right="24"/>
              <w:rPr>
                <w:sz w:val="23"/>
              </w:rPr>
            </w:pPr>
            <w:r>
              <w:rPr>
                <w:sz w:val="23"/>
              </w:rPr>
              <w:t>Jacobsson B, Koch G, Magnusson T, Hugoson A. Oral health in young individuals with foreign and Swedish backgrounds-a ten-year perspective. Eur Arch Paediatr Dent.  2011</w:t>
            </w:r>
          </w:p>
          <w:p>
            <w:pPr>
              <w:pStyle w:val="TableParagraph"/>
              <w:ind w:left="106" w:right="24"/>
              <w:rPr>
                <w:sz w:val="23"/>
              </w:rPr>
            </w:pPr>
            <w:r>
              <w:rPr>
                <w:sz w:val="23"/>
              </w:rPr>
              <w:t>;12(3):151-8.</w:t>
            </w:r>
          </w:p>
        </w:tc>
      </w:tr>
      <w:tr>
        <w:trPr>
          <w:trHeight w:val="1123" w:hRule="exact"/>
        </w:trPr>
        <w:tc>
          <w:tcPr>
            <w:tcW w:w="600" w:type="dxa"/>
          </w:tcPr>
          <w:p>
            <w:pPr>
              <w:pStyle w:val="TableParagraph"/>
              <w:spacing w:before="119"/>
              <w:ind w:right="104"/>
              <w:jc w:val="right"/>
              <w:rPr>
                <w:sz w:val="23"/>
              </w:rPr>
            </w:pPr>
            <w:r>
              <w:rPr>
                <w:sz w:val="23"/>
              </w:rPr>
              <w:t>15.</w:t>
            </w:r>
          </w:p>
        </w:tc>
        <w:tc>
          <w:tcPr>
            <w:tcW w:w="8567" w:type="dxa"/>
          </w:tcPr>
          <w:p>
            <w:pPr>
              <w:pStyle w:val="TableParagraph"/>
              <w:spacing w:before="119"/>
              <w:ind w:left="106" w:right="24"/>
              <w:rPr>
                <w:sz w:val="23"/>
              </w:rPr>
            </w:pPr>
            <w:hyperlink r:id="rId37">
              <w:r>
                <w:rPr>
                  <w:sz w:val="23"/>
                </w:rPr>
                <w:t>Drugan CS,</w:t>
              </w:r>
            </w:hyperlink>
            <w:r>
              <w:rPr>
                <w:sz w:val="23"/>
              </w:rPr>
              <w:t> </w:t>
            </w:r>
            <w:hyperlink r:id="rId38">
              <w:r>
                <w:rPr>
                  <w:sz w:val="23"/>
                </w:rPr>
                <w:t>Downer M.C</w:t>
              </w:r>
            </w:hyperlink>
            <w:r>
              <w:rPr>
                <w:sz w:val="23"/>
              </w:rPr>
              <w:t>. Dental health in the United Kingdom and influencing variables.</w:t>
            </w:r>
          </w:p>
          <w:p>
            <w:pPr>
              <w:pStyle w:val="TableParagraph"/>
              <w:spacing w:before="5"/>
              <w:rPr>
                <w:rFonts w:ascii="Times New Roman"/>
                <w:sz w:val="24"/>
              </w:rPr>
            </w:pPr>
          </w:p>
          <w:p>
            <w:pPr>
              <w:pStyle w:val="TableParagraph"/>
              <w:ind w:left="106" w:right="24"/>
              <w:rPr>
                <w:sz w:val="23"/>
              </w:rPr>
            </w:pPr>
            <w:r>
              <w:rPr>
                <w:sz w:val="23"/>
              </w:rPr>
              <w:t>Bundesgesundheitsblatt Gesundheitsforschung Gesundheitsschutz. 2011;54(9):1027-34.</w:t>
            </w:r>
          </w:p>
        </w:tc>
      </w:tr>
      <w:tr>
        <w:trPr>
          <w:trHeight w:val="1080" w:hRule="exact"/>
        </w:trPr>
        <w:tc>
          <w:tcPr>
            <w:tcW w:w="600" w:type="dxa"/>
          </w:tcPr>
          <w:p>
            <w:pPr>
              <w:pStyle w:val="TableParagraph"/>
              <w:spacing w:before="120"/>
              <w:ind w:right="104"/>
              <w:jc w:val="right"/>
              <w:rPr>
                <w:sz w:val="23"/>
              </w:rPr>
            </w:pPr>
            <w:r>
              <w:rPr>
                <w:sz w:val="23"/>
              </w:rPr>
              <w:t>16.</w:t>
            </w:r>
          </w:p>
        </w:tc>
        <w:tc>
          <w:tcPr>
            <w:tcW w:w="8567" w:type="dxa"/>
          </w:tcPr>
          <w:p>
            <w:pPr>
              <w:pStyle w:val="TableParagraph"/>
              <w:spacing w:before="120"/>
              <w:ind w:left="106" w:right="24"/>
              <w:rPr>
                <w:sz w:val="22"/>
              </w:rPr>
            </w:pPr>
            <w:r>
              <w:rPr>
                <w:sz w:val="22"/>
              </w:rPr>
              <w:t>Dye BA, Tan S, Smith V, Lewis BG, Barker LK, Thornton-Evans G, et al.    Trends in oral health</w:t>
            </w:r>
          </w:p>
          <w:p>
            <w:pPr>
              <w:pStyle w:val="TableParagraph"/>
              <w:spacing w:before="2"/>
              <w:rPr>
                <w:rFonts w:ascii="Times New Roman"/>
                <w:sz w:val="23"/>
              </w:rPr>
            </w:pPr>
          </w:p>
          <w:p>
            <w:pPr>
              <w:pStyle w:val="TableParagraph"/>
              <w:ind w:left="106" w:right="24"/>
              <w:rPr>
                <w:sz w:val="22"/>
              </w:rPr>
            </w:pPr>
            <w:r>
              <w:rPr>
                <w:sz w:val="22"/>
              </w:rPr>
              <w:t>status: United States, 1988-1994 and 1999-2004. Vital Health Stat 11. 2007;(248):1-92.</w:t>
            </w:r>
          </w:p>
        </w:tc>
      </w:tr>
      <w:tr>
        <w:trPr>
          <w:trHeight w:val="1117" w:hRule="exact"/>
        </w:trPr>
        <w:tc>
          <w:tcPr>
            <w:tcW w:w="600" w:type="dxa"/>
          </w:tcPr>
          <w:p>
            <w:pPr>
              <w:pStyle w:val="TableParagraph"/>
              <w:spacing w:before="113"/>
              <w:ind w:right="104"/>
              <w:jc w:val="right"/>
              <w:rPr>
                <w:sz w:val="23"/>
              </w:rPr>
            </w:pPr>
            <w:r>
              <w:rPr>
                <w:sz w:val="23"/>
              </w:rPr>
              <w:t>17.</w:t>
            </w:r>
          </w:p>
        </w:tc>
        <w:tc>
          <w:tcPr>
            <w:tcW w:w="8567" w:type="dxa"/>
          </w:tcPr>
          <w:p>
            <w:pPr>
              <w:pStyle w:val="TableParagraph"/>
              <w:spacing w:before="113"/>
              <w:ind w:left="106" w:right="24"/>
              <w:rPr>
                <w:sz w:val="23"/>
              </w:rPr>
            </w:pPr>
            <w:r>
              <w:rPr>
                <w:sz w:val="23"/>
              </w:rPr>
              <w:t>Eklund SA. Trends in dental treatment, 1992 to 2007. J Am Dent Assoc. 2010;141(4):391-</w:t>
            </w:r>
          </w:p>
          <w:p>
            <w:pPr>
              <w:pStyle w:val="TableParagraph"/>
              <w:spacing w:before="4"/>
              <w:rPr>
                <w:rFonts w:ascii="Times New Roman"/>
                <w:sz w:val="24"/>
              </w:rPr>
            </w:pPr>
          </w:p>
          <w:p>
            <w:pPr>
              <w:pStyle w:val="TableParagraph"/>
              <w:spacing w:before="1"/>
              <w:ind w:left="106" w:right="24"/>
              <w:rPr>
                <w:sz w:val="23"/>
              </w:rPr>
            </w:pPr>
            <w:r>
              <w:rPr>
                <w:sz w:val="23"/>
              </w:rPr>
              <w:t>9.</w:t>
            </w:r>
          </w:p>
        </w:tc>
      </w:tr>
      <w:tr>
        <w:trPr>
          <w:trHeight w:val="1685" w:hRule="exact"/>
        </w:trPr>
        <w:tc>
          <w:tcPr>
            <w:tcW w:w="600" w:type="dxa"/>
          </w:tcPr>
          <w:p>
            <w:pPr>
              <w:pStyle w:val="TableParagraph"/>
              <w:spacing w:before="119"/>
              <w:ind w:right="105"/>
              <w:jc w:val="right"/>
              <w:rPr>
                <w:sz w:val="23"/>
              </w:rPr>
            </w:pPr>
            <w:r>
              <w:rPr>
                <w:sz w:val="23"/>
              </w:rPr>
              <w:t>18</w:t>
            </w:r>
          </w:p>
        </w:tc>
        <w:tc>
          <w:tcPr>
            <w:tcW w:w="8567" w:type="dxa"/>
          </w:tcPr>
          <w:p>
            <w:pPr>
              <w:pStyle w:val="TableParagraph"/>
              <w:spacing w:before="119"/>
              <w:ind w:left="106" w:right="24"/>
              <w:rPr>
                <w:sz w:val="23"/>
              </w:rPr>
            </w:pPr>
            <w:r>
              <w:rPr>
                <w:sz w:val="23"/>
              </w:rPr>
              <w:t>Tomar SL,  Reeves  AF. Changes  in the  oral health  of US children and adolescents    and</w:t>
            </w:r>
          </w:p>
          <w:p>
            <w:pPr>
              <w:pStyle w:val="TableParagraph"/>
              <w:spacing w:line="560" w:lineRule="atLeast" w:before="2"/>
              <w:ind w:left="106" w:right="24"/>
              <w:rPr>
                <w:sz w:val="23"/>
              </w:rPr>
            </w:pPr>
            <w:r>
              <w:rPr>
                <w:sz w:val="23"/>
              </w:rPr>
              <w:t>dental public health infrastructure since the release of the Healthy People 2010 Objectives. Acad Pediatr. 2009;9(6):388-95.</w:t>
            </w:r>
          </w:p>
        </w:tc>
      </w:tr>
      <w:tr>
        <w:trPr>
          <w:trHeight w:val="1685" w:hRule="exact"/>
        </w:trPr>
        <w:tc>
          <w:tcPr>
            <w:tcW w:w="600" w:type="dxa"/>
          </w:tcPr>
          <w:p>
            <w:pPr>
              <w:pStyle w:val="TableParagraph"/>
              <w:spacing w:before="119"/>
              <w:ind w:right="105"/>
              <w:jc w:val="right"/>
              <w:rPr>
                <w:sz w:val="23"/>
              </w:rPr>
            </w:pPr>
            <w:r>
              <w:rPr>
                <w:sz w:val="23"/>
              </w:rPr>
              <w:t>19</w:t>
            </w:r>
          </w:p>
        </w:tc>
        <w:tc>
          <w:tcPr>
            <w:tcW w:w="8567" w:type="dxa"/>
          </w:tcPr>
          <w:p>
            <w:pPr>
              <w:pStyle w:val="TableParagraph"/>
              <w:spacing w:line="480" w:lineRule="auto" w:before="119"/>
              <w:ind w:left="106" w:right="24"/>
              <w:rPr>
                <w:sz w:val="23"/>
              </w:rPr>
            </w:pPr>
            <w:r>
              <w:rPr>
                <w:sz w:val="23"/>
              </w:rPr>
              <w:t>Estupiñán-Day SR, Baez R, Horowitz H, Warpeha R, Sutherland B, Thamer M. Salt fluoridation  and  dental  caries  in  Jamaica.  Community  Dent  Oral  Epidemiol.      2001</w:t>
            </w:r>
          </w:p>
          <w:p>
            <w:pPr>
              <w:pStyle w:val="TableParagraph"/>
              <w:ind w:left="106" w:right="24"/>
              <w:rPr>
                <w:sz w:val="23"/>
              </w:rPr>
            </w:pPr>
            <w:r>
              <w:rPr>
                <w:sz w:val="23"/>
              </w:rPr>
              <w:t>;29(4):247-52.</w:t>
            </w:r>
          </w:p>
        </w:tc>
      </w:tr>
      <w:tr>
        <w:trPr>
          <w:trHeight w:val="1522" w:hRule="exact"/>
        </w:trPr>
        <w:tc>
          <w:tcPr>
            <w:tcW w:w="600" w:type="dxa"/>
          </w:tcPr>
          <w:p>
            <w:pPr>
              <w:pStyle w:val="TableParagraph"/>
              <w:spacing w:before="119"/>
              <w:ind w:right="104"/>
              <w:jc w:val="right"/>
              <w:rPr>
                <w:sz w:val="23"/>
              </w:rPr>
            </w:pPr>
            <w:r>
              <w:rPr>
                <w:sz w:val="23"/>
              </w:rPr>
              <w:t>20.</w:t>
            </w:r>
          </w:p>
        </w:tc>
        <w:tc>
          <w:tcPr>
            <w:tcW w:w="8567" w:type="dxa"/>
          </w:tcPr>
          <w:p>
            <w:pPr>
              <w:pStyle w:val="TableParagraph"/>
              <w:spacing w:line="480" w:lineRule="auto" w:before="119"/>
              <w:ind w:left="106" w:right="517"/>
              <w:rPr>
                <w:sz w:val="23"/>
              </w:rPr>
            </w:pPr>
            <w:r>
              <w:rPr>
                <w:sz w:val="23"/>
              </w:rPr>
              <w:t>Irigoyen ME, Sánchez-Hinojosa G. Changes in dental caries prevalence in 12-year-old students in the State of Mexico after 9 years of salt fluoridation. Caries Res. 2000 Jul-</w:t>
            </w:r>
          </w:p>
          <w:p>
            <w:pPr>
              <w:pStyle w:val="TableParagraph"/>
              <w:spacing w:before="3"/>
              <w:ind w:left="106" w:right="24"/>
              <w:rPr>
                <w:sz w:val="23"/>
              </w:rPr>
            </w:pPr>
            <w:r>
              <w:rPr>
                <w:sz w:val="23"/>
              </w:rPr>
              <w:t>;34(4):303-7.</w:t>
            </w:r>
          </w:p>
        </w:tc>
      </w:tr>
    </w:tbl>
    <w:p>
      <w:pPr>
        <w:spacing w:after="0"/>
        <w:rPr>
          <w:sz w:val="23"/>
        </w:rPr>
        <w:sectPr>
          <w:footerReference w:type="default" r:id="rId36"/>
          <w:pgSz w:w="12240" w:h="15840"/>
          <w:pgMar w:footer="964" w:header="686" w:top="1080" w:bottom="1160" w:left="1280" w:right="1500"/>
        </w:sectPr>
      </w:pPr>
    </w:p>
    <w:p>
      <w:pPr>
        <w:pStyle w:val="BodyText"/>
        <w:rPr>
          <w:rFonts w:ascii="Times New Roman"/>
          <w:sz w:val="20"/>
        </w:rPr>
      </w:pPr>
    </w:p>
    <w:p>
      <w:pPr>
        <w:pStyle w:val="BodyText"/>
        <w:rPr>
          <w:rFonts w:ascii="Times New Roman"/>
          <w:sz w:val="20"/>
        </w:rPr>
      </w:pPr>
    </w:p>
    <w:p>
      <w:pPr>
        <w:pStyle w:val="BodyText"/>
        <w:spacing w:before="4" w:after="1"/>
        <w:rPr>
          <w:rFonts w:ascii="Times New Roman"/>
          <w:sz w:val="17"/>
        </w:rPr>
      </w:pPr>
    </w:p>
    <w:tbl>
      <w:tblPr>
        <w:tblW w:w="0" w:type="auto"/>
        <w:jc w:val="left"/>
        <w:tblInd w:w="1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3"/>
        <w:gridCol w:w="8569"/>
      </w:tblGrid>
      <w:tr>
        <w:trPr>
          <w:trHeight w:val="2081" w:hRule="exact"/>
        </w:trPr>
        <w:tc>
          <w:tcPr>
            <w:tcW w:w="603" w:type="dxa"/>
          </w:tcPr>
          <w:p>
            <w:pPr>
              <w:pStyle w:val="TableParagraph"/>
              <w:spacing w:line="235" w:lineRule="exact"/>
              <w:ind w:right="104"/>
              <w:jc w:val="right"/>
              <w:rPr>
                <w:sz w:val="23"/>
              </w:rPr>
            </w:pPr>
            <w:r>
              <w:rPr>
                <w:sz w:val="23"/>
              </w:rPr>
              <w:t>21.</w:t>
            </w:r>
          </w:p>
        </w:tc>
        <w:tc>
          <w:tcPr>
            <w:tcW w:w="8569" w:type="dxa"/>
          </w:tcPr>
          <w:p>
            <w:pPr>
              <w:pStyle w:val="TableParagraph"/>
              <w:spacing w:line="235" w:lineRule="exact"/>
              <w:ind w:left="106"/>
              <w:jc w:val="both"/>
              <w:rPr>
                <w:sz w:val="23"/>
              </w:rPr>
            </w:pPr>
            <w:r>
              <w:rPr>
                <w:sz w:val="23"/>
              </w:rPr>
              <w:t>Irigoyen  ME,  Mejía-González  A,  Zepeda-Zepeda  MA,  Betancourt-Linares  A,    Lezana-</w:t>
            </w:r>
          </w:p>
          <w:p>
            <w:pPr>
              <w:pStyle w:val="TableParagraph"/>
              <w:spacing w:line="560" w:lineRule="atLeast" w:before="1"/>
              <w:ind w:left="106" w:right="201"/>
              <w:jc w:val="both"/>
              <w:rPr>
                <w:sz w:val="23"/>
              </w:rPr>
            </w:pPr>
            <w:r>
              <w:rPr>
                <w:sz w:val="23"/>
              </w:rPr>
              <w:t>Fernández MÁ, Álvarez-Lucas CH. Dental caries in Mexican schoolchildren: a comparison of 1988-1989 and 1998-2001 surveys. Med Oral Patol Oral Cir Bucal. 2012; 17(5):e825- 32.</w:t>
            </w:r>
          </w:p>
        </w:tc>
      </w:tr>
      <w:tr>
        <w:trPr>
          <w:trHeight w:val="1685" w:hRule="exact"/>
        </w:trPr>
        <w:tc>
          <w:tcPr>
            <w:tcW w:w="603" w:type="dxa"/>
          </w:tcPr>
          <w:p>
            <w:pPr>
              <w:pStyle w:val="TableParagraph"/>
              <w:spacing w:before="119"/>
              <w:ind w:right="104"/>
              <w:jc w:val="right"/>
              <w:rPr>
                <w:sz w:val="23"/>
              </w:rPr>
            </w:pPr>
            <w:r>
              <w:rPr>
                <w:sz w:val="23"/>
              </w:rPr>
              <w:t>22.</w:t>
            </w:r>
          </w:p>
        </w:tc>
        <w:tc>
          <w:tcPr>
            <w:tcW w:w="8569" w:type="dxa"/>
          </w:tcPr>
          <w:p>
            <w:pPr>
              <w:pStyle w:val="TableParagraph"/>
              <w:spacing w:before="119"/>
              <w:ind w:left="106"/>
              <w:rPr>
                <w:sz w:val="23"/>
              </w:rPr>
            </w:pPr>
            <w:r>
              <w:rPr>
                <w:sz w:val="23"/>
              </w:rPr>
              <w:t>Cuéllar-González A,  Hernández-Gallardo I, Mondragón-Mojica M, Martínez-Herrera</w:t>
            </w:r>
          </w:p>
          <w:p>
            <w:pPr>
              <w:pStyle w:val="TableParagraph"/>
              <w:spacing w:line="562" w:lineRule="exact" w:before="50"/>
              <w:ind w:left="106"/>
              <w:rPr>
                <w:sz w:val="23"/>
              </w:rPr>
            </w:pPr>
            <w:r>
              <w:rPr>
                <w:sz w:val="23"/>
              </w:rPr>
              <w:t>E, Rodríguez-López A. Prevalencia de caries y factores asociados en niños de estancias infantiles. Gac Méd Méx </w:t>
            </w:r>
            <w:r>
              <w:rPr>
                <w:color w:val="0D0D0D"/>
                <w:sz w:val="23"/>
              </w:rPr>
              <w:t>. 2000; 136 (4): 13-26.</w:t>
            </w:r>
          </w:p>
        </w:tc>
      </w:tr>
      <w:tr>
        <w:trPr>
          <w:trHeight w:val="1682" w:hRule="exact"/>
        </w:trPr>
        <w:tc>
          <w:tcPr>
            <w:tcW w:w="603" w:type="dxa"/>
          </w:tcPr>
          <w:p>
            <w:pPr>
              <w:pStyle w:val="TableParagraph"/>
              <w:spacing w:before="119"/>
              <w:ind w:right="106"/>
              <w:jc w:val="right"/>
              <w:rPr>
                <w:sz w:val="23"/>
              </w:rPr>
            </w:pPr>
            <w:r>
              <w:rPr>
                <w:sz w:val="23"/>
              </w:rPr>
              <w:t>23.</w:t>
            </w:r>
          </w:p>
        </w:tc>
        <w:tc>
          <w:tcPr>
            <w:tcW w:w="8569" w:type="dxa"/>
          </w:tcPr>
          <w:p>
            <w:pPr>
              <w:pStyle w:val="TableParagraph"/>
              <w:spacing w:line="477" w:lineRule="auto" w:before="119"/>
              <w:ind w:left="247"/>
              <w:rPr>
                <w:sz w:val="23"/>
              </w:rPr>
            </w:pPr>
            <w:r>
              <w:rPr>
                <w:sz w:val="23"/>
              </w:rPr>
              <w:t>América Segovia-Villanueva, Ramón Estrella-Rodríguez, Carlo Eduardo Medina-Solís Gerardo Maupomé. Severidad de Caries y Factores Asociados en Preescolares de 3-6</w:t>
            </w:r>
          </w:p>
          <w:p>
            <w:pPr>
              <w:pStyle w:val="TableParagraph"/>
              <w:spacing w:before="3"/>
              <w:ind w:left="247"/>
              <w:rPr>
                <w:sz w:val="23"/>
              </w:rPr>
            </w:pPr>
            <w:r>
              <w:rPr>
                <w:sz w:val="23"/>
              </w:rPr>
              <w:t>Años de Edad en Campeche, México. Rev. Salud pública. 2004; 7 (1): 56 -69.</w:t>
            </w:r>
          </w:p>
        </w:tc>
      </w:tr>
      <w:tr>
        <w:trPr>
          <w:trHeight w:val="1685" w:hRule="exact"/>
        </w:trPr>
        <w:tc>
          <w:tcPr>
            <w:tcW w:w="603" w:type="dxa"/>
          </w:tcPr>
          <w:p>
            <w:pPr>
              <w:pStyle w:val="TableParagraph"/>
              <w:spacing w:before="119"/>
              <w:ind w:right="106"/>
              <w:jc w:val="right"/>
              <w:rPr>
                <w:sz w:val="23"/>
              </w:rPr>
            </w:pPr>
            <w:r>
              <w:rPr>
                <w:sz w:val="23"/>
              </w:rPr>
              <w:t>24.</w:t>
            </w:r>
          </w:p>
        </w:tc>
        <w:tc>
          <w:tcPr>
            <w:tcW w:w="8569" w:type="dxa"/>
          </w:tcPr>
          <w:p>
            <w:pPr>
              <w:pStyle w:val="TableParagraph"/>
              <w:spacing w:line="480" w:lineRule="auto" w:before="119"/>
              <w:ind w:left="247"/>
              <w:rPr>
                <w:sz w:val="23"/>
              </w:rPr>
            </w:pPr>
            <w:r>
              <w:rPr>
                <w:sz w:val="23"/>
              </w:rPr>
              <w:t>de</w:t>
            </w:r>
            <w:r>
              <w:rPr>
                <w:spacing w:val="-13"/>
                <w:sz w:val="23"/>
              </w:rPr>
              <w:t> </w:t>
            </w:r>
            <w:r>
              <w:rPr>
                <w:sz w:val="23"/>
              </w:rPr>
              <w:t>Amorim</w:t>
            </w:r>
            <w:r>
              <w:rPr>
                <w:spacing w:val="-13"/>
                <w:sz w:val="23"/>
              </w:rPr>
              <w:t> </w:t>
            </w:r>
            <w:r>
              <w:rPr>
                <w:sz w:val="23"/>
              </w:rPr>
              <w:t>RG,</w:t>
            </w:r>
            <w:r>
              <w:rPr>
                <w:spacing w:val="-14"/>
                <w:sz w:val="23"/>
              </w:rPr>
              <w:t> </w:t>
            </w:r>
            <w:r>
              <w:rPr>
                <w:sz w:val="23"/>
              </w:rPr>
              <w:t>Figueiredo</w:t>
            </w:r>
            <w:r>
              <w:rPr>
                <w:spacing w:val="-16"/>
                <w:sz w:val="23"/>
              </w:rPr>
              <w:t> </w:t>
            </w:r>
            <w:r>
              <w:rPr>
                <w:sz w:val="23"/>
              </w:rPr>
              <w:t>MJ,</w:t>
            </w:r>
            <w:r>
              <w:rPr>
                <w:spacing w:val="-14"/>
                <w:sz w:val="23"/>
              </w:rPr>
              <w:t> </w:t>
            </w:r>
            <w:r>
              <w:rPr>
                <w:sz w:val="23"/>
              </w:rPr>
              <w:t>Leal</w:t>
            </w:r>
            <w:r>
              <w:rPr>
                <w:spacing w:val="-14"/>
                <w:sz w:val="23"/>
              </w:rPr>
              <w:t> </w:t>
            </w:r>
            <w:r>
              <w:rPr>
                <w:sz w:val="23"/>
              </w:rPr>
              <w:t>SC,</w:t>
            </w:r>
            <w:r>
              <w:rPr>
                <w:spacing w:val="-14"/>
                <w:sz w:val="23"/>
              </w:rPr>
              <w:t> </w:t>
            </w:r>
            <w:r>
              <w:rPr>
                <w:sz w:val="23"/>
              </w:rPr>
              <w:t>Mulder</w:t>
            </w:r>
            <w:r>
              <w:rPr>
                <w:spacing w:val="-14"/>
                <w:sz w:val="23"/>
              </w:rPr>
              <w:t> </w:t>
            </w:r>
            <w:r>
              <w:rPr>
                <w:sz w:val="23"/>
              </w:rPr>
              <w:t>J,</w:t>
            </w:r>
            <w:r>
              <w:rPr>
                <w:spacing w:val="-14"/>
                <w:sz w:val="23"/>
              </w:rPr>
              <w:t> </w:t>
            </w:r>
            <w:r>
              <w:rPr>
                <w:sz w:val="23"/>
              </w:rPr>
              <w:t>Frencken</w:t>
            </w:r>
            <w:r>
              <w:rPr>
                <w:spacing w:val="-14"/>
                <w:sz w:val="23"/>
              </w:rPr>
              <w:t> </w:t>
            </w:r>
            <w:r>
              <w:rPr>
                <w:sz w:val="23"/>
              </w:rPr>
              <w:t>JE.Caries</w:t>
            </w:r>
            <w:r>
              <w:rPr>
                <w:spacing w:val="-15"/>
                <w:sz w:val="23"/>
              </w:rPr>
              <w:t> </w:t>
            </w:r>
            <w:r>
              <w:rPr>
                <w:sz w:val="23"/>
              </w:rPr>
              <w:t>experience</w:t>
            </w:r>
            <w:r>
              <w:rPr>
                <w:spacing w:val="-13"/>
                <w:sz w:val="23"/>
              </w:rPr>
              <w:t> </w:t>
            </w:r>
            <w:r>
              <w:rPr>
                <w:sz w:val="23"/>
              </w:rPr>
              <w:t>in</w:t>
            </w:r>
            <w:r>
              <w:rPr>
                <w:spacing w:val="-15"/>
                <w:sz w:val="23"/>
              </w:rPr>
              <w:t> </w:t>
            </w:r>
            <w:r>
              <w:rPr>
                <w:sz w:val="23"/>
              </w:rPr>
              <w:t>a</w:t>
            </w:r>
            <w:r>
              <w:rPr>
                <w:spacing w:val="-14"/>
                <w:sz w:val="23"/>
              </w:rPr>
              <w:t> </w:t>
            </w:r>
            <w:r>
              <w:rPr>
                <w:sz w:val="23"/>
              </w:rPr>
              <w:t>child population</w:t>
            </w:r>
            <w:r>
              <w:rPr>
                <w:spacing w:val="-15"/>
                <w:sz w:val="23"/>
              </w:rPr>
              <w:t> </w:t>
            </w:r>
            <w:r>
              <w:rPr>
                <w:sz w:val="23"/>
              </w:rPr>
              <w:t>in</w:t>
            </w:r>
            <w:r>
              <w:rPr>
                <w:spacing w:val="-15"/>
                <w:sz w:val="23"/>
              </w:rPr>
              <w:t> </w:t>
            </w:r>
            <w:r>
              <w:rPr>
                <w:sz w:val="23"/>
              </w:rPr>
              <w:t>a</w:t>
            </w:r>
            <w:r>
              <w:rPr>
                <w:spacing w:val="-14"/>
                <w:sz w:val="23"/>
              </w:rPr>
              <w:t> </w:t>
            </w:r>
            <w:r>
              <w:rPr>
                <w:sz w:val="23"/>
              </w:rPr>
              <w:t>deprived</w:t>
            </w:r>
            <w:r>
              <w:rPr>
                <w:spacing w:val="-14"/>
                <w:sz w:val="23"/>
              </w:rPr>
              <w:t> </w:t>
            </w:r>
            <w:r>
              <w:rPr>
                <w:sz w:val="23"/>
              </w:rPr>
              <w:t>area</w:t>
            </w:r>
            <w:r>
              <w:rPr>
                <w:spacing w:val="-13"/>
                <w:sz w:val="23"/>
              </w:rPr>
              <w:t> </w:t>
            </w:r>
            <w:r>
              <w:rPr>
                <w:sz w:val="23"/>
              </w:rPr>
              <w:t>of</w:t>
            </w:r>
            <w:r>
              <w:rPr>
                <w:spacing w:val="-14"/>
                <w:sz w:val="23"/>
              </w:rPr>
              <w:t> </w:t>
            </w:r>
            <w:r>
              <w:rPr>
                <w:sz w:val="23"/>
              </w:rPr>
              <w:t>Brazil,</w:t>
            </w:r>
            <w:r>
              <w:rPr>
                <w:spacing w:val="-16"/>
                <w:sz w:val="23"/>
              </w:rPr>
              <w:t> </w:t>
            </w:r>
            <w:r>
              <w:rPr>
                <w:sz w:val="23"/>
              </w:rPr>
              <w:t>using</w:t>
            </w:r>
            <w:r>
              <w:rPr>
                <w:spacing w:val="-14"/>
                <w:sz w:val="23"/>
              </w:rPr>
              <w:t> </w:t>
            </w:r>
            <w:r>
              <w:rPr>
                <w:sz w:val="23"/>
              </w:rPr>
              <w:t>ICDAS</w:t>
            </w:r>
            <w:r>
              <w:rPr>
                <w:spacing w:val="-16"/>
                <w:sz w:val="23"/>
              </w:rPr>
              <w:t> </w:t>
            </w:r>
            <w:r>
              <w:rPr>
                <w:sz w:val="23"/>
              </w:rPr>
              <w:t>II.</w:t>
            </w:r>
            <w:r>
              <w:rPr>
                <w:spacing w:val="-14"/>
                <w:sz w:val="23"/>
              </w:rPr>
              <w:t> </w:t>
            </w:r>
            <w:r>
              <w:rPr>
                <w:sz w:val="23"/>
              </w:rPr>
              <w:t>Clin</w:t>
            </w:r>
            <w:r>
              <w:rPr>
                <w:spacing w:val="-15"/>
                <w:sz w:val="23"/>
              </w:rPr>
              <w:t> </w:t>
            </w:r>
            <w:r>
              <w:rPr>
                <w:sz w:val="23"/>
              </w:rPr>
              <w:t>Oral</w:t>
            </w:r>
            <w:r>
              <w:rPr>
                <w:spacing w:val="-14"/>
                <w:sz w:val="23"/>
              </w:rPr>
              <w:t> </w:t>
            </w:r>
            <w:r>
              <w:rPr>
                <w:sz w:val="23"/>
              </w:rPr>
              <w:t>Investig.</w:t>
            </w:r>
            <w:r>
              <w:rPr>
                <w:spacing w:val="-17"/>
                <w:sz w:val="23"/>
              </w:rPr>
              <w:t> </w:t>
            </w:r>
            <w:r>
              <w:rPr>
                <w:sz w:val="23"/>
              </w:rPr>
              <w:t>2012</w:t>
            </w:r>
            <w:r>
              <w:rPr>
                <w:spacing w:val="-15"/>
                <w:sz w:val="23"/>
              </w:rPr>
              <w:t> </w:t>
            </w:r>
            <w:r>
              <w:rPr>
                <w:sz w:val="23"/>
              </w:rPr>
              <w:t>;16(2):513-</w:t>
            </w:r>
          </w:p>
          <w:p>
            <w:pPr>
              <w:pStyle w:val="TableParagraph"/>
              <w:ind w:left="247"/>
              <w:rPr>
                <w:sz w:val="23"/>
              </w:rPr>
            </w:pPr>
            <w:r>
              <w:rPr>
                <w:sz w:val="23"/>
              </w:rPr>
              <w:t>20.</w:t>
            </w:r>
          </w:p>
        </w:tc>
      </w:tr>
      <w:tr>
        <w:trPr>
          <w:trHeight w:val="1685" w:hRule="exact"/>
        </w:trPr>
        <w:tc>
          <w:tcPr>
            <w:tcW w:w="603" w:type="dxa"/>
          </w:tcPr>
          <w:p>
            <w:pPr>
              <w:pStyle w:val="TableParagraph"/>
              <w:spacing w:before="119"/>
              <w:ind w:right="106"/>
              <w:jc w:val="right"/>
              <w:rPr>
                <w:sz w:val="23"/>
              </w:rPr>
            </w:pPr>
            <w:r>
              <w:rPr>
                <w:sz w:val="23"/>
              </w:rPr>
              <w:t>25.</w:t>
            </w:r>
          </w:p>
        </w:tc>
        <w:tc>
          <w:tcPr>
            <w:tcW w:w="8569" w:type="dxa"/>
          </w:tcPr>
          <w:p>
            <w:pPr>
              <w:pStyle w:val="TableParagraph"/>
              <w:spacing w:before="119"/>
              <w:ind w:left="247"/>
              <w:rPr>
                <w:sz w:val="23"/>
              </w:rPr>
            </w:pPr>
            <w:r>
              <w:rPr>
                <w:sz w:val="23"/>
              </w:rPr>
              <w:t>Piovesan C, Ardenghi TM, Guedes RS, Ekstrand KR, Braga MM, Mendes FM. Activity</w:t>
            </w:r>
          </w:p>
          <w:p>
            <w:pPr>
              <w:pStyle w:val="TableParagraph"/>
              <w:spacing w:line="560" w:lineRule="atLeast" w:before="1"/>
              <w:ind w:left="247"/>
              <w:rPr>
                <w:sz w:val="23"/>
              </w:rPr>
            </w:pPr>
            <w:r>
              <w:rPr>
                <w:sz w:val="23"/>
              </w:rPr>
              <w:t>assessment has little impact on caries parameters reduction in epidemiological surveys with preschool children. Community Dent Oral Epidemiol. 2013;41(3):204-11.</w:t>
            </w:r>
          </w:p>
        </w:tc>
      </w:tr>
      <w:tr>
        <w:trPr>
          <w:trHeight w:val="1685" w:hRule="exact"/>
        </w:trPr>
        <w:tc>
          <w:tcPr>
            <w:tcW w:w="603" w:type="dxa"/>
          </w:tcPr>
          <w:p>
            <w:pPr>
              <w:pStyle w:val="TableParagraph"/>
              <w:spacing w:before="119"/>
              <w:ind w:right="104"/>
              <w:jc w:val="right"/>
              <w:rPr>
                <w:sz w:val="23"/>
              </w:rPr>
            </w:pPr>
            <w:r>
              <w:rPr>
                <w:sz w:val="23"/>
              </w:rPr>
              <w:t>26.</w:t>
            </w:r>
          </w:p>
        </w:tc>
        <w:tc>
          <w:tcPr>
            <w:tcW w:w="8569" w:type="dxa"/>
          </w:tcPr>
          <w:p>
            <w:pPr>
              <w:pStyle w:val="TableParagraph"/>
              <w:spacing w:line="480" w:lineRule="auto" w:before="119"/>
              <w:ind w:left="247" w:right="202"/>
              <w:rPr>
                <w:sz w:val="23"/>
              </w:rPr>
            </w:pPr>
            <w:r>
              <w:rPr>
                <w:sz w:val="23"/>
              </w:rPr>
              <w:t>Autio-Gold JT, Tomar SL. Prevalence of noncavitated and cavitated carious lesions in 5- year-old   head   start   schoolchildren   in   Alachua   County,   Florida.   Pediatr     Dent.</w:t>
            </w:r>
          </w:p>
          <w:p>
            <w:pPr>
              <w:pStyle w:val="TableParagraph"/>
              <w:ind w:left="247"/>
              <w:rPr>
                <w:sz w:val="23"/>
              </w:rPr>
            </w:pPr>
            <w:r>
              <w:rPr>
                <w:sz w:val="23"/>
              </w:rPr>
              <w:t>2005;27(1):54-60.</w:t>
            </w:r>
          </w:p>
        </w:tc>
      </w:tr>
      <w:tr>
        <w:trPr>
          <w:trHeight w:val="1113" w:hRule="exact"/>
        </w:trPr>
        <w:tc>
          <w:tcPr>
            <w:tcW w:w="603" w:type="dxa"/>
          </w:tcPr>
          <w:p>
            <w:pPr>
              <w:pStyle w:val="TableParagraph"/>
              <w:spacing w:before="119"/>
              <w:ind w:right="104"/>
              <w:jc w:val="right"/>
              <w:rPr>
                <w:sz w:val="23"/>
              </w:rPr>
            </w:pPr>
            <w:r>
              <w:rPr>
                <w:sz w:val="23"/>
              </w:rPr>
              <w:t>27.</w:t>
            </w:r>
          </w:p>
        </w:tc>
        <w:tc>
          <w:tcPr>
            <w:tcW w:w="8569" w:type="dxa"/>
          </w:tcPr>
          <w:p>
            <w:pPr>
              <w:pStyle w:val="TableParagraph"/>
              <w:spacing w:before="119"/>
              <w:ind w:left="247"/>
              <w:rPr>
                <w:sz w:val="23"/>
              </w:rPr>
            </w:pPr>
            <w:r>
              <w:rPr>
                <w:sz w:val="23"/>
              </w:rPr>
              <w:t>International  Caries  Detection  and  Assessment  System  (ICDAS  II).  Criteria Manual.</w:t>
            </w:r>
          </w:p>
          <w:p>
            <w:pPr>
              <w:pStyle w:val="TableParagraph"/>
              <w:spacing w:before="4"/>
              <w:rPr>
                <w:rFonts w:ascii="Times New Roman"/>
                <w:sz w:val="24"/>
              </w:rPr>
            </w:pPr>
          </w:p>
          <w:p>
            <w:pPr>
              <w:pStyle w:val="TableParagraph"/>
              <w:spacing w:before="1"/>
              <w:ind w:left="247"/>
              <w:rPr>
                <w:sz w:val="23"/>
              </w:rPr>
            </w:pPr>
            <w:r>
              <w:rPr>
                <w:sz w:val="23"/>
              </w:rPr>
              <w:t>Workshop held in Baltimore, Maryland, March 12th-14th 2005.</w:t>
            </w:r>
          </w:p>
        </w:tc>
      </w:tr>
      <w:tr>
        <w:trPr>
          <w:trHeight w:val="406" w:hRule="exact"/>
        </w:trPr>
        <w:tc>
          <w:tcPr>
            <w:tcW w:w="603" w:type="dxa"/>
          </w:tcPr>
          <w:p>
            <w:pPr>
              <w:pStyle w:val="TableParagraph"/>
              <w:spacing w:before="129"/>
              <w:ind w:right="104"/>
              <w:jc w:val="right"/>
              <w:rPr>
                <w:sz w:val="23"/>
              </w:rPr>
            </w:pPr>
            <w:r>
              <w:rPr>
                <w:sz w:val="23"/>
              </w:rPr>
              <w:t>28.</w:t>
            </w:r>
          </w:p>
        </w:tc>
        <w:tc>
          <w:tcPr>
            <w:tcW w:w="8569" w:type="dxa"/>
          </w:tcPr>
          <w:p>
            <w:pPr>
              <w:pStyle w:val="TableParagraph"/>
              <w:spacing w:before="125"/>
              <w:ind w:left="106"/>
              <w:rPr>
                <w:sz w:val="23"/>
              </w:rPr>
            </w:pPr>
            <w:r>
              <w:rPr>
                <w:sz w:val="23"/>
              </w:rPr>
              <w:t>Palmer C A. Diet and Nutrition in Oral Health.  2</w:t>
            </w:r>
            <w:r>
              <w:rPr>
                <w:position w:val="8"/>
                <w:sz w:val="15"/>
              </w:rPr>
              <w:t>nd </w:t>
            </w:r>
            <w:r>
              <w:rPr>
                <w:sz w:val="23"/>
              </w:rPr>
              <w:t>ed. USA: Pearson; 2007.</w:t>
            </w:r>
          </w:p>
        </w:tc>
      </w:tr>
    </w:tbl>
    <w:p>
      <w:pPr>
        <w:spacing w:after="0"/>
        <w:rPr>
          <w:sz w:val="23"/>
        </w:rPr>
        <w:sectPr>
          <w:footerReference w:type="default" r:id="rId39"/>
          <w:pgSz w:w="12240" w:h="15840"/>
          <w:pgMar w:footer="964" w:header="686" w:top="1080" w:bottom="1160" w:left="1280" w:right="1480"/>
          <w:pgNumType w:start="71"/>
        </w:sectPr>
      </w:pPr>
    </w:p>
    <w:p>
      <w:pPr>
        <w:pStyle w:val="BodyText"/>
        <w:rPr>
          <w:rFonts w:ascii="Times New Roman"/>
          <w:sz w:val="20"/>
        </w:rPr>
      </w:pPr>
    </w:p>
    <w:p>
      <w:pPr>
        <w:pStyle w:val="BodyText"/>
        <w:rPr>
          <w:rFonts w:ascii="Times New Roman"/>
          <w:sz w:val="20"/>
        </w:rPr>
      </w:pPr>
    </w:p>
    <w:p>
      <w:pPr>
        <w:pStyle w:val="BodyText"/>
        <w:spacing w:before="4" w:after="1"/>
        <w:rPr>
          <w:rFonts w:ascii="Times New Roman"/>
          <w:sz w:val="17"/>
        </w:rPr>
      </w:pPr>
    </w:p>
    <w:tbl>
      <w:tblPr>
        <w:tblW w:w="0" w:type="auto"/>
        <w:jc w:val="left"/>
        <w:tblInd w:w="1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3"/>
        <w:gridCol w:w="8565"/>
      </w:tblGrid>
      <w:tr>
        <w:trPr>
          <w:trHeight w:val="396" w:hRule="exact"/>
        </w:trPr>
        <w:tc>
          <w:tcPr>
            <w:tcW w:w="603" w:type="dxa"/>
          </w:tcPr>
          <w:p>
            <w:pPr>
              <w:pStyle w:val="TableParagraph"/>
              <w:spacing w:line="235" w:lineRule="exact"/>
              <w:ind w:right="104"/>
              <w:jc w:val="right"/>
              <w:rPr>
                <w:sz w:val="23"/>
              </w:rPr>
            </w:pPr>
            <w:r>
              <w:rPr>
                <w:sz w:val="23"/>
              </w:rPr>
              <w:t>29.</w:t>
            </w:r>
          </w:p>
        </w:tc>
        <w:tc>
          <w:tcPr>
            <w:tcW w:w="8565" w:type="dxa"/>
          </w:tcPr>
          <w:p>
            <w:pPr>
              <w:pStyle w:val="TableParagraph"/>
              <w:spacing w:line="235" w:lineRule="exact"/>
              <w:ind w:left="106" w:right="65"/>
              <w:rPr>
                <w:sz w:val="23"/>
              </w:rPr>
            </w:pPr>
            <w:r>
              <w:rPr>
                <w:sz w:val="23"/>
              </w:rPr>
              <w:t>Rugg-Gunn AJ., Nunn JH.  Nutrition, Diet, and Oral Health. Hong Kong:Oxford;1999.</w:t>
            </w:r>
          </w:p>
        </w:tc>
      </w:tr>
      <w:tr>
        <w:trPr>
          <w:trHeight w:val="1685" w:hRule="exact"/>
        </w:trPr>
        <w:tc>
          <w:tcPr>
            <w:tcW w:w="603" w:type="dxa"/>
          </w:tcPr>
          <w:p>
            <w:pPr>
              <w:pStyle w:val="TableParagraph"/>
              <w:spacing w:before="119"/>
              <w:ind w:right="104"/>
              <w:jc w:val="right"/>
              <w:rPr>
                <w:sz w:val="23"/>
              </w:rPr>
            </w:pPr>
            <w:r>
              <w:rPr>
                <w:sz w:val="23"/>
              </w:rPr>
              <w:t>31.</w:t>
            </w:r>
          </w:p>
        </w:tc>
        <w:tc>
          <w:tcPr>
            <w:tcW w:w="8565" w:type="dxa"/>
          </w:tcPr>
          <w:p>
            <w:pPr>
              <w:pStyle w:val="TableParagraph"/>
              <w:spacing w:line="480" w:lineRule="auto" w:before="119"/>
              <w:ind w:left="106" w:right="65"/>
              <w:rPr>
                <w:sz w:val="23"/>
              </w:rPr>
            </w:pPr>
            <w:r>
              <w:rPr>
                <w:sz w:val="23"/>
              </w:rPr>
              <w:t>Kramer PF, Feldens CA, Helena Ferreira S, Bervian J, Rodrigues PH, Peres MA. Exploring the  impact  of  oral  diseases  and  disorders  on  quality  of  life  of  preschool   children.</w:t>
            </w:r>
          </w:p>
          <w:p>
            <w:pPr>
              <w:pStyle w:val="TableParagraph"/>
              <w:ind w:left="106" w:right="65"/>
              <w:rPr>
                <w:sz w:val="23"/>
              </w:rPr>
            </w:pPr>
            <w:r>
              <w:rPr>
                <w:sz w:val="23"/>
              </w:rPr>
              <w:t>Community Dent Oral Epidemiol. 2013 ;41(4):327-35.</w:t>
            </w:r>
          </w:p>
        </w:tc>
      </w:tr>
      <w:tr>
        <w:trPr>
          <w:trHeight w:val="1685" w:hRule="exact"/>
        </w:trPr>
        <w:tc>
          <w:tcPr>
            <w:tcW w:w="603" w:type="dxa"/>
          </w:tcPr>
          <w:p>
            <w:pPr>
              <w:pStyle w:val="TableParagraph"/>
              <w:spacing w:before="119"/>
              <w:ind w:right="104"/>
              <w:jc w:val="right"/>
              <w:rPr>
                <w:sz w:val="23"/>
              </w:rPr>
            </w:pPr>
            <w:r>
              <w:rPr>
                <w:sz w:val="23"/>
              </w:rPr>
              <w:t>32.</w:t>
            </w:r>
          </w:p>
        </w:tc>
        <w:tc>
          <w:tcPr>
            <w:tcW w:w="8565" w:type="dxa"/>
          </w:tcPr>
          <w:p>
            <w:pPr>
              <w:pStyle w:val="TableParagraph"/>
              <w:spacing w:line="480" w:lineRule="auto" w:before="119"/>
              <w:ind w:left="106" w:right="514"/>
              <w:rPr>
                <w:sz w:val="23"/>
              </w:rPr>
            </w:pPr>
            <w:r>
              <w:rPr>
                <w:sz w:val="23"/>
              </w:rPr>
              <w:t>Scarpelli AC, Paiva SM, Viegas CM, Carvalho AC, Ferreira FM, Pordeus IA. Oral health- related quality of life among Brazilian preschool children. Community Dent Oral</w:t>
            </w:r>
          </w:p>
          <w:p>
            <w:pPr>
              <w:pStyle w:val="TableParagraph"/>
              <w:ind w:left="106" w:right="65"/>
              <w:rPr>
                <w:sz w:val="23"/>
              </w:rPr>
            </w:pPr>
            <w:r>
              <w:rPr>
                <w:sz w:val="23"/>
              </w:rPr>
              <w:t>Epidemiol. 2013 ;41(4):336-4.</w:t>
            </w:r>
          </w:p>
        </w:tc>
      </w:tr>
      <w:tr>
        <w:trPr>
          <w:trHeight w:val="1682" w:hRule="exact"/>
        </w:trPr>
        <w:tc>
          <w:tcPr>
            <w:tcW w:w="603" w:type="dxa"/>
          </w:tcPr>
          <w:p>
            <w:pPr>
              <w:pStyle w:val="TableParagraph"/>
              <w:spacing w:before="119"/>
              <w:ind w:right="104"/>
              <w:jc w:val="right"/>
              <w:rPr>
                <w:sz w:val="23"/>
              </w:rPr>
            </w:pPr>
            <w:r>
              <w:rPr>
                <w:sz w:val="23"/>
              </w:rPr>
              <w:t>33.</w:t>
            </w:r>
          </w:p>
        </w:tc>
        <w:tc>
          <w:tcPr>
            <w:tcW w:w="8565" w:type="dxa"/>
          </w:tcPr>
          <w:p>
            <w:pPr>
              <w:pStyle w:val="TableParagraph"/>
              <w:tabs>
                <w:tab w:pos="1765" w:val="left" w:leader="none"/>
                <w:tab w:pos="2144" w:val="left" w:leader="none"/>
                <w:tab w:pos="3092" w:val="left" w:leader="none"/>
                <w:tab w:pos="3478" w:val="left" w:leader="none"/>
                <w:tab w:pos="4687" w:val="left" w:leader="none"/>
                <w:tab w:pos="5064" w:val="left" w:leader="none"/>
                <w:tab w:pos="6769" w:val="left" w:leader="none"/>
                <w:tab w:pos="7155" w:val="left" w:leader="none"/>
                <w:tab w:pos="8188" w:val="left" w:leader="none"/>
              </w:tabs>
              <w:spacing w:line="477" w:lineRule="auto" w:before="119"/>
              <w:ind w:left="106" w:right="201"/>
              <w:rPr>
                <w:sz w:val="23"/>
              </w:rPr>
            </w:pPr>
            <w:r>
              <w:rPr>
                <w:sz w:val="23"/>
              </w:rPr>
              <w:t>Vachirarojpisan</w:t>
              <w:tab/>
              <w:t>T,</w:t>
              <w:tab/>
              <w:t>Shinada</w:t>
              <w:tab/>
              <w:t>K,</w:t>
              <w:tab/>
              <w:t>Kawaguchi</w:t>
              <w:tab/>
              <w:t>Y,</w:t>
              <w:tab/>
              <w:t>Laungwechakan</w:t>
              <w:tab/>
              <w:t>P,</w:t>
              <w:tab/>
              <w:t>Somkote</w:t>
              <w:tab/>
              <w:t>T, Detsomboonrat</w:t>
            </w:r>
            <w:r>
              <w:rPr>
                <w:spacing w:val="-5"/>
                <w:sz w:val="23"/>
              </w:rPr>
              <w:t> </w:t>
            </w:r>
            <w:r>
              <w:rPr>
                <w:sz w:val="23"/>
              </w:rPr>
              <w:t>P.</w:t>
            </w:r>
            <w:r>
              <w:rPr>
                <w:spacing w:val="-8"/>
                <w:sz w:val="23"/>
              </w:rPr>
              <w:t> </w:t>
            </w:r>
            <w:r>
              <w:rPr>
                <w:sz w:val="23"/>
              </w:rPr>
              <w:t>Early</w:t>
            </w:r>
            <w:r>
              <w:rPr>
                <w:spacing w:val="-6"/>
                <w:sz w:val="23"/>
              </w:rPr>
              <w:t> </w:t>
            </w:r>
            <w:r>
              <w:rPr>
                <w:sz w:val="23"/>
              </w:rPr>
              <w:t>childhood</w:t>
            </w:r>
            <w:r>
              <w:rPr>
                <w:spacing w:val="-6"/>
                <w:sz w:val="23"/>
              </w:rPr>
              <w:t> </w:t>
            </w:r>
            <w:r>
              <w:rPr>
                <w:sz w:val="23"/>
              </w:rPr>
              <w:t>caries</w:t>
            </w:r>
            <w:r>
              <w:rPr>
                <w:spacing w:val="-4"/>
                <w:sz w:val="23"/>
              </w:rPr>
              <w:t> </w:t>
            </w:r>
            <w:r>
              <w:rPr>
                <w:sz w:val="23"/>
              </w:rPr>
              <w:t>in</w:t>
            </w:r>
            <w:r>
              <w:rPr>
                <w:spacing w:val="-8"/>
                <w:sz w:val="23"/>
              </w:rPr>
              <w:t> </w:t>
            </w:r>
            <w:r>
              <w:rPr>
                <w:sz w:val="23"/>
              </w:rPr>
              <w:t>children</w:t>
            </w:r>
            <w:r>
              <w:rPr>
                <w:spacing w:val="-6"/>
                <w:sz w:val="23"/>
              </w:rPr>
              <w:t> </w:t>
            </w:r>
            <w:r>
              <w:rPr>
                <w:sz w:val="23"/>
              </w:rPr>
              <w:t>aged</w:t>
            </w:r>
            <w:r>
              <w:rPr>
                <w:spacing w:val="-6"/>
                <w:sz w:val="23"/>
              </w:rPr>
              <w:t> </w:t>
            </w:r>
            <w:r>
              <w:rPr>
                <w:sz w:val="23"/>
              </w:rPr>
              <w:t>6-19</w:t>
            </w:r>
            <w:r>
              <w:rPr>
                <w:spacing w:val="-7"/>
                <w:sz w:val="23"/>
              </w:rPr>
              <w:t> </w:t>
            </w:r>
            <w:r>
              <w:rPr>
                <w:sz w:val="23"/>
              </w:rPr>
              <w:t>months.</w:t>
            </w:r>
            <w:r>
              <w:rPr>
                <w:spacing w:val="-5"/>
                <w:sz w:val="23"/>
              </w:rPr>
              <w:t> </w:t>
            </w:r>
            <w:r>
              <w:rPr>
                <w:sz w:val="23"/>
              </w:rPr>
              <w:t>Community</w:t>
            </w:r>
            <w:r>
              <w:rPr>
                <w:spacing w:val="-7"/>
                <w:sz w:val="23"/>
              </w:rPr>
              <w:t> </w:t>
            </w:r>
            <w:r>
              <w:rPr>
                <w:sz w:val="23"/>
              </w:rPr>
              <w:t>Dent</w:t>
            </w:r>
          </w:p>
          <w:p>
            <w:pPr>
              <w:pStyle w:val="TableParagraph"/>
              <w:spacing w:before="3"/>
              <w:ind w:left="106" w:right="65"/>
              <w:rPr>
                <w:sz w:val="23"/>
              </w:rPr>
            </w:pPr>
            <w:r>
              <w:rPr>
                <w:sz w:val="23"/>
              </w:rPr>
              <w:t>Oral Epidemiol. 2004;32(2):133-42.</w:t>
            </w:r>
          </w:p>
        </w:tc>
      </w:tr>
      <w:tr>
        <w:trPr>
          <w:trHeight w:val="1123" w:hRule="exact"/>
        </w:trPr>
        <w:tc>
          <w:tcPr>
            <w:tcW w:w="603" w:type="dxa"/>
          </w:tcPr>
          <w:p>
            <w:pPr>
              <w:pStyle w:val="TableParagraph"/>
              <w:spacing w:before="119"/>
              <w:ind w:right="104"/>
              <w:jc w:val="right"/>
              <w:rPr>
                <w:sz w:val="23"/>
              </w:rPr>
            </w:pPr>
            <w:r>
              <w:rPr>
                <w:sz w:val="23"/>
              </w:rPr>
              <w:t>34.</w:t>
            </w:r>
          </w:p>
        </w:tc>
        <w:tc>
          <w:tcPr>
            <w:tcW w:w="8565" w:type="dxa"/>
          </w:tcPr>
          <w:p>
            <w:pPr>
              <w:pStyle w:val="TableParagraph"/>
              <w:spacing w:before="119"/>
              <w:ind w:left="106" w:right="65"/>
              <w:rPr>
                <w:sz w:val="23"/>
              </w:rPr>
            </w:pPr>
            <w:r>
              <w:rPr>
                <w:sz w:val="23"/>
              </w:rPr>
              <w:t>Hallett KB, O'Rourke PK. Social and behavioural determinants of early childhood   caries.</w:t>
            </w:r>
          </w:p>
          <w:p>
            <w:pPr>
              <w:pStyle w:val="TableParagraph"/>
              <w:spacing w:before="4"/>
              <w:rPr>
                <w:rFonts w:ascii="Times New Roman"/>
                <w:sz w:val="24"/>
              </w:rPr>
            </w:pPr>
          </w:p>
          <w:p>
            <w:pPr>
              <w:pStyle w:val="TableParagraph"/>
              <w:spacing w:before="1"/>
              <w:ind w:left="106" w:right="65"/>
              <w:rPr>
                <w:sz w:val="23"/>
              </w:rPr>
            </w:pPr>
            <w:r>
              <w:rPr>
                <w:sz w:val="23"/>
              </w:rPr>
              <w:t>Aust Dent J. 2003 Mar;48(1):27-33.</w:t>
            </w:r>
          </w:p>
        </w:tc>
      </w:tr>
      <w:tr>
        <w:trPr>
          <w:trHeight w:val="1685" w:hRule="exact"/>
        </w:trPr>
        <w:tc>
          <w:tcPr>
            <w:tcW w:w="603" w:type="dxa"/>
          </w:tcPr>
          <w:p>
            <w:pPr>
              <w:pStyle w:val="TableParagraph"/>
              <w:spacing w:before="119"/>
              <w:ind w:right="104"/>
              <w:jc w:val="right"/>
              <w:rPr>
                <w:sz w:val="23"/>
              </w:rPr>
            </w:pPr>
            <w:r>
              <w:rPr>
                <w:sz w:val="23"/>
              </w:rPr>
              <w:t>35.</w:t>
            </w:r>
          </w:p>
        </w:tc>
        <w:tc>
          <w:tcPr>
            <w:tcW w:w="8565" w:type="dxa"/>
          </w:tcPr>
          <w:p>
            <w:pPr>
              <w:pStyle w:val="TableParagraph"/>
              <w:spacing w:line="480" w:lineRule="auto" w:before="119"/>
              <w:ind w:left="106" w:right="65"/>
              <w:rPr>
                <w:sz w:val="23"/>
              </w:rPr>
            </w:pPr>
            <w:r>
              <w:rPr>
                <w:sz w:val="23"/>
              </w:rPr>
              <w:t>Willems S, Vanobbergen J, Martens L, De Maeseneer J. The independent impact of household- and neighborhood-based social determinants  on early childhood caries:     a</w:t>
            </w:r>
          </w:p>
          <w:p>
            <w:pPr>
              <w:pStyle w:val="TableParagraph"/>
              <w:ind w:left="106" w:right="65"/>
              <w:rPr>
                <w:sz w:val="23"/>
              </w:rPr>
            </w:pPr>
            <w:r>
              <w:rPr>
                <w:sz w:val="23"/>
              </w:rPr>
              <w:t>cross-sectional study of inner-city children. Fam Community Health. 2005;28(2):168-75.</w:t>
            </w:r>
          </w:p>
        </w:tc>
      </w:tr>
      <w:tr>
        <w:trPr>
          <w:trHeight w:val="1123" w:hRule="exact"/>
        </w:trPr>
        <w:tc>
          <w:tcPr>
            <w:tcW w:w="603" w:type="dxa"/>
          </w:tcPr>
          <w:p>
            <w:pPr>
              <w:pStyle w:val="TableParagraph"/>
              <w:spacing w:before="119"/>
              <w:ind w:right="106"/>
              <w:jc w:val="right"/>
              <w:rPr>
                <w:sz w:val="23"/>
              </w:rPr>
            </w:pPr>
            <w:r>
              <w:rPr>
                <w:sz w:val="23"/>
              </w:rPr>
              <w:t>6.</w:t>
            </w:r>
          </w:p>
        </w:tc>
        <w:tc>
          <w:tcPr>
            <w:tcW w:w="8565" w:type="dxa"/>
          </w:tcPr>
          <w:p>
            <w:pPr>
              <w:pStyle w:val="TableParagraph"/>
              <w:spacing w:before="119"/>
              <w:ind w:left="106" w:right="65"/>
              <w:rPr>
                <w:sz w:val="23"/>
              </w:rPr>
            </w:pPr>
            <w:r>
              <w:rPr>
                <w:sz w:val="23"/>
              </w:rPr>
              <w:t>Parker EJ, Jamieson LM, Broughton J. The oral health of Indigenous children: a review of</w:t>
            </w:r>
          </w:p>
          <w:p>
            <w:pPr>
              <w:pStyle w:val="TableParagraph"/>
              <w:spacing w:before="4"/>
              <w:rPr>
                <w:rFonts w:ascii="Times New Roman"/>
                <w:sz w:val="24"/>
              </w:rPr>
            </w:pPr>
          </w:p>
          <w:p>
            <w:pPr>
              <w:pStyle w:val="TableParagraph"/>
              <w:spacing w:before="1"/>
              <w:ind w:left="106" w:right="65"/>
              <w:rPr>
                <w:sz w:val="23"/>
              </w:rPr>
            </w:pPr>
            <w:r>
              <w:rPr>
                <w:sz w:val="23"/>
              </w:rPr>
              <w:t>four nations. J Paediatr Child Health. 2010, 46(9): 483-486.</w:t>
            </w:r>
          </w:p>
        </w:tc>
      </w:tr>
      <w:tr>
        <w:trPr>
          <w:trHeight w:val="1685" w:hRule="exact"/>
        </w:trPr>
        <w:tc>
          <w:tcPr>
            <w:tcW w:w="603" w:type="dxa"/>
          </w:tcPr>
          <w:p>
            <w:pPr>
              <w:pStyle w:val="TableParagraph"/>
              <w:spacing w:before="119"/>
              <w:ind w:right="104"/>
              <w:jc w:val="right"/>
              <w:rPr>
                <w:sz w:val="23"/>
              </w:rPr>
            </w:pPr>
            <w:r>
              <w:rPr>
                <w:sz w:val="23"/>
              </w:rPr>
              <w:t>37.</w:t>
            </w:r>
          </w:p>
        </w:tc>
        <w:tc>
          <w:tcPr>
            <w:tcW w:w="8565" w:type="dxa"/>
          </w:tcPr>
          <w:p>
            <w:pPr>
              <w:pStyle w:val="TableParagraph"/>
              <w:spacing w:before="119"/>
              <w:ind w:left="106" w:right="65"/>
              <w:rPr>
                <w:sz w:val="23"/>
              </w:rPr>
            </w:pPr>
            <w:r>
              <w:rPr>
                <w:sz w:val="23"/>
              </w:rPr>
              <w:t>Tanaka K, Miyake Y, Sasaki S, Hirota Y. Socioeconomic status and risk of dental caries in</w:t>
            </w:r>
          </w:p>
          <w:p>
            <w:pPr>
              <w:pStyle w:val="TableParagraph"/>
              <w:spacing w:line="560" w:lineRule="atLeast" w:before="2"/>
              <w:ind w:left="106" w:right="201"/>
              <w:rPr>
                <w:sz w:val="23"/>
              </w:rPr>
            </w:pPr>
            <w:r>
              <w:rPr>
                <w:sz w:val="23"/>
              </w:rPr>
              <w:t>Japanese preschool children: the Osaka Maternal and child health study. J Public Health. 2013, 73(3):217-23.</w:t>
            </w:r>
          </w:p>
        </w:tc>
      </w:tr>
      <w:tr>
        <w:trPr>
          <w:trHeight w:val="958" w:hRule="exact"/>
        </w:trPr>
        <w:tc>
          <w:tcPr>
            <w:tcW w:w="603" w:type="dxa"/>
          </w:tcPr>
          <w:p>
            <w:pPr>
              <w:pStyle w:val="TableParagraph"/>
              <w:spacing w:before="119"/>
              <w:ind w:right="107"/>
              <w:jc w:val="right"/>
              <w:rPr>
                <w:sz w:val="23"/>
              </w:rPr>
            </w:pPr>
            <w:r>
              <w:rPr>
                <w:sz w:val="23"/>
              </w:rPr>
              <w:t>38.</w:t>
            </w:r>
          </w:p>
        </w:tc>
        <w:tc>
          <w:tcPr>
            <w:tcW w:w="8565" w:type="dxa"/>
          </w:tcPr>
          <w:p>
            <w:pPr>
              <w:pStyle w:val="TableParagraph"/>
              <w:spacing w:before="119"/>
              <w:ind w:left="106" w:right="65"/>
              <w:rPr>
                <w:sz w:val="23"/>
              </w:rPr>
            </w:pPr>
            <w:r>
              <w:rPr>
                <w:sz w:val="23"/>
              </w:rPr>
              <w:t>Ismail AI, Sohn W. A systematic review of clinical diagnostic criteria of early childhood</w:t>
            </w:r>
          </w:p>
          <w:p>
            <w:pPr>
              <w:pStyle w:val="TableParagraph"/>
              <w:spacing w:before="4"/>
              <w:rPr>
                <w:rFonts w:ascii="Times New Roman"/>
                <w:sz w:val="24"/>
              </w:rPr>
            </w:pPr>
          </w:p>
          <w:p>
            <w:pPr>
              <w:pStyle w:val="TableParagraph"/>
              <w:spacing w:before="1"/>
              <w:ind w:left="106" w:right="65"/>
              <w:rPr>
                <w:sz w:val="23"/>
              </w:rPr>
            </w:pPr>
            <w:r>
              <w:rPr>
                <w:sz w:val="23"/>
              </w:rPr>
              <w:t>caries. J Public Health Dent. 1999;59(3):171-91.</w:t>
            </w:r>
          </w:p>
        </w:tc>
      </w:tr>
    </w:tbl>
    <w:p>
      <w:pPr>
        <w:spacing w:after="0"/>
        <w:rPr>
          <w:sz w:val="23"/>
        </w:rPr>
        <w:sectPr>
          <w:pgSz w:w="12240" w:h="15840"/>
          <w:pgMar w:header="686" w:footer="964" w:top="1080" w:bottom="1160" w:left="1280" w:right="1500"/>
        </w:sectPr>
      </w:pPr>
    </w:p>
    <w:p>
      <w:pPr>
        <w:pStyle w:val="BodyText"/>
        <w:spacing w:before="4"/>
        <w:rPr>
          <w:rFonts w:ascii="Times New Roman"/>
          <w:sz w:val="17"/>
        </w:rPr>
      </w:pPr>
    </w:p>
    <w:p>
      <w:pPr>
        <w:spacing w:after="0"/>
        <w:rPr>
          <w:rFonts w:ascii="Times New Roman"/>
          <w:sz w:val="17"/>
        </w:rPr>
        <w:sectPr>
          <w:pgSz w:w="12240" w:h="15840"/>
          <w:pgMar w:header="686" w:footer="964" w:top="1080" w:bottom="1160" w:left="1280" w:right="1560"/>
        </w:sectPr>
      </w:pPr>
    </w:p>
    <w:p>
      <w:pPr>
        <w:pStyle w:val="BodyText"/>
        <w:rPr>
          <w:rFonts w:ascii="Times New Roman"/>
          <w:sz w:val="20"/>
        </w:rPr>
      </w:pPr>
    </w:p>
    <w:p>
      <w:pPr>
        <w:pStyle w:val="BodyText"/>
        <w:spacing w:before="3"/>
        <w:rPr>
          <w:rFonts w:ascii="Times New Roman"/>
          <w:sz w:val="27"/>
        </w:rPr>
      </w:pPr>
    </w:p>
    <w:p>
      <w:pPr>
        <w:pStyle w:val="Heading1"/>
        <w:numPr>
          <w:ilvl w:val="1"/>
          <w:numId w:val="14"/>
        </w:numPr>
        <w:tabs>
          <w:tab w:pos="4705" w:val="left" w:leader="none"/>
        </w:tabs>
        <w:spacing w:line="240" w:lineRule="auto" w:before="69" w:after="0"/>
        <w:ind w:left="4705" w:right="0" w:hanging="360"/>
        <w:jc w:val="left"/>
      </w:pPr>
      <w:r>
        <w:rPr/>
        <w:t>Anexos</w:t>
      </w:r>
    </w:p>
    <w:p>
      <w:pPr>
        <w:pStyle w:val="BodyText"/>
        <w:rPr>
          <w:b/>
          <w:sz w:val="20"/>
        </w:rPr>
      </w:pPr>
    </w:p>
    <w:p>
      <w:pPr>
        <w:pStyle w:val="BodyText"/>
        <w:spacing w:before="11"/>
        <w:rPr>
          <w:b/>
          <w:sz w:val="21"/>
        </w:rPr>
      </w:pPr>
    </w:p>
    <w:p>
      <w:pPr>
        <w:spacing w:before="69"/>
        <w:ind w:left="218" w:right="4225" w:firstLine="0"/>
        <w:jc w:val="left"/>
        <w:rPr>
          <w:b/>
          <w:sz w:val="24"/>
        </w:rPr>
      </w:pPr>
      <w:r>
        <w:rPr>
          <w:b/>
          <w:sz w:val="24"/>
        </w:rPr>
        <w:t>Anexo I</w:t>
      </w:r>
    </w:p>
    <w:p>
      <w:pPr>
        <w:pStyle w:val="BodyText"/>
        <w:spacing w:before="158"/>
        <w:ind w:left="4154" w:right="4018"/>
        <w:jc w:val="center"/>
      </w:pPr>
      <w:r>
        <w:rPr/>
        <w:t>Cuestionario</w:t>
      </w:r>
    </w:p>
    <w:p>
      <w:pPr>
        <w:spacing w:before="121" w:after="3"/>
        <w:ind w:left="360" w:right="4225" w:firstLine="0"/>
        <w:jc w:val="left"/>
        <w:rPr>
          <w:rFonts w:ascii="Calibri" w:hAnsi="Calibri"/>
          <w:sz w:val="23"/>
        </w:rPr>
      </w:pPr>
      <w:r>
        <w:rPr>
          <w:rFonts w:ascii="Calibri" w:hAnsi="Calibri"/>
          <w:color w:val="044D6D"/>
          <w:sz w:val="23"/>
        </w:rPr>
        <w:t>Universidad Autónoma del Estado de México </w:t>
      </w:r>
      <w:r>
        <w:rPr>
          <w:rFonts w:ascii="Calibri" w:hAnsi="Calibri"/>
          <w:sz w:val="23"/>
        </w:rPr>
        <w:t>Facultad de Odontología</w:t>
      </w:r>
    </w:p>
    <w:p>
      <w:pPr>
        <w:spacing w:line="240" w:lineRule="auto"/>
        <w:ind w:left="101" w:right="0" w:firstLine="0"/>
        <w:rPr>
          <w:rFonts w:ascii="Calibri"/>
          <w:sz w:val="20"/>
        </w:rPr>
      </w:pPr>
      <w:r>
        <w:rPr>
          <w:rFonts w:ascii="Times New Roman"/>
          <w:spacing w:val="-49"/>
          <w:sz w:val="20"/>
        </w:rPr>
        <w:t> </w:t>
      </w:r>
      <w:r>
        <w:rPr>
          <w:rFonts w:ascii="Calibri"/>
          <w:spacing w:val="-49"/>
          <w:sz w:val="20"/>
        </w:rPr>
        <w:pict>
          <v:shape style="width:467.4pt;height:33.5pt;mso-position-horizontal-relative:char;mso-position-vertical-relative:line" type="#_x0000_t202" filled="true" fillcolor="#234060" stroked="true" strokeweight=".47998pt" strokecolor="#000000">
            <w10:anchorlock/>
            <v:textbox inset="0,0,0,0">
              <w:txbxContent>
                <w:p>
                  <w:pPr>
                    <w:spacing w:line="276" w:lineRule="auto" w:before="18"/>
                    <w:ind w:left="108" w:right="610" w:firstLine="0"/>
                    <w:jc w:val="left"/>
                    <w:rPr>
                      <w:rFonts w:ascii="Calibri" w:hAnsi="Calibri"/>
                      <w:sz w:val="22"/>
                    </w:rPr>
                  </w:pPr>
                  <w:r>
                    <w:rPr>
                      <w:rFonts w:ascii="Calibri" w:hAnsi="Calibri"/>
                      <w:color w:val="FFFFFF"/>
                      <w:sz w:val="22"/>
                    </w:rPr>
                    <w:t>CUESTIONARIO CARIES EN PREESCOLARES DEL MUNICIPIO DE SAN JOSÉ DEL RINCÓN ESTADO DE MÉXICO  Y FACTORES PREDISPONENTES.</w:t>
                  </w:r>
                </w:p>
              </w:txbxContent>
            </v:textbox>
            <v:fill type="solid"/>
          </v:shape>
        </w:pict>
      </w:r>
      <w:r>
        <w:rPr>
          <w:rFonts w:ascii="Calibri"/>
          <w:spacing w:val="-49"/>
          <w:sz w:val="20"/>
        </w:rPr>
      </w:r>
    </w:p>
    <w:p>
      <w:pPr>
        <w:pStyle w:val="BodyText"/>
        <w:spacing w:before="8"/>
        <w:rPr>
          <w:rFonts w:ascii="Calibri"/>
          <w:sz w:val="8"/>
        </w:rPr>
      </w:pPr>
    </w:p>
    <w:p>
      <w:pPr>
        <w:spacing w:before="54"/>
        <w:ind w:left="360" w:right="4225" w:firstLine="0"/>
        <w:jc w:val="left"/>
        <w:rPr>
          <w:rFonts w:ascii="Calibri" w:hAnsi="Calibri"/>
          <w:b/>
          <w:sz w:val="23"/>
        </w:rPr>
      </w:pPr>
      <w:r>
        <w:rPr/>
        <w:pict>
          <v:rect style="position:absolute;margin-left:435pt;margin-top:29.2297pt;width:10.8pt;height:11.64pt;mso-position-horizontal-relative:page;mso-position-vertical-relative:paragraph;z-index:-143944" filled="false" stroked="true" strokeweight=".96pt" strokecolor="#2c2c2c">
            <w10:wrap type="none"/>
          </v:rect>
        </w:pict>
      </w:r>
      <w:r>
        <w:rPr/>
        <w:pict>
          <v:rect style="position:absolute;margin-left:484.440002pt;margin-top:28.509699pt;width:10.92pt;height:11.64pt;mso-position-horizontal-relative:page;mso-position-vertical-relative:paragraph;z-index:-143920" filled="false" stroked="true" strokeweight=".96pt" strokecolor="#2c2c2c">
            <w10:wrap type="none"/>
          </v:rect>
        </w:pict>
      </w:r>
      <w:r>
        <w:rPr>
          <w:rFonts w:ascii="Calibri" w:hAnsi="Calibri"/>
          <w:b/>
          <w:sz w:val="23"/>
        </w:rPr>
        <w:t>Ficha de Identificación</w:t>
      </w:r>
    </w:p>
    <w:p>
      <w:pPr>
        <w:pStyle w:val="BodyText"/>
        <w:spacing w:before="1"/>
        <w:rPr>
          <w:rFonts w:ascii="Calibri"/>
          <w:b/>
          <w:sz w:val="10"/>
        </w:rPr>
      </w:pPr>
    </w:p>
    <w:tbl>
      <w:tblPr>
        <w:tblW w:w="0" w:type="auto"/>
        <w:jc w:val="left"/>
        <w:tblInd w:w="214" w:type="dxa"/>
        <w:tblBorders>
          <w:top w:val="single" w:sz="4" w:space="0" w:color="2C2C2C"/>
          <w:left w:val="single" w:sz="4" w:space="0" w:color="2C2C2C"/>
          <w:bottom w:val="single" w:sz="4" w:space="0" w:color="2C2C2C"/>
          <w:right w:val="single" w:sz="4" w:space="0" w:color="2C2C2C"/>
          <w:insideH w:val="single" w:sz="4" w:space="0" w:color="2C2C2C"/>
          <w:insideV w:val="single" w:sz="4" w:space="0" w:color="2C2C2C"/>
        </w:tblBorders>
        <w:tblLayout w:type="fixed"/>
        <w:tblCellMar>
          <w:top w:w="0" w:type="dxa"/>
          <w:left w:w="0" w:type="dxa"/>
          <w:bottom w:w="0" w:type="dxa"/>
          <w:right w:w="0" w:type="dxa"/>
        </w:tblCellMar>
        <w:tblLook w:val="01E0"/>
      </w:tblPr>
      <w:tblGrid>
        <w:gridCol w:w="3255"/>
        <w:gridCol w:w="3003"/>
        <w:gridCol w:w="2804"/>
      </w:tblGrid>
      <w:tr>
        <w:trPr>
          <w:trHeight w:val="1111" w:hRule="exact"/>
        </w:trPr>
        <w:tc>
          <w:tcPr>
            <w:tcW w:w="3255" w:type="dxa"/>
          </w:tcPr>
          <w:p>
            <w:pPr>
              <w:pStyle w:val="TableParagraph"/>
              <w:spacing w:before="117"/>
              <w:ind w:left="244"/>
              <w:rPr>
                <w:sz w:val="23"/>
              </w:rPr>
            </w:pPr>
            <w:r>
              <w:rPr>
                <w:sz w:val="23"/>
              </w:rPr>
              <w:t>Nombre</w:t>
            </w:r>
          </w:p>
        </w:tc>
        <w:tc>
          <w:tcPr>
            <w:tcW w:w="3003" w:type="dxa"/>
          </w:tcPr>
          <w:p>
            <w:pPr>
              <w:pStyle w:val="TableParagraph"/>
              <w:spacing w:before="117"/>
              <w:ind w:left="244"/>
              <w:rPr>
                <w:sz w:val="23"/>
              </w:rPr>
            </w:pPr>
            <w:r>
              <w:rPr>
                <w:sz w:val="23"/>
              </w:rPr>
              <w:t>Edad</w:t>
            </w:r>
          </w:p>
        </w:tc>
        <w:tc>
          <w:tcPr>
            <w:tcW w:w="2804" w:type="dxa"/>
          </w:tcPr>
          <w:p>
            <w:pPr>
              <w:pStyle w:val="TableParagraph"/>
              <w:spacing w:before="117"/>
              <w:ind w:left="242"/>
              <w:rPr>
                <w:sz w:val="23"/>
              </w:rPr>
            </w:pPr>
            <w:r>
              <w:rPr>
                <w:sz w:val="23"/>
              </w:rPr>
              <w:t>Sexo</w:t>
            </w:r>
          </w:p>
          <w:p>
            <w:pPr>
              <w:pStyle w:val="TableParagraph"/>
              <w:numPr>
                <w:ilvl w:val="0"/>
                <w:numId w:val="15"/>
              </w:numPr>
              <w:tabs>
                <w:tab w:pos="808" w:val="left" w:leader="none"/>
                <w:tab w:pos="809" w:val="left" w:leader="none"/>
              </w:tabs>
              <w:spacing w:line="240" w:lineRule="auto" w:before="162" w:after="0"/>
              <w:ind w:left="808" w:right="0" w:hanging="566"/>
              <w:jc w:val="left"/>
              <w:rPr>
                <w:sz w:val="16"/>
              </w:rPr>
            </w:pPr>
            <w:r>
              <w:rPr>
                <w:sz w:val="16"/>
              </w:rPr>
              <w:t>Mujer</w:t>
            </w:r>
          </w:p>
          <w:p>
            <w:pPr>
              <w:pStyle w:val="TableParagraph"/>
              <w:numPr>
                <w:ilvl w:val="0"/>
                <w:numId w:val="15"/>
              </w:numPr>
              <w:tabs>
                <w:tab w:pos="808" w:val="left" w:leader="none"/>
                <w:tab w:pos="809" w:val="left" w:leader="none"/>
              </w:tabs>
              <w:spacing w:line="240" w:lineRule="auto" w:before="143" w:after="0"/>
              <w:ind w:left="808" w:right="0" w:hanging="566"/>
              <w:jc w:val="left"/>
              <w:rPr>
                <w:sz w:val="16"/>
              </w:rPr>
            </w:pPr>
            <w:r>
              <w:rPr>
                <w:sz w:val="16"/>
              </w:rPr>
              <w:t>Hombre</w:t>
            </w:r>
          </w:p>
        </w:tc>
      </w:tr>
      <w:tr>
        <w:trPr>
          <w:trHeight w:val="530" w:hRule="exact"/>
        </w:trPr>
        <w:tc>
          <w:tcPr>
            <w:tcW w:w="3255" w:type="dxa"/>
          </w:tcPr>
          <w:p>
            <w:pPr>
              <w:pStyle w:val="TableParagraph"/>
              <w:spacing w:before="117"/>
              <w:ind w:left="244"/>
              <w:rPr>
                <w:sz w:val="23"/>
              </w:rPr>
            </w:pPr>
            <w:r>
              <w:rPr>
                <w:sz w:val="23"/>
              </w:rPr>
              <w:t>Escuela</w:t>
            </w:r>
          </w:p>
        </w:tc>
        <w:tc>
          <w:tcPr>
            <w:tcW w:w="3003" w:type="dxa"/>
          </w:tcPr>
          <w:p>
            <w:pPr>
              <w:pStyle w:val="TableParagraph"/>
              <w:spacing w:before="117"/>
              <w:ind w:left="244"/>
              <w:rPr>
                <w:sz w:val="23"/>
              </w:rPr>
            </w:pPr>
            <w:r>
              <w:rPr>
                <w:sz w:val="23"/>
              </w:rPr>
              <w:t>Grupo</w:t>
            </w:r>
          </w:p>
        </w:tc>
        <w:tc>
          <w:tcPr>
            <w:tcW w:w="2804" w:type="dxa"/>
          </w:tcPr>
          <w:p>
            <w:pPr>
              <w:pStyle w:val="TableParagraph"/>
              <w:spacing w:before="117"/>
              <w:ind w:left="242"/>
              <w:rPr>
                <w:sz w:val="23"/>
              </w:rPr>
            </w:pPr>
            <w:r>
              <w:rPr>
                <w:sz w:val="23"/>
              </w:rPr>
              <w:t>No. de registro</w:t>
            </w:r>
          </w:p>
        </w:tc>
      </w:tr>
    </w:tbl>
    <w:p>
      <w:pPr>
        <w:pStyle w:val="BodyText"/>
        <w:rPr>
          <w:rFonts w:ascii="Calibri"/>
          <w:b/>
          <w:sz w:val="20"/>
        </w:rPr>
      </w:pPr>
    </w:p>
    <w:p>
      <w:pPr>
        <w:pStyle w:val="BodyText"/>
        <w:spacing w:before="5"/>
        <w:rPr>
          <w:rFonts w:ascii="Calibri"/>
          <w:b/>
          <w:sz w:val="26"/>
        </w:rPr>
      </w:pPr>
    </w:p>
    <w:p>
      <w:pPr>
        <w:spacing w:before="54"/>
        <w:ind w:left="360" w:right="4225" w:firstLine="0"/>
        <w:jc w:val="left"/>
        <w:rPr>
          <w:rFonts w:ascii="Calibri" w:hAnsi="Calibri"/>
          <w:sz w:val="22"/>
        </w:rPr>
      </w:pPr>
      <w:r>
        <w:rPr>
          <w:rFonts w:ascii="Calibri" w:hAnsi="Calibri"/>
          <w:sz w:val="23"/>
        </w:rPr>
        <w:t>1. ¿Quiénes de la familia aun hablan </w:t>
      </w:r>
      <w:r>
        <w:rPr>
          <w:rFonts w:ascii="Calibri" w:hAnsi="Calibri"/>
          <w:sz w:val="22"/>
        </w:rPr>
        <w:t>mazahua?</w:t>
      </w:r>
    </w:p>
    <w:p>
      <w:pPr>
        <w:pStyle w:val="BodyText"/>
        <w:spacing w:before="8"/>
        <w:rPr>
          <w:rFonts w:ascii="Calibri"/>
          <w:sz w:val="19"/>
        </w:rPr>
      </w:pPr>
    </w:p>
    <w:p>
      <w:pPr>
        <w:tabs>
          <w:tab w:pos="3009" w:val="left" w:leader="none"/>
          <w:tab w:pos="3113" w:val="left" w:leader="none"/>
          <w:tab w:pos="5749" w:val="left" w:leader="none"/>
          <w:tab w:pos="8350" w:val="left" w:leader="none"/>
        </w:tabs>
        <w:spacing w:line="276" w:lineRule="auto" w:before="0"/>
        <w:ind w:left="360" w:right="807" w:firstLine="278"/>
        <w:jc w:val="left"/>
        <w:rPr>
          <w:rFonts w:ascii="Calibri" w:hAnsi="Calibri"/>
          <w:sz w:val="23"/>
        </w:rPr>
      </w:pPr>
      <w:r>
        <w:rPr/>
        <w:pict>
          <v:rect style="position:absolute;margin-left:70.919998pt;margin-top:.699705pt;width:10.8pt;height:11.64pt;mso-position-horizontal-relative:page;mso-position-vertical-relative:paragraph;z-index:-143872" filled="false" stroked="true" strokeweight=".96pt" strokecolor="#2c2c2c">
            <w10:wrap type="none"/>
          </v:rect>
        </w:pict>
      </w:r>
      <w:r>
        <w:rPr/>
        <w:pict>
          <v:rect style="position:absolute;margin-left:456.480011pt;margin-top:.699705pt;width:10.8pt;height:11.76pt;mso-position-horizontal-relative:page;mso-position-vertical-relative:paragraph;z-index:-143848" filled="false" stroked="true" strokeweight=".96pt" strokecolor="#2c2c2c">
            <w10:wrap type="none"/>
          </v:rect>
        </w:pict>
      </w:r>
      <w:r>
        <w:rPr/>
        <w:pict>
          <v:rect style="position:absolute;margin-left:194.639999pt;margin-top:.579705pt;width:10.92pt;height:11.76pt;mso-position-horizontal-relative:page;mso-position-vertical-relative:paragraph;z-index:-143824" filled="false" stroked="true" strokeweight=".96pt" strokecolor="#2c2c2c">
            <w10:wrap type="none"/>
          </v:rect>
        </w:pict>
      </w:r>
      <w:r>
        <w:rPr/>
        <w:pict>
          <v:rect style="position:absolute;margin-left:326.399994pt;margin-top:1.059705pt;width:10.8pt;height:11.64pt;mso-position-horizontal-relative:page;mso-position-vertical-relative:paragraph;z-index:-143800" filled="false" stroked="true" strokeweight=".96pt" strokecolor="#2c2c2c">
            <w10:wrap type="none"/>
          </v:rect>
        </w:pict>
      </w:r>
      <w:r>
        <w:rPr>
          <w:rFonts w:ascii="Calibri" w:hAnsi="Calibri"/>
          <w:sz w:val="23"/>
        </w:rPr>
        <w:t>Ambos</w:t>
      </w:r>
      <w:r>
        <w:rPr>
          <w:rFonts w:ascii="Calibri" w:hAnsi="Calibri"/>
          <w:spacing w:val="-1"/>
          <w:sz w:val="23"/>
        </w:rPr>
        <w:t> </w:t>
      </w:r>
      <w:r>
        <w:rPr>
          <w:rFonts w:ascii="Calibri" w:hAnsi="Calibri"/>
          <w:sz w:val="23"/>
        </w:rPr>
        <w:t>padres</w:t>
        <w:tab/>
        <w:tab/>
        <w:t>Solo</w:t>
      </w:r>
      <w:r>
        <w:rPr>
          <w:rFonts w:ascii="Calibri" w:hAnsi="Calibri"/>
          <w:spacing w:val="-3"/>
          <w:sz w:val="23"/>
        </w:rPr>
        <w:t> </w:t>
      </w:r>
      <w:r>
        <w:rPr>
          <w:rFonts w:ascii="Calibri" w:hAnsi="Calibri"/>
          <w:sz w:val="23"/>
        </w:rPr>
        <w:t>su</w:t>
      </w:r>
      <w:r>
        <w:rPr>
          <w:rFonts w:ascii="Calibri" w:hAnsi="Calibri"/>
          <w:spacing w:val="-2"/>
          <w:sz w:val="23"/>
        </w:rPr>
        <w:t> </w:t>
      </w:r>
      <w:r>
        <w:rPr>
          <w:rFonts w:ascii="Calibri" w:hAnsi="Calibri"/>
          <w:sz w:val="23"/>
        </w:rPr>
        <w:t>mamá</w:t>
        <w:tab/>
        <w:t>Solo</w:t>
      </w:r>
      <w:r>
        <w:rPr>
          <w:rFonts w:ascii="Calibri" w:hAnsi="Calibri"/>
          <w:spacing w:val="-3"/>
          <w:sz w:val="23"/>
        </w:rPr>
        <w:t> </w:t>
      </w:r>
      <w:r>
        <w:rPr>
          <w:rFonts w:ascii="Calibri" w:hAnsi="Calibri"/>
          <w:sz w:val="23"/>
        </w:rPr>
        <w:t>su</w:t>
      </w:r>
      <w:r>
        <w:rPr>
          <w:rFonts w:ascii="Calibri" w:hAnsi="Calibri"/>
          <w:spacing w:val="-2"/>
          <w:sz w:val="23"/>
        </w:rPr>
        <w:t> </w:t>
      </w:r>
      <w:r>
        <w:rPr>
          <w:rFonts w:ascii="Calibri" w:hAnsi="Calibri"/>
          <w:sz w:val="23"/>
        </w:rPr>
        <w:t>papá</w:t>
        <w:tab/>
        <w:t>otro Especificar</w:t>
      </w:r>
      <w:r>
        <w:rPr>
          <w:rFonts w:ascii="Calibri" w:hAnsi="Calibri"/>
          <w:sz w:val="23"/>
          <w:u w:val="single"/>
        </w:rPr>
        <w:t> </w:t>
        <w:tab/>
      </w:r>
    </w:p>
    <w:p>
      <w:pPr>
        <w:pStyle w:val="BodyText"/>
        <w:rPr>
          <w:rFonts w:ascii="Calibri"/>
          <w:sz w:val="12"/>
        </w:rPr>
      </w:pPr>
    </w:p>
    <w:p>
      <w:pPr>
        <w:tabs>
          <w:tab w:pos="3828" w:val="left" w:leader="none"/>
        </w:tabs>
        <w:spacing w:before="56"/>
        <w:ind w:left="360" w:right="4225" w:firstLine="0"/>
        <w:jc w:val="left"/>
        <w:rPr>
          <w:rFonts w:ascii="Calibri" w:hAnsi="Calibri"/>
          <w:sz w:val="22"/>
        </w:rPr>
      </w:pPr>
      <w:r>
        <w:rPr/>
        <w:pict>
          <v:rect style="position:absolute;margin-left:230.399994pt;margin-top:3.239705pt;width:10.8pt;height:11.64pt;mso-position-horizontal-relative:page;mso-position-vertical-relative:paragraph;z-index:-143776" filled="false" stroked="true" strokeweight=".96pt" strokecolor="#2c2c2c">
            <w10:wrap type="none"/>
          </v:rect>
        </w:pict>
      </w:r>
      <w:r>
        <w:rPr/>
        <w:pict>
          <v:rect style="position:absolute;margin-left:292.920013pt;margin-top:3.119704pt;width:10.8pt;height:11.76pt;mso-position-horizontal-relative:page;mso-position-vertical-relative:paragraph;z-index:2368" filled="false" stroked="true" strokeweight=".96pt" strokecolor="#2c2c2c">
            <w10:wrap type="none"/>
          </v:rect>
        </w:pict>
      </w:r>
      <w:r>
        <w:rPr>
          <w:rFonts w:ascii="Calibri" w:hAnsi="Calibri"/>
          <w:sz w:val="23"/>
        </w:rPr>
        <w:t>2.- ¿Su hijo</w:t>
      </w:r>
      <w:r>
        <w:rPr>
          <w:rFonts w:ascii="Calibri" w:hAnsi="Calibri"/>
          <w:spacing w:val="-5"/>
          <w:sz w:val="23"/>
        </w:rPr>
        <w:t> </w:t>
      </w:r>
      <w:r>
        <w:rPr>
          <w:rFonts w:ascii="Calibri" w:hAnsi="Calibri"/>
          <w:sz w:val="23"/>
        </w:rPr>
        <w:t>habla</w:t>
      </w:r>
      <w:r>
        <w:rPr>
          <w:rFonts w:ascii="Calibri" w:hAnsi="Calibri"/>
          <w:spacing w:val="49"/>
          <w:sz w:val="23"/>
        </w:rPr>
        <w:t> </w:t>
      </w:r>
      <w:r>
        <w:rPr>
          <w:rFonts w:ascii="Calibri" w:hAnsi="Calibri"/>
          <w:sz w:val="22"/>
        </w:rPr>
        <w:t>mazahua?</w:t>
        <w:tab/>
        <w:t>SI</w:t>
      </w:r>
      <w:r>
        <w:rPr>
          <w:rFonts w:ascii="Calibri" w:hAnsi="Calibri"/>
          <w:spacing w:val="-1"/>
          <w:sz w:val="22"/>
        </w:rPr>
        <w:t> </w:t>
      </w:r>
      <w:r>
        <w:rPr>
          <w:rFonts w:ascii="Calibri" w:hAnsi="Calibri"/>
          <w:sz w:val="22"/>
        </w:rPr>
        <w:t>NO</w:t>
      </w:r>
    </w:p>
    <w:p>
      <w:pPr>
        <w:pStyle w:val="BodyText"/>
        <w:spacing w:before="3"/>
        <w:rPr>
          <w:rFonts w:ascii="Calibri"/>
          <w:sz w:val="19"/>
        </w:rPr>
      </w:pPr>
    </w:p>
    <w:p>
      <w:pPr>
        <w:spacing w:before="0"/>
        <w:ind w:left="360" w:right="4225" w:firstLine="0"/>
        <w:jc w:val="left"/>
        <w:rPr>
          <w:rFonts w:ascii="Calibri" w:hAnsi="Calibri"/>
          <w:sz w:val="23"/>
        </w:rPr>
      </w:pPr>
      <w:r>
        <w:rPr>
          <w:rFonts w:ascii="Calibri" w:hAnsi="Calibri"/>
          <w:sz w:val="23"/>
        </w:rPr>
        <w:t>3.- ¿Con quién vive el niño?</w:t>
      </w:r>
    </w:p>
    <w:p>
      <w:pPr>
        <w:pStyle w:val="BodyText"/>
        <w:spacing w:before="10"/>
        <w:rPr>
          <w:rFonts w:ascii="Calibri"/>
          <w:sz w:val="19"/>
        </w:rPr>
      </w:pPr>
    </w:p>
    <w:p>
      <w:pPr>
        <w:tabs>
          <w:tab w:pos="3009" w:val="left" w:leader="none"/>
          <w:tab w:pos="3113" w:val="left" w:leader="none"/>
          <w:tab w:pos="5749" w:val="left" w:leader="none"/>
          <w:tab w:pos="8350" w:val="left" w:leader="none"/>
        </w:tabs>
        <w:spacing w:line="276" w:lineRule="auto" w:before="0"/>
        <w:ind w:left="360" w:right="807" w:firstLine="278"/>
        <w:jc w:val="left"/>
        <w:rPr>
          <w:rFonts w:ascii="Calibri" w:hAnsi="Calibri"/>
          <w:sz w:val="23"/>
        </w:rPr>
      </w:pPr>
      <w:r>
        <w:rPr/>
        <w:pict>
          <v:rect style="position:absolute;margin-left:70.919998pt;margin-top:.559713pt;width:10.8pt;height:11.64pt;mso-position-horizontal-relative:page;mso-position-vertical-relative:paragraph;z-index:-144208" filled="false" stroked="true" strokeweight=".96pt" strokecolor="#2c2c2c">
            <w10:wrap type="none"/>
          </v:rect>
        </w:pict>
      </w:r>
      <w:r>
        <w:rPr/>
        <w:pict>
          <v:rect style="position:absolute;margin-left:456.480011pt;margin-top:.679713pt;width:10.8pt;height:11.64pt;mso-position-horizontal-relative:page;mso-position-vertical-relative:paragraph;z-index:-144184" filled="false" stroked="true" strokeweight=".96pt" strokecolor="#2c2c2c">
            <w10:wrap type="none"/>
          </v:rect>
        </w:pict>
      </w:r>
      <w:r>
        <w:rPr/>
        <w:pict>
          <v:rect style="position:absolute;margin-left:194.639999pt;margin-top:.439713pt;width:10.92pt;height:11.76pt;mso-position-horizontal-relative:page;mso-position-vertical-relative:paragraph;z-index:-144160" filled="false" stroked="true" strokeweight=".96pt" strokecolor="#2c2c2c">
            <w10:wrap type="none"/>
          </v:rect>
        </w:pict>
      </w:r>
      <w:r>
        <w:rPr/>
        <w:pict>
          <v:rect style="position:absolute;margin-left:326.399994pt;margin-top:.919713pt;width:10.8pt;height:11.76pt;mso-position-horizontal-relative:page;mso-position-vertical-relative:paragraph;z-index:-144136" filled="false" stroked="true" strokeweight=".96pt" strokecolor="#2c2c2c">
            <w10:wrap type="none"/>
          </v:rect>
        </w:pict>
      </w:r>
      <w:r>
        <w:rPr>
          <w:rFonts w:ascii="Calibri" w:hAnsi="Calibri"/>
          <w:sz w:val="23"/>
        </w:rPr>
        <w:t>Ambos</w:t>
      </w:r>
      <w:r>
        <w:rPr>
          <w:rFonts w:ascii="Calibri" w:hAnsi="Calibri"/>
          <w:spacing w:val="-1"/>
          <w:sz w:val="23"/>
        </w:rPr>
        <w:t> </w:t>
      </w:r>
      <w:r>
        <w:rPr>
          <w:rFonts w:ascii="Calibri" w:hAnsi="Calibri"/>
          <w:sz w:val="23"/>
        </w:rPr>
        <w:t>padres</w:t>
        <w:tab/>
        <w:tab/>
        <w:t>Solo con</w:t>
      </w:r>
      <w:r>
        <w:rPr>
          <w:rFonts w:ascii="Calibri" w:hAnsi="Calibri"/>
          <w:spacing w:val="-6"/>
          <w:sz w:val="23"/>
        </w:rPr>
        <w:t> </w:t>
      </w:r>
      <w:r>
        <w:rPr>
          <w:rFonts w:ascii="Calibri" w:hAnsi="Calibri"/>
          <w:sz w:val="23"/>
        </w:rPr>
        <w:t>su</w:t>
      </w:r>
      <w:r>
        <w:rPr>
          <w:rFonts w:ascii="Calibri" w:hAnsi="Calibri"/>
          <w:spacing w:val="-2"/>
          <w:sz w:val="23"/>
        </w:rPr>
        <w:t> </w:t>
      </w:r>
      <w:r>
        <w:rPr>
          <w:rFonts w:ascii="Calibri" w:hAnsi="Calibri"/>
          <w:sz w:val="23"/>
        </w:rPr>
        <w:t>mamá</w:t>
        <w:tab/>
        <w:t>Solo con</w:t>
      </w:r>
      <w:r>
        <w:rPr>
          <w:rFonts w:ascii="Calibri" w:hAnsi="Calibri"/>
          <w:spacing w:val="-6"/>
          <w:sz w:val="23"/>
        </w:rPr>
        <w:t> </w:t>
      </w:r>
      <w:r>
        <w:rPr>
          <w:rFonts w:ascii="Calibri" w:hAnsi="Calibri"/>
          <w:sz w:val="23"/>
        </w:rPr>
        <w:t>su</w:t>
      </w:r>
      <w:r>
        <w:rPr>
          <w:rFonts w:ascii="Calibri" w:hAnsi="Calibri"/>
          <w:spacing w:val="-2"/>
          <w:sz w:val="23"/>
        </w:rPr>
        <w:t> </w:t>
      </w:r>
      <w:r>
        <w:rPr>
          <w:rFonts w:ascii="Calibri" w:hAnsi="Calibri"/>
          <w:sz w:val="23"/>
        </w:rPr>
        <w:t>papá</w:t>
        <w:tab/>
        <w:t>otro Especificar</w:t>
      </w:r>
      <w:r>
        <w:rPr>
          <w:rFonts w:ascii="Calibri" w:hAnsi="Calibri"/>
          <w:sz w:val="23"/>
          <w:u w:val="single"/>
        </w:rPr>
        <w:t> </w:t>
        <w:tab/>
      </w:r>
    </w:p>
    <w:p>
      <w:pPr>
        <w:pStyle w:val="BodyText"/>
        <w:rPr>
          <w:rFonts w:ascii="Calibri"/>
          <w:sz w:val="12"/>
        </w:rPr>
      </w:pPr>
    </w:p>
    <w:p>
      <w:pPr>
        <w:spacing w:before="54"/>
        <w:ind w:left="360" w:right="4225" w:firstLine="0"/>
        <w:jc w:val="left"/>
        <w:rPr>
          <w:rFonts w:ascii="Calibri" w:hAnsi="Calibri"/>
          <w:sz w:val="23"/>
        </w:rPr>
      </w:pPr>
      <w:r>
        <w:rPr>
          <w:rFonts w:ascii="Calibri" w:hAnsi="Calibri"/>
          <w:sz w:val="23"/>
        </w:rPr>
        <w:t>4. ¿Quién atiende al niño la mayor parte del día?</w:t>
      </w:r>
    </w:p>
    <w:p>
      <w:pPr>
        <w:pStyle w:val="BodyText"/>
        <w:spacing w:before="10"/>
        <w:rPr>
          <w:rFonts w:ascii="Calibri"/>
          <w:sz w:val="19"/>
        </w:rPr>
      </w:pPr>
    </w:p>
    <w:p>
      <w:pPr>
        <w:tabs>
          <w:tab w:pos="3060" w:val="left" w:leader="none"/>
          <w:tab w:pos="3168" w:val="left" w:leader="none"/>
          <w:tab w:pos="5859" w:val="left" w:leader="none"/>
          <w:tab w:pos="8401" w:val="left" w:leader="none"/>
        </w:tabs>
        <w:spacing w:line="446" w:lineRule="auto" w:before="0"/>
        <w:ind w:left="413" w:right="756" w:firstLine="307"/>
        <w:jc w:val="left"/>
        <w:rPr>
          <w:rFonts w:ascii="Calibri" w:hAnsi="Calibri"/>
          <w:sz w:val="23"/>
        </w:rPr>
      </w:pPr>
      <w:r>
        <w:rPr/>
        <w:pict>
          <v:rect style="position:absolute;margin-left:75pt;margin-top:.199704pt;width:10.92pt;height:11.64pt;mso-position-horizontal-relative:page;mso-position-vertical-relative:paragraph;z-index:-144112" filled="false" stroked="true" strokeweight=".96pt" strokecolor="#2c2c2c">
            <w10:wrap type="none"/>
          </v:rect>
        </w:pict>
      </w:r>
      <w:r>
        <w:rPr/>
        <w:pict>
          <v:rect style="position:absolute;margin-left:331.920013pt;margin-top:.679704pt;width:10.8pt;height:11.64pt;mso-position-horizontal-relative:page;mso-position-vertical-relative:paragraph;z-index:-144088" filled="false" stroked="true" strokeweight=".96pt" strokecolor="#2c2c2c">
            <w10:wrap type="none"/>
          </v:rect>
        </w:pict>
      </w:r>
      <w:r>
        <w:rPr/>
        <w:pict>
          <v:rect style="position:absolute;margin-left:197.399994pt;margin-top:.319704pt;width:10.92pt;height:11.76pt;mso-position-horizontal-relative:page;mso-position-vertical-relative:paragraph;z-index:-144064" filled="false" stroked="true" strokeweight=".96pt" strokecolor="#2c2c2c">
            <w10:wrap type="none"/>
          </v:rect>
        </w:pict>
      </w:r>
      <w:r>
        <w:rPr/>
        <w:pict>
          <v:rect style="position:absolute;margin-left:459pt;margin-top:.079704pt;width:10.8pt;height:11.64pt;mso-position-horizontal-relative:page;mso-position-vertical-relative:paragraph;z-index:-143896" filled="false" stroked="true" strokeweight=".96pt" strokecolor="#2c2c2c">
            <w10:wrap type="none"/>
          </v:rect>
        </w:pict>
      </w:r>
      <w:r>
        <w:rPr>
          <w:rFonts w:ascii="Calibri" w:hAnsi="Calibri"/>
          <w:sz w:val="23"/>
        </w:rPr>
        <w:t>Ambos</w:t>
      </w:r>
      <w:r>
        <w:rPr>
          <w:rFonts w:ascii="Calibri" w:hAnsi="Calibri"/>
          <w:spacing w:val="-1"/>
          <w:sz w:val="23"/>
        </w:rPr>
        <w:t> </w:t>
      </w:r>
      <w:r>
        <w:rPr>
          <w:rFonts w:ascii="Calibri" w:hAnsi="Calibri"/>
          <w:sz w:val="23"/>
        </w:rPr>
        <w:t>padres</w:t>
        <w:tab/>
        <w:tab/>
        <w:t>Solo con</w:t>
      </w:r>
      <w:r>
        <w:rPr>
          <w:rFonts w:ascii="Calibri" w:hAnsi="Calibri"/>
          <w:spacing w:val="-6"/>
          <w:sz w:val="23"/>
        </w:rPr>
        <w:t> </w:t>
      </w:r>
      <w:r>
        <w:rPr>
          <w:rFonts w:ascii="Calibri" w:hAnsi="Calibri"/>
          <w:sz w:val="23"/>
        </w:rPr>
        <w:t>su</w:t>
      </w:r>
      <w:r>
        <w:rPr>
          <w:rFonts w:ascii="Calibri" w:hAnsi="Calibri"/>
          <w:spacing w:val="-2"/>
          <w:sz w:val="23"/>
        </w:rPr>
        <w:t> </w:t>
      </w:r>
      <w:r>
        <w:rPr>
          <w:rFonts w:ascii="Calibri" w:hAnsi="Calibri"/>
          <w:sz w:val="23"/>
        </w:rPr>
        <w:t>mamá</w:t>
        <w:tab/>
        <w:t>Solo con</w:t>
      </w:r>
      <w:r>
        <w:rPr>
          <w:rFonts w:ascii="Calibri" w:hAnsi="Calibri"/>
          <w:spacing w:val="-5"/>
          <w:sz w:val="23"/>
        </w:rPr>
        <w:t> </w:t>
      </w:r>
      <w:r>
        <w:rPr>
          <w:rFonts w:ascii="Calibri" w:hAnsi="Calibri"/>
          <w:sz w:val="23"/>
        </w:rPr>
        <w:t>su</w:t>
      </w:r>
      <w:r>
        <w:rPr>
          <w:rFonts w:ascii="Calibri" w:hAnsi="Calibri"/>
          <w:spacing w:val="-1"/>
          <w:sz w:val="23"/>
        </w:rPr>
        <w:t> </w:t>
      </w:r>
      <w:r>
        <w:rPr>
          <w:rFonts w:ascii="Calibri" w:hAnsi="Calibri"/>
          <w:sz w:val="23"/>
        </w:rPr>
        <w:t>papá</w:t>
        <w:tab/>
        <w:t>otro Especificar</w:t>
      </w:r>
      <w:r>
        <w:rPr>
          <w:rFonts w:ascii="Calibri" w:hAnsi="Calibri"/>
          <w:sz w:val="23"/>
          <w:u w:val="single"/>
        </w:rPr>
        <w:t> </w:t>
        <w:tab/>
      </w:r>
    </w:p>
    <w:p>
      <w:pPr>
        <w:spacing w:before="1"/>
        <w:ind w:left="360" w:right="4225" w:firstLine="0"/>
        <w:jc w:val="left"/>
        <w:rPr>
          <w:rFonts w:ascii="Calibri" w:hAnsi="Calibri"/>
          <w:sz w:val="23"/>
        </w:rPr>
      </w:pPr>
      <w:r>
        <w:rPr>
          <w:rFonts w:ascii="Calibri" w:hAnsi="Calibri"/>
          <w:sz w:val="23"/>
        </w:rPr>
        <w:t>5.-¿Qué nivel educativo tiene la mamá?</w:t>
      </w:r>
    </w:p>
    <w:p>
      <w:pPr>
        <w:pStyle w:val="BodyText"/>
        <w:spacing w:before="10"/>
        <w:rPr>
          <w:rFonts w:ascii="Calibri"/>
          <w:sz w:val="19"/>
        </w:rPr>
      </w:pPr>
    </w:p>
    <w:p>
      <w:pPr>
        <w:tabs>
          <w:tab w:pos="3946" w:val="left" w:leader="none"/>
          <w:tab w:pos="4271" w:val="left" w:leader="none"/>
          <w:tab w:pos="5943" w:val="left" w:leader="none"/>
          <w:tab w:pos="8406" w:val="left" w:leader="none"/>
        </w:tabs>
        <w:spacing w:line="304" w:lineRule="auto" w:before="0"/>
        <w:ind w:left="360" w:right="751" w:firstLine="278"/>
        <w:jc w:val="left"/>
        <w:rPr>
          <w:rFonts w:ascii="Calibri" w:hAnsi="Calibri"/>
          <w:sz w:val="23"/>
        </w:rPr>
      </w:pPr>
      <w:r>
        <w:rPr/>
        <w:pict>
          <v:rect style="position:absolute;margin-left:336.119995pt;margin-top:4.609709pt;width:10.8pt;height:11.64pt;mso-position-horizontal-relative:page;mso-position-vertical-relative:paragraph;z-index:-144040" filled="false" stroked="true" strokeweight=".96pt" strokecolor="#2c2c2c">
            <w10:wrap type="none"/>
          </v:rect>
        </w:pict>
      </w:r>
      <w:r>
        <w:rPr/>
        <w:pict>
          <v:rect style="position:absolute;margin-left:236.279999pt;margin-top:4.249710pt;width:10.8pt;height:11.76pt;mso-position-horizontal-relative:page;mso-position-vertical-relative:paragraph;z-index:-144016" filled="false" stroked="true" strokeweight=".96pt" strokecolor="#2c2c2c">
            <w10:wrap type="none"/>
          </v:rect>
        </w:pict>
      </w:r>
      <w:r>
        <w:rPr/>
        <w:pict>
          <v:rect style="position:absolute;margin-left:70.919998pt;margin-top:-1.15029pt;width:10.8pt;height:11.76pt;mso-position-horizontal-relative:page;mso-position-vertical-relative:paragraph;z-index:-143992" filled="false" stroked="true" strokeweight=".96pt" strokecolor="#2c2c2c">
            <w10:wrap type="none"/>
          </v:rect>
        </w:pict>
      </w:r>
      <w:r>
        <w:rPr/>
        <w:pict>
          <v:rect style="position:absolute;margin-left:459.23999pt;margin-top:5.569709pt;width:10.92pt;height:11.76pt;mso-position-horizontal-relative:page;mso-position-vertical-relative:paragraph;z-index:-143968" filled="false" stroked="true" strokeweight=".96pt" strokecolor="#2c2c2c">
            <w10:wrap type="none"/>
          </v:rect>
        </w:pict>
      </w:r>
      <w:r>
        <w:rPr>
          <w:rFonts w:ascii="Calibri" w:hAnsi="Calibri"/>
          <w:sz w:val="23"/>
        </w:rPr>
        <w:t>Sin</w:t>
      </w:r>
      <w:r>
        <w:rPr>
          <w:rFonts w:ascii="Calibri" w:hAnsi="Calibri"/>
          <w:spacing w:val="-3"/>
          <w:sz w:val="23"/>
        </w:rPr>
        <w:t> </w:t>
      </w:r>
      <w:r>
        <w:rPr>
          <w:rFonts w:ascii="Calibri" w:hAnsi="Calibri"/>
          <w:sz w:val="23"/>
        </w:rPr>
        <w:t>estudios</w:t>
      </w:r>
      <w:r>
        <w:rPr>
          <w:rFonts w:ascii="Calibri" w:hAnsi="Calibri"/>
          <w:spacing w:val="-1"/>
          <w:sz w:val="23"/>
        </w:rPr>
        <w:t> </w:t>
      </w:r>
      <w:r>
        <w:rPr>
          <w:rFonts w:ascii="Calibri" w:hAnsi="Calibri"/>
          <w:sz w:val="23"/>
        </w:rPr>
        <w:t>básicos</w:t>
        <w:tab/>
        <w:t>Primaria</w:t>
        <w:tab/>
        <w:t>Secundaria</w:t>
        <w:tab/>
        <w:t>otro Especificar</w:t>
      </w:r>
      <w:r>
        <w:rPr>
          <w:rFonts w:ascii="Calibri" w:hAnsi="Calibri"/>
          <w:sz w:val="23"/>
          <w:u w:val="single"/>
        </w:rPr>
        <w:t> </w:t>
        <w:tab/>
        <w:tab/>
      </w:r>
    </w:p>
    <w:p>
      <w:pPr>
        <w:spacing w:after="0" w:line="304" w:lineRule="auto"/>
        <w:jc w:val="left"/>
        <w:rPr>
          <w:rFonts w:ascii="Calibri" w:hAnsi="Calibri"/>
          <w:sz w:val="23"/>
        </w:rPr>
        <w:sectPr>
          <w:pgSz w:w="12240" w:h="15840"/>
          <w:pgMar w:header="686" w:footer="964" w:top="1080" w:bottom="1160" w:left="1200" w:right="1480"/>
        </w:sectPr>
      </w:pPr>
    </w:p>
    <w:p>
      <w:pPr>
        <w:pStyle w:val="BodyText"/>
        <w:rPr>
          <w:rFonts w:ascii="Calibri"/>
          <w:sz w:val="20"/>
        </w:rPr>
      </w:pPr>
    </w:p>
    <w:p>
      <w:pPr>
        <w:pStyle w:val="BodyText"/>
        <w:spacing w:before="11"/>
        <w:rPr>
          <w:rFonts w:ascii="Calibri"/>
          <w:sz w:val="25"/>
        </w:rPr>
      </w:pPr>
    </w:p>
    <w:p>
      <w:pPr>
        <w:spacing w:before="54"/>
        <w:ind w:left="280" w:right="630" w:firstLine="0"/>
        <w:jc w:val="left"/>
        <w:rPr>
          <w:rFonts w:ascii="Calibri" w:hAnsi="Calibri"/>
          <w:sz w:val="23"/>
        </w:rPr>
      </w:pPr>
      <w:r>
        <w:rPr>
          <w:rFonts w:ascii="Calibri" w:hAnsi="Calibri"/>
          <w:sz w:val="23"/>
        </w:rPr>
        <w:t>6.-¿Qué nivel educativo tiene el papá?</w:t>
      </w:r>
    </w:p>
    <w:p>
      <w:pPr>
        <w:pStyle w:val="BodyText"/>
        <w:spacing w:before="10"/>
        <w:rPr>
          <w:rFonts w:ascii="Calibri"/>
          <w:sz w:val="19"/>
        </w:rPr>
      </w:pPr>
    </w:p>
    <w:p>
      <w:pPr>
        <w:tabs>
          <w:tab w:pos="2929" w:val="left" w:leader="none"/>
          <w:tab w:pos="4118" w:val="left" w:leader="none"/>
          <w:tab w:pos="6000" w:val="left" w:leader="none"/>
          <w:tab w:pos="8367" w:val="left" w:leader="none"/>
        </w:tabs>
        <w:spacing w:line="276" w:lineRule="auto" w:before="0"/>
        <w:ind w:left="280" w:right="630" w:firstLine="278"/>
        <w:jc w:val="left"/>
        <w:rPr>
          <w:rFonts w:ascii="Calibri" w:hAnsi="Calibri"/>
          <w:sz w:val="23"/>
        </w:rPr>
      </w:pPr>
      <w:r>
        <w:rPr/>
        <w:pict>
          <v:rect style="position:absolute;margin-left:248.880005pt;margin-top:.849709pt;width:10.8pt;height:11.64pt;mso-position-horizontal-relative:page;mso-position-vertical-relative:paragraph;z-index:-143728" filled="false" stroked="true" strokeweight=".96pt" strokecolor="#2c2c2c">
            <w10:wrap type="none"/>
          </v:rect>
        </w:pict>
      </w:r>
      <w:r>
        <w:rPr/>
        <w:pict>
          <v:rect style="position:absolute;margin-left:342.959991pt;margin-top:-2.870291pt;width:10.92pt;height:11.76pt;mso-position-horizontal-relative:page;mso-position-vertical-relative:paragraph;z-index:-143704" filled="false" stroked="true" strokeweight=".96pt" strokecolor="#2c2c2c">
            <w10:wrap type="none"/>
          </v:rect>
        </w:pict>
      </w:r>
      <w:r>
        <w:rPr/>
        <w:pict>
          <v:rect style="position:absolute;margin-left:70.919998pt;margin-top:.729709pt;width:10.8pt;height:11.76pt;mso-position-horizontal-relative:page;mso-position-vertical-relative:paragraph;z-index:-143680" filled="false" stroked="true" strokeweight=".96pt" strokecolor="#2c2c2c">
            <w10:wrap type="none"/>
          </v:rect>
        </w:pict>
      </w:r>
      <w:r>
        <w:rPr/>
        <w:pict>
          <v:rect style="position:absolute;margin-left:461.279999pt;margin-top:-2.750291pt;width:10.8pt;height:11.64pt;mso-position-horizontal-relative:page;mso-position-vertical-relative:paragraph;z-index:-143656" filled="false" stroked="true" strokeweight=".96pt" strokecolor="#2c2c2c">
            <w10:wrap type="none"/>
          </v:rect>
        </w:pict>
      </w:r>
      <w:r>
        <w:rPr>
          <w:rFonts w:ascii="Calibri" w:hAnsi="Calibri"/>
          <w:sz w:val="23"/>
        </w:rPr>
        <w:t>Sin estudios</w:t>
      </w:r>
      <w:r>
        <w:rPr>
          <w:rFonts w:ascii="Calibri" w:hAnsi="Calibri"/>
          <w:spacing w:val="-5"/>
          <w:sz w:val="23"/>
        </w:rPr>
        <w:t> </w:t>
      </w:r>
      <w:r>
        <w:rPr>
          <w:rFonts w:ascii="Calibri" w:hAnsi="Calibri"/>
          <w:sz w:val="23"/>
        </w:rPr>
        <w:t>básicos</w:t>
      </w:r>
      <w:r>
        <w:rPr>
          <w:rFonts w:ascii="Calibri" w:hAnsi="Calibri"/>
          <w:spacing w:val="-2"/>
          <w:sz w:val="23"/>
        </w:rPr>
        <w:t> </w:t>
      </w:r>
      <w:r>
        <w:rPr>
          <w:rFonts w:ascii="Calibri" w:hAnsi="Calibri"/>
          <w:sz w:val="23"/>
        </w:rPr>
        <w:t>concluidos</w:t>
        <w:tab/>
        <w:t>Primaria</w:t>
        <w:tab/>
        <w:t>Secundaria</w:t>
        <w:tab/>
        <w:t>otro Especificar</w:t>
      </w:r>
      <w:r>
        <w:rPr>
          <w:rFonts w:ascii="Calibri" w:hAnsi="Calibri"/>
          <w:sz w:val="23"/>
          <w:u w:val="single"/>
        </w:rPr>
        <w:t> </w:t>
        <w:tab/>
      </w:r>
    </w:p>
    <w:p>
      <w:pPr>
        <w:pStyle w:val="BodyText"/>
        <w:rPr>
          <w:rFonts w:ascii="Calibri"/>
          <w:sz w:val="12"/>
        </w:rPr>
      </w:pPr>
    </w:p>
    <w:p>
      <w:pPr>
        <w:spacing w:before="54"/>
        <w:ind w:left="558" w:right="135" w:hanging="279"/>
        <w:jc w:val="left"/>
        <w:rPr>
          <w:rFonts w:ascii="Calibri" w:hAnsi="Calibri"/>
          <w:sz w:val="23"/>
        </w:rPr>
      </w:pPr>
      <w:r>
        <w:rPr>
          <w:rFonts w:ascii="Calibri" w:hAnsi="Calibri"/>
          <w:sz w:val="23"/>
        </w:rPr>
        <w:t>7.-¿Qué nivel educativo tiene la persona con la que pasa la mayor parte del tiempo el niño?</w:t>
      </w:r>
    </w:p>
    <w:p>
      <w:pPr>
        <w:pStyle w:val="BodyText"/>
        <w:spacing w:before="10"/>
        <w:rPr>
          <w:rFonts w:ascii="Calibri"/>
          <w:sz w:val="19"/>
        </w:rPr>
      </w:pPr>
    </w:p>
    <w:p>
      <w:pPr>
        <w:tabs>
          <w:tab w:pos="2929" w:val="left" w:leader="none"/>
          <w:tab w:pos="4152" w:val="left" w:leader="none"/>
          <w:tab w:pos="6074" w:val="left" w:leader="none"/>
          <w:tab w:pos="8441" w:val="left" w:leader="none"/>
        </w:tabs>
        <w:spacing w:line="276" w:lineRule="auto" w:before="0"/>
        <w:ind w:left="280" w:right="556" w:firstLine="278"/>
        <w:jc w:val="left"/>
        <w:rPr>
          <w:rFonts w:ascii="Calibri" w:hAnsi="Calibri"/>
          <w:sz w:val="23"/>
        </w:rPr>
      </w:pPr>
      <w:r>
        <w:rPr/>
        <w:pict>
          <v:rect style="position:absolute;margin-left:465pt;margin-top:-3.350315pt;width:10.8pt;height:11.64pt;mso-position-horizontal-relative:page;mso-position-vertical-relative:paragraph;z-index:-143632" filled="false" stroked="true" strokeweight=".96pt" strokecolor="#2c2c2c">
            <w10:wrap type="none"/>
          </v:rect>
        </w:pict>
      </w:r>
      <w:r>
        <w:rPr/>
        <w:pict>
          <v:rect style="position:absolute;margin-left:70.919998pt;margin-top:-2.750315pt;width:10.8pt;height:11.64pt;mso-position-horizontal-relative:page;mso-position-vertical-relative:paragraph;z-index:-143608" filled="false" stroked="true" strokeweight=".96pt" strokecolor="#2c2c2c">
            <w10:wrap type="none"/>
          </v:rect>
        </w:pict>
      </w:r>
      <w:r>
        <w:rPr/>
        <w:pict>
          <v:rect style="position:absolute;margin-left:250.559998pt;margin-top:.969685pt;width:10.92pt;height:11.76pt;mso-position-horizontal-relative:page;mso-position-vertical-relative:paragraph;z-index:-143584" filled="false" stroked="true" strokeweight=".96pt" strokecolor="#2c2c2c">
            <w10:wrap type="none"/>
          </v:rect>
        </w:pict>
      </w:r>
      <w:r>
        <w:rPr/>
        <w:pict>
          <v:rect style="position:absolute;margin-left:346.679993pt;margin-top:-3.110315pt;width:10.92pt;height:11.64pt;mso-position-horizontal-relative:page;mso-position-vertical-relative:paragraph;z-index:-143248" filled="false" stroked="true" strokeweight=".96pt" strokecolor="#2c2c2c">
            <w10:wrap type="none"/>
          </v:rect>
        </w:pict>
      </w:r>
      <w:r>
        <w:rPr>
          <w:rFonts w:ascii="Calibri" w:hAnsi="Calibri"/>
          <w:sz w:val="23"/>
        </w:rPr>
        <w:t>Sin estudios</w:t>
      </w:r>
      <w:r>
        <w:rPr>
          <w:rFonts w:ascii="Calibri" w:hAnsi="Calibri"/>
          <w:spacing w:val="-5"/>
          <w:sz w:val="23"/>
        </w:rPr>
        <w:t> </w:t>
      </w:r>
      <w:r>
        <w:rPr>
          <w:rFonts w:ascii="Calibri" w:hAnsi="Calibri"/>
          <w:sz w:val="23"/>
        </w:rPr>
        <w:t>básicos</w:t>
      </w:r>
      <w:r>
        <w:rPr>
          <w:rFonts w:ascii="Calibri" w:hAnsi="Calibri"/>
          <w:spacing w:val="-4"/>
          <w:sz w:val="23"/>
        </w:rPr>
        <w:t> </w:t>
      </w:r>
      <w:r>
        <w:rPr>
          <w:rFonts w:ascii="Calibri" w:hAnsi="Calibri"/>
          <w:sz w:val="23"/>
        </w:rPr>
        <w:t>concluidos</w:t>
        <w:tab/>
        <w:t>Primaria</w:t>
        <w:tab/>
        <w:t>Secundaria</w:t>
        <w:tab/>
        <w:t>otro Especificar</w:t>
      </w:r>
      <w:r>
        <w:rPr>
          <w:rFonts w:ascii="Calibri" w:hAnsi="Calibri"/>
          <w:sz w:val="23"/>
          <w:u w:val="single"/>
        </w:rPr>
        <w:t> </w:t>
        <w:tab/>
      </w:r>
    </w:p>
    <w:p>
      <w:pPr>
        <w:pStyle w:val="BodyText"/>
        <w:rPr>
          <w:rFonts w:ascii="Calibri"/>
          <w:sz w:val="12"/>
        </w:rPr>
      </w:pPr>
    </w:p>
    <w:p>
      <w:pPr>
        <w:tabs>
          <w:tab w:pos="7086" w:val="left" w:leader="none"/>
        </w:tabs>
        <w:spacing w:before="54"/>
        <w:ind w:left="280" w:right="630" w:firstLine="0"/>
        <w:jc w:val="left"/>
        <w:rPr>
          <w:rFonts w:ascii="Calibri" w:hAnsi="Calibri"/>
          <w:sz w:val="23"/>
        </w:rPr>
      </w:pPr>
      <w:r>
        <w:rPr>
          <w:rFonts w:ascii="Calibri" w:hAnsi="Calibri"/>
          <w:sz w:val="23"/>
        </w:rPr>
        <w:t>8.-¿A qué se dedica el papá o en que</w:t>
      </w:r>
      <w:r>
        <w:rPr>
          <w:rFonts w:ascii="Calibri" w:hAnsi="Calibri"/>
          <w:spacing w:val="-14"/>
          <w:sz w:val="23"/>
        </w:rPr>
        <w:t> </w:t>
      </w:r>
      <w:r>
        <w:rPr>
          <w:rFonts w:ascii="Calibri" w:hAnsi="Calibri"/>
          <w:sz w:val="23"/>
        </w:rPr>
        <w:t>trabaja?</w:t>
      </w:r>
      <w:r>
        <w:rPr>
          <w:rFonts w:ascii="Calibri" w:hAnsi="Calibri"/>
          <w:sz w:val="23"/>
          <w:u w:val="single"/>
        </w:rPr>
        <w:t> </w:t>
        <w:tab/>
      </w:r>
    </w:p>
    <w:p>
      <w:pPr>
        <w:pStyle w:val="BodyText"/>
        <w:spacing w:before="6"/>
        <w:rPr>
          <w:rFonts w:ascii="Calibri"/>
          <w:sz w:val="15"/>
        </w:rPr>
      </w:pPr>
    </w:p>
    <w:p>
      <w:pPr>
        <w:tabs>
          <w:tab w:pos="7253" w:val="left" w:leader="none"/>
        </w:tabs>
        <w:spacing w:before="54"/>
        <w:ind w:left="280" w:right="630" w:firstLine="0"/>
        <w:jc w:val="left"/>
        <w:rPr>
          <w:rFonts w:ascii="Calibri" w:hAnsi="Calibri"/>
          <w:sz w:val="23"/>
        </w:rPr>
      </w:pPr>
      <w:r>
        <w:rPr>
          <w:rFonts w:ascii="Calibri" w:hAnsi="Calibri"/>
          <w:sz w:val="23"/>
        </w:rPr>
        <w:t>9.- ¿A qué se dedica la mamá o en que</w:t>
      </w:r>
      <w:r>
        <w:rPr>
          <w:rFonts w:ascii="Calibri" w:hAnsi="Calibri"/>
          <w:spacing w:val="-12"/>
          <w:sz w:val="23"/>
        </w:rPr>
        <w:t> </w:t>
      </w:r>
      <w:r>
        <w:rPr>
          <w:rFonts w:ascii="Calibri" w:hAnsi="Calibri"/>
          <w:sz w:val="23"/>
        </w:rPr>
        <w:t>trabaja?  </w:t>
      </w:r>
      <w:r>
        <w:rPr>
          <w:rFonts w:ascii="Calibri" w:hAnsi="Calibri"/>
          <w:w w:val="100"/>
          <w:sz w:val="23"/>
          <w:u w:val="single"/>
        </w:rPr>
        <w:t> </w:t>
      </w:r>
      <w:r>
        <w:rPr>
          <w:rFonts w:ascii="Calibri" w:hAnsi="Calibri"/>
          <w:sz w:val="23"/>
          <w:u w:val="single"/>
        </w:rPr>
        <w:tab/>
      </w:r>
    </w:p>
    <w:p>
      <w:pPr>
        <w:pStyle w:val="BodyText"/>
        <w:spacing w:before="5"/>
        <w:rPr>
          <w:rFonts w:ascii="Calibri"/>
          <w:sz w:val="15"/>
        </w:rPr>
      </w:pPr>
    </w:p>
    <w:p>
      <w:pPr>
        <w:tabs>
          <w:tab w:pos="7285" w:val="left" w:leader="none"/>
        </w:tabs>
        <w:spacing w:before="54"/>
        <w:ind w:left="280" w:right="630" w:firstLine="0"/>
        <w:jc w:val="left"/>
        <w:rPr>
          <w:rFonts w:ascii="Calibri" w:hAnsi="Calibri"/>
          <w:sz w:val="23"/>
        </w:rPr>
      </w:pPr>
      <w:r>
        <w:rPr>
          <w:rFonts w:ascii="Calibri" w:hAnsi="Calibri"/>
          <w:sz w:val="23"/>
        </w:rPr>
        <w:t>10.- ¿De qué material está construida su</w:t>
      </w:r>
      <w:r>
        <w:rPr>
          <w:rFonts w:ascii="Calibri" w:hAnsi="Calibri"/>
          <w:spacing w:val="-17"/>
          <w:sz w:val="23"/>
        </w:rPr>
        <w:t> </w:t>
      </w:r>
      <w:r>
        <w:rPr>
          <w:rFonts w:ascii="Calibri" w:hAnsi="Calibri"/>
          <w:sz w:val="23"/>
        </w:rPr>
        <w:t>casa? </w:t>
      </w:r>
      <w:r>
        <w:rPr>
          <w:rFonts w:ascii="Calibri" w:hAnsi="Calibri"/>
          <w:spacing w:val="-3"/>
          <w:sz w:val="23"/>
        </w:rPr>
        <w:t> </w:t>
      </w:r>
      <w:r>
        <w:rPr>
          <w:rFonts w:ascii="Calibri" w:hAnsi="Calibri"/>
          <w:w w:val="100"/>
          <w:sz w:val="23"/>
          <w:u w:val="single"/>
        </w:rPr>
        <w:t> </w:t>
      </w:r>
      <w:r>
        <w:rPr>
          <w:rFonts w:ascii="Calibri" w:hAnsi="Calibri"/>
          <w:sz w:val="23"/>
          <w:u w:val="single"/>
        </w:rPr>
        <w:tab/>
      </w:r>
    </w:p>
    <w:p>
      <w:pPr>
        <w:pStyle w:val="BodyText"/>
        <w:spacing w:before="5"/>
        <w:rPr>
          <w:rFonts w:ascii="Calibri"/>
          <w:sz w:val="15"/>
        </w:rPr>
      </w:pPr>
    </w:p>
    <w:p>
      <w:pPr>
        <w:spacing w:before="54"/>
        <w:ind w:left="280" w:right="630" w:firstLine="0"/>
        <w:jc w:val="left"/>
        <w:rPr>
          <w:rFonts w:ascii="Calibri" w:hAnsi="Calibri"/>
          <w:b/>
          <w:i/>
          <w:sz w:val="23"/>
        </w:rPr>
      </w:pPr>
      <w:r>
        <w:rPr>
          <w:rFonts w:ascii="Calibri" w:hAnsi="Calibri"/>
          <w:b/>
          <w:i/>
          <w:sz w:val="23"/>
        </w:rPr>
        <w:t>Hábitos de Higiene oral</w:t>
      </w:r>
    </w:p>
    <w:p>
      <w:pPr>
        <w:pStyle w:val="BodyText"/>
        <w:spacing w:before="10"/>
        <w:rPr>
          <w:rFonts w:ascii="Calibri"/>
          <w:b/>
          <w:i/>
          <w:sz w:val="19"/>
        </w:rPr>
      </w:pPr>
    </w:p>
    <w:p>
      <w:pPr>
        <w:spacing w:before="0"/>
        <w:ind w:left="280" w:right="630" w:firstLine="0"/>
        <w:jc w:val="left"/>
        <w:rPr>
          <w:rFonts w:ascii="Calibri" w:hAnsi="Calibri"/>
          <w:sz w:val="23"/>
        </w:rPr>
      </w:pPr>
      <w:r>
        <w:rPr>
          <w:rFonts w:ascii="Calibri" w:hAnsi="Calibri"/>
          <w:sz w:val="23"/>
        </w:rPr>
        <w:t>11.- ¿Cuenta con un cepillo dental?</w:t>
      </w:r>
    </w:p>
    <w:p>
      <w:pPr>
        <w:pStyle w:val="BodyText"/>
        <w:spacing w:before="10"/>
        <w:rPr>
          <w:rFonts w:ascii="Calibri"/>
          <w:sz w:val="19"/>
        </w:rPr>
      </w:pPr>
    </w:p>
    <w:p>
      <w:pPr>
        <w:tabs>
          <w:tab w:pos="1243" w:val="left" w:leader="none"/>
        </w:tabs>
        <w:spacing w:before="0"/>
        <w:ind w:left="0" w:right="6452" w:firstLine="0"/>
        <w:jc w:val="center"/>
        <w:rPr>
          <w:rFonts w:ascii="Calibri"/>
          <w:sz w:val="23"/>
        </w:rPr>
      </w:pPr>
      <w:r>
        <w:rPr/>
        <w:pict>
          <v:rect style="position:absolute;margin-left:78pt;margin-top:-.260292pt;width:10.8pt;height:11.76pt;mso-position-horizontal-relative:page;mso-position-vertical-relative:paragraph;z-index:2560" filled="false" stroked="true" strokeweight=".96pt" strokecolor="#2c2c2c">
            <w10:wrap type="none"/>
          </v:rect>
        </w:pict>
      </w:r>
      <w:r>
        <w:rPr/>
        <w:pict>
          <v:rect style="position:absolute;margin-left:140.160004pt;margin-top:.819708pt;width:10.92pt;height:11.76pt;mso-position-horizontal-relative:page;mso-position-vertical-relative:paragraph;z-index:-143536" filled="false" stroked="true" strokeweight=".96pt" strokecolor="#2c2c2c">
            <w10:wrap type="none"/>
          </v:rect>
        </w:pict>
      </w:r>
      <w:r>
        <w:rPr>
          <w:rFonts w:ascii="Calibri"/>
          <w:sz w:val="23"/>
        </w:rPr>
        <w:t>SI</w:t>
        <w:tab/>
        <w:t>NO</w:t>
      </w:r>
    </w:p>
    <w:p>
      <w:pPr>
        <w:pStyle w:val="BodyText"/>
        <w:spacing w:before="8"/>
        <w:rPr>
          <w:rFonts w:ascii="Calibri"/>
          <w:sz w:val="19"/>
        </w:rPr>
      </w:pPr>
    </w:p>
    <w:p>
      <w:pPr>
        <w:spacing w:line="446" w:lineRule="auto" w:before="0"/>
        <w:ind w:left="280" w:right="2897" w:firstLine="52"/>
        <w:jc w:val="left"/>
        <w:rPr>
          <w:rFonts w:ascii="Calibri" w:hAnsi="Calibri"/>
          <w:sz w:val="23"/>
        </w:rPr>
      </w:pPr>
      <w:r>
        <w:rPr/>
        <w:pict>
          <v:rect style="position:absolute;margin-left:188.279999pt;margin-top:52.5397pt;width:10.8pt;height:11.64pt;mso-position-horizontal-relative:page;mso-position-vertical-relative:paragraph;z-index:-143488" filled="false" stroked="true" strokeweight=".96pt" strokecolor="#2c2c2c">
            <w10:wrap type="none"/>
          </v:rect>
        </w:pict>
      </w:r>
      <w:r>
        <w:rPr>
          <w:rFonts w:ascii="Calibri" w:hAnsi="Calibri"/>
          <w:sz w:val="23"/>
        </w:rPr>
        <w:t>Si la respuesta es </w:t>
      </w:r>
      <w:r>
        <w:rPr>
          <w:rFonts w:ascii="Calibri" w:hAnsi="Calibri"/>
          <w:b/>
          <w:sz w:val="23"/>
        </w:rPr>
        <w:t>NO, </w:t>
      </w:r>
      <w:r>
        <w:rPr>
          <w:rFonts w:ascii="Calibri" w:hAnsi="Calibri"/>
          <w:sz w:val="23"/>
        </w:rPr>
        <w:t>no continuar con las siguientes 3 preguntas 12.-¿Cada cuánto lo cambia?</w:t>
      </w:r>
    </w:p>
    <w:p>
      <w:pPr>
        <w:tabs>
          <w:tab w:pos="2577" w:val="left" w:leader="none"/>
          <w:tab w:pos="2906" w:val="left" w:leader="none"/>
          <w:tab w:pos="4524" w:val="left" w:leader="none"/>
          <w:tab w:pos="6874" w:val="left" w:leader="none"/>
        </w:tabs>
        <w:spacing w:line="446" w:lineRule="auto" w:before="1"/>
        <w:ind w:left="333" w:right="2092" w:firstLine="225"/>
        <w:jc w:val="left"/>
        <w:rPr>
          <w:rFonts w:ascii="Calibri" w:hAnsi="Calibri"/>
          <w:sz w:val="23"/>
        </w:rPr>
      </w:pPr>
      <w:r>
        <w:rPr/>
        <w:pict>
          <v:rect style="position:absolute;margin-left:70.919998pt;margin-top:.969703pt;width:10.8pt;height:11.76pt;mso-position-horizontal-relative:page;mso-position-vertical-relative:paragraph;z-index:-143512" filled="false" stroked="true" strokeweight=".96pt" strokecolor="#2c2c2c">
            <w10:wrap type="none"/>
          </v:rect>
        </w:pict>
      </w:r>
      <w:r>
        <w:rPr/>
        <w:pict>
          <v:rect style="position:absolute;margin-left:269.160004pt;margin-top:.609703pt;width:10.92pt;height:11.76pt;mso-position-horizontal-relative:page;mso-position-vertical-relative:paragraph;z-index:-143464" filled="false" stroked="true" strokeweight=".96pt" strokecolor="#2c2c2c">
            <w10:wrap type="none"/>
          </v:rect>
        </w:pict>
      </w:r>
      <w:r>
        <w:rPr/>
        <w:pict>
          <v:rect style="position:absolute;margin-left:386.640015pt;margin-top:.969703pt;width:10.8pt;height:11.76pt;mso-position-horizontal-relative:page;mso-position-vertical-relative:paragraph;z-index:-143440" filled="false" stroked="true" strokeweight=".96pt" strokecolor="#2c2c2c">
            <w10:wrap type="none"/>
          </v:rect>
        </w:pict>
      </w:r>
      <w:r>
        <w:rPr>
          <w:rFonts w:ascii="Calibri" w:hAnsi="Calibri"/>
          <w:sz w:val="23"/>
        </w:rPr>
        <w:t>Cada</w:t>
      </w:r>
      <w:r>
        <w:rPr>
          <w:rFonts w:ascii="Calibri" w:hAnsi="Calibri"/>
          <w:spacing w:val="-2"/>
          <w:sz w:val="23"/>
        </w:rPr>
        <w:t> </w:t>
      </w:r>
      <w:r>
        <w:rPr>
          <w:rFonts w:ascii="Calibri" w:hAnsi="Calibri"/>
          <w:sz w:val="23"/>
        </w:rPr>
        <w:t>seis</w:t>
      </w:r>
      <w:r>
        <w:rPr>
          <w:rFonts w:ascii="Calibri" w:hAnsi="Calibri"/>
          <w:spacing w:val="-3"/>
          <w:sz w:val="23"/>
        </w:rPr>
        <w:t> </w:t>
      </w:r>
      <w:r>
        <w:rPr>
          <w:rFonts w:ascii="Calibri" w:hAnsi="Calibri"/>
          <w:sz w:val="23"/>
        </w:rPr>
        <w:t>meses</w:t>
        <w:tab/>
        <w:tab/>
        <w:t>Cada</w:t>
      </w:r>
      <w:r>
        <w:rPr>
          <w:rFonts w:ascii="Calibri" w:hAnsi="Calibri"/>
          <w:spacing w:val="-1"/>
          <w:sz w:val="23"/>
        </w:rPr>
        <w:t> </w:t>
      </w:r>
      <w:r>
        <w:rPr>
          <w:rFonts w:ascii="Calibri" w:hAnsi="Calibri"/>
          <w:sz w:val="23"/>
        </w:rPr>
        <w:t>año</w:t>
        <w:tab/>
        <w:t>Cada</w:t>
      </w:r>
      <w:r>
        <w:rPr>
          <w:rFonts w:ascii="Calibri" w:hAnsi="Calibri"/>
          <w:spacing w:val="-2"/>
          <w:sz w:val="23"/>
        </w:rPr>
        <w:t> </w:t>
      </w:r>
      <w:r>
        <w:rPr>
          <w:rFonts w:ascii="Calibri" w:hAnsi="Calibri"/>
          <w:sz w:val="23"/>
        </w:rPr>
        <w:t>tres</w:t>
      </w:r>
      <w:r>
        <w:rPr>
          <w:rFonts w:ascii="Calibri" w:hAnsi="Calibri"/>
          <w:spacing w:val="-1"/>
          <w:sz w:val="23"/>
        </w:rPr>
        <w:t> </w:t>
      </w:r>
      <w:r>
        <w:rPr>
          <w:rFonts w:ascii="Calibri" w:hAnsi="Calibri"/>
          <w:sz w:val="23"/>
        </w:rPr>
        <w:t>meses</w:t>
        <w:tab/>
        <w:t>Otro Especificar </w:t>
      </w:r>
      <w:r>
        <w:rPr>
          <w:rFonts w:ascii="Calibri" w:hAnsi="Calibri"/>
          <w:w w:val="100"/>
          <w:sz w:val="23"/>
          <w:u w:val="thick"/>
        </w:rPr>
        <w:t> </w:t>
      </w:r>
      <w:r>
        <w:rPr>
          <w:rFonts w:ascii="Calibri" w:hAnsi="Calibri"/>
          <w:sz w:val="23"/>
          <w:u w:val="thick"/>
        </w:rPr>
        <w:tab/>
      </w:r>
    </w:p>
    <w:p>
      <w:pPr>
        <w:spacing w:before="1"/>
        <w:ind w:left="280" w:right="630" w:firstLine="0"/>
        <w:jc w:val="left"/>
        <w:rPr>
          <w:rFonts w:ascii="Calibri" w:hAnsi="Calibri"/>
          <w:sz w:val="23"/>
        </w:rPr>
      </w:pPr>
      <w:r>
        <w:rPr>
          <w:rFonts w:ascii="Calibri" w:hAnsi="Calibri"/>
          <w:sz w:val="23"/>
        </w:rPr>
        <w:t>13.- ¿Cuantas veces se cepilla al día?</w:t>
      </w:r>
    </w:p>
    <w:p>
      <w:pPr>
        <w:pStyle w:val="BodyText"/>
        <w:spacing w:before="10"/>
        <w:rPr>
          <w:rFonts w:ascii="Calibri"/>
          <w:sz w:val="19"/>
        </w:rPr>
      </w:pPr>
    </w:p>
    <w:p>
      <w:pPr>
        <w:tabs>
          <w:tab w:pos="1914" w:val="left" w:leader="none"/>
          <w:tab w:pos="3472" w:val="left" w:leader="none"/>
          <w:tab w:pos="5630" w:val="left" w:leader="none"/>
          <w:tab w:pos="8146" w:val="left" w:leader="none"/>
        </w:tabs>
        <w:spacing w:line="446" w:lineRule="auto" w:before="0"/>
        <w:ind w:left="280" w:right="820" w:firstLine="278"/>
        <w:jc w:val="left"/>
        <w:rPr>
          <w:rFonts w:ascii="Calibri" w:hAnsi="Calibri"/>
          <w:sz w:val="23"/>
        </w:rPr>
      </w:pPr>
      <w:r>
        <w:rPr/>
        <w:pict>
          <v:rect style="position:absolute;margin-left:70.919998pt;margin-top:.919692pt;width:10.8pt;height:11.64pt;mso-position-horizontal-relative:page;mso-position-vertical-relative:paragraph;z-index:-143416" filled="false" stroked="true" strokeweight=".96pt" strokecolor="#2c2c2c">
            <w10:wrap type="none"/>
          </v:rect>
        </w:pict>
      </w:r>
      <w:r>
        <w:rPr/>
        <w:pict>
          <v:rect style="position:absolute;margin-left:324.480011pt;margin-top:.799692pt;width:10.92pt;height:11.76pt;mso-position-horizontal-relative:page;mso-position-vertical-relative:paragraph;z-index:-143392" filled="false" stroked="true" strokeweight=".96pt" strokecolor="#2c2c2c">
            <w10:wrap type="none"/>
          </v:rect>
        </w:pict>
      </w:r>
      <w:r>
        <w:rPr/>
        <w:pict>
          <v:rect style="position:absolute;margin-left:216.600006pt;margin-top:.799692pt;width:10.8pt;height:11.76pt;mso-position-horizontal-relative:page;mso-position-vertical-relative:paragraph;z-index:-143368" filled="false" stroked="true" strokeweight=".96pt" strokecolor="#2c2c2c">
            <w10:wrap type="none"/>
          </v:rect>
        </w:pict>
      </w:r>
      <w:r>
        <w:rPr/>
        <w:pict>
          <v:rect style="position:absolute;margin-left:138.720001pt;margin-top:.919692pt;width:10.92pt;height:11.64pt;mso-position-horizontal-relative:page;mso-position-vertical-relative:paragraph;z-index:-143344" filled="false" stroked="true" strokeweight=".96pt" strokecolor="#2c2c2c">
            <w10:wrap type="none"/>
          </v:rect>
        </w:pict>
      </w:r>
      <w:r>
        <w:rPr/>
        <w:pict>
          <v:rect style="position:absolute;margin-left:450.23999pt;margin-top:.559692pt;width:10.92pt;height:11.76pt;mso-position-horizontal-relative:page;mso-position-vertical-relative:paragraph;z-index:-143320" filled="false" stroked="true" strokeweight=".96pt" strokecolor="#2c2c2c">
            <w10:wrap type="none"/>
          </v:rect>
        </w:pict>
      </w:r>
      <w:r>
        <w:rPr>
          <w:rFonts w:ascii="Calibri" w:hAnsi="Calibri"/>
          <w:sz w:val="23"/>
        </w:rPr>
        <w:t>Una</w:t>
      </w:r>
      <w:r>
        <w:rPr>
          <w:rFonts w:ascii="Calibri" w:hAnsi="Calibri"/>
          <w:spacing w:val="-1"/>
          <w:sz w:val="23"/>
        </w:rPr>
        <w:t> </w:t>
      </w:r>
      <w:r>
        <w:rPr>
          <w:rFonts w:ascii="Calibri" w:hAnsi="Calibri"/>
          <w:sz w:val="23"/>
        </w:rPr>
        <w:t>vez</w:t>
        <w:tab/>
        <w:t>Dos</w:t>
      </w:r>
      <w:r>
        <w:rPr>
          <w:rFonts w:ascii="Calibri" w:hAnsi="Calibri"/>
          <w:spacing w:val="-1"/>
          <w:sz w:val="23"/>
        </w:rPr>
        <w:t> </w:t>
      </w:r>
      <w:r>
        <w:rPr>
          <w:rFonts w:ascii="Calibri" w:hAnsi="Calibri"/>
          <w:sz w:val="23"/>
        </w:rPr>
        <w:t>veces</w:t>
        <w:tab/>
        <w:t>Tres veces</w:t>
      </w:r>
      <w:r>
        <w:rPr>
          <w:rFonts w:ascii="Calibri" w:hAnsi="Calibri"/>
          <w:spacing w:val="-1"/>
          <w:sz w:val="23"/>
        </w:rPr>
        <w:t> </w:t>
      </w:r>
      <w:r>
        <w:rPr>
          <w:rFonts w:ascii="Calibri" w:hAnsi="Calibri"/>
          <w:sz w:val="23"/>
        </w:rPr>
        <w:t>al</w:t>
      </w:r>
      <w:r>
        <w:rPr>
          <w:rFonts w:ascii="Calibri" w:hAnsi="Calibri"/>
          <w:spacing w:val="-1"/>
          <w:sz w:val="23"/>
        </w:rPr>
        <w:t> </w:t>
      </w:r>
      <w:r>
        <w:rPr>
          <w:rFonts w:ascii="Calibri" w:hAnsi="Calibri"/>
          <w:sz w:val="23"/>
        </w:rPr>
        <w:t>día</w:t>
        <w:tab/>
        <w:t>Ninguna vez</w:t>
      </w:r>
      <w:r>
        <w:rPr>
          <w:rFonts w:ascii="Calibri" w:hAnsi="Calibri"/>
          <w:spacing w:val="50"/>
          <w:sz w:val="23"/>
        </w:rPr>
        <w:t> </w:t>
      </w:r>
      <w:r>
        <w:rPr>
          <w:rFonts w:ascii="Calibri" w:hAnsi="Calibri"/>
          <w:sz w:val="23"/>
        </w:rPr>
        <w:t>al</w:t>
      </w:r>
      <w:r>
        <w:rPr>
          <w:rFonts w:ascii="Calibri" w:hAnsi="Calibri"/>
          <w:spacing w:val="-1"/>
          <w:sz w:val="23"/>
        </w:rPr>
        <w:t> </w:t>
      </w:r>
      <w:r>
        <w:rPr>
          <w:rFonts w:ascii="Calibri" w:hAnsi="Calibri"/>
          <w:sz w:val="23"/>
        </w:rPr>
        <w:t>día</w:t>
        <w:tab/>
        <w:t>Otro 14.-¿Usa pasta</w:t>
      </w:r>
      <w:r>
        <w:rPr>
          <w:rFonts w:ascii="Calibri" w:hAnsi="Calibri"/>
          <w:spacing w:val="-9"/>
          <w:sz w:val="23"/>
        </w:rPr>
        <w:t> </w:t>
      </w:r>
      <w:r>
        <w:rPr>
          <w:rFonts w:ascii="Calibri" w:hAnsi="Calibri"/>
          <w:sz w:val="23"/>
        </w:rPr>
        <w:t>dental?</w:t>
      </w:r>
    </w:p>
    <w:p>
      <w:pPr>
        <w:tabs>
          <w:tab w:pos="1648" w:val="left" w:leader="none"/>
        </w:tabs>
        <w:spacing w:before="1"/>
        <w:ind w:left="558" w:right="630" w:firstLine="0"/>
        <w:jc w:val="left"/>
        <w:rPr>
          <w:rFonts w:ascii="Calibri"/>
          <w:sz w:val="23"/>
        </w:rPr>
      </w:pPr>
      <w:r>
        <w:rPr/>
        <w:pict>
          <v:rect style="position:absolute;margin-left:70.919998pt;margin-top:.8497pt;width:10.8pt;height:11.76pt;mso-position-horizontal-relative:page;mso-position-vertical-relative:paragraph;z-index:2824" filled="false" stroked="true" strokeweight=".96pt" strokecolor="#2c2c2c">
            <w10:wrap type="none"/>
          </v:rect>
        </w:pict>
      </w:r>
      <w:r>
        <w:rPr/>
        <w:pict>
          <v:rect style="position:absolute;margin-left:125.400002pt;margin-top:1.6897pt;width:10.8pt;height:11.76pt;mso-position-horizontal-relative:page;mso-position-vertical-relative:paragraph;z-index:-143272" filled="false" stroked="true" strokeweight=".96pt" strokecolor="#2c2c2c">
            <w10:wrap type="none"/>
          </v:rect>
        </w:pict>
      </w:r>
      <w:r>
        <w:rPr>
          <w:rFonts w:ascii="Calibri"/>
          <w:sz w:val="23"/>
        </w:rPr>
        <w:t>SI</w:t>
        <w:tab/>
        <w:t>No</w:t>
      </w:r>
    </w:p>
    <w:p>
      <w:pPr>
        <w:pStyle w:val="BodyText"/>
        <w:spacing w:before="8"/>
        <w:rPr>
          <w:rFonts w:ascii="Calibri"/>
          <w:sz w:val="19"/>
        </w:rPr>
      </w:pPr>
    </w:p>
    <w:p>
      <w:pPr>
        <w:spacing w:before="0"/>
        <w:ind w:left="280" w:right="630" w:firstLine="0"/>
        <w:jc w:val="left"/>
        <w:rPr>
          <w:rFonts w:ascii="Calibri" w:hAnsi="Calibri"/>
          <w:sz w:val="23"/>
        </w:rPr>
      </w:pPr>
      <w:r>
        <w:rPr>
          <w:rFonts w:ascii="Calibri" w:hAnsi="Calibri"/>
          <w:sz w:val="23"/>
        </w:rPr>
        <w:t>15.-¿Se limpia el niño sus dientes solo?</w:t>
      </w:r>
    </w:p>
    <w:p>
      <w:pPr>
        <w:pStyle w:val="BodyText"/>
        <w:spacing w:before="11"/>
        <w:rPr>
          <w:rFonts w:ascii="Calibri"/>
          <w:sz w:val="19"/>
        </w:rPr>
      </w:pPr>
    </w:p>
    <w:p>
      <w:pPr>
        <w:tabs>
          <w:tab w:pos="1907" w:val="left" w:leader="none"/>
        </w:tabs>
        <w:spacing w:before="0"/>
        <w:ind w:left="558" w:right="630" w:firstLine="0"/>
        <w:jc w:val="left"/>
        <w:rPr>
          <w:rFonts w:ascii="Calibri"/>
          <w:sz w:val="23"/>
        </w:rPr>
      </w:pPr>
      <w:r>
        <w:rPr/>
        <w:pict>
          <v:rect style="position:absolute;margin-left:70.919998pt;margin-top:-2.710295pt;width:10.8pt;height:11.64pt;mso-position-horizontal-relative:page;mso-position-vertical-relative:paragraph;z-index:2896" filled="false" stroked="true" strokeweight=".96pt" strokecolor="#2c2c2c">
            <w10:wrap type="none"/>
          </v:rect>
        </w:pict>
      </w:r>
      <w:r>
        <w:rPr/>
        <w:pict>
          <v:rect style="position:absolute;margin-left:138.360001pt;margin-top:.649705pt;width:10.8pt;height:11.76pt;mso-position-horizontal-relative:page;mso-position-vertical-relative:paragraph;z-index:-143200" filled="false" stroked="true" strokeweight=".96pt" strokecolor="#2c2c2c">
            <w10:wrap type="none"/>
          </v:rect>
        </w:pict>
      </w:r>
      <w:r>
        <w:rPr>
          <w:rFonts w:ascii="Calibri"/>
          <w:sz w:val="23"/>
        </w:rPr>
        <w:t>SI</w:t>
        <w:tab/>
        <w:t>NO</w:t>
      </w:r>
    </w:p>
    <w:p>
      <w:pPr>
        <w:pStyle w:val="BodyText"/>
        <w:spacing w:before="10"/>
        <w:rPr>
          <w:rFonts w:ascii="Calibri"/>
          <w:sz w:val="19"/>
        </w:rPr>
      </w:pPr>
    </w:p>
    <w:p>
      <w:pPr>
        <w:spacing w:before="0"/>
        <w:ind w:left="280" w:right="630" w:firstLine="0"/>
        <w:jc w:val="left"/>
        <w:rPr>
          <w:rFonts w:ascii="Calibri" w:hAnsi="Calibri"/>
          <w:sz w:val="23"/>
        </w:rPr>
      </w:pPr>
      <w:r>
        <w:rPr>
          <w:rFonts w:ascii="Calibri" w:hAnsi="Calibri"/>
          <w:sz w:val="23"/>
        </w:rPr>
        <w:t>16.-¿Usted lo ayuda?</w:t>
      </w:r>
    </w:p>
    <w:p>
      <w:pPr>
        <w:pStyle w:val="BodyText"/>
        <w:spacing w:before="10"/>
        <w:rPr>
          <w:rFonts w:ascii="Calibri"/>
          <w:sz w:val="19"/>
        </w:rPr>
      </w:pPr>
    </w:p>
    <w:p>
      <w:pPr>
        <w:tabs>
          <w:tab w:pos="1667" w:val="left" w:leader="none"/>
        </w:tabs>
        <w:spacing w:before="0"/>
        <w:ind w:left="558" w:right="630" w:firstLine="0"/>
        <w:jc w:val="left"/>
        <w:rPr>
          <w:rFonts w:ascii="Calibri"/>
          <w:sz w:val="23"/>
        </w:rPr>
      </w:pPr>
      <w:r>
        <w:rPr/>
        <w:pict>
          <v:rect style="position:absolute;margin-left:70.919998pt;margin-top:.769705pt;width:10.8pt;height:11.64pt;mso-position-horizontal-relative:page;mso-position-vertical-relative:paragraph;z-index:2944" filled="false" stroked="true" strokeweight=".96pt" strokecolor="#2c2c2c">
            <w10:wrap type="none"/>
          </v:rect>
        </w:pict>
      </w:r>
      <w:r>
        <w:rPr/>
        <w:pict>
          <v:rect style="position:absolute;margin-left:126.360001pt;margin-top:.769705pt;width:10.92pt;height:11.64pt;mso-position-horizontal-relative:page;mso-position-vertical-relative:paragraph;z-index:-143152" filled="false" stroked="true" strokeweight=".96pt" strokecolor="#2c2c2c">
            <w10:wrap type="none"/>
          </v:rect>
        </w:pict>
      </w:r>
      <w:r>
        <w:rPr>
          <w:rFonts w:ascii="Calibri"/>
          <w:sz w:val="23"/>
        </w:rPr>
        <w:t>SI</w:t>
        <w:tab/>
        <w:t>NO</w:t>
      </w:r>
    </w:p>
    <w:p>
      <w:pPr>
        <w:pStyle w:val="BodyText"/>
        <w:spacing w:before="10"/>
        <w:rPr>
          <w:rFonts w:ascii="Calibri"/>
          <w:sz w:val="19"/>
        </w:rPr>
      </w:pPr>
    </w:p>
    <w:p>
      <w:pPr>
        <w:spacing w:before="0"/>
        <w:ind w:left="280" w:right="630" w:firstLine="0"/>
        <w:jc w:val="left"/>
        <w:rPr>
          <w:rFonts w:ascii="Calibri" w:hAnsi="Calibri"/>
          <w:sz w:val="23"/>
        </w:rPr>
      </w:pPr>
      <w:r>
        <w:rPr>
          <w:rFonts w:ascii="Calibri" w:hAnsi="Calibri"/>
          <w:sz w:val="23"/>
        </w:rPr>
        <w:t>17.-¿Cuántas veces al día lo ayuda?</w:t>
      </w:r>
    </w:p>
    <w:p>
      <w:pPr>
        <w:spacing w:after="0"/>
        <w:jc w:val="left"/>
        <w:rPr>
          <w:rFonts w:ascii="Calibri" w:hAnsi="Calibri"/>
          <w:sz w:val="23"/>
        </w:rPr>
        <w:sectPr>
          <w:pgSz w:w="12240" w:h="15840"/>
          <w:pgMar w:header="686" w:footer="964" w:top="1080" w:bottom="1160" w:left="1280" w:right="1560"/>
        </w:sectPr>
      </w:pPr>
    </w:p>
    <w:p>
      <w:pPr>
        <w:pStyle w:val="BodyText"/>
        <w:rPr>
          <w:rFonts w:ascii="Calibri"/>
          <w:sz w:val="20"/>
        </w:rPr>
      </w:pPr>
    </w:p>
    <w:p>
      <w:pPr>
        <w:pStyle w:val="BodyText"/>
        <w:spacing w:before="11"/>
        <w:rPr>
          <w:rFonts w:ascii="Calibri"/>
          <w:sz w:val="25"/>
        </w:rPr>
      </w:pPr>
    </w:p>
    <w:p>
      <w:pPr>
        <w:tabs>
          <w:tab w:pos="1631" w:val="left" w:leader="none"/>
          <w:tab w:pos="2634" w:val="left" w:leader="none"/>
          <w:tab w:pos="3842" w:val="left" w:leader="none"/>
          <w:tab w:pos="6017" w:val="left" w:leader="none"/>
          <w:tab w:pos="8542" w:val="left" w:leader="none"/>
        </w:tabs>
        <w:spacing w:before="54"/>
        <w:ind w:left="558" w:right="0" w:firstLine="0"/>
        <w:jc w:val="left"/>
        <w:rPr>
          <w:rFonts w:ascii="Calibri"/>
          <w:sz w:val="23"/>
        </w:rPr>
      </w:pPr>
      <w:r>
        <w:rPr/>
        <w:pict>
          <v:rect style="position:absolute;margin-left:70.919998pt;margin-top:3.549683pt;width:10.8pt;height:11.76pt;mso-position-horizontal-relative:page;mso-position-vertical-relative:paragraph;z-index:3040" filled="false" stroked="true" strokeweight=".96pt" strokecolor="#2c2c2c">
            <w10:wrap type="none"/>
          </v:rect>
        </w:pict>
      </w:r>
      <w:r>
        <w:rPr/>
        <w:pict>
          <v:rect style="position:absolute;margin-left:124.559998pt;margin-top:4.149683pt;width:10.8pt;height:11.64pt;mso-position-horizontal-relative:page;mso-position-vertical-relative:paragraph;z-index:-143056" filled="false" stroked="true" strokeweight=".96pt" strokecolor="#2c2c2c">
            <w10:wrap type="none"/>
          </v:rect>
        </w:pict>
      </w:r>
      <w:r>
        <w:rPr/>
        <w:pict>
          <v:rect style="position:absolute;margin-left:174.720001pt;margin-top:3.549683pt;width:10.92pt;height:11.76pt;mso-position-horizontal-relative:page;mso-position-vertical-relative:paragraph;z-index:-143032" filled="false" stroked="true" strokeweight=".96pt" strokecolor="#2c2c2c">
            <w10:wrap type="none"/>
          </v:rect>
        </w:pict>
      </w:r>
      <w:r>
        <w:rPr/>
        <w:pict>
          <v:rect style="position:absolute;margin-left:235.080002pt;margin-top:3.549683pt;width:10.8pt;height:11.76pt;mso-position-horizontal-relative:page;mso-position-vertical-relative:paragraph;z-index:-143008" filled="false" stroked="true" strokeweight=".96pt" strokecolor="#2c2c2c">
            <w10:wrap type="none"/>
          </v:rect>
        </w:pict>
      </w:r>
      <w:r>
        <w:rPr/>
        <w:pict>
          <v:rect style="position:absolute;margin-left:343.799988pt;margin-top:3.549683pt;width:10.8pt;height:11.76pt;mso-position-horizontal-relative:page;mso-position-vertical-relative:paragraph;z-index:-142984" filled="false" stroked="true" strokeweight=".96pt" strokecolor="#2c2c2c">
            <w10:wrap type="none"/>
          </v:rect>
        </w:pict>
      </w:r>
      <w:r>
        <w:rPr>
          <w:rFonts w:ascii="Calibri"/>
          <w:sz w:val="23"/>
        </w:rPr>
        <w:t>Una</w:t>
        <w:tab/>
        <w:t>Dos</w:t>
        <w:tab/>
        <w:t>Tres</w:t>
        <w:tab/>
        <w:t>Una vez al</w:t>
      </w:r>
      <w:r>
        <w:rPr>
          <w:rFonts w:ascii="Calibri"/>
          <w:spacing w:val="49"/>
          <w:sz w:val="23"/>
        </w:rPr>
        <w:t> </w:t>
      </w:r>
      <w:r>
        <w:rPr>
          <w:rFonts w:ascii="Calibri"/>
          <w:sz w:val="23"/>
        </w:rPr>
        <w:t>Mes</w:t>
        <w:tab/>
        <w:t>otra</w:t>
      </w:r>
      <w:r>
        <w:rPr>
          <w:rFonts w:ascii="Calibri"/>
          <w:spacing w:val="-6"/>
          <w:sz w:val="23"/>
        </w:rPr>
        <w:t> </w:t>
      </w:r>
      <w:r>
        <w:rPr>
          <w:rFonts w:ascii="Calibri"/>
          <w:sz w:val="23"/>
        </w:rPr>
        <w:t>especifique</w:t>
      </w:r>
      <w:r>
        <w:rPr>
          <w:rFonts w:ascii="Calibri"/>
          <w:spacing w:val="1"/>
          <w:sz w:val="23"/>
        </w:rPr>
        <w:t> </w:t>
      </w:r>
      <w:r>
        <w:rPr>
          <w:rFonts w:ascii="Calibri"/>
          <w:w w:val="100"/>
          <w:sz w:val="23"/>
          <w:u w:val="single"/>
        </w:rPr>
        <w:t> </w:t>
      </w:r>
      <w:r>
        <w:rPr>
          <w:rFonts w:ascii="Calibri"/>
          <w:sz w:val="23"/>
          <w:u w:val="single"/>
        </w:rPr>
        <w:tab/>
      </w:r>
    </w:p>
    <w:p>
      <w:pPr>
        <w:pStyle w:val="BodyText"/>
        <w:rPr>
          <w:rFonts w:ascii="Calibri"/>
          <w:sz w:val="20"/>
        </w:rPr>
      </w:pPr>
    </w:p>
    <w:p>
      <w:pPr>
        <w:pStyle w:val="BodyText"/>
        <w:rPr>
          <w:rFonts w:ascii="Calibri"/>
          <w:sz w:val="20"/>
        </w:rPr>
      </w:pPr>
    </w:p>
    <w:p>
      <w:pPr>
        <w:pStyle w:val="BodyText"/>
        <w:spacing w:before="1"/>
        <w:rPr>
          <w:rFonts w:ascii="Calibri"/>
          <w:sz w:val="18"/>
        </w:rPr>
      </w:pPr>
    </w:p>
    <w:p>
      <w:pPr>
        <w:spacing w:before="54"/>
        <w:ind w:left="280" w:right="0" w:firstLine="0"/>
        <w:jc w:val="left"/>
        <w:rPr>
          <w:rFonts w:ascii="Calibri" w:hAnsi="Calibri"/>
          <w:b/>
          <w:i/>
          <w:sz w:val="23"/>
        </w:rPr>
      </w:pPr>
      <w:r>
        <w:rPr>
          <w:rFonts w:ascii="Calibri" w:hAnsi="Calibri"/>
          <w:b/>
          <w:i/>
          <w:sz w:val="23"/>
        </w:rPr>
        <w:t>Hábitos dietéticos</w:t>
      </w:r>
    </w:p>
    <w:p>
      <w:pPr>
        <w:pStyle w:val="BodyText"/>
        <w:spacing w:before="5"/>
        <w:rPr>
          <w:rFonts w:ascii="Calibri"/>
          <w:b/>
          <w:i/>
          <w:sz w:val="15"/>
        </w:rPr>
      </w:pPr>
    </w:p>
    <w:p>
      <w:pPr>
        <w:spacing w:after="0"/>
        <w:rPr>
          <w:rFonts w:ascii="Calibri"/>
          <w:sz w:val="15"/>
        </w:rPr>
        <w:sectPr>
          <w:pgSz w:w="12240" w:h="15840"/>
          <w:pgMar w:header="686" w:footer="964" w:top="1080" w:bottom="1160" w:left="1280" w:right="800"/>
        </w:sectPr>
      </w:pPr>
    </w:p>
    <w:p>
      <w:pPr>
        <w:tabs>
          <w:tab w:pos="2844" w:val="left" w:leader="none"/>
          <w:tab w:pos="3445" w:val="left" w:leader="none"/>
        </w:tabs>
        <w:spacing w:before="54"/>
        <w:ind w:left="280" w:right="0" w:firstLine="0"/>
        <w:jc w:val="left"/>
        <w:rPr>
          <w:rFonts w:ascii="Calibri"/>
          <w:i/>
          <w:sz w:val="23"/>
        </w:rPr>
      </w:pPr>
      <w:r>
        <w:rPr>
          <w:rFonts w:ascii="Calibri"/>
          <w:i/>
          <w:sz w:val="23"/>
        </w:rPr>
        <w:t>18.- Le dio</w:t>
      </w:r>
      <w:r>
        <w:rPr>
          <w:rFonts w:ascii="Calibri"/>
          <w:i/>
          <w:spacing w:val="-3"/>
          <w:sz w:val="23"/>
        </w:rPr>
        <w:t> </w:t>
      </w:r>
      <w:r>
        <w:rPr>
          <w:rFonts w:ascii="Calibri"/>
          <w:i/>
          <w:sz w:val="23"/>
        </w:rPr>
        <w:t>leche</w:t>
      </w:r>
      <w:r>
        <w:rPr>
          <w:rFonts w:ascii="Calibri"/>
          <w:i/>
          <w:spacing w:val="-4"/>
          <w:sz w:val="23"/>
        </w:rPr>
        <w:t> </w:t>
      </w:r>
      <w:r>
        <w:rPr>
          <w:rFonts w:ascii="Calibri"/>
          <w:i/>
          <w:sz w:val="23"/>
        </w:rPr>
        <w:t>materna</w:t>
        <w:tab/>
        <w:t>Si </w:t>
      </w:r>
      <w:r>
        <w:rPr>
          <w:rFonts w:ascii="Calibri"/>
          <w:i/>
          <w:w w:val="100"/>
          <w:sz w:val="23"/>
          <w:u w:val="single"/>
        </w:rPr>
        <w:t> </w:t>
      </w:r>
      <w:r>
        <w:rPr>
          <w:rFonts w:ascii="Calibri"/>
          <w:i/>
          <w:sz w:val="23"/>
          <w:u w:val="single"/>
        </w:rPr>
        <w:tab/>
      </w:r>
    </w:p>
    <w:p>
      <w:pPr>
        <w:tabs>
          <w:tab w:pos="1225" w:val="left" w:leader="none"/>
        </w:tabs>
        <w:spacing w:before="54"/>
        <w:ind w:left="68" w:right="0" w:firstLine="0"/>
        <w:jc w:val="left"/>
        <w:rPr>
          <w:rFonts w:ascii="Calibri"/>
          <w:i/>
          <w:sz w:val="23"/>
        </w:rPr>
      </w:pPr>
      <w:r>
        <w:rPr/>
        <w:br w:type="column"/>
      </w:r>
      <w:r>
        <w:rPr>
          <w:rFonts w:ascii="Calibri"/>
          <w:i/>
          <w:sz w:val="23"/>
        </w:rPr>
        <w:t>No  </w:t>
      </w:r>
      <w:r>
        <w:rPr>
          <w:rFonts w:ascii="Calibri"/>
          <w:i/>
          <w:spacing w:val="-2"/>
          <w:sz w:val="23"/>
        </w:rPr>
        <w:t> </w:t>
      </w:r>
      <w:r>
        <w:rPr>
          <w:rFonts w:ascii="Calibri"/>
          <w:i/>
          <w:w w:val="100"/>
          <w:sz w:val="23"/>
          <w:u w:val="single"/>
        </w:rPr>
        <w:t> </w:t>
      </w:r>
      <w:r>
        <w:rPr>
          <w:rFonts w:ascii="Calibri"/>
          <w:i/>
          <w:sz w:val="23"/>
          <w:u w:val="single"/>
        </w:rPr>
        <w:tab/>
      </w:r>
    </w:p>
    <w:p>
      <w:pPr>
        <w:tabs>
          <w:tab w:pos="793" w:val="left" w:leader="none"/>
          <w:tab w:pos="4240" w:val="left" w:leader="none"/>
        </w:tabs>
        <w:spacing w:before="54"/>
        <w:ind w:left="224" w:right="0" w:firstLine="0"/>
        <w:jc w:val="left"/>
        <w:rPr>
          <w:rFonts w:ascii="Calibri"/>
          <w:i/>
          <w:sz w:val="23"/>
        </w:rPr>
      </w:pPr>
      <w:r>
        <w:rPr/>
        <w:br w:type="column"/>
      </w:r>
      <w:r>
        <w:rPr>
          <w:rFonts w:ascii="Calibri"/>
          <w:i/>
          <w:sz w:val="23"/>
        </w:rPr>
        <w:t>19.-</w:t>
        <w:tab/>
        <w:t>Hasta que</w:t>
      </w:r>
      <w:r>
        <w:rPr>
          <w:rFonts w:ascii="Calibri"/>
          <w:i/>
          <w:spacing w:val="-5"/>
          <w:sz w:val="23"/>
        </w:rPr>
        <w:t> </w:t>
      </w:r>
      <w:r>
        <w:rPr>
          <w:rFonts w:ascii="Calibri"/>
          <w:i/>
          <w:sz w:val="23"/>
        </w:rPr>
        <w:t>edad </w:t>
      </w:r>
      <w:r>
        <w:rPr>
          <w:rFonts w:ascii="Calibri"/>
          <w:i/>
          <w:spacing w:val="1"/>
          <w:sz w:val="23"/>
        </w:rPr>
        <w:t> </w:t>
      </w:r>
      <w:r>
        <w:rPr>
          <w:rFonts w:ascii="Calibri"/>
          <w:i/>
          <w:w w:val="100"/>
          <w:sz w:val="23"/>
          <w:u w:val="single"/>
        </w:rPr>
        <w:t> </w:t>
      </w:r>
      <w:r>
        <w:rPr>
          <w:rFonts w:ascii="Calibri"/>
          <w:i/>
          <w:sz w:val="23"/>
          <w:u w:val="single"/>
        </w:rPr>
        <w:tab/>
      </w:r>
    </w:p>
    <w:p>
      <w:pPr>
        <w:spacing w:after="0"/>
        <w:jc w:val="left"/>
        <w:rPr>
          <w:rFonts w:ascii="Calibri"/>
          <w:sz w:val="23"/>
        </w:rPr>
        <w:sectPr>
          <w:type w:val="continuous"/>
          <w:pgSz w:w="12240" w:h="15840"/>
          <w:pgMar w:top="280" w:bottom="280" w:left="1280" w:right="800"/>
          <w:cols w:num="3" w:equalWidth="0">
            <w:col w:w="3446" w:space="40"/>
            <w:col w:w="1226" w:space="40"/>
            <w:col w:w="5408"/>
          </w:cols>
        </w:sectPr>
      </w:pPr>
    </w:p>
    <w:p>
      <w:pPr>
        <w:pStyle w:val="BodyText"/>
        <w:spacing w:before="5"/>
        <w:rPr>
          <w:rFonts w:ascii="Calibri"/>
          <w:i/>
          <w:sz w:val="15"/>
        </w:rPr>
      </w:pPr>
    </w:p>
    <w:p>
      <w:pPr>
        <w:spacing w:after="0"/>
        <w:rPr>
          <w:rFonts w:ascii="Calibri"/>
          <w:sz w:val="15"/>
        </w:rPr>
        <w:sectPr>
          <w:type w:val="continuous"/>
          <w:pgSz w:w="12240" w:h="15840"/>
          <w:pgMar w:top="280" w:bottom="280" w:left="1280" w:right="800"/>
        </w:sectPr>
      </w:pPr>
    </w:p>
    <w:p>
      <w:pPr>
        <w:tabs>
          <w:tab w:pos="3001" w:val="left" w:leader="none"/>
        </w:tabs>
        <w:spacing w:before="54"/>
        <w:ind w:left="280" w:right="0" w:firstLine="0"/>
        <w:jc w:val="left"/>
        <w:rPr>
          <w:rFonts w:ascii="Calibri" w:hAnsi="Calibri"/>
          <w:i/>
          <w:sz w:val="23"/>
        </w:rPr>
      </w:pPr>
      <w:r>
        <w:rPr>
          <w:rFonts w:ascii="Calibri" w:hAnsi="Calibri"/>
          <w:i/>
          <w:sz w:val="23"/>
        </w:rPr>
        <w:t>20.-Le dio biberón</w:t>
      </w:r>
      <w:r>
        <w:rPr>
          <w:rFonts w:ascii="Calibri" w:hAnsi="Calibri"/>
          <w:i/>
          <w:spacing w:val="46"/>
          <w:sz w:val="23"/>
        </w:rPr>
        <w:t> </w:t>
      </w:r>
      <w:r>
        <w:rPr>
          <w:rFonts w:ascii="Calibri" w:hAnsi="Calibri"/>
          <w:i/>
          <w:sz w:val="23"/>
        </w:rPr>
        <w:t>Si </w:t>
      </w:r>
      <w:r>
        <w:rPr>
          <w:rFonts w:ascii="Calibri" w:hAnsi="Calibri"/>
          <w:i/>
          <w:w w:val="100"/>
          <w:sz w:val="23"/>
          <w:u w:val="single"/>
        </w:rPr>
        <w:t> </w:t>
      </w:r>
      <w:r>
        <w:rPr>
          <w:rFonts w:ascii="Calibri" w:hAnsi="Calibri"/>
          <w:i/>
          <w:sz w:val="23"/>
          <w:u w:val="single"/>
        </w:rPr>
        <w:tab/>
      </w:r>
    </w:p>
    <w:p>
      <w:pPr>
        <w:tabs>
          <w:tab w:pos="1070" w:val="left" w:leader="none"/>
        </w:tabs>
        <w:spacing w:before="54"/>
        <w:ind w:left="68" w:right="0" w:firstLine="0"/>
        <w:jc w:val="left"/>
        <w:rPr>
          <w:rFonts w:ascii="Calibri"/>
          <w:i/>
          <w:sz w:val="23"/>
        </w:rPr>
      </w:pPr>
      <w:r>
        <w:rPr/>
        <w:br w:type="column"/>
      </w:r>
      <w:r>
        <w:rPr>
          <w:rFonts w:ascii="Calibri"/>
          <w:i/>
          <w:sz w:val="23"/>
        </w:rPr>
        <w:t>No</w:t>
      </w:r>
      <w:r>
        <w:rPr>
          <w:rFonts w:ascii="Calibri"/>
          <w:i/>
          <w:sz w:val="23"/>
          <w:u w:val="single"/>
        </w:rPr>
        <w:t> </w:t>
        <w:tab/>
      </w:r>
    </w:p>
    <w:p>
      <w:pPr>
        <w:tabs>
          <w:tab w:pos="721" w:val="left" w:leader="none"/>
          <w:tab w:pos="4459" w:val="left" w:leader="none"/>
        </w:tabs>
        <w:spacing w:before="54"/>
        <w:ind w:left="280" w:right="0" w:firstLine="0"/>
        <w:jc w:val="left"/>
        <w:rPr>
          <w:rFonts w:ascii="Calibri"/>
          <w:i/>
          <w:sz w:val="23"/>
        </w:rPr>
      </w:pPr>
      <w:r>
        <w:rPr/>
        <w:br w:type="column"/>
      </w:r>
      <w:r>
        <w:rPr>
          <w:rFonts w:ascii="Calibri"/>
          <w:i/>
          <w:sz w:val="23"/>
        </w:rPr>
        <w:t>21</w:t>
        <w:tab/>
        <w:t>Hasta que</w:t>
      </w:r>
      <w:r>
        <w:rPr>
          <w:rFonts w:ascii="Calibri"/>
          <w:i/>
          <w:spacing w:val="48"/>
          <w:sz w:val="23"/>
        </w:rPr>
        <w:t> </w:t>
      </w:r>
      <w:r>
        <w:rPr>
          <w:rFonts w:ascii="Calibri"/>
          <w:i/>
          <w:sz w:val="23"/>
        </w:rPr>
        <w:t>edad</w:t>
      </w:r>
      <w:r>
        <w:rPr>
          <w:rFonts w:ascii="Calibri"/>
          <w:i/>
          <w:sz w:val="23"/>
          <w:u w:val="single"/>
        </w:rPr>
        <w:t> </w:t>
        <w:tab/>
      </w:r>
    </w:p>
    <w:p>
      <w:pPr>
        <w:spacing w:after="0"/>
        <w:jc w:val="left"/>
        <w:rPr>
          <w:rFonts w:ascii="Calibri"/>
          <w:sz w:val="23"/>
        </w:rPr>
        <w:sectPr>
          <w:type w:val="continuous"/>
          <w:pgSz w:w="12240" w:h="15840"/>
          <w:pgMar w:top="280" w:bottom="280" w:left="1280" w:right="800"/>
          <w:cols w:num="3" w:equalWidth="0">
            <w:col w:w="3003" w:space="40"/>
            <w:col w:w="1071" w:space="452"/>
            <w:col w:w="5594"/>
          </w:cols>
        </w:sectPr>
      </w:pPr>
    </w:p>
    <w:p>
      <w:pPr>
        <w:pStyle w:val="BodyText"/>
        <w:spacing w:before="9"/>
        <w:rPr>
          <w:rFonts w:ascii="Calibri"/>
          <w:i/>
          <w:sz w:val="19"/>
        </w:rPr>
      </w:pPr>
    </w:p>
    <w:p>
      <w:pPr>
        <w:tabs>
          <w:tab w:pos="5767" w:val="left" w:leader="none"/>
          <w:tab w:pos="7609" w:val="left" w:leader="none"/>
        </w:tabs>
        <w:spacing w:before="4"/>
        <w:ind w:left="280" w:right="0" w:firstLine="0"/>
        <w:jc w:val="left"/>
        <w:rPr>
          <w:rFonts w:ascii="Calibri" w:hAnsi="Calibri"/>
          <w:i/>
          <w:sz w:val="23"/>
        </w:rPr>
      </w:pPr>
      <w:r>
        <w:rPr>
          <w:rFonts w:ascii="Calibri" w:hAnsi="Calibri"/>
          <w:i/>
          <w:sz w:val="23"/>
        </w:rPr>
        <w:t>22.-Si le dio biberón usted le agregaba azúcar</w:t>
      </w:r>
      <w:r>
        <w:rPr>
          <w:rFonts w:ascii="Calibri" w:hAnsi="Calibri"/>
          <w:i/>
          <w:spacing w:val="43"/>
          <w:sz w:val="23"/>
        </w:rPr>
        <w:t> </w:t>
      </w:r>
      <w:r>
        <w:rPr>
          <w:rFonts w:ascii="Calibri" w:hAnsi="Calibri"/>
          <w:i/>
          <w:sz w:val="23"/>
        </w:rPr>
        <w:t>o</w:t>
      </w:r>
      <w:r>
        <w:rPr>
          <w:rFonts w:ascii="Calibri" w:hAnsi="Calibri"/>
          <w:i/>
          <w:spacing w:val="-1"/>
          <w:sz w:val="23"/>
        </w:rPr>
        <w:t> </w:t>
      </w:r>
      <w:r>
        <w:rPr>
          <w:rFonts w:ascii="Calibri" w:hAnsi="Calibri"/>
          <w:i/>
          <w:sz w:val="23"/>
        </w:rPr>
        <w:t>miel</w:t>
        <w:tab/>
      </w:r>
      <w:r>
        <w:rPr>
          <w:rFonts w:ascii="Calibri" w:hAnsi="Calibri"/>
          <w:i/>
          <w:spacing w:val="-1"/>
          <w:sz w:val="23"/>
        </w:rPr>
        <w:t>SI  </w:t>
      </w:r>
      <w:r>
        <w:rPr>
          <w:rFonts w:ascii="Calibri" w:hAnsi="Calibri"/>
          <w:i/>
          <w:spacing w:val="-3"/>
          <w:position w:val="1"/>
          <w:sz w:val="23"/>
        </w:rPr>
        <w:drawing>
          <wp:inline distT="0" distB="0" distL="0" distR="0">
            <wp:extent cx="146303" cy="164591"/>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40" cstate="print"/>
                    <a:stretch>
                      <a:fillRect/>
                    </a:stretch>
                  </pic:blipFill>
                  <pic:spPr>
                    <a:xfrm>
                      <a:off x="0" y="0"/>
                      <a:ext cx="146303" cy="164591"/>
                    </a:xfrm>
                    <a:prstGeom prst="rect">
                      <a:avLst/>
                    </a:prstGeom>
                  </pic:spPr>
                </pic:pic>
              </a:graphicData>
            </a:graphic>
          </wp:inline>
        </w:drawing>
      </w:r>
      <w:r>
        <w:rPr>
          <w:rFonts w:ascii="Calibri" w:hAnsi="Calibri"/>
          <w:i/>
          <w:spacing w:val="-3"/>
          <w:position w:val="1"/>
          <w:sz w:val="23"/>
        </w:rPr>
      </w:r>
      <w:r>
        <w:rPr>
          <w:rFonts w:ascii="Times New Roman" w:hAnsi="Times New Roman"/>
          <w:spacing w:val="-3"/>
          <w:sz w:val="23"/>
        </w:rPr>
        <w:t>             </w:t>
      </w:r>
      <w:r>
        <w:rPr>
          <w:rFonts w:ascii="Calibri" w:hAnsi="Calibri"/>
          <w:i/>
          <w:sz w:val="23"/>
        </w:rPr>
        <w:t>NO</w:t>
        <w:tab/>
      </w:r>
      <w:r>
        <w:rPr>
          <w:rFonts w:ascii="Calibri" w:hAnsi="Calibri"/>
          <w:i/>
          <w:position w:val="1"/>
          <w:sz w:val="23"/>
        </w:rPr>
        <w:drawing>
          <wp:inline distT="0" distB="0" distL="0" distR="0">
            <wp:extent cx="146303" cy="164591"/>
            <wp:effectExtent l="0" t="0" r="0" b="0"/>
            <wp:docPr id="11" name="image5.png" descr=""/>
            <wp:cNvGraphicFramePr>
              <a:graphicFrameLocks noChangeAspect="1"/>
            </wp:cNvGraphicFramePr>
            <a:graphic>
              <a:graphicData uri="http://schemas.openxmlformats.org/drawingml/2006/picture">
                <pic:pic>
                  <pic:nvPicPr>
                    <pic:cNvPr id="12" name="image5.png"/>
                    <pic:cNvPicPr/>
                  </pic:nvPicPr>
                  <pic:blipFill>
                    <a:blip r:embed="rId40" cstate="print"/>
                    <a:stretch>
                      <a:fillRect/>
                    </a:stretch>
                  </pic:blipFill>
                  <pic:spPr>
                    <a:xfrm>
                      <a:off x="0" y="0"/>
                      <a:ext cx="146303" cy="164591"/>
                    </a:xfrm>
                    <a:prstGeom prst="rect">
                      <a:avLst/>
                    </a:prstGeom>
                  </pic:spPr>
                </pic:pic>
              </a:graphicData>
            </a:graphic>
          </wp:inline>
        </w:drawing>
      </w:r>
      <w:r>
        <w:rPr>
          <w:rFonts w:ascii="Calibri" w:hAnsi="Calibri"/>
          <w:i/>
          <w:position w:val="1"/>
          <w:sz w:val="23"/>
        </w:rPr>
      </w:r>
    </w:p>
    <w:p>
      <w:pPr>
        <w:pStyle w:val="BodyText"/>
        <w:rPr>
          <w:rFonts w:ascii="Calibri"/>
          <w:i/>
          <w:sz w:val="20"/>
        </w:rPr>
      </w:pPr>
    </w:p>
    <w:p>
      <w:pPr>
        <w:pStyle w:val="BodyText"/>
        <w:rPr>
          <w:rFonts w:ascii="Calibri"/>
          <w:i/>
          <w:sz w:val="20"/>
        </w:rPr>
      </w:pPr>
    </w:p>
    <w:p>
      <w:pPr>
        <w:pStyle w:val="BodyText"/>
        <w:spacing w:before="8"/>
        <w:rPr>
          <w:rFonts w:ascii="Calibri"/>
          <w:i/>
          <w:sz w:val="18"/>
        </w:rPr>
      </w:pPr>
      <w:r>
        <w:rPr/>
        <w:pict>
          <v:rect style="position:absolute;margin-left:70.919998pt;margin-top:13.877588pt;width:488.88pt;height:85.32pt;mso-position-horizontal-relative:page;mso-position-vertical-relative:paragraph;z-index:2992;mso-wrap-distance-left:0;mso-wrap-distance-right:0" filled="false" stroked="true" strokeweight=".96pt" strokecolor="#2c2c2c">
            <w10:wrap type="topAndBottom"/>
          </v:rect>
        </w:pict>
      </w:r>
    </w:p>
    <w:p>
      <w:pPr>
        <w:spacing w:before="0"/>
        <w:ind w:left="280" w:right="0" w:firstLine="0"/>
        <w:jc w:val="left"/>
        <w:rPr>
          <w:rFonts w:ascii="Calibri" w:hAnsi="Calibri"/>
          <w:sz w:val="23"/>
        </w:rPr>
      </w:pPr>
      <w:r>
        <w:rPr>
          <w:rFonts w:ascii="Calibri" w:hAnsi="Calibri"/>
          <w:sz w:val="23"/>
        </w:rPr>
        <w:t>Enliste todo lo que el niño comió ayer  y la hora aproximada</w:t>
      </w:r>
    </w:p>
    <w:p>
      <w:pPr>
        <w:pStyle w:val="BodyText"/>
        <w:rPr>
          <w:rFonts w:ascii="Calibri"/>
          <w:sz w:val="22"/>
        </w:rPr>
      </w:pPr>
    </w:p>
    <w:p>
      <w:pPr>
        <w:pStyle w:val="BodyText"/>
        <w:rPr>
          <w:rFonts w:ascii="Calibri"/>
          <w:sz w:val="22"/>
        </w:rPr>
      </w:pPr>
    </w:p>
    <w:p>
      <w:pPr>
        <w:pStyle w:val="BodyText"/>
        <w:spacing w:before="8"/>
        <w:rPr>
          <w:rFonts w:ascii="Calibri"/>
          <w:sz w:val="18"/>
        </w:rPr>
      </w:pPr>
    </w:p>
    <w:p>
      <w:pPr>
        <w:spacing w:before="1"/>
        <w:ind w:left="280" w:right="0" w:firstLine="0"/>
        <w:jc w:val="left"/>
        <w:rPr>
          <w:rFonts w:ascii="Calibri" w:hAnsi="Calibri"/>
          <w:sz w:val="23"/>
        </w:rPr>
      </w:pPr>
      <w:r>
        <w:rPr>
          <w:rFonts w:ascii="Calibri" w:hAnsi="Calibri"/>
          <w:sz w:val="23"/>
        </w:rPr>
        <w:t>¿Que comió antes de ir a dormir</w:t>
      </w:r>
    </w:p>
    <w:p>
      <w:pPr>
        <w:pStyle w:val="BodyText"/>
        <w:spacing w:before="6"/>
        <w:rPr>
          <w:rFonts w:ascii="Calibri"/>
          <w:sz w:val="18"/>
        </w:rPr>
      </w:pPr>
      <w:r>
        <w:rPr/>
        <w:pict>
          <v:rect style="position:absolute;margin-left:70.919998pt;margin-top:13.781632pt;width:494.76pt;height:44.4pt;mso-position-horizontal-relative:page;mso-position-vertical-relative:paragraph;z-index:3016;mso-wrap-distance-left:0;mso-wrap-distance-right:0" filled="false" stroked="true" strokeweight=".96pt" strokecolor="#2c2c2c">
            <w10:wrap type="topAndBottom"/>
          </v:rect>
        </w:pict>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19"/>
        </w:rPr>
      </w:pPr>
    </w:p>
    <w:p>
      <w:pPr>
        <w:spacing w:before="0"/>
        <w:ind w:left="280" w:right="0" w:firstLine="0"/>
        <w:jc w:val="left"/>
        <w:rPr>
          <w:rFonts w:ascii="Calibri"/>
          <w:sz w:val="23"/>
        </w:rPr>
      </w:pPr>
      <w:r>
        <w:rPr>
          <w:rFonts w:ascii="Calibri"/>
          <w:sz w:val="23"/>
        </w:rPr>
        <w:t>Nota:</w:t>
      </w:r>
    </w:p>
    <w:p>
      <w:pPr>
        <w:pStyle w:val="BodyText"/>
        <w:rPr>
          <w:rFonts w:ascii="Calibri"/>
          <w:sz w:val="22"/>
        </w:rPr>
      </w:pPr>
    </w:p>
    <w:p>
      <w:pPr>
        <w:pStyle w:val="BodyText"/>
        <w:rPr>
          <w:rFonts w:ascii="Calibri"/>
          <w:sz w:val="22"/>
        </w:rPr>
      </w:pPr>
    </w:p>
    <w:p>
      <w:pPr>
        <w:pStyle w:val="BodyText"/>
        <w:spacing w:before="6"/>
        <w:rPr>
          <w:rFonts w:ascii="Calibri"/>
          <w:sz w:val="18"/>
        </w:rPr>
      </w:pPr>
    </w:p>
    <w:p>
      <w:pPr>
        <w:tabs>
          <w:tab w:pos="3040" w:val="left" w:leader="none"/>
          <w:tab w:pos="4060" w:val="left" w:leader="none"/>
        </w:tabs>
        <w:spacing w:before="0"/>
        <w:ind w:left="280" w:right="0" w:firstLine="0"/>
        <w:jc w:val="left"/>
        <w:rPr>
          <w:rFonts w:ascii="Calibri" w:hAnsi="Calibri"/>
          <w:sz w:val="23"/>
        </w:rPr>
      </w:pPr>
      <w:r>
        <w:rPr/>
        <w:pict>
          <v:rect style="position:absolute;margin-left:246pt;margin-top:.679711pt;width:10.8pt;height:11.64pt;mso-position-horizontal-relative:page;mso-position-vertical-relative:paragraph;z-index:-142960" filled="false" stroked="true" strokeweight=".96pt" strokecolor="#2c2c2c">
            <w10:wrap type="none"/>
          </v:rect>
        </w:pict>
      </w:r>
      <w:r>
        <w:rPr/>
        <w:pict>
          <v:rect style="position:absolute;margin-left:195pt;margin-top:.919711pt;width:10.8pt;height:11.76pt;mso-position-horizontal-relative:page;mso-position-vertical-relative:paragraph;z-index:-142936" filled="false" stroked="true" strokeweight=".96pt" strokecolor="#2c2c2c">
            <w10:wrap type="none"/>
          </v:rect>
        </w:pict>
      </w:r>
      <w:r>
        <w:rPr>
          <w:rFonts w:ascii="Calibri" w:hAnsi="Calibri"/>
          <w:sz w:val="23"/>
        </w:rPr>
        <w:t>23.-  Mamá</w:t>
      </w:r>
      <w:r>
        <w:rPr>
          <w:rFonts w:ascii="Calibri" w:hAnsi="Calibri"/>
          <w:spacing w:val="-4"/>
          <w:sz w:val="23"/>
        </w:rPr>
        <w:t> </w:t>
      </w:r>
      <w:r>
        <w:rPr>
          <w:rFonts w:ascii="Calibri" w:hAnsi="Calibri"/>
          <w:sz w:val="23"/>
        </w:rPr>
        <w:t>con</w:t>
      </w:r>
      <w:r>
        <w:rPr>
          <w:rFonts w:ascii="Calibri" w:hAnsi="Calibri"/>
          <w:spacing w:val="-2"/>
          <w:sz w:val="23"/>
        </w:rPr>
        <w:t> </w:t>
      </w:r>
      <w:r>
        <w:rPr>
          <w:rFonts w:ascii="Calibri" w:hAnsi="Calibri"/>
          <w:sz w:val="23"/>
        </w:rPr>
        <w:t>caries</w:t>
        <w:tab/>
        <w:t>Si</w:t>
        <w:tab/>
        <w:t>No</w:t>
      </w:r>
    </w:p>
    <w:p>
      <w:pPr>
        <w:pStyle w:val="BodyText"/>
        <w:spacing w:before="11"/>
        <w:rPr>
          <w:rFonts w:ascii="Calibri"/>
          <w:sz w:val="19"/>
        </w:rPr>
      </w:pPr>
    </w:p>
    <w:p>
      <w:pPr>
        <w:tabs>
          <w:tab w:pos="4053" w:val="left" w:leader="none"/>
          <w:tab w:pos="5082" w:val="left" w:leader="none"/>
        </w:tabs>
        <w:spacing w:before="0"/>
        <w:ind w:left="280" w:right="0" w:firstLine="0"/>
        <w:jc w:val="left"/>
        <w:rPr>
          <w:rFonts w:ascii="Calibri" w:hAnsi="Calibri"/>
          <w:sz w:val="23"/>
        </w:rPr>
      </w:pPr>
      <w:r>
        <w:rPr/>
        <w:pict>
          <v:rect style="position:absolute;margin-left:195.119995pt;margin-top:-3.430292pt;width:10.8pt;height:11.76pt;mso-position-horizontal-relative:page;mso-position-vertical-relative:paragraph;z-index:-142912" filled="false" stroked="true" strokeweight=".96pt" strokecolor="#2c2c2c">
            <w10:wrap type="none"/>
          </v:rect>
        </w:pict>
      </w:r>
      <w:r>
        <w:rPr/>
        <w:pict>
          <v:rect style="position:absolute;margin-left:245.639999pt;margin-top:-3.430292pt;width:10.92pt;height:11.76pt;mso-position-horizontal-relative:page;mso-position-vertical-relative:paragraph;z-index:-142888" filled="false" stroked="true" strokeweight=".96pt" strokecolor="#2c2c2c">
            <w10:wrap type="none"/>
          </v:rect>
        </w:pict>
      </w:r>
      <w:r>
        <w:rPr>
          <w:rFonts w:ascii="Calibri" w:hAnsi="Calibri"/>
          <w:sz w:val="23"/>
        </w:rPr>
        <w:t>24.-</w:t>
      </w:r>
      <w:r>
        <w:rPr>
          <w:rFonts w:ascii="Calibri" w:hAnsi="Calibri"/>
          <w:spacing w:val="-2"/>
          <w:sz w:val="23"/>
        </w:rPr>
        <w:t> </w:t>
      </w:r>
      <w:r>
        <w:rPr>
          <w:rFonts w:ascii="Calibri" w:hAnsi="Calibri"/>
          <w:sz w:val="23"/>
        </w:rPr>
        <w:t>Mamá</w:t>
      </w:r>
      <w:r>
        <w:rPr>
          <w:rFonts w:ascii="Calibri" w:hAnsi="Calibri"/>
          <w:spacing w:val="-3"/>
          <w:sz w:val="23"/>
        </w:rPr>
        <w:t> </w:t>
      </w:r>
      <w:r>
        <w:rPr>
          <w:rFonts w:ascii="Calibri" w:hAnsi="Calibri"/>
          <w:sz w:val="23"/>
        </w:rPr>
        <w:t>con</w:t>
        <w:tab/>
        <w:t>gingivitis</w:t>
        <w:tab/>
        <w:t>Si</w:t>
      </w:r>
      <w:r>
        <w:rPr>
          <w:rFonts w:ascii="Calibri" w:hAnsi="Calibri"/>
          <w:spacing w:val="49"/>
          <w:sz w:val="23"/>
        </w:rPr>
        <w:t> </w:t>
      </w:r>
      <w:r>
        <w:rPr>
          <w:rFonts w:ascii="Calibri" w:hAnsi="Calibri"/>
          <w:sz w:val="23"/>
        </w:rPr>
        <w:t>No</w:t>
      </w:r>
    </w:p>
    <w:p>
      <w:pPr>
        <w:spacing w:after="0"/>
        <w:jc w:val="left"/>
        <w:rPr>
          <w:rFonts w:ascii="Calibri" w:hAnsi="Calibri"/>
          <w:sz w:val="23"/>
        </w:rPr>
        <w:sectPr>
          <w:type w:val="continuous"/>
          <w:pgSz w:w="12240" w:h="15840"/>
          <w:pgMar w:top="280" w:bottom="280" w:left="1280" w:right="800"/>
        </w:sectPr>
      </w:pPr>
    </w:p>
    <w:p>
      <w:pPr>
        <w:pStyle w:val="BodyText"/>
        <w:rPr>
          <w:rFonts w:ascii="Calibri"/>
          <w:sz w:val="20"/>
        </w:rPr>
      </w:pPr>
      <w:r>
        <w:rPr/>
        <w:drawing>
          <wp:anchor distT="0" distB="0" distL="0" distR="0" allowOverlap="1" layoutInCell="1" locked="0" behindDoc="0" simplePos="0" relativeHeight="3256">
            <wp:simplePos x="0" y="0"/>
            <wp:positionH relativeFrom="page">
              <wp:posOffset>1516633</wp:posOffset>
            </wp:positionH>
            <wp:positionV relativeFrom="page">
              <wp:posOffset>4467478</wp:posOffset>
            </wp:positionV>
            <wp:extent cx="443933" cy="171450"/>
            <wp:effectExtent l="0" t="0" r="0" b="0"/>
            <wp:wrapNone/>
            <wp:docPr id="13" name="image6.png" descr=""/>
            <wp:cNvGraphicFramePr>
              <a:graphicFrameLocks noChangeAspect="1"/>
            </wp:cNvGraphicFramePr>
            <a:graphic>
              <a:graphicData uri="http://schemas.openxmlformats.org/drawingml/2006/picture">
                <pic:pic>
                  <pic:nvPicPr>
                    <pic:cNvPr id="14" name="image6.png"/>
                    <pic:cNvPicPr/>
                  </pic:nvPicPr>
                  <pic:blipFill>
                    <a:blip r:embed="rId41" cstate="print"/>
                    <a:stretch>
                      <a:fillRect/>
                    </a:stretch>
                  </pic:blipFill>
                  <pic:spPr>
                    <a:xfrm>
                      <a:off x="0" y="0"/>
                      <a:ext cx="443933" cy="171450"/>
                    </a:xfrm>
                    <a:prstGeom prst="rect">
                      <a:avLst/>
                    </a:prstGeom>
                  </pic:spPr>
                </pic:pic>
              </a:graphicData>
            </a:graphic>
          </wp:anchor>
        </w:drawing>
      </w:r>
      <w:r>
        <w:rPr/>
        <w:drawing>
          <wp:anchor distT="0" distB="0" distL="0" distR="0" allowOverlap="1" layoutInCell="1" locked="0" behindDoc="0" simplePos="0" relativeHeight="3280">
            <wp:simplePos x="0" y="0"/>
            <wp:positionH relativeFrom="page">
              <wp:posOffset>1516633</wp:posOffset>
            </wp:positionH>
            <wp:positionV relativeFrom="page">
              <wp:posOffset>7445629</wp:posOffset>
            </wp:positionV>
            <wp:extent cx="443933" cy="171450"/>
            <wp:effectExtent l="0" t="0" r="0" b="0"/>
            <wp:wrapNone/>
            <wp:docPr id="15" name="image7.png" descr=""/>
            <wp:cNvGraphicFramePr>
              <a:graphicFrameLocks noChangeAspect="1"/>
            </wp:cNvGraphicFramePr>
            <a:graphic>
              <a:graphicData uri="http://schemas.openxmlformats.org/drawingml/2006/picture">
                <pic:pic>
                  <pic:nvPicPr>
                    <pic:cNvPr id="16" name="image7.png"/>
                    <pic:cNvPicPr/>
                  </pic:nvPicPr>
                  <pic:blipFill>
                    <a:blip r:embed="rId42" cstate="print"/>
                    <a:stretch>
                      <a:fillRect/>
                    </a:stretch>
                  </pic:blipFill>
                  <pic:spPr>
                    <a:xfrm>
                      <a:off x="0" y="0"/>
                      <a:ext cx="443933" cy="171450"/>
                    </a:xfrm>
                    <a:prstGeom prst="rect">
                      <a:avLst/>
                    </a:prstGeom>
                  </pic:spPr>
                </pic:pic>
              </a:graphicData>
            </a:graphic>
          </wp:anchor>
        </w:drawing>
      </w:r>
      <w:r>
        <w:rPr/>
        <w:pict>
          <v:shape style="position:absolute;margin-left:414.790009pt;margin-top:200.300003pt;width:77.55pt;height:68.350pt;mso-position-horizontal-relative:page;mso-position-vertical-relative:page;z-index:332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1057"/>
                  </w:tblGrid>
                  <w:tr>
                    <w:trPr>
                      <w:trHeight w:val="226" w:hRule="exact"/>
                    </w:trPr>
                    <w:tc>
                      <w:tcPr>
                        <w:tcW w:w="1537" w:type="dxa"/>
                        <w:gridSpan w:val="2"/>
                      </w:tcPr>
                      <w:p>
                        <w:pPr>
                          <w:pStyle w:val="TableParagraph"/>
                          <w:spacing w:line="159" w:lineRule="exact"/>
                          <w:ind w:left="441"/>
                          <w:rPr>
                            <w:rFonts w:ascii="Arial"/>
                            <w:sz w:val="14"/>
                          </w:rPr>
                        </w:pPr>
                        <w:r>
                          <w:rPr>
                            <w:rFonts w:ascii="Arial"/>
                            <w:sz w:val="14"/>
                          </w:rPr>
                          <w:t>Abreviaturas</w:t>
                        </w:r>
                      </w:p>
                    </w:tc>
                  </w:tr>
                  <w:tr>
                    <w:trPr>
                      <w:trHeight w:val="226" w:hRule="exact"/>
                    </w:trPr>
                    <w:tc>
                      <w:tcPr>
                        <w:tcW w:w="480" w:type="dxa"/>
                      </w:tcPr>
                      <w:p>
                        <w:pPr>
                          <w:pStyle w:val="TableParagraph"/>
                          <w:spacing w:line="159" w:lineRule="exact"/>
                          <w:ind w:right="108"/>
                          <w:jc w:val="right"/>
                          <w:rPr>
                            <w:rFonts w:ascii="Arial"/>
                            <w:sz w:val="14"/>
                          </w:rPr>
                        </w:pPr>
                        <w:r>
                          <w:rPr>
                            <w:rFonts w:ascii="Arial"/>
                            <w:w w:val="99"/>
                            <w:sz w:val="14"/>
                          </w:rPr>
                          <w:t>O</w:t>
                        </w:r>
                      </w:p>
                    </w:tc>
                    <w:tc>
                      <w:tcPr>
                        <w:tcW w:w="1057" w:type="dxa"/>
                      </w:tcPr>
                      <w:p>
                        <w:pPr>
                          <w:pStyle w:val="TableParagraph"/>
                          <w:spacing w:line="159" w:lineRule="exact"/>
                          <w:ind w:left="244" w:right="108"/>
                          <w:jc w:val="center"/>
                          <w:rPr>
                            <w:rFonts w:ascii="Arial"/>
                            <w:sz w:val="14"/>
                          </w:rPr>
                        </w:pPr>
                        <w:r>
                          <w:rPr>
                            <w:rFonts w:ascii="Arial"/>
                            <w:sz w:val="14"/>
                          </w:rPr>
                          <w:t>OCLUSAL</w:t>
                        </w:r>
                      </w:p>
                    </w:tc>
                  </w:tr>
                  <w:tr>
                    <w:trPr>
                      <w:trHeight w:val="226" w:hRule="exact"/>
                    </w:trPr>
                    <w:tc>
                      <w:tcPr>
                        <w:tcW w:w="480" w:type="dxa"/>
                      </w:tcPr>
                      <w:p>
                        <w:pPr>
                          <w:pStyle w:val="TableParagraph"/>
                          <w:spacing w:line="159" w:lineRule="exact"/>
                          <w:ind w:right="105"/>
                          <w:jc w:val="right"/>
                          <w:rPr>
                            <w:rFonts w:ascii="Arial"/>
                            <w:sz w:val="14"/>
                          </w:rPr>
                        </w:pPr>
                        <w:r>
                          <w:rPr>
                            <w:rFonts w:ascii="Arial"/>
                            <w:w w:val="99"/>
                            <w:sz w:val="14"/>
                          </w:rPr>
                          <w:t>M</w:t>
                        </w:r>
                      </w:p>
                    </w:tc>
                    <w:tc>
                      <w:tcPr>
                        <w:tcW w:w="1057" w:type="dxa"/>
                      </w:tcPr>
                      <w:p>
                        <w:pPr>
                          <w:pStyle w:val="TableParagraph"/>
                          <w:spacing w:line="159" w:lineRule="exact"/>
                          <w:ind w:left="244" w:right="103"/>
                          <w:jc w:val="center"/>
                          <w:rPr>
                            <w:rFonts w:ascii="Arial"/>
                            <w:sz w:val="14"/>
                          </w:rPr>
                        </w:pPr>
                        <w:r>
                          <w:rPr>
                            <w:rFonts w:ascii="Arial"/>
                            <w:sz w:val="14"/>
                          </w:rPr>
                          <w:t>MESIAL</w:t>
                        </w:r>
                      </w:p>
                    </w:tc>
                  </w:tr>
                  <w:tr>
                    <w:trPr>
                      <w:trHeight w:val="214" w:hRule="exact"/>
                    </w:trPr>
                    <w:tc>
                      <w:tcPr>
                        <w:tcW w:w="480" w:type="dxa"/>
                      </w:tcPr>
                      <w:p>
                        <w:pPr>
                          <w:pStyle w:val="TableParagraph"/>
                          <w:spacing w:line="159" w:lineRule="exact"/>
                          <w:ind w:right="113"/>
                          <w:jc w:val="right"/>
                          <w:rPr>
                            <w:rFonts w:ascii="Arial"/>
                            <w:sz w:val="14"/>
                          </w:rPr>
                        </w:pPr>
                        <w:r>
                          <w:rPr>
                            <w:rFonts w:ascii="Arial"/>
                            <w:w w:val="99"/>
                            <w:sz w:val="14"/>
                          </w:rPr>
                          <w:t>D</w:t>
                        </w:r>
                      </w:p>
                    </w:tc>
                    <w:tc>
                      <w:tcPr>
                        <w:tcW w:w="1057" w:type="dxa"/>
                      </w:tcPr>
                      <w:p>
                        <w:pPr>
                          <w:pStyle w:val="TableParagraph"/>
                          <w:spacing w:line="159" w:lineRule="exact"/>
                          <w:ind w:left="244" w:right="108"/>
                          <w:jc w:val="center"/>
                          <w:rPr>
                            <w:rFonts w:ascii="Arial"/>
                            <w:sz w:val="14"/>
                          </w:rPr>
                        </w:pPr>
                        <w:r>
                          <w:rPr>
                            <w:rFonts w:ascii="Arial"/>
                            <w:sz w:val="14"/>
                          </w:rPr>
                          <w:t>DISTAL</w:t>
                        </w:r>
                      </w:p>
                    </w:tc>
                  </w:tr>
                  <w:tr>
                    <w:trPr>
                      <w:trHeight w:val="229" w:hRule="exact"/>
                    </w:trPr>
                    <w:tc>
                      <w:tcPr>
                        <w:tcW w:w="480" w:type="dxa"/>
                      </w:tcPr>
                      <w:p>
                        <w:pPr>
                          <w:pStyle w:val="TableParagraph"/>
                          <w:ind w:right="116"/>
                          <w:jc w:val="right"/>
                          <w:rPr>
                            <w:rFonts w:ascii="Arial"/>
                            <w:sz w:val="14"/>
                          </w:rPr>
                        </w:pPr>
                        <w:r>
                          <w:rPr>
                            <w:rFonts w:ascii="Arial"/>
                            <w:w w:val="99"/>
                            <w:sz w:val="14"/>
                          </w:rPr>
                          <w:t>B</w:t>
                        </w:r>
                      </w:p>
                    </w:tc>
                    <w:tc>
                      <w:tcPr>
                        <w:tcW w:w="1057" w:type="dxa"/>
                      </w:tcPr>
                      <w:p>
                        <w:pPr>
                          <w:pStyle w:val="TableParagraph"/>
                          <w:ind w:left="244" w:right="106"/>
                          <w:jc w:val="center"/>
                          <w:rPr>
                            <w:rFonts w:ascii="Arial"/>
                            <w:sz w:val="14"/>
                          </w:rPr>
                        </w:pPr>
                        <w:r>
                          <w:rPr>
                            <w:rFonts w:ascii="Arial"/>
                            <w:sz w:val="14"/>
                          </w:rPr>
                          <w:t>BUCAL</w:t>
                        </w:r>
                      </w:p>
                    </w:tc>
                  </w:tr>
                  <w:tr>
                    <w:trPr>
                      <w:trHeight w:val="238" w:hRule="exact"/>
                    </w:trPr>
                    <w:tc>
                      <w:tcPr>
                        <w:tcW w:w="480" w:type="dxa"/>
                      </w:tcPr>
                      <w:p>
                        <w:pPr>
                          <w:pStyle w:val="TableParagraph"/>
                          <w:spacing w:line="159" w:lineRule="exact"/>
                          <w:ind w:right="124"/>
                          <w:jc w:val="right"/>
                          <w:rPr>
                            <w:rFonts w:ascii="Arial"/>
                            <w:sz w:val="14"/>
                          </w:rPr>
                        </w:pPr>
                        <w:r>
                          <w:rPr>
                            <w:rFonts w:ascii="Arial"/>
                            <w:w w:val="99"/>
                            <w:sz w:val="14"/>
                          </w:rPr>
                          <w:t>L</w:t>
                        </w:r>
                      </w:p>
                    </w:tc>
                    <w:tc>
                      <w:tcPr>
                        <w:tcW w:w="1057" w:type="dxa"/>
                      </w:tcPr>
                      <w:p>
                        <w:pPr>
                          <w:pStyle w:val="TableParagraph"/>
                          <w:spacing w:line="159" w:lineRule="exact"/>
                          <w:ind w:left="244" w:right="107"/>
                          <w:jc w:val="center"/>
                          <w:rPr>
                            <w:rFonts w:ascii="Arial"/>
                            <w:sz w:val="14"/>
                          </w:rPr>
                        </w:pPr>
                        <w:r>
                          <w:rPr>
                            <w:rFonts w:ascii="Arial"/>
                            <w:sz w:val="14"/>
                          </w:rPr>
                          <w:t>LINGUA</w:t>
                        </w:r>
                      </w:p>
                    </w:tc>
                  </w:tr>
                </w:tbl>
                <w:p>
                  <w:pPr>
                    <w:pStyle w:val="BodyText"/>
                  </w:pPr>
                </w:p>
              </w:txbxContent>
            </v:textbox>
            <w10:wrap type="none"/>
          </v:shape>
        </w:pict>
      </w:r>
      <w:r>
        <w:rPr/>
        <w:pict>
          <v:shape style="position:absolute;margin-left:322.010010pt;margin-top:291.410004pt;width:240.3pt;height:279.4pt;mso-position-horizontal-relative:page;mso-position-vertical-relative:page;z-index:33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3"/>
                    <w:gridCol w:w="2269"/>
                  </w:tblGrid>
                  <w:tr>
                    <w:trPr>
                      <w:trHeight w:val="132" w:hRule="exact"/>
                    </w:trPr>
                    <w:tc>
                      <w:tcPr>
                        <w:tcW w:w="2523" w:type="dxa"/>
                        <w:tcBorders>
                          <w:right w:val="nil"/>
                        </w:tcBorders>
                      </w:tcPr>
                      <w:p>
                        <w:pPr>
                          <w:pStyle w:val="TableParagraph"/>
                          <w:spacing w:line="112" w:lineRule="exact"/>
                          <w:ind w:right="65"/>
                          <w:jc w:val="right"/>
                          <w:rPr>
                            <w:rFonts w:ascii="Arial" w:hAnsi="Arial"/>
                            <w:sz w:val="10"/>
                          </w:rPr>
                        </w:pPr>
                        <w:r>
                          <w:rPr>
                            <w:rFonts w:ascii="Arial" w:hAnsi="Arial"/>
                            <w:sz w:val="10"/>
                          </w:rPr>
                          <w:t>Códigos</w:t>
                        </w:r>
                      </w:p>
                    </w:tc>
                    <w:tc>
                      <w:tcPr>
                        <w:tcW w:w="2269" w:type="dxa"/>
                        <w:tcBorders>
                          <w:left w:val="nil"/>
                        </w:tcBorders>
                      </w:tcPr>
                      <w:p>
                        <w:pPr>
                          <w:pStyle w:val="TableParagraph"/>
                          <w:spacing w:line="112" w:lineRule="exact"/>
                          <w:ind w:left="16"/>
                          <w:rPr>
                            <w:rFonts w:ascii="Arial"/>
                            <w:sz w:val="10"/>
                          </w:rPr>
                        </w:pPr>
                        <w:r>
                          <w:rPr>
                            <w:rFonts w:ascii="Arial"/>
                            <w:sz w:val="10"/>
                          </w:rPr>
                          <w:t>ICDAS</w:t>
                        </w:r>
                      </w:p>
                    </w:tc>
                  </w:tr>
                  <w:tr>
                    <w:trPr>
                      <w:trHeight w:val="379" w:hRule="exact"/>
                    </w:trPr>
                    <w:tc>
                      <w:tcPr>
                        <w:tcW w:w="2523" w:type="dxa"/>
                      </w:tcPr>
                      <w:p>
                        <w:pPr>
                          <w:pStyle w:val="TableParagraph"/>
                          <w:ind w:left="244" w:right="159"/>
                          <w:rPr>
                            <w:rFonts w:ascii="Arial" w:hAnsi="Arial"/>
                            <w:sz w:val="16"/>
                          </w:rPr>
                        </w:pPr>
                        <w:r>
                          <w:rPr>
                            <w:rFonts w:ascii="Arial" w:hAnsi="Arial"/>
                            <w:sz w:val="16"/>
                          </w:rPr>
                          <w:t>Códigos de Restauraciones y Selladores</w:t>
                        </w:r>
                      </w:p>
                    </w:tc>
                    <w:tc>
                      <w:tcPr>
                        <w:tcW w:w="2269" w:type="dxa"/>
                      </w:tcPr>
                      <w:p>
                        <w:pPr>
                          <w:pStyle w:val="TableParagraph"/>
                          <w:spacing w:line="183" w:lineRule="exact"/>
                          <w:ind w:left="244" w:right="127"/>
                          <w:rPr>
                            <w:rFonts w:ascii="Arial" w:hAnsi="Arial"/>
                            <w:sz w:val="16"/>
                          </w:rPr>
                        </w:pPr>
                        <w:r>
                          <w:rPr>
                            <w:rFonts w:ascii="Arial" w:hAnsi="Arial"/>
                            <w:sz w:val="16"/>
                          </w:rPr>
                          <w:t>Códigos de Caries</w:t>
                        </w:r>
                      </w:p>
                    </w:tc>
                  </w:tr>
                  <w:tr>
                    <w:trPr>
                      <w:trHeight w:val="194" w:hRule="exact"/>
                    </w:trPr>
                    <w:tc>
                      <w:tcPr>
                        <w:tcW w:w="2523" w:type="dxa"/>
                      </w:tcPr>
                      <w:p>
                        <w:pPr>
                          <w:pStyle w:val="TableParagraph"/>
                          <w:spacing w:line="180" w:lineRule="exact"/>
                          <w:ind w:left="244" w:right="159"/>
                          <w:rPr>
                            <w:rFonts w:ascii="Arial"/>
                            <w:sz w:val="16"/>
                          </w:rPr>
                        </w:pPr>
                        <w:r>
                          <w:rPr>
                            <w:rFonts w:ascii="Arial"/>
                            <w:sz w:val="16"/>
                          </w:rPr>
                          <w:t>0= No sellado ni restaurado</w:t>
                        </w:r>
                      </w:p>
                    </w:tc>
                    <w:tc>
                      <w:tcPr>
                        <w:tcW w:w="2269" w:type="dxa"/>
                      </w:tcPr>
                      <w:p>
                        <w:pPr>
                          <w:pStyle w:val="TableParagraph"/>
                          <w:spacing w:line="180" w:lineRule="exact"/>
                          <w:ind w:left="244" w:right="127"/>
                          <w:rPr>
                            <w:rFonts w:ascii="Arial"/>
                            <w:sz w:val="16"/>
                          </w:rPr>
                        </w:pPr>
                        <w:r>
                          <w:rPr>
                            <w:rFonts w:ascii="Arial"/>
                            <w:sz w:val="16"/>
                          </w:rPr>
                          <w:t>0= Superficie dental sana</w:t>
                        </w:r>
                      </w:p>
                    </w:tc>
                  </w:tr>
                  <w:tr>
                    <w:trPr>
                      <w:trHeight w:val="562" w:hRule="exact"/>
                    </w:trPr>
                    <w:tc>
                      <w:tcPr>
                        <w:tcW w:w="2523" w:type="dxa"/>
                      </w:tcPr>
                      <w:p>
                        <w:pPr>
                          <w:pStyle w:val="TableParagraph"/>
                          <w:spacing w:line="180" w:lineRule="exact"/>
                          <w:ind w:left="244" w:right="159"/>
                          <w:rPr>
                            <w:rFonts w:ascii="Arial"/>
                            <w:sz w:val="16"/>
                          </w:rPr>
                        </w:pPr>
                        <w:r>
                          <w:rPr>
                            <w:rFonts w:ascii="Arial"/>
                            <w:sz w:val="16"/>
                          </w:rPr>
                          <w:t>1= Sellado parcialmente</w:t>
                        </w:r>
                      </w:p>
                    </w:tc>
                    <w:tc>
                      <w:tcPr>
                        <w:tcW w:w="2269" w:type="dxa"/>
                      </w:tcPr>
                      <w:p>
                        <w:pPr>
                          <w:pStyle w:val="TableParagraph"/>
                          <w:ind w:left="244" w:right="283"/>
                          <w:rPr>
                            <w:rFonts w:ascii="Arial"/>
                            <w:sz w:val="16"/>
                          </w:rPr>
                        </w:pPr>
                        <w:r>
                          <w:rPr>
                            <w:rFonts w:ascii="Arial"/>
                            <w:sz w:val="16"/>
                          </w:rPr>
                          <w:t>1= Primer cambio visual en el esmalte (visto en seco)</w:t>
                        </w:r>
                      </w:p>
                    </w:tc>
                  </w:tr>
                  <w:tr>
                    <w:trPr>
                      <w:trHeight w:val="377" w:hRule="exact"/>
                    </w:trPr>
                    <w:tc>
                      <w:tcPr>
                        <w:tcW w:w="2523" w:type="dxa"/>
                      </w:tcPr>
                      <w:p>
                        <w:pPr>
                          <w:pStyle w:val="TableParagraph"/>
                          <w:spacing w:line="180" w:lineRule="exact"/>
                          <w:ind w:left="244" w:right="159"/>
                          <w:rPr>
                            <w:rFonts w:ascii="Arial"/>
                            <w:sz w:val="16"/>
                          </w:rPr>
                        </w:pPr>
                        <w:r>
                          <w:rPr>
                            <w:rFonts w:ascii="Arial"/>
                            <w:sz w:val="16"/>
                          </w:rPr>
                          <w:t>2= Sellado Totalmente</w:t>
                        </w:r>
                      </w:p>
                    </w:tc>
                    <w:tc>
                      <w:tcPr>
                        <w:tcW w:w="2269" w:type="dxa"/>
                      </w:tcPr>
                      <w:p>
                        <w:pPr>
                          <w:pStyle w:val="TableParagraph"/>
                          <w:ind w:left="244" w:right="260"/>
                          <w:rPr>
                            <w:rFonts w:ascii="Arial"/>
                            <w:sz w:val="16"/>
                          </w:rPr>
                        </w:pPr>
                        <w:r>
                          <w:rPr>
                            <w:rFonts w:ascii="Arial"/>
                            <w:sz w:val="16"/>
                          </w:rPr>
                          <w:t>2= Cambio visible o detectable en el esmalte</w:t>
                        </w:r>
                      </w:p>
                    </w:tc>
                  </w:tr>
                  <w:tr>
                    <w:trPr>
                      <w:trHeight w:val="379" w:hRule="exact"/>
                    </w:trPr>
                    <w:tc>
                      <w:tcPr>
                        <w:tcW w:w="2523" w:type="dxa"/>
                      </w:tcPr>
                      <w:p>
                        <w:pPr>
                          <w:pStyle w:val="TableParagraph"/>
                          <w:ind w:left="244" w:right="216"/>
                          <w:rPr>
                            <w:rFonts w:ascii="Arial" w:hAnsi="Arial"/>
                            <w:sz w:val="16"/>
                          </w:rPr>
                        </w:pPr>
                        <w:r>
                          <w:rPr>
                            <w:rFonts w:ascii="Arial" w:hAnsi="Arial"/>
                            <w:sz w:val="16"/>
                          </w:rPr>
                          <w:t>3=Restauración del color del diente</w:t>
                        </w:r>
                      </w:p>
                    </w:tc>
                    <w:tc>
                      <w:tcPr>
                        <w:tcW w:w="2269" w:type="dxa"/>
                      </w:tcPr>
                      <w:p>
                        <w:pPr>
                          <w:pStyle w:val="TableParagraph"/>
                          <w:ind w:left="244" w:right="127"/>
                          <w:rPr>
                            <w:rFonts w:ascii="Arial"/>
                            <w:sz w:val="16"/>
                          </w:rPr>
                        </w:pPr>
                        <w:r>
                          <w:rPr>
                            <w:rFonts w:ascii="Arial"/>
                            <w:sz w:val="16"/>
                          </w:rPr>
                          <w:t>3= Ruptura localizada del esmalte sin dentina visible</w:t>
                        </w:r>
                      </w:p>
                    </w:tc>
                  </w:tr>
                  <w:tr>
                    <w:trPr>
                      <w:trHeight w:val="929" w:hRule="exact"/>
                    </w:trPr>
                    <w:tc>
                      <w:tcPr>
                        <w:tcW w:w="2523" w:type="dxa"/>
                      </w:tcPr>
                      <w:p>
                        <w:pPr>
                          <w:pStyle w:val="TableParagraph"/>
                          <w:ind w:left="244" w:right="777"/>
                          <w:rPr>
                            <w:rFonts w:ascii="Arial" w:hAnsi="Arial"/>
                            <w:sz w:val="16"/>
                          </w:rPr>
                        </w:pPr>
                        <w:r>
                          <w:rPr>
                            <w:rFonts w:ascii="Arial" w:hAnsi="Arial"/>
                            <w:sz w:val="16"/>
                          </w:rPr>
                          <w:t>4= Restauración con amalgama</w:t>
                        </w:r>
                      </w:p>
                    </w:tc>
                    <w:tc>
                      <w:tcPr>
                        <w:tcW w:w="2269" w:type="dxa"/>
                      </w:tcPr>
                      <w:p>
                        <w:pPr>
                          <w:pStyle w:val="TableParagraph"/>
                          <w:ind w:left="244" w:right="340"/>
                          <w:rPr>
                            <w:rFonts w:ascii="Arial"/>
                            <w:sz w:val="16"/>
                          </w:rPr>
                        </w:pPr>
                        <w:r>
                          <w:rPr>
                            <w:rFonts w:ascii="Arial"/>
                            <w:sz w:val="16"/>
                          </w:rPr>
                          <w:t>4= Sombra oscura subyacente de dentina. Dentina obscura (sin cavidad dentro de la dentina</w:t>
                        </w:r>
                      </w:p>
                    </w:tc>
                  </w:tr>
                  <w:tr>
                    <w:trPr>
                      <w:trHeight w:val="379" w:hRule="exact"/>
                    </w:trPr>
                    <w:tc>
                      <w:tcPr>
                        <w:tcW w:w="2523" w:type="dxa"/>
                      </w:tcPr>
                      <w:p>
                        <w:pPr>
                          <w:pStyle w:val="TableParagraph"/>
                          <w:spacing w:line="180" w:lineRule="exact"/>
                          <w:ind w:left="244" w:right="159"/>
                          <w:rPr>
                            <w:rFonts w:ascii="Arial"/>
                            <w:sz w:val="16"/>
                          </w:rPr>
                        </w:pPr>
                        <w:r>
                          <w:rPr>
                            <w:rFonts w:ascii="Arial"/>
                            <w:sz w:val="16"/>
                          </w:rPr>
                          <w:t>5= Corona de acero cromo</w:t>
                        </w:r>
                      </w:p>
                    </w:tc>
                    <w:tc>
                      <w:tcPr>
                        <w:tcW w:w="2269" w:type="dxa"/>
                      </w:tcPr>
                      <w:p>
                        <w:pPr>
                          <w:pStyle w:val="TableParagraph"/>
                          <w:ind w:left="244" w:right="140"/>
                          <w:rPr>
                            <w:rFonts w:ascii="Arial"/>
                            <w:sz w:val="16"/>
                          </w:rPr>
                        </w:pPr>
                        <w:r>
                          <w:rPr>
                            <w:rFonts w:ascii="Arial"/>
                            <w:sz w:val="16"/>
                          </w:rPr>
                          <w:t>5=Cavidad detectable con dentina visible</w:t>
                        </w:r>
                      </w:p>
                    </w:tc>
                  </w:tr>
                  <w:tr>
                    <w:trPr>
                      <w:trHeight w:val="562" w:hRule="exact"/>
                    </w:trPr>
                    <w:tc>
                      <w:tcPr>
                        <w:tcW w:w="2523" w:type="dxa"/>
                      </w:tcPr>
                      <w:p>
                        <w:pPr>
                          <w:pStyle w:val="TableParagraph"/>
                          <w:ind w:left="244" w:right="363"/>
                          <w:rPr>
                            <w:rFonts w:ascii="Arial"/>
                            <w:sz w:val="16"/>
                          </w:rPr>
                        </w:pPr>
                        <w:r>
                          <w:rPr>
                            <w:rFonts w:ascii="Arial"/>
                            <w:sz w:val="16"/>
                          </w:rPr>
                          <w:t>6=Corona o carilla de porcelana, oro, o meta- porcelana (PFM) o Veneer</w:t>
                        </w:r>
                      </w:p>
                    </w:tc>
                    <w:tc>
                      <w:tcPr>
                        <w:tcW w:w="2269" w:type="dxa"/>
                      </w:tcPr>
                      <w:p>
                        <w:pPr>
                          <w:pStyle w:val="TableParagraph"/>
                          <w:ind w:left="244" w:right="398"/>
                          <w:rPr>
                            <w:rFonts w:ascii="Arial"/>
                            <w:sz w:val="16"/>
                          </w:rPr>
                        </w:pPr>
                        <w:r>
                          <w:rPr>
                            <w:rFonts w:ascii="Arial"/>
                            <w:sz w:val="16"/>
                          </w:rPr>
                          <w:t>6= Cavidad detectable extensa con dentina visible</w:t>
                        </w:r>
                      </w:p>
                    </w:tc>
                  </w:tr>
                  <w:tr>
                    <w:trPr>
                      <w:trHeight w:val="377" w:hRule="exact"/>
                    </w:trPr>
                    <w:tc>
                      <w:tcPr>
                        <w:tcW w:w="2523" w:type="dxa"/>
                      </w:tcPr>
                      <w:p>
                        <w:pPr>
                          <w:pStyle w:val="TableParagraph"/>
                          <w:ind w:left="244" w:right="363"/>
                          <w:rPr>
                            <w:rFonts w:ascii="Arial" w:hAnsi="Arial"/>
                            <w:sz w:val="16"/>
                          </w:rPr>
                        </w:pPr>
                        <w:r>
                          <w:rPr>
                            <w:rFonts w:ascii="Arial" w:hAnsi="Arial"/>
                            <w:sz w:val="16"/>
                          </w:rPr>
                          <w:t>7.- Restauración perdida o fracturada</w:t>
                        </w:r>
                      </w:p>
                    </w:tc>
                    <w:tc>
                      <w:tcPr>
                        <w:tcW w:w="2269" w:type="dxa"/>
                      </w:tcPr>
                      <w:p>
                        <w:pPr/>
                      </w:p>
                    </w:tc>
                  </w:tr>
                  <w:tr>
                    <w:trPr>
                      <w:trHeight w:val="194" w:hRule="exact"/>
                    </w:trPr>
                    <w:tc>
                      <w:tcPr>
                        <w:tcW w:w="2523" w:type="dxa"/>
                      </w:tcPr>
                      <w:p>
                        <w:pPr>
                          <w:pStyle w:val="TableParagraph"/>
                          <w:spacing w:line="183" w:lineRule="exact"/>
                          <w:ind w:left="244" w:right="159"/>
                          <w:rPr>
                            <w:rFonts w:ascii="Arial" w:hAnsi="Arial"/>
                            <w:sz w:val="16"/>
                          </w:rPr>
                        </w:pPr>
                        <w:r>
                          <w:rPr>
                            <w:rFonts w:ascii="Arial" w:hAnsi="Arial"/>
                            <w:sz w:val="16"/>
                          </w:rPr>
                          <w:t>8.-Restauración temporal</w:t>
                        </w:r>
                      </w:p>
                    </w:tc>
                    <w:tc>
                      <w:tcPr>
                        <w:tcW w:w="2269" w:type="dxa"/>
                      </w:tcPr>
                      <w:p>
                        <w:pPr/>
                      </w:p>
                    </w:tc>
                  </w:tr>
                  <w:tr>
                    <w:trPr>
                      <w:trHeight w:val="1114" w:hRule="exact"/>
                    </w:trPr>
                    <w:tc>
                      <w:tcPr>
                        <w:tcW w:w="2523" w:type="dxa"/>
                      </w:tcPr>
                      <w:p>
                        <w:pPr>
                          <w:pStyle w:val="TableParagraph"/>
                          <w:ind w:left="244" w:right="159" w:firstLine="91"/>
                          <w:rPr>
                            <w:rFonts w:ascii="Arial" w:hAnsi="Arial"/>
                            <w:sz w:val="16"/>
                          </w:rPr>
                        </w:pPr>
                        <w:r>
                          <w:rPr>
                            <w:rFonts w:ascii="Arial" w:hAnsi="Arial"/>
                            <w:sz w:val="16"/>
                          </w:rPr>
                          <w:t>A un código de 2 dígitos se debe ser utilizado</w:t>
                        </w:r>
                      </w:p>
                    </w:tc>
                    <w:tc>
                      <w:tcPr>
                        <w:tcW w:w="2269" w:type="dxa"/>
                      </w:tcPr>
                      <w:p>
                        <w:pPr>
                          <w:pStyle w:val="TableParagraph"/>
                          <w:spacing w:line="180" w:lineRule="exact"/>
                          <w:ind w:left="244"/>
                          <w:jc w:val="both"/>
                          <w:rPr>
                            <w:rFonts w:ascii="Arial"/>
                            <w:sz w:val="16"/>
                          </w:rPr>
                        </w:pPr>
                        <w:r>
                          <w:rPr>
                            <w:rFonts w:ascii="Arial"/>
                            <w:sz w:val="16"/>
                          </w:rPr>
                          <w:t>Dientes Perdidos</w:t>
                        </w:r>
                      </w:p>
                      <w:p>
                        <w:pPr>
                          <w:pStyle w:val="TableParagraph"/>
                          <w:spacing w:before="1"/>
                          <w:ind w:left="244" w:right="353"/>
                          <w:jc w:val="both"/>
                          <w:rPr>
                            <w:rFonts w:ascii="Arial" w:hAnsi="Arial"/>
                            <w:sz w:val="16"/>
                          </w:rPr>
                        </w:pPr>
                        <w:r>
                          <w:rPr>
                            <w:rFonts w:ascii="Arial" w:hAnsi="Arial"/>
                            <w:sz w:val="16"/>
                          </w:rPr>
                          <w:t>97= Extraído por caries 98= Diente perdido por otra razón</w:t>
                        </w:r>
                      </w:p>
                      <w:p>
                        <w:pPr>
                          <w:pStyle w:val="TableParagraph"/>
                          <w:spacing w:before="1"/>
                          <w:ind w:left="244" w:right="994"/>
                          <w:rPr>
                            <w:rFonts w:ascii="Arial"/>
                            <w:sz w:val="16"/>
                          </w:rPr>
                        </w:pPr>
                        <w:r>
                          <w:rPr>
                            <w:rFonts w:ascii="Arial"/>
                            <w:sz w:val="16"/>
                          </w:rPr>
                          <w:t>99= Diente no erupcionado</w:t>
                        </w:r>
                      </w:p>
                    </w:tc>
                  </w:tr>
                </w:tbl>
                <w:p>
                  <w:pPr>
                    <w:pStyle w:val="BodyText"/>
                  </w:pPr>
                </w:p>
              </w:txbxContent>
            </v:textbox>
            <w10:wrap type="none"/>
          </v:shape>
        </w:pict>
      </w:r>
      <w:r>
        <w:rPr/>
        <w:pict>
          <v:shape style="position:absolute;margin-left:70.944pt;margin-top:310.009979pt;width:232.95pt;height:111.5pt;mso-position-horizontal-relative:page;mso-position-vertical-relative:page;z-index:33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106"/>
                    <w:gridCol w:w="257"/>
                    <w:gridCol w:w="108"/>
                    <w:gridCol w:w="238"/>
                    <w:gridCol w:w="362"/>
                    <w:gridCol w:w="346"/>
                    <w:gridCol w:w="452"/>
                    <w:gridCol w:w="401"/>
                    <w:gridCol w:w="350"/>
                    <w:gridCol w:w="358"/>
                    <w:gridCol w:w="374"/>
                    <w:gridCol w:w="334"/>
                  </w:tblGrid>
                  <w:tr>
                    <w:trPr>
                      <w:trHeight w:val="278" w:hRule="exact"/>
                    </w:trPr>
                    <w:tc>
                      <w:tcPr>
                        <w:tcW w:w="4645" w:type="dxa"/>
                        <w:gridSpan w:val="13"/>
                      </w:tcPr>
                      <w:p>
                        <w:pPr>
                          <w:pStyle w:val="TableParagraph"/>
                          <w:spacing w:line="265" w:lineRule="exact"/>
                          <w:ind w:left="1067"/>
                          <w:rPr>
                            <w:sz w:val="22"/>
                          </w:rPr>
                        </w:pPr>
                        <w:r>
                          <w:rPr>
                            <w:sz w:val="22"/>
                          </w:rPr>
                          <w:t>Cuadrante Superior Izquierdo</w:t>
                        </w:r>
                      </w:p>
                    </w:tc>
                  </w:tr>
                  <w:tr>
                    <w:trPr>
                      <w:trHeight w:val="547" w:hRule="exact"/>
                    </w:trPr>
                    <w:tc>
                      <w:tcPr>
                        <w:tcW w:w="960" w:type="dxa"/>
                      </w:tcPr>
                      <w:p>
                        <w:pPr>
                          <w:pStyle w:val="TableParagraph"/>
                          <w:ind w:left="244" w:right="92"/>
                          <w:rPr>
                            <w:sz w:val="22"/>
                          </w:rPr>
                        </w:pPr>
                        <w:r>
                          <w:rPr>
                            <w:sz w:val="22"/>
                          </w:rPr>
                          <w:t>Diente No.</w:t>
                        </w:r>
                      </w:p>
                    </w:tc>
                    <w:tc>
                      <w:tcPr>
                        <w:tcW w:w="708" w:type="dxa"/>
                        <w:gridSpan w:val="4"/>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23"/>
                          <w:rPr>
                            <w:sz w:val="22"/>
                          </w:rPr>
                        </w:pPr>
                        <w:r>
                          <w:rPr>
                            <w:w w:val="100"/>
                            <w:sz w:val="22"/>
                          </w:rPr>
                          <w:t>M</w:t>
                        </w:r>
                      </w:p>
                    </w:tc>
                    <w:tc>
                      <w:tcPr>
                        <w:tcW w:w="853" w:type="dxa"/>
                        <w:gridSpan w:val="2"/>
                      </w:tcPr>
                      <w:p>
                        <w:pPr>
                          <w:pStyle w:val="TableParagraph"/>
                          <w:spacing w:line="265" w:lineRule="exact"/>
                          <w:ind w:left="143"/>
                          <w:jc w:val="center"/>
                          <w:rPr>
                            <w:sz w:val="22"/>
                          </w:rPr>
                        </w:pPr>
                        <w:r>
                          <w:rPr>
                            <w:w w:val="100"/>
                            <w:sz w:val="22"/>
                          </w:rPr>
                          <w:t>D</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359"/>
                          <w:rPr>
                            <w:sz w:val="22"/>
                          </w:rPr>
                        </w:pPr>
                        <w:r>
                          <w:rPr>
                            <w:w w:val="100"/>
                            <w:sz w:val="22"/>
                          </w:rPr>
                          <w:t>P</w:t>
                        </w:r>
                      </w:p>
                    </w:tc>
                  </w:tr>
                  <w:tr>
                    <w:trPr>
                      <w:trHeight w:val="278" w:hRule="exact"/>
                    </w:trPr>
                    <w:tc>
                      <w:tcPr>
                        <w:tcW w:w="960" w:type="dxa"/>
                      </w:tcPr>
                      <w:p>
                        <w:pPr>
                          <w:pStyle w:val="TableParagraph"/>
                          <w:spacing w:line="265" w:lineRule="exact"/>
                          <w:ind w:left="244" w:right="92"/>
                          <w:rPr>
                            <w:sz w:val="22"/>
                          </w:rPr>
                        </w:pPr>
                        <w:r>
                          <w:rPr>
                            <w:sz w:val="22"/>
                          </w:rPr>
                          <w:t>61</w:t>
                        </w:r>
                      </w:p>
                    </w:tc>
                    <w:tc>
                      <w:tcPr>
                        <w:tcW w:w="106" w:type="dxa"/>
                        <w:tcBorders>
                          <w:top w:val="nil"/>
                          <w:left w:val="nil"/>
                          <w:bottom w:val="nil"/>
                          <w:right w:val="nil"/>
                        </w:tcBorders>
                        <w:shd w:val="clear" w:color="auto" w:fill="000000"/>
                      </w:tcPr>
                      <w:p>
                        <w:pPr/>
                      </w:p>
                    </w:tc>
                    <w:tc>
                      <w:tcPr>
                        <w:tcW w:w="257" w:type="dxa"/>
                        <w:tcBorders>
                          <w:left w:val="nil"/>
                          <w:bottom w:val="nil"/>
                        </w:tcBorders>
                      </w:tcPr>
                      <w:p>
                        <w:pPr/>
                      </w:p>
                    </w:tc>
                    <w:tc>
                      <w:tcPr>
                        <w:tcW w:w="108" w:type="dxa"/>
                        <w:tcBorders>
                          <w:top w:val="nil"/>
                          <w:left w:val="nil"/>
                          <w:bottom w:val="nil"/>
                          <w:right w:val="nil"/>
                        </w:tcBorders>
                        <w:shd w:val="clear" w:color="auto" w:fill="000000"/>
                      </w:tcPr>
                      <w:p>
                        <w:pPr/>
                      </w:p>
                    </w:tc>
                    <w:tc>
                      <w:tcPr>
                        <w:tcW w:w="238" w:type="dxa"/>
                        <w:tcBorders>
                          <w:left w:val="nil"/>
                          <w:bottom w:val="nil"/>
                        </w:tcBorders>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5" w:lineRule="exact"/>
                          <w:ind w:left="244" w:right="92"/>
                          <w:rPr>
                            <w:sz w:val="22"/>
                          </w:rPr>
                        </w:pPr>
                        <w:r>
                          <w:rPr>
                            <w:sz w:val="22"/>
                          </w:rPr>
                          <w:t>62</w:t>
                        </w:r>
                      </w:p>
                    </w:tc>
                    <w:tc>
                      <w:tcPr>
                        <w:tcW w:w="362" w:type="dxa"/>
                        <w:gridSpan w:val="2"/>
                        <w:tcBorders>
                          <w:top w:val="nil"/>
                          <w:left w:val="nil"/>
                          <w:bottom w:val="nil"/>
                          <w:right w:val="nil"/>
                        </w:tcBorders>
                        <w:shd w:val="clear" w:color="auto" w:fill="000000"/>
                      </w:tcPr>
                      <w:p>
                        <w:pPr/>
                      </w:p>
                    </w:tc>
                    <w:tc>
                      <w:tcPr>
                        <w:tcW w:w="346" w:type="dxa"/>
                        <w:gridSpan w:val="2"/>
                        <w:tcBorders>
                          <w:top w:val="nil"/>
                          <w:left w:val="nil"/>
                          <w:bottom w:val="nil"/>
                          <w:right w:val="nil"/>
                        </w:tcBorders>
                        <w:shd w:val="clear" w:color="auto" w:fill="000000"/>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8" w:lineRule="exact"/>
                          <w:ind w:left="244" w:right="92"/>
                          <w:rPr>
                            <w:sz w:val="22"/>
                          </w:rPr>
                        </w:pPr>
                        <w:r>
                          <w:rPr>
                            <w:sz w:val="22"/>
                          </w:rPr>
                          <w:t>63</w:t>
                        </w:r>
                      </w:p>
                    </w:tc>
                    <w:tc>
                      <w:tcPr>
                        <w:tcW w:w="362" w:type="dxa"/>
                        <w:gridSpan w:val="2"/>
                        <w:tcBorders>
                          <w:top w:val="nil"/>
                          <w:left w:val="nil"/>
                          <w:bottom w:val="nil"/>
                          <w:right w:val="nil"/>
                        </w:tcBorders>
                        <w:shd w:val="clear" w:color="auto" w:fill="000000"/>
                      </w:tcPr>
                      <w:p>
                        <w:pPr/>
                      </w:p>
                    </w:tc>
                    <w:tc>
                      <w:tcPr>
                        <w:tcW w:w="346" w:type="dxa"/>
                        <w:gridSpan w:val="2"/>
                        <w:tcBorders>
                          <w:top w:val="nil"/>
                          <w:left w:val="nil"/>
                          <w:bottom w:val="nil"/>
                          <w:right w:val="nil"/>
                        </w:tcBorders>
                        <w:shd w:val="clear" w:color="auto" w:fill="000000"/>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8" w:lineRule="exact"/>
                          <w:ind w:left="244" w:right="92"/>
                          <w:rPr>
                            <w:sz w:val="22"/>
                          </w:rPr>
                        </w:pPr>
                        <w:r>
                          <w:rPr>
                            <w:sz w:val="22"/>
                          </w:rPr>
                          <w:t>64</w:t>
                        </w:r>
                      </w:p>
                    </w:tc>
                    <w:tc>
                      <w:tcPr>
                        <w:tcW w:w="362" w:type="dxa"/>
                        <w:gridSpan w:val="2"/>
                        <w:tcBorders>
                          <w:top w:val="nil"/>
                        </w:tcBorders>
                      </w:tcPr>
                      <w:p>
                        <w:pPr/>
                      </w:p>
                    </w:tc>
                    <w:tc>
                      <w:tcPr>
                        <w:tcW w:w="346" w:type="dxa"/>
                        <w:gridSpan w:val="2"/>
                        <w:tcBorders>
                          <w:top w:val="nil"/>
                        </w:tcBorders>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81" w:hRule="exact"/>
                    </w:trPr>
                    <w:tc>
                      <w:tcPr>
                        <w:tcW w:w="960" w:type="dxa"/>
                      </w:tcPr>
                      <w:p>
                        <w:pPr>
                          <w:pStyle w:val="TableParagraph"/>
                          <w:spacing w:line="268" w:lineRule="exact"/>
                          <w:ind w:left="244" w:right="92"/>
                          <w:rPr>
                            <w:sz w:val="22"/>
                          </w:rPr>
                        </w:pPr>
                        <w:r>
                          <w:rPr>
                            <w:sz w:val="22"/>
                          </w:rPr>
                          <w:t>65</w:t>
                        </w:r>
                      </w:p>
                    </w:tc>
                    <w:tc>
                      <w:tcPr>
                        <w:tcW w:w="362" w:type="dxa"/>
                        <w:gridSpan w:val="2"/>
                      </w:tcPr>
                      <w:p>
                        <w:pPr/>
                      </w:p>
                    </w:tc>
                    <w:tc>
                      <w:tcPr>
                        <w:tcW w:w="346" w:type="dxa"/>
                        <w:gridSpan w:val="2"/>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bl>
                <w:p>
                  <w:pPr>
                    <w:pStyle w:val="BodyText"/>
                  </w:pPr>
                </w:p>
              </w:txbxContent>
            </v:textbox>
            <w10:wrap type="none"/>
          </v:shape>
        </w:pict>
      </w:r>
      <w:r>
        <w:rPr/>
        <w:pict>
          <v:shape style="position:absolute;margin-left:70.944pt;margin-top:426.410004pt;width:232.95pt;height:111.4pt;mso-position-horizontal-relative:page;mso-position-vertical-relative:page;z-index:34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38"/>
                    <w:gridCol w:w="370"/>
                    <w:gridCol w:w="288"/>
                    <w:gridCol w:w="420"/>
                    <w:gridCol w:w="363"/>
                    <w:gridCol w:w="490"/>
                    <w:gridCol w:w="312"/>
                    <w:gridCol w:w="396"/>
                    <w:gridCol w:w="350"/>
                    <w:gridCol w:w="358"/>
                  </w:tblGrid>
                  <w:tr>
                    <w:trPr>
                      <w:trHeight w:val="279" w:hRule="exact"/>
                    </w:trPr>
                    <w:tc>
                      <w:tcPr>
                        <w:tcW w:w="4645" w:type="dxa"/>
                        <w:gridSpan w:val="11"/>
                      </w:tcPr>
                      <w:p>
                        <w:pPr>
                          <w:pStyle w:val="TableParagraph"/>
                          <w:spacing w:line="266" w:lineRule="exact"/>
                          <w:ind w:left="1159"/>
                          <w:rPr>
                            <w:sz w:val="22"/>
                          </w:rPr>
                        </w:pPr>
                        <w:r>
                          <w:rPr>
                            <w:sz w:val="22"/>
                          </w:rPr>
                          <w:t>Cuadrante Inferior Derecho</w:t>
                        </w:r>
                      </w:p>
                    </w:tc>
                  </w:tr>
                  <w:tr>
                    <w:trPr>
                      <w:trHeight w:val="547" w:hRule="exact"/>
                    </w:trPr>
                    <w:tc>
                      <w:tcPr>
                        <w:tcW w:w="960" w:type="dxa"/>
                      </w:tcPr>
                      <w:p>
                        <w:pPr>
                          <w:pStyle w:val="TableParagraph"/>
                          <w:ind w:left="244" w:right="92"/>
                          <w:rPr>
                            <w:sz w:val="22"/>
                          </w:rPr>
                        </w:pPr>
                        <w:r>
                          <w:rPr>
                            <w:sz w:val="22"/>
                          </w:rPr>
                          <w:t>Diente No.</w:t>
                        </w:r>
                      </w:p>
                    </w:tc>
                    <w:tc>
                      <w:tcPr>
                        <w:tcW w:w="708" w:type="dxa"/>
                        <w:gridSpan w:val="2"/>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50"/>
                          <w:rPr>
                            <w:sz w:val="22"/>
                          </w:rPr>
                        </w:pPr>
                        <w:r>
                          <w:rPr>
                            <w:w w:val="100"/>
                            <w:sz w:val="22"/>
                          </w:rPr>
                          <w:t>D</w:t>
                        </w:r>
                      </w:p>
                    </w:tc>
                    <w:tc>
                      <w:tcPr>
                        <w:tcW w:w="853" w:type="dxa"/>
                        <w:gridSpan w:val="2"/>
                      </w:tcPr>
                      <w:p>
                        <w:pPr>
                          <w:pStyle w:val="TableParagraph"/>
                          <w:spacing w:line="265" w:lineRule="exact"/>
                          <w:ind w:left="398"/>
                          <w:rPr>
                            <w:sz w:val="22"/>
                          </w:rPr>
                        </w:pPr>
                        <w:r>
                          <w:rPr>
                            <w:w w:val="100"/>
                            <w:sz w:val="22"/>
                          </w:rPr>
                          <w:t>M</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133"/>
                          <w:jc w:val="center"/>
                          <w:rPr>
                            <w:sz w:val="22"/>
                          </w:rPr>
                        </w:pPr>
                        <w:r>
                          <w:rPr>
                            <w:w w:val="100"/>
                            <w:sz w:val="22"/>
                          </w:rPr>
                          <w:t>L</w:t>
                        </w:r>
                      </w:p>
                    </w:tc>
                  </w:tr>
                  <w:tr>
                    <w:trPr>
                      <w:trHeight w:val="278" w:hRule="exact"/>
                    </w:trPr>
                    <w:tc>
                      <w:tcPr>
                        <w:tcW w:w="960" w:type="dxa"/>
                      </w:tcPr>
                      <w:p>
                        <w:pPr>
                          <w:pStyle w:val="TableParagraph"/>
                          <w:spacing w:line="265" w:lineRule="exact"/>
                          <w:ind w:left="244" w:right="92"/>
                          <w:rPr>
                            <w:sz w:val="22"/>
                          </w:rPr>
                        </w:pPr>
                        <w:r>
                          <w:rPr>
                            <w:sz w:val="22"/>
                          </w:rPr>
                          <w:t>75</w:t>
                        </w:r>
                      </w:p>
                    </w:tc>
                    <w:tc>
                      <w:tcPr>
                        <w:tcW w:w="338" w:type="dxa"/>
                      </w:tcPr>
                      <w:p>
                        <w:pPr/>
                      </w:p>
                    </w:tc>
                    <w:tc>
                      <w:tcPr>
                        <w:tcW w:w="370" w:type="dxa"/>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74</w:t>
                        </w:r>
                      </w:p>
                    </w:tc>
                    <w:tc>
                      <w:tcPr>
                        <w:tcW w:w="338" w:type="dxa"/>
                        <w:tcBorders>
                          <w:bottom w:val="nil"/>
                        </w:tcBorders>
                      </w:tcPr>
                      <w:p>
                        <w:pPr/>
                      </w:p>
                    </w:tc>
                    <w:tc>
                      <w:tcPr>
                        <w:tcW w:w="370" w:type="dxa"/>
                        <w:tcBorders>
                          <w:bottom w:val="nil"/>
                        </w:tcBorders>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73</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72</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71</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bl>
                <w:p>
                  <w:pPr>
                    <w:pStyle w:val="BodyText"/>
                  </w:pPr>
                </w:p>
              </w:txbxContent>
            </v:textbox>
            <w10:wrap type="none"/>
          </v:shape>
        </w:pict>
      </w:r>
      <w:r>
        <w:rPr/>
        <w:pict>
          <v:shape style="position:absolute;margin-left:70.944pt;margin-top:544.51001pt;width:232.95pt;height:111.4pt;mso-position-horizontal-relative:page;mso-position-vertical-relative:page;z-index:34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106"/>
                    <w:gridCol w:w="233"/>
                    <w:gridCol w:w="106"/>
                    <w:gridCol w:w="264"/>
                    <w:gridCol w:w="386"/>
                    <w:gridCol w:w="322"/>
                    <w:gridCol w:w="401"/>
                    <w:gridCol w:w="451"/>
                    <w:gridCol w:w="350"/>
                    <w:gridCol w:w="358"/>
                    <w:gridCol w:w="362"/>
                    <w:gridCol w:w="346"/>
                  </w:tblGrid>
                  <w:tr>
                    <w:trPr>
                      <w:trHeight w:val="278" w:hRule="exact"/>
                    </w:trPr>
                    <w:tc>
                      <w:tcPr>
                        <w:tcW w:w="4645" w:type="dxa"/>
                        <w:gridSpan w:val="13"/>
                      </w:tcPr>
                      <w:p>
                        <w:pPr>
                          <w:pStyle w:val="TableParagraph"/>
                          <w:spacing w:line="265" w:lineRule="exact"/>
                          <w:ind w:left="1115"/>
                          <w:rPr>
                            <w:sz w:val="22"/>
                          </w:rPr>
                        </w:pPr>
                        <w:r>
                          <w:rPr>
                            <w:sz w:val="22"/>
                          </w:rPr>
                          <w:t>Cuadrante Inferior Izquierdo</w:t>
                        </w:r>
                      </w:p>
                    </w:tc>
                  </w:tr>
                  <w:tr>
                    <w:trPr>
                      <w:trHeight w:val="547" w:hRule="exact"/>
                    </w:trPr>
                    <w:tc>
                      <w:tcPr>
                        <w:tcW w:w="960" w:type="dxa"/>
                      </w:tcPr>
                      <w:p>
                        <w:pPr>
                          <w:pStyle w:val="TableParagraph"/>
                          <w:ind w:left="244" w:right="92"/>
                          <w:rPr>
                            <w:sz w:val="22"/>
                          </w:rPr>
                        </w:pPr>
                        <w:r>
                          <w:rPr>
                            <w:sz w:val="22"/>
                          </w:rPr>
                          <w:t>Diente No.</w:t>
                        </w:r>
                      </w:p>
                    </w:tc>
                    <w:tc>
                      <w:tcPr>
                        <w:tcW w:w="708" w:type="dxa"/>
                        <w:gridSpan w:val="4"/>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23"/>
                          <w:rPr>
                            <w:sz w:val="22"/>
                          </w:rPr>
                        </w:pPr>
                        <w:r>
                          <w:rPr>
                            <w:w w:val="100"/>
                            <w:sz w:val="22"/>
                          </w:rPr>
                          <w:t>M</w:t>
                        </w:r>
                      </w:p>
                    </w:tc>
                    <w:tc>
                      <w:tcPr>
                        <w:tcW w:w="853" w:type="dxa"/>
                        <w:gridSpan w:val="2"/>
                      </w:tcPr>
                      <w:p>
                        <w:pPr>
                          <w:pStyle w:val="TableParagraph"/>
                          <w:spacing w:line="265" w:lineRule="exact"/>
                          <w:ind w:left="143"/>
                          <w:jc w:val="center"/>
                          <w:rPr>
                            <w:sz w:val="22"/>
                          </w:rPr>
                        </w:pPr>
                        <w:r>
                          <w:rPr>
                            <w:w w:val="100"/>
                            <w:sz w:val="22"/>
                          </w:rPr>
                          <w:t>D</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133"/>
                          <w:jc w:val="center"/>
                          <w:rPr>
                            <w:sz w:val="22"/>
                          </w:rPr>
                        </w:pPr>
                        <w:r>
                          <w:rPr>
                            <w:w w:val="100"/>
                            <w:sz w:val="22"/>
                          </w:rPr>
                          <w:t>L</w:t>
                        </w:r>
                      </w:p>
                    </w:tc>
                  </w:tr>
                  <w:tr>
                    <w:trPr>
                      <w:trHeight w:val="278" w:hRule="exact"/>
                    </w:trPr>
                    <w:tc>
                      <w:tcPr>
                        <w:tcW w:w="960" w:type="dxa"/>
                      </w:tcPr>
                      <w:p>
                        <w:pPr>
                          <w:pStyle w:val="TableParagraph"/>
                          <w:spacing w:line="265" w:lineRule="exact"/>
                          <w:ind w:left="244" w:right="92"/>
                          <w:rPr>
                            <w:sz w:val="22"/>
                          </w:rPr>
                        </w:pPr>
                        <w:r>
                          <w:rPr>
                            <w:sz w:val="22"/>
                          </w:rPr>
                          <w:t>81</w:t>
                        </w:r>
                      </w:p>
                    </w:tc>
                    <w:tc>
                      <w:tcPr>
                        <w:tcW w:w="106" w:type="dxa"/>
                        <w:tcBorders>
                          <w:top w:val="nil"/>
                          <w:left w:val="nil"/>
                          <w:bottom w:val="nil"/>
                          <w:right w:val="nil"/>
                        </w:tcBorders>
                        <w:shd w:val="clear" w:color="auto" w:fill="000000"/>
                      </w:tcPr>
                      <w:p>
                        <w:pPr/>
                      </w:p>
                    </w:tc>
                    <w:tc>
                      <w:tcPr>
                        <w:tcW w:w="233" w:type="dxa"/>
                        <w:tcBorders>
                          <w:left w:val="nil"/>
                          <w:bottom w:val="nil"/>
                        </w:tcBorders>
                      </w:tcPr>
                      <w:p>
                        <w:pPr/>
                      </w:p>
                    </w:tc>
                    <w:tc>
                      <w:tcPr>
                        <w:tcW w:w="106" w:type="dxa"/>
                        <w:tcBorders>
                          <w:top w:val="nil"/>
                          <w:left w:val="nil"/>
                          <w:bottom w:val="nil"/>
                          <w:right w:val="nil"/>
                        </w:tcBorders>
                        <w:shd w:val="clear" w:color="auto" w:fill="000000"/>
                      </w:tcPr>
                      <w:p>
                        <w:pPr/>
                      </w:p>
                    </w:tc>
                    <w:tc>
                      <w:tcPr>
                        <w:tcW w:w="264" w:type="dxa"/>
                        <w:tcBorders>
                          <w:left w:val="nil"/>
                          <w:bottom w:val="nil"/>
                        </w:tcBorders>
                      </w:tcPr>
                      <w:p>
                        <w:pPr/>
                      </w:p>
                    </w:tc>
                    <w:tc>
                      <w:tcPr>
                        <w:tcW w:w="386" w:type="dxa"/>
                      </w:tcPr>
                      <w:p>
                        <w:pPr/>
                      </w:p>
                    </w:tc>
                    <w:tc>
                      <w:tcPr>
                        <w:tcW w:w="322" w:type="dxa"/>
                      </w:tcPr>
                      <w:p>
                        <w:pPr/>
                      </w:p>
                    </w:tc>
                    <w:tc>
                      <w:tcPr>
                        <w:tcW w:w="401" w:type="dxa"/>
                      </w:tcPr>
                      <w:p>
                        <w:pPr/>
                      </w:p>
                    </w:tc>
                    <w:tc>
                      <w:tcPr>
                        <w:tcW w:w="451" w:type="dxa"/>
                      </w:tcPr>
                      <w:p>
                        <w:pPr/>
                      </w:p>
                    </w:tc>
                    <w:tc>
                      <w:tcPr>
                        <w:tcW w:w="350" w:type="dxa"/>
                      </w:tcPr>
                      <w:p>
                        <w:pPr/>
                      </w:p>
                    </w:tc>
                    <w:tc>
                      <w:tcPr>
                        <w:tcW w:w="358" w:type="dxa"/>
                      </w:tcPr>
                      <w:p>
                        <w:pPr/>
                      </w:p>
                    </w:tc>
                    <w:tc>
                      <w:tcPr>
                        <w:tcW w:w="362" w:type="dxa"/>
                      </w:tcPr>
                      <w:p>
                        <w:pPr/>
                      </w:p>
                    </w:tc>
                    <w:tc>
                      <w:tcPr>
                        <w:tcW w:w="346" w:type="dxa"/>
                      </w:tcPr>
                      <w:p>
                        <w:pPr/>
                      </w:p>
                    </w:tc>
                  </w:tr>
                  <w:tr>
                    <w:trPr>
                      <w:trHeight w:val="279" w:hRule="exact"/>
                    </w:trPr>
                    <w:tc>
                      <w:tcPr>
                        <w:tcW w:w="960" w:type="dxa"/>
                      </w:tcPr>
                      <w:p>
                        <w:pPr>
                          <w:pStyle w:val="TableParagraph"/>
                          <w:spacing w:line="266" w:lineRule="exact"/>
                          <w:ind w:left="244" w:right="92"/>
                          <w:rPr>
                            <w:sz w:val="22"/>
                          </w:rPr>
                        </w:pPr>
                        <w:r>
                          <w:rPr>
                            <w:sz w:val="22"/>
                          </w:rPr>
                          <w:t>82</w:t>
                        </w:r>
                      </w:p>
                    </w:tc>
                    <w:tc>
                      <w:tcPr>
                        <w:tcW w:w="338" w:type="dxa"/>
                        <w:gridSpan w:val="2"/>
                        <w:tcBorders>
                          <w:top w:val="nil"/>
                          <w:left w:val="nil"/>
                          <w:bottom w:val="nil"/>
                          <w:right w:val="nil"/>
                        </w:tcBorders>
                        <w:shd w:val="clear" w:color="auto" w:fill="000000"/>
                      </w:tcPr>
                      <w:p>
                        <w:pPr/>
                      </w:p>
                    </w:tc>
                    <w:tc>
                      <w:tcPr>
                        <w:tcW w:w="370" w:type="dxa"/>
                        <w:gridSpan w:val="2"/>
                        <w:tcBorders>
                          <w:top w:val="nil"/>
                          <w:left w:val="nil"/>
                          <w:bottom w:val="nil"/>
                          <w:right w:val="nil"/>
                        </w:tcBorders>
                        <w:shd w:val="clear" w:color="auto" w:fill="000000"/>
                      </w:tcPr>
                      <w:p>
                        <w:pPr/>
                      </w:p>
                    </w:tc>
                    <w:tc>
                      <w:tcPr>
                        <w:tcW w:w="386" w:type="dxa"/>
                      </w:tcPr>
                      <w:p>
                        <w:pPr/>
                      </w:p>
                    </w:tc>
                    <w:tc>
                      <w:tcPr>
                        <w:tcW w:w="322" w:type="dxa"/>
                      </w:tcPr>
                      <w:p>
                        <w:pPr/>
                      </w:p>
                    </w:tc>
                    <w:tc>
                      <w:tcPr>
                        <w:tcW w:w="401" w:type="dxa"/>
                      </w:tcPr>
                      <w:p>
                        <w:pPr/>
                      </w:p>
                    </w:tc>
                    <w:tc>
                      <w:tcPr>
                        <w:tcW w:w="451"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83</w:t>
                        </w:r>
                      </w:p>
                    </w:tc>
                    <w:tc>
                      <w:tcPr>
                        <w:tcW w:w="338" w:type="dxa"/>
                        <w:gridSpan w:val="2"/>
                        <w:tcBorders>
                          <w:top w:val="nil"/>
                          <w:left w:val="nil"/>
                          <w:bottom w:val="nil"/>
                          <w:right w:val="nil"/>
                        </w:tcBorders>
                        <w:shd w:val="clear" w:color="auto" w:fill="000000"/>
                      </w:tcPr>
                      <w:p>
                        <w:pPr/>
                      </w:p>
                    </w:tc>
                    <w:tc>
                      <w:tcPr>
                        <w:tcW w:w="370" w:type="dxa"/>
                        <w:gridSpan w:val="2"/>
                        <w:tcBorders>
                          <w:top w:val="nil"/>
                          <w:left w:val="nil"/>
                          <w:bottom w:val="nil"/>
                          <w:right w:val="nil"/>
                        </w:tcBorders>
                        <w:shd w:val="clear" w:color="auto" w:fill="000000"/>
                      </w:tcPr>
                      <w:p>
                        <w:pPr/>
                      </w:p>
                    </w:tc>
                    <w:tc>
                      <w:tcPr>
                        <w:tcW w:w="386" w:type="dxa"/>
                      </w:tcPr>
                      <w:p>
                        <w:pPr/>
                      </w:p>
                    </w:tc>
                    <w:tc>
                      <w:tcPr>
                        <w:tcW w:w="322" w:type="dxa"/>
                      </w:tcPr>
                      <w:p>
                        <w:pPr/>
                      </w:p>
                    </w:tc>
                    <w:tc>
                      <w:tcPr>
                        <w:tcW w:w="401" w:type="dxa"/>
                      </w:tcPr>
                      <w:p>
                        <w:pPr/>
                      </w:p>
                    </w:tc>
                    <w:tc>
                      <w:tcPr>
                        <w:tcW w:w="451"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84</w:t>
                        </w:r>
                      </w:p>
                    </w:tc>
                    <w:tc>
                      <w:tcPr>
                        <w:tcW w:w="338" w:type="dxa"/>
                        <w:gridSpan w:val="2"/>
                        <w:tcBorders>
                          <w:top w:val="nil"/>
                        </w:tcBorders>
                      </w:tcPr>
                      <w:p>
                        <w:pPr/>
                      </w:p>
                    </w:tc>
                    <w:tc>
                      <w:tcPr>
                        <w:tcW w:w="370" w:type="dxa"/>
                        <w:gridSpan w:val="2"/>
                        <w:tcBorders>
                          <w:top w:val="nil"/>
                        </w:tcBorders>
                      </w:tcPr>
                      <w:p>
                        <w:pPr/>
                      </w:p>
                    </w:tc>
                    <w:tc>
                      <w:tcPr>
                        <w:tcW w:w="386" w:type="dxa"/>
                      </w:tcPr>
                      <w:p>
                        <w:pPr/>
                      </w:p>
                    </w:tc>
                    <w:tc>
                      <w:tcPr>
                        <w:tcW w:w="322" w:type="dxa"/>
                      </w:tcPr>
                      <w:p>
                        <w:pPr/>
                      </w:p>
                    </w:tc>
                    <w:tc>
                      <w:tcPr>
                        <w:tcW w:w="401" w:type="dxa"/>
                      </w:tcPr>
                      <w:p>
                        <w:pPr/>
                      </w:p>
                    </w:tc>
                    <w:tc>
                      <w:tcPr>
                        <w:tcW w:w="451"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85</w:t>
                        </w:r>
                      </w:p>
                    </w:tc>
                    <w:tc>
                      <w:tcPr>
                        <w:tcW w:w="338" w:type="dxa"/>
                        <w:gridSpan w:val="2"/>
                      </w:tcPr>
                      <w:p>
                        <w:pPr/>
                      </w:p>
                    </w:tc>
                    <w:tc>
                      <w:tcPr>
                        <w:tcW w:w="370" w:type="dxa"/>
                        <w:gridSpan w:val="2"/>
                      </w:tcPr>
                      <w:p>
                        <w:pPr/>
                      </w:p>
                    </w:tc>
                    <w:tc>
                      <w:tcPr>
                        <w:tcW w:w="386" w:type="dxa"/>
                      </w:tcPr>
                      <w:p>
                        <w:pPr/>
                      </w:p>
                    </w:tc>
                    <w:tc>
                      <w:tcPr>
                        <w:tcW w:w="322" w:type="dxa"/>
                      </w:tcPr>
                      <w:p>
                        <w:pPr/>
                      </w:p>
                    </w:tc>
                    <w:tc>
                      <w:tcPr>
                        <w:tcW w:w="401" w:type="dxa"/>
                      </w:tcPr>
                      <w:p>
                        <w:pPr/>
                      </w:p>
                    </w:tc>
                    <w:tc>
                      <w:tcPr>
                        <w:tcW w:w="451" w:type="dxa"/>
                      </w:tcPr>
                      <w:p>
                        <w:pPr/>
                      </w:p>
                    </w:tc>
                    <w:tc>
                      <w:tcPr>
                        <w:tcW w:w="350" w:type="dxa"/>
                      </w:tcPr>
                      <w:p>
                        <w:pPr/>
                      </w:p>
                    </w:tc>
                    <w:tc>
                      <w:tcPr>
                        <w:tcW w:w="358" w:type="dxa"/>
                      </w:tcPr>
                      <w:p>
                        <w:pPr/>
                      </w:p>
                    </w:tc>
                    <w:tc>
                      <w:tcPr>
                        <w:tcW w:w="362" w:type="dxa"/>
                      </w:tcPr>
                      <w:p>
                        <w:pPr/>
                      </w:p>
                    </w:tc>
                    <w:tc>
                      <w:tcPr>
                        <w:tcW w:w="346" w:type="dxa"/>
                      </w:tcPr>
                      <w:p>
                        <w:pPr/>
                      </w:p>
                    </w:tc>
                  </w:tr>
                </w:tbl>
                <w:p>
                  <w:pPr>
                    <w:pStyle w:val="BodyText"/>
                  </w:pPr>
                </w:p>
              </w:txbxContent>
            </v:textbox>
            <w10:wrap type="none"/>
          </v:shape>
        </w:pict>
      </w:r>
    </w:p>
    <w:p>
      <w:pPr>
        <w:pStyle w:val="BodyText"/>
        <w:spacing w:before="6"/>
        <w:rPr>
          <w:rFonts w:ascii="Calibri"/>
        </w:rPr>
      </w:pPr>
    </w:p>
    <w:p>
      <w:pPr>
        <w:pStyle w:val="Heading1"/>
        <w:spacing w:before="69"/>
        <w:ind w:left="498"/>
        <w:jc w:val="left"/>
      </w:pPr>
      <w:r>
        <w:rPr/>
        <w:pict>
          <v:shape style="position:absolute;margin-left:70.944pt;margin-top:108.425842pt;width:232.95pt;height:114.3pt;mso-position-horizontal-relative:page;mso-position-vertical-relative:paragraph;z-index:33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38"/>
                    <w:gridCol w:w="370"/>
                    <w:gridCol w:w="386"/>
                    <w:gridCol w:w="322"/>
                    <w:gridCol w:w="476"/>
                    <w:gridCol w:w="377"/>
                    <w:gridCol w:w="350"/>
                    <w:gridCol w:w="358"/>
                    <w:gridCol w:w="350"/>
                    <w:gridCol w:w="358"/>
                  </w:tblGrid>
                  <w:tr>
                    <w:trPr>
                      <w:trHeight w:val="278" w:hRule="exact"/>
                    </w:trPr>
                    <w:tc>
                      <w:tcPr>
                        <w:tcW w:w="4645" w:type="dxa"/>
                        <w:gridSpan w:val="11"/>
                      </w:tcPr>
                      <w:p>
                        <w:pPr>
                          <w:pStyle w:val="TableParagraph"/>
                          <w:spacing w:line="268" w:lineRule="exact"/>
                          <w:ind w:left="1111"/>
                          <w:rPr>
                            <w:sz w:val="22"/>
                          </w:rPr>
                        </w:pPr>
                        <w:r>
                          <w:rPr>
                            <w:sz w:val="22"/>
                          </w:rPr>
                          <w:t>Cuadrante Superior Derecho</w:t>
                        </w:r>
                      </w:p>
                    </w:tc>
                  </w:tr>
                  <w:tr>
                    <w:trPr>
                      <w:trHeight w:val="547" w:hRule="exact"/>
                    </w:trPr>
                    <w:tc>
                      <w:tcPr>
                        <w:tcW w:w="960" w:type="dxa"/>
                      </w:tcPr>
                      <w:p>
                        <w:pPr>
                          <w:pStyle w:val="TableParagraph"/>
                          <w:ind w:left="244" w:right="92"/>
                          <w:rPr>
                            <w:sz w:val="22"/>
                          </w:rPr>
                        </w:pPr>
                        <w:r>
                          <w:rPr>
                            <w:sz w:val="22"/>
                          </w:rPr>
                          <w:t>Diente No.</w:t>
                        </w:r>
                      </w:p>
                    </w:tc>
                    <w:tc>
                      <w:tcPr>
                        <w:tcW w:w="708" w:type="dxa"/>
                        <w:gridSpan w:val="2"/>
                      </w:tcPr>
                      <w:p>
                        <w:pPr>
                          <w:pStyle w:val="TableParagraph"/>
                          <w:spacing w:line="268" w:lineRule="exact"/>
                          <w:ind w:left="343"/>
                          <w:rPr>
                            <w:sz w:val="22"/>
                          </w:rPr>
                        </w:pPr>
                        <w:r>
                          <w:rPr>
                            <w:w w:val="100"/>
                            <w:sz w:val="22"/>
                          </w:rPr>
                          <w:t>O</w:t>
                        </w:r>
                      </w:p>
                    </w:tc>
                    <w:tc>
                      <w:tcPr>
                        <w:tcW w:w="708" w:type="dxa"/>
                        <w:gridSpan w:val="2"/>
                      </w:tcPr>
                      <w:p>
                        <w:pPr>
                          <w:pStyle w:val="TableParagraph"/>
                          <w:spacing w:line="268" w:lineRule="exact"/>
                          <w:ind w:left="350"/>
                          <w:rPr>
                            <w:sz w:val="22"/>
                          </w:rPr>
                        </w:pPr>
                        <w:r>
                          <w:rPr>
                            <w:w w:val="100"/>
                            <w:sz w:val="22"/>
                          </w:rPr>
                          <w:t>D</w:t>
                        </w:r>
                      </w:p>
                    </w:tc>
                    <w:tc>
                      <w:tcPr>
                        <w:tcW w:w="853" w:type="dxa"/>
                        <w:gridSpan w:val="2"/>
                      </w:tcPr>
                      <w:p>
                        <w:pPr>
                          <w:pStyle w:val="TableParagraph"/>
                          <w:spacing w:line="268" w:lineRule="exact"/>
                          <w:ind w:left="398"/>
                          <w:rPr>
                            <w:sz w:val="22"/>
                          </w:rPr>
                        </w:pPr>
                        <w:r>
                          <w:rPr>
                            <w:w w:val="100"/>
                            <w:sz w:val="22"/>
                          </w:rPr>
                          <w:t>M</w:t>
                        </w:r>
                      </w:p>
                    </w:tc>
                    <w:tc>
                      <w:tcPr>
                        <w:tcW w:w="708" w:type="dxa"/>
                        <w:gridSpan w:val="2"/>
                      </w:tcPr>
                      <w:p>
                        <w:pPr>
                          <w:pStyle w:val="TableParagraph"/>
                          <w:spacing w:line="268" w:lineRule="exact"/>
                          <w:ind w:left="357"/>
                          <w:rPr>
                            <w:sz w:val="22"/>
                          </w:rPr>
                        </w:pPr>
                        <w:r>
                          <w:rPr>
                            <w:w w:val="100"/>
                            <w:sz w:val="22"/>
                          </w:rPr>
                          <w:t>B</w:t>
                        </w:r>
                      </w:p>
                    </w:tc>
                    <w:tc>
                      <w:tcPr>
                        <w:tcW w:w="708" w:type="dxa"/>
                        <w:gridSpan w:val="2"/>
                      </w:tcPr>
                      <w:p>
                        <w:pPr>
                          <w:pStyle w:val="TableParagraph"/>
                          <w:spacing w:line="268" w:lineRule="exact"/>
                          <w:ind w:left="359"/>
                          <w:rPr>
                            <w:sz w:val="22"/>
                          </w:rPr>
                        </w:pPr>
                        <w:r>
                          <w:rPr>
                            <w:w w:val="100"/>
                            <w:sz w:val="22"/>
                          </w:rPr>
                          <w:t>P</w:t>
                        </w:r>
                      </w:p>
                    </w:tc>
                  </w:tr>
                  <w:tr>
                    <w:trPr>
                      <w:trHeight w:val="278" w:hRule="exact"/>
                    </w:trPr>
                    <w:tc>
                      <w:tcPr>
                        <w:tcW w:w="960" w:type="dxa"/>
                      </w:tcPr>
                      <w:p>
                        <w:pPr>
                          <w:pStyle w:val="TableParagraph"/>
                          <w:spacing w:line="268" w:lineRule="exact"/>
                          <w:ind w:left="244" w:right="92"/>
                          <w:rPr>
                            <w:sz w:val="22"/>
                          </w:rPr>
                        </w:pPr>
                        <w:r>
                          <w:rPr>
                            <w:sz w:val="22"/>
                          </w:rPr>
                          <w:t>55</w:t>
                        </w:r>
                      </w:p>
                    </w:tc>
                    <w:tc>
                      <w:tcPr>
                        <w:tcW w:w="338" w:type="dxa"/>
                      </w:tcPr>
                      <w:p>
                        <w:pPr/>
                      </w:p>
                    </w:tc>
                    <w:tc>
                      <w:tcPr>
                        <w:tcW w:w="370" w:type="dxa"/>
                      </w:tcPr>
                      <w:p>
                        <w:pPr/>
                      </w:p>
                    </w:tc>
                    <w:tc>
                      <w:tcPr>
                        <w:tcW w:w="386" w:type="dxa"/>
                      </w:tcPr>
                      <w:p>
                        <w:pPr/>
                      </w:p>
                    </w:tc>
                    <w:tc>
                      <w:tcPr>
                        <w:tcW w:w="322" w:type="dxa"/>
                      </w:tcPr>
                      <w:p>
                        <w:pPr/>
                      </w:p>
                    </w:tc>
                    <w:tc>
                      <w:tcPr>
                        <w:tcW w:w="476" w:type="dxa"/>
                      </w:tcPr>
                      <w:p>
                        <w:pPr/>
                      </w:p>
                    </w:tc>
                    <w:tc>
                      <w:tcPr>
                        <w:tcW w:w="377" w:type="dxa"/>
                      </w:tcPr>
                      <w:p>
                        <w:pPr/>
                      </w:p>
                    </w:tc>
                    <w:tc>
                      <w:tcPr>
                        <w:tcW w:w="350" w:type="dxa"/>
                      </w:tcPr>
                      <w:p>
                        <w:pPr/>
                      </w:p>
                    </w:tc>
                    <w:tc>
                      <w:tcPr>
                        <w:tcW w:w="358" w:type="dxa"/>
                      </w:tcPr>
                      <w:p>
                        <w:pPr/>
                      </w:p>
                    </w:tc>
                    <w:tc>
                      <w:tcPr>
                        <w:tcW w:w="350" w:type="dxa"/>
                      </w:tcPr>
                      <w:p>
                        <w:pPr/>
                      </w:p>
                    </w:tc>
                    <w:tc>
                      <w:tcPr>
                        <w:tcW w:w="358" w:type="dxa"/>
                      </w:tcPr>
                      <w:p>
                        <w:pPr/>
                      </w:p>
                    </w:tc>
                  </w:tr>
                  <w:tr>
                    <w:trPr>
                      <w:trHeight w:val="281" w:hRule="exact"/>
                    </w:trPr>
                    <w:tc>
                      <w:tcPr>
                        <w:tcW w:w="960" w:type="dxa"/>
                      </w:tcPr>
                      <w:p>
                        <w:pPr>
                          <w:pStyle w:val="TableParagraph"/>
                          <w:ind w:left="244" w:right="92"/>
                          <w:rPr>
                            <w:sz w:val="22"/>
                          </w:rPr>
                        </w:pPr>
                        <w:r>
                          <w:rPr>
                            <w:sz w:val="22"/>
                          </w:rPr>
                          <w:t>54</w:t>
                        </w:r>
                      </w:p>
                    </w:tc>
                    <w:tc>
                      <w:tcPr>
                        <w:tcW w:w="338" w:type="dxa"/>
                        <w:tcBorders>
                          <w:bottom w:val="nil"/>
                        </w:tcBorders>
                      </w:tcPr>
                      <w:p>
                        <w:pPr/>
                      </w:p>
                    </w:tc>
                    <w:tc>
                      <w:tcPr>
                        <w:tcW w:w="370" w:type="dxa"/>
                        <w:tcBorders>
                          <w:bottom w:val="nil"/>
                        </w:tcBorders>
                      </w:tcPr>
                      <w:p>
                        <w:pPr/>
                      </w:p>
                    </w:tc>
                    <w:tc>
                      <w:tcPr>
                        <w:tcW w:w="386" w:type="dxa"/>
                      </w:tcPr>
                      <w:p>
                        <w:pPr/>
                      </w:p>
                    </w:tc>
                    <w:tc>
                      <w:tcPr>
                        <w:tcW w:w="322" w:type="dxa"/>
                      </w:tcPr>
                      <w:p>
                        <w:pPr/>
                      </w:p>
                    </w:tc>
                    <w:tc>
                      <w:tcPr>
                        <w:tcW w:w="476" w:type="dxa"/>
                      </w:tcPr>
                      <w:p>
                        <w:pPr/>
                      </w:p>
                    </w:tc>
                    <w:tc>
                      <w:tcPr>
                        <w:tcW w:w="377" w:type="dxa"/>
                      </w:tcPr>
                      <w:p>
                        <w:pPr/>
                      </w:p>
                    </w:tc>
                    <w:tc>
                      <w:tcPr>
                        <w:tcW w:w="350" w:type="dxa"/>
                      </w:tcPr>
                      <w:p>
                        <w:pPr/>
                      </w:p>
                    </w:tc>
                    <w:tc>
                      <w:tcPr>
                        <w:tcW w:w="358"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53</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386" w:type="dxa"/>
                      </w:tcPr>
                      <w:p>
                        <w:pPr/>
                      </w:p>
                    </w:tc>
                    <w:tc>
                      <w:tcPr>
                        <w:tcW w:w="322" w:type="dxa"/>
                      </w:tcPr>
                      <w:p>
                        <w:pPr/>
                      </w:p>
                    </w:tc>
                    <w:tc>
                      <w:tcPr>
                        <w:tcW w:w="476" w:type="dxa"/>
                      </w:tcPr>
                      <w:p>
                        <w:pPr/>
                      </w:p>
                    </w:tc>
                    <w:tc>
                      <w:tcPr>
                        <w:tcW w:w="377" w:type="dxa"/>
                      </w:tcPr>
                      <w:p>
                        <w:pPr/>
                      </w:p>
                    </w:tc>
                    <w:tc>
                      <w:tcPr>
                        <w:tcW w:w="350" w:type="dxa"/>
                      </w:tcPr>
                      <w:p>
                        <w:pPr/>
                      </w:p>
                    </w:tc>
                    <w:tc>
                      <w:tcPr>
                        <w:tcW w:w="358"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52</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386" w:type="dxa"/>
                      </w:tcPr>
                      <w:p>
                        <w:pPr/>
                      </w:p>
                    </w:tc>
                    <w:tc>
                      <w:tcPr>
                        <w:tcW w:w="322" w:type="dxa"/>
                      </w:tcPr>
                      <w:p>
                        <w:pPr/>
                      </w:p>
                    </w:tc>
                    <w:tc>
                      <w:tcPr>
                        <w:tcW w:w="476" w:type="dxa"/>
                      </w:tcPr>
                      <w:p>
                        <w:pPr/>
                      </w:p>
                    </w:tc>
                    <w:tc>
                      <w:tcPr>
                        <w:tcW w:w="377" w:type="dxa"/>
                      </w:tcPr>
                      <w:p>
                        <w:pPr/>
                      </w:p>
                    </w:tc>
                    <w:tc>
                      <w:tcPr>
                        <w:tcW w:w="350" w:type="dxa"/>
                      </w:tcPr>
                      <w:p>
                        <w:pPr/>
                      </w:p>
                    </w:tc>
                    <w:tc>
                      <w:tcPr>
                        <w:tcW w:w="358" w:type="dxa"/>
                      </w:tcPr>
                      <w:p>
                        <w:pPr/>
                      </w:p>
                    </w:tc>
                    <w:tc>
                      <w:tcPr>
                        <w:tcW w:w="350" w:type="dxa"/>
                      </w:tcPr>
                      <w:p>
                        <w:pPr/>
                      </w:p>
                    </w:tc>
                    <w:tc>
                      <w:tcPr>
                        <w:tcW w:w="358" w:type="dxa"/>
                      </w:tcPr>
                      <w:p>
                        <w:pPr/>
                      </w:p>
                    </w:tc>
                  </w:tr>
                  <w:tr>
                    <w:trPr>
                      <w:trHeight w:val="334" w:hRule="exact"/>
                    </w:trPr>
                    <w:tc>
                      <w:tcPr>
                        <w:tcW w:w="960" w:type="dxa"/>
                      </w:tcPr>
                      <w:p>
                        <w:pPr>
                          <w:pStyle w:val="TableParagraph"/>
                          <w:spacing w:line="265" w:lineRule="exact"/>
                          <w:ind w:left="244" w:right="92"/>
                          <w:rPr>
                            <w:sz w:val="22"/>
                          </w:rPr>
                        </w:pPr>
                        <w:r>
                          <w:rPr>
                            <w:sz w:val="22"/>
                          </w:rPr>
                          <w:t>51</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386" w:type="dxa"/>
                      </w:tcPr>
                      <w:p>
                        <w:pPr/>
                      </w:p>
                    </w:tc>
                    <w:tc>
                      <w:tcPr>
                        <w:tcW w:w="322" w:type="dxa"/>
                      </w:tcPr>
                      <w:p>
                        <w:pPr/>
                      </w:p>
                    </w:tc>
                    <w:tc>
                      <w:tcPr>
                        <w:tcW w:w="476" w:type="dxa"/>
                      </w:tcPr>
                      <w:p>
                        <w:pPr/>
                      </w:p>
                    </w:tc>
                    <w:tc>
                      <w:tcPr>
                        <w:tcW w:w="377" w:type="dxa"/>
                      </w:tcPr>
                      <w:p>
                        <w:pPr/>
                      </w:p>
                    </w:tc>
                    <w:tc>
                      <w:tcPr>
                        <w:tcW w:w="350" w:type="dxa"/>
                      </w:tcPr>
                      <w:p>
                        <w:pPr/>
                      </w:p>
                    </w:tc>
                    <w:tc>
                      <w:tcPr>
                        <w:tcW w:w="358" w:type="dxa"/>
                      </w:tcPr>
                      <w:p>
                        <w:pPr/>
                      </w:p>
                    </w:tc>
                    <w:tc>
                      <w:tcPr>
                        <w:tcW w:w="350" w:type="dxa"/>
                      </w:tcPr>
                      <w:p>
                        <w:pPr/>
                      </w:p>
                    </w:tc>
                    <w:tc>
                      <w:tcPr>
                        <w:tcW w:w="358" w:type="dxa"/>
                      </w:tcPr>
                      <w:p>
                        <w:pPr/>
                      </w:p>
                    </w:tc>
                  </w:tr>
                </w:tbl>
                <w:p>
                  <w:pPr>
                    <w:pStyle w:val="BodyText"/>
                  </w:pPr>
                </w:p>
              </w:txbxContent>
            </v:textbox>
            <w10:wrap type="none"/>
          </v:shape>
        </w:pict>
      </w:r>
      <w:r>
        <w:rPr/>
        <w:t>Anexo II</w:t>
      </w:r>
    </w:p>
    <w:p>
      <w:pPr>
        <w:pStyle w:val="BodyText"/>
        <w:spacing w:before="10"/>
        <w:rPr>
          <w:b/>
          <w:sz w:val="21"/>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1558"/>
        <w:gridCol w:w="5857"/>
      </w:tblGrid>
      <w:tr>
        <w:trPr>
          <w:trHeight w:val="504" w:hRule="exact"/>
        </w:trPr>
        <w:tc>
          <w:tcPr>
            <w:tcW w:w="1272" w:type="dxa"/>
            <w:vMerge w:val="restart"/>
          </w:tcPr>
          <w:p>
            <w:pPr>
              <w:pStyle w:val="TableParagraph"/>
              <w:spacing w:before="117"/>
              <w:ind w:left="244"/>
              <w:rPr>
                <w:rFonts w:ascii="Arial"/>
                <w:sz w:val="22"/>
              </w:rPr>
            </w:pPr>
            <w:r>
              <w:rPr>
                <w:rFonts w:ascii="Arial"/>
                <w:sz w:val="22"/>
              </w:rPr>
              <w:t>Peso:</w:t>
            </w:r>
          </w:p>
        </w:tc>
        <w:tc>
          <w:tcPr>
            <w:tcW w:w="1558" w:type="dxa"/>
            <w:vMerge w:val="restart"/>
          </w:tcPr>
          <w:p>
            <w:pPr>
              <w:pStyle w:val="TableParagraph"/>
              <w:spacing w:before="117"/>
              <w:ind w:left="242"/>
              <w:rPr>
                <w:rFonts w:ascii="Arial"/>
                <w:sz w:val="22"/>
              </w:rPr>
            </w:pPr>
            <w:r>
              <w:rPr>
                <w:rFonts w:ascii="Arial"/>
                <w:sz w:val="22"/>
              </w:rPr>
              <w:t>Talla:</w:t>
            </w:r>
          </w:p>
        </w:tc>
        <w:tc>
          <w:tcPr>
            <w:tcW w:w="5857" w:type="dxa"/>
          </w:tcPr>
          <w:p>
            <w:pPr>
              <w:pStyle w:val="TableParagraph"/>
              <w:spacing w:before="117"/>
              <w:ind w:left="244"/>
              <w:rPr>
                <w:rFonts w:ascii="Arial"/>
                <w:sz w:val="22"/>
              </w:rPr>
            </w:pPr>
            <w:r>
              <w:rPr>
                <w:rFonts w:ascii="Arial"/>
                <w:sz w:val="22"/>
              </w:rPr>
              <w:t>Nombre:</w:t>
            </w:r>
          </w:p>
        </w:tc>
      </w:tr>
      <w:tr>
        <w:trPr>
          <w:trHeight w:val="530" w:hRule="exact"/>
        </w:trPr>
        <w:tc>
          <w:tcPr>
            <w:tcW w:w="1272" w:type="dxa"/>
            <w:vMerge/>
          </w:tcPr>
          <w:p>
            <w:pPr/>
          </w:p>
        </w:tc>
        <w:tc>
          <w:tcPr>
            <w:tcW w:w="1558" w:type="dxa"/>
            <w:vMerge/>
          </w:tcPr>
          <w:p>
            <w:pPr/>
          </w:p>
        </w:tc>
        <w:tc>
          <w:tcPr>
            <w:tcW w:w="5857" w:type="dxa"/>
          </w:tcPr>
          <w:p>
            <w:pPr>
              <w:pStyle w:val="TableParagraph"/>
              <w:spacing w:before="117"/>
              <w:ind w:left="244"/>
              <w:rPr>
                <w:sz w:val="23"/>
              </w:rPr>
            </w:pPr>
            <w:r>
              <w:rPr>
                <w:sz w:val="23"/>
              </w:rPr>
              <w:t>No. de registro</w:t>
            </w:r>
          </w:p>
        </w:tc>
      </w:tr>
    </w:tbl>
    <w:p>
      <w:pPr>
        <w:spacing w:after="0"/>
        <w:rPr>
          <w:sz w:val="23"/>
        </w:rPr>
        <w:sectPr>
          <w:pgSz w:w="12240" w:h="15840"/>
          <w:pgMar w:header="686" w:footer="964" w:top="1080" w:bottom="1160" w:left="1280" w:right="880"/>
        </w:sectPr>
      </w:pPr>
    </w:p>
    <w:p>
      <w:pPr>
        <w:pStyle w:val="BodyText"/>
        <w:rPr>
          <w:rFonts w:ascii="Times New Roman"/>
          <w:sz w:val="20"/>
        </w:rPr>
      </w:pPr>
      <w:r>
        <w:rPr/>
        <w:drawing>
          <wp:anchor distT="0" distB="0" distL="0" distR="0" allowOverlap="1" layoutInCell="1" locked="0" behindDoc="0" simplePos="0" relativeHeight="3448">
            <wp:simplePos x="0" y="0"/>
            <wp:positionH relativeFrom="page">
              <wp:posOffset>1516633</wp:posOffset>
            </wp:positionH>
            <wp:positionV relativeFrom="page">
              <wp:posOffset>5592445</wp:posOffset>
            </wp:positionV>
            <wp:extent cx="443933" cy="171450"/>
            <wp:effectExtent l="0" t="0" r="0" b="0"/>
            <wp:wrapNone/>
            <wp:docPr id="17" name="image6.png" descr=""/>
            <wp:cNvGraphicFramePr>
              <a:graphicFrameLocks noChangeAspect="1"/>
            </wp:cNvGraphicFramePr>
            <a:graphic>
              <a:graphicData uri="http://schemas.openxmlformats.org/drawingml/2006/picture">
                <pic:pic>
                  <pic:nvPicPr>
                    <pic:cNvPr id="18" name="image6.png"/>
                    <pic:cNvPicPr/>
                  </pic:nvPicPr>
                  <pic:blipFill>
                    <a:blip r:embed="rId41" cstate="print"/>
                    <a:stretch>
                      <a:fillRect/>
                    </a:stretch>
                  </pic:blipFill>
                  <pic:spPr>
                    <a:xfrm>
                      <a:off x="0" y="0"/>
                      <a:ext cx="443933" cy="171450"/>
                    </a:xfrm>
                    <a:prstGeom prst="rect">
                      <a:avLst/>
                    </a:prstGeom>
                  </pic:spPr>
                </pic:pic>
              </a:graphicData>
            </a:graphic>
          </wp:anchor>
        </w:drawing>
      </w:r>
      <w:r>
        <w:rPr/>
        <w:drawing>
          <wp:anchor distT="0" distB="0" distL="0" distR="0" allowOverlap="1" layoutInCell="1" locked="0" behindDoc="1" simplePos="0" relativeHeight="268292807">
            <wp:simplePos x="0" y="0"/>
            <wp:positionH relativeFrom="page">
              <wp:posOffset>1516633</wp:posOffset>
            </wp:positionH>
            <wp:positionV relativeFrom="page">
              <wp:posOffset>1844294</wp:posOffset>
            </wp:positionV>
            <wp:extent cx="443933" cy="171450"/>
            <wp:effectExtent l="0" t="0" r="0" b="0"/>
            <wp:wrapNone/>
            <wp:docPr id="19" name="image6.png" descr=""/>
            <wp:cNvGraphicFramePr>
              <a:graphicFrameLocks noChangeAspect="1"/>
            </wp:cNvGraphicFramePr>
            <a:graphic>
              <a:graphicData uri="http://schemas.openxmlformats.org/drawingml/2006/picture">
                <pic:pic>
                  <pic:nvPicPr>
                    <pic:cNvPr id="20" name="image6.png"/>
                    <pic:cNvPicPr/>
                  </pic:nvPicPr>
                  <pic:blipFill>
                    <a:blip r:embed="rId41" cstate="print"/>
                    <a:stretch>
                      <a:fillRect/>
                    </a:stretch>
                  </pic:blipFill>
                  <pic:spPr>
                    <a:xfrm>
                      <a:off x="0" y="0"/>
                      <a:ext cx="443933" cy="171450"/>
                    </a:xfrm>
                    <a:prstGeom prst="rect">
                      <a:avLst/>
                    </a:prstGeom>
                  </pic:spPr>
                </pic:pic>
              </a:graphicData>
            </a:graphic>
          </wp:anchor>
        </w:drawing>
      </w:r>
      <w:r>
        <w:rPr/>
        <w:pict>
          <v:rect style="position:absolute;margin-left:481.200012pt;margin-top:530.76001pt;width:10.8pt;height:11.64pt;mso-position-horizontal-relative:page;mso-position-vertical-relative:page;z-index:3496" filled="false" stroked="true" strokeweight=".96pt" strokecolor="#2c2c2c">
            <w10:wrap type="none"/>
          </v:rect>
        </w:pict>
      </w:r>
      <w:r>
        <w:rPr/>
        <w:pict>
          <v:rect style="position:absolute;margin-left:533.280029pt;margin-top:530.039978pt;width:10.92pt;height:11.76pt;mso-position-horizontal-relative:page;mso-position-vertical-relative:page;z-index:3520" filled="false" stroked="true" strokeweight=".96pt" strokecolor="#2c2c2c">
            <w10:wrap type="none"/>
          </v:rect>
        </w:pict>
      </w:r>
      <w:r>
        <w:rPr/>
        <w:pict>
          <v:rect style="position:absolute;margin-left:537.840027pt;margin-top:557.640015pt;width:10.8pt;height:11.76pt;mso-position-horizontal-relative:page;mso-position-vertical-relative:page;z-index:3544" filled="false" stroked="true" strokeweight=".96pt" strokecolor="#2c2c2c">
            <w10:wrap type="none"/>
          </v:rect>
        </w:pict>
      </w:r>
      <w:r>
        <w:rPr/>
        <w:pict>
          <v:rect style="position:absolute;margin-left:480.119995pt;margin-top:557.76001pt;width:10.92pt;height:11.64pt;mso-position-horizontal-relative:page;mso-position-vertical-relative:page;z-index:3568" filled="false" stroked="true" strokeweight=".96pt" strokecolor="#2c2c2c">
            <w10:wrap type="none"/>
          </v:rect>
        </w:pict>
      </w:r>
      <w:r>
        <w:rPr/>
        <w:pict>
          <v:shape style="position:absolute;margin-left:355.51001pt;margin-top:209.660004pt;width:240.3pt;height:279.55pt;mso-position-horizontal-relative:page;mso-position-vertical-relative:page;z-index:35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3"/>
                    <w:gridCol w:w="2268"/>
                  </w:tblGrid>
                  <w:tr>
                    <w:trPr>
                      <w:trHeight w:val="134" w:hRule="exact"/>
                    </w:trPr>
                    <w:tc>
                      <w:tcPr>
                        <w:tcW w:w="2523" w:type="dxa"/>
                        <w:tcBorders>
                          <w:right w:val="nil"/>
                        </w:tcBorders>
                      </w:tcPr>
                      <w:p>
                        <w:pPr>
                          <w:pStyle w:val="TableParagraph"/>
                          <w:ind w:right="65"/>
                          <w:jc w:val="right"/>
                          <w:rPr>
                            <w:rFonts w:ascii="Arial" w:hAnsi="Arial"/>
                            <w:sz w:val="10"/>
                          </w:rPr>
                        </w:pPr>
                        <w:r>
                          <w:rPr>
                            <w:rFonts w:ascii="Arial" w:hAnsi="Arial"/>
                            <w:sz w:val="10"/>
                          </w:rPr>
                          <w:t>Códigos</w:t>
                        </w:r>
                      </w:p>
                    </w:tc>
                    <w:tc>
                      <w:tcPr>
                        <w:tcW w:w="2268" w:type="dxa"/>
                        <w:tcBorders>
                          <w:left w:val="nil"/>
                        </w:tcBorders>
                      </w:tcPr>
                      <w:p>
                        <w:pPr>
                          <w:pStyle w:val="TableParagraph"/>
                          <w:ind w:left="15"/>
                          <w:rPr>
                            <w:rFonts w:ascii="Arial"/>
                            <w:sz w:val="10"/>
                          </w:rPr>
                        </w:pPr>
                        <w:r>
                          <w:rPr>
                            <w:rFonts w:ascii="Arial"/>
                            <w:sz w:val="10"/>
                          </w:rPr>
                          <w:t>ICDAS</w:t>
                        </w:r>
                      </w:p>
                    </w:tc>
                  </w:tr>
                  <w:tr>
                    <w:trPr>
                      <w:trHeight w:val="377" w:hRule="exact"/>
                    </w:trPr>
                    <w:tc>
                      <w:tcPr>
                        <w:tcW w:w="2523" w:type="dxa"/>
                      </w:tcPr>
                      <w:p>
                        <w:pPr>
                          <w:pStyle w:val="TableParagraph"/>
                          <w:spacing w:line="182" w:lineRule="exact"/>
                          <w:ind w:left="244" w:right="159"/>
                          <w:rPr>
                            <w:rFonts w:ascii="Arial" w:hAnsi="Arial"/>
                            <w:sz w:val="16"/>
                          </w:rPr>
                        </w:pPr>
                        <w:r>
                          <w:rPr>
                            <w:rFonts w:ascii="Arial" w:hAnsi="Arial"/>
                            <w:sz w:val="16"/>
                          </w:rPr>
                          <w:t>Códigos de Restauraciones y Selladores</w:t>
                        </w:r>
                      </w:p>
                    </w:tc>
                    <w:tc>
                      <w:tcPr>
                        <w:tcW w:w="2268" w:type="dxa"/>
                      </w:tcPr>
                      <w:p>
                        <w:pPr>
                          <w:pStyle w:val="TableParagraph"/>
                          <w:spacing w:line="180" w:lineRule="exact"/>
                          <w:ind w:left="244" w:right="126"/>
                          <w:rPr>
                            <w:rFonts w:ascii="Arial" w:hAnsi="Arial"/>
                            <w:sz w:val="16"/>
                          </w:rPr>
                        </w:pPr>
                        <w:r>
                          <w:rPr>
                            <w:rFonts w:ascii="Arial" w:hAnsi="Arial"/>
                            <w:sz w:val="16"/>
                          </w:rPr>
                          <w:t>Códigos de Caries</w:t>
                        </w:r>
                      </w:p>
                    </w:tc>
                  </w:tr>
                  <w:tr>
                    <w:trPr>
                      <w:trHeight w:val="194" w:hRule="exact"/>
                    </w:trPr>
                    <w:tc>
                      <w:tcPr>
                        <w:tcW w:w="2523" w:type="dxa"/>
                      </w:tcPr>
                      <w:p>
                        <w:pPr>
                          <w:pStyle w:val="TableParagraph"/>
                          <w:spacing w:line="180" w:lineRule="exact"/>
                          <w:ind w:left="244" w:right="159"/>
                          <w:rPr>
                            <w:rFonts w:ascii="Arial"/>
                            <w:sz w:val="16"/>
                          </w:rPr>
                        </w:pPr>
                        <w:r>
                          <w:rPr>
                            <w:rFonts w:ascii="Arial"/>
                            <w:sz w:val="16"/>
                          </w:rPr>
                          <w:t>0= No sellado ni restaurado</w:t>
                        </w:r>
                      </w:p>
                    </w:tc>
                    <w:tc>
                      <w:tcPr>
                        <w:tcW w:w="2268" w:type="dxa"/>
                      </w:tcPr>
                      <w:p>
                        <w:pPr>
                          <w:pStyle w:val="TableParagraph"/>
                          <w:spacing w:line="180" w:lineRule="exact"/>
                          <w:ind w:left="244" w:right="126"/>
                          <w:rPr>
                            <w:rFonts w:ascii="Arial"/>
                            <w:sz w:val="16"/>
                          </w:rPr>
                        </w:pPr>
                        <w:r>
                          <w:rPr>
                            <w:rFonts w:ascii="Arial"/>
                            <w:sz w:val="16"/>
                          </w:rPr>
                          <w:t>0= Superficie dental sana</w:t>
                        </w:r>
                      </w:p>
                    </w:tc>
                  </w:tr>
                  <w:tr>
                    <w:trPr>
                      <w:trHeight w:val="562" w:hRule="exact"/>
                    </w:trPr>
                    <w:tc>
                      <w:tcPr>
                        <w:tcW w:w="2523" w:type="dxa"/>
                      </w:tcPr>
                      <w:p>
                        <w:pPr>
                          <w:pStyle w:val="TableParagraph"/>
                          <w:spacing w:line="180" w:lineRule="exact"/>
                          <w:ind w:left="244" w:right="159"/>
                          <w:rPr>
                            <w:rFonts w:ascii="Arial"/>
                            <w:sz w:val="16"/>
                          </w:rPr>
                        </w:pPr>
                        <w:r>
                          <w:rPr>
                            <w:rFonts w:ascii="Arial"/>
                            <w:sz w:val="16"/>
                          </w:rPr>
                          <w:t>1= Sellado parcial</w:t>
                        </w:r>
                      </w:p>
                    </w:tc>
                    <w:tc>
                      <w:tcPr>
                        <w:tcW w:w="2268" w:type="dxa"/>
                      </w:tcPr>
                      <w:p>
                        <w:pPr>
                          <w:pStyle w:val="TableParagraph"/>
                          <w:ind w:left="244" w:right="282"/>
                          <w:rPr>
                            <w:rFonts w:ascii="Arial"/>
                            <w:sz w:val="16"/>
                          </w:rPr>
                        </w:pPr>
                        <w:r>
                          <w:rPr>
                            <w:rFonts w:ascii="Arial"/>
                            <w:sz w:val="16"/>
                          </w:rPr>
                          <w:t>1= Primer cambio visual en el esmalte (visto en seco)</w:t>
                        </w:r>
                      </w:p>
                    </w:tc>
                  </w:tr>
                  <w:tr>
                    <w:trPr>
                      <w:trHeight w:val="377" w:hRule="exact"/>
                    </w:trPr>
                    <w:tc>
                      <w:tcPr>
                        <w:tcW w:w="2523" w:type="dxa"/>
                      </w:tcPr>
                      <w:p>
                        <w:pPr>
                          <w:pStyle w:val="TableParagraph"/>
                          <w:spacing w:line="180" w:lineRule="exact"/>
                          <w:ind w:left="244" w:right="159"/>
                          <w:rPr>
                            <w:rFonts w:ascii="Arial"/>
                            <w:sz w:val="16"/>
                          </w:rPr>
                        </w:pPr>
                        <w:r>
                          <w:rPr>
                            <w:rFonts w:ascii="Arial"/>
                            <w:sz w:val="16"/>
                          </w:rPr>
                          <w:t>2= Sellado completo</w:t>
                        </w:r>
                      </w:p>
                    </w:tc>
                    <w:tc>
                      <w:tcPr>
                        <w:tcW w:w="2268" w:type="dxa"/>
                      </w:tcPr>
                      <w:p>
                        <w:pPr>
                          <w:pStyle w:val="TableParagraph"/>
                          <w:ind w:left="244" w:right="259"/>
                          <w:rPr>
                            <w:rFonts w:ascii="Arial"/>
                            <w:sz w:val="16"/>
                          </w:rPr>
                        </w:pPr>
                        <w:r>
                          <w:rPr>
                            <w:rFonts w:ascii="Arial"/>
                            <w:sz w:val="16"/>
                          </w:rPr>
                          <w:t>2= Cambio visible o detectable en el esmalte</w:t>
                        </w:r>
                      </w:p>
                    </w:tc>
                  </w:tr>
                  <w:tr>
                    <w:trPr>
                      <w:trHeight w:val="379" w:hRule="exact"/>
                    </w:trPr>
                    <w:tc>
                      <w:tcPr>
                        <w:tcW w:w="2523" w:type="dxa"/>
                      </w:tcPr>
                      <w:p>
                        <w:pPr>
                          <w:pStyle w:val="TableParagraph"/>
                          <w:ind w:left="244" w:right="217"/>
                          <w:rPr>
                            <w:rFonts w:ascii="Arial" w:hAnsi="Arial"/>
                            <w:sz w:val="16"/>
                          </w:rPr>
                        </w:pPr>
                        <w:r>
                          <w:rPr>
                            <w:rFonts w:ascii="Arial" w:hAnsi="Arial"/>
                            <w:sz w:val="16"/>
                          </w:rPr>
                          <w:t>3=Restauración del color del diente</w:t>
                        </w:r>
                      </w:p>
                    </w:tc>
                    <w:tc>
                      <w:tcPr>
                        <w:tcW w:w="2268" w:type="dxa"/>
                      </w:tcPr>
                      <w:p>
                        <w:pPr>
                          <w:pStyle w:val="TableParagraph"/>
                          <w:ind w:left="244" w:right="126"/>
                          <w:rPr>
                            <w:rFonts w:ascii="Arial"/>
                            <w:sz w:val="16"/>
                          </w:rPr>
                        </w:pPr>
                        <w:r>
                          <w:rPr>
                            <w:rFonts w:ascii="Arial"/>
                            <w:sz w:val="16"/>
                          </w:rPr>
                          <w:t>3= Ruptura localizada del esmalte sin dentina visible</w:t>
                        </w:r>
                      </w:p>
                    </w:tc>
                  </w:tr>
                  <w:tr>
                    <w:trPr>
                      <w:trHeight w:val="929" w:hRule="exact"/>
                    </w:trPr>
                    <w:tc>
                      <w:tcPr>
                        <w:tcW w:w="2523" w:type="dxa"/>
                      </w:tcPr>
                      <w:p>
                        <w:pPr>
                          <w:pStyle w:val="TableParagraph"/>
                          <w:ind w:left="244" w:right="777"/>
                          <w:rPr>
                            <w:rFonts w:ascii="Arial" w:hAnsi="Arial"/>
                            <w:sz w:val="16"/>
                          </w:rPr>
                        </w:pPr>
                        <w:r>
                          <w:rPr>
                            <w:rFonts w:ascii="Arial" w:hAnsi="Arial"/>
                            <w:sz w:val="16"/>
                          </w:rPr>
                          <w:t>4= Restauración con amalgama</w:t>
                        </w:r>
                      </w:p>
                    </w:tc>
                    <w:tc>
                      <w:tcPr>
                        <w:tcW w:w="2268" w:type="dxa"/>
                      </w:tcPr>
                      <w:p>
                        <w:pPr>
                          <w:pStyle w:val="TableParagraph"/>
                          <w:ind w:left="244" w:right="339"/>
                          <w:rPr>
                            <w:rFonts w:ascii="Arial"/>
                            <w:sz w:val="16"/>
                          </w:rPr>
                        </w:pPr>
                        <w:r>
                          <w:rPr>
                            <w:rFonts w:ascii="Arial"/>
                            <w:sz w:val="16"/>
                          </w:rPr>
                          <w:t>4= Sombra oscura subyacente de dentina. Dentina obscura (sin cavidad dentro de la dentina</w:t>
                        </w:r>
                      </w:p>
                    </w:tc>
                  </w:tr>
                  <w:tr>
                    <w:trPr>
                      <w:trHeight w:val="379" w:hRule="exact"/>
                    </w:trPr>
                    <w:tc>
                      <w:tcPr>
                        <w:tcW w:w="2523" w:type="dxa"/>
                      </w:tcPr>
                      <w:p>
                        <w:pPr>
                          <w:pStyle w:val="TableParagraph"/>
                          <w:ind w:left="244" w:right="830"/>
                          <w:rPr>
                            <w:rFonts w:ascii="Arial"/>
                            <w:sz w:val="16"/>
                          </w:rPr>
                        </w:pPr>
                        <w:r>
                          <w:rPr>
                            <w:rFonts w:ascii="Arial"/>
                            <w:sz w:val="16"/>
                          </w:rPr>
                          <w:t>5= Corona de acero inoxidable</w:t>
                        </w:r>
                      </w:p>
                    </w:tc>
                    <w:tc>
                      <w:tcPr>
                        <w:tcW w:w="2268" w:type="dxa"/>
                      </w:tcPr>
                      <w:p>
                        <w:pPr>
                          <w:pStyle w:val="TableParagraph"/>
                          <w:ind w:left="244" w:right="139"/>
                          <w:rPr>
                            <w:rFonts w:ascii="Arial"/>
                            <w:sz w:val="16"/>
                          </w:rPr>
                        </w:pPr>
                        <w:r>
                          <w:rPr>
                            <w:rFonts w:ascii="Arial"/>
                            <w:sz w:val="16"/>
                          </w:rPr>
                          <w:t>5=Cavidad detectable con dentina visible</w:t>
                        </w:r>
                      </w:p>
                    </w:tc>
                  </w:tr>
                  <w:tr>
                    <w:trPr>
                      <w:trHeight w:val="562" w:hRule="exact"/>
                    </w:trPr>
                    <w:tc>
                      <w:tcPr>
                        <w:tcW w:w="2523" w:type="dxa"/>
                      </w:tcPr>
                      <w:p>
                        <w:pPr>
                          <w:pStyle w:val="TableParagraph"/>
                          <w:ind w:left="244" w:right="364"/>
                          <w:rPr>
                            <w:rFonts w:ascii="Arial"/>
                            <w:sz w:val="16"/>
                          </w:rPr>
                        </w:pPr>
                        <w:r>
                          <w:rPr>
                            <w:rFonts w:ascii="Arial"/>
                            <w:sz w:val="16"/>
                          </w:rPr>
                          <w:t>6=Corona o carilla de porcelana, oro, o meta- porcelana (PFM) o Veneer</w:t>
                        </w:r>
                      </w:p>
                    </w:tc>
                    <w:tc>
                      <w:tcPr>
                        <w:tcW w:w="2268" w:type="dxa"/>
                      </w:tcPr>
                      <w:p>
                        <w:pPr>
                          <w:pStyle w:val="TableParagraph"/>
                          <w:ind w:left="244" w:right="264"/>
                          <w:rPr>
                            <w:rFonts w:ascii="Arial"/>
                            <w:sz w:val="16"/>
                          </w:rPr>
                        </w:pPr>
                        <w:r>
                          <w:rPr>
                            <w:rFonts w:ascii="Arial"/>
                            <w:sz w:val="16"/>
                          </w:rPr>
                          <w:t>6= Cavidad detectable o visible extensa con dentina visible</w:t>
                        </w:r>
                      </w:p>
                    </w:tc>
                  </w:tr>
                  <w:tr>
                    <w:trPr>
                      <w:trHeight w:val="379" w:hRule="exact"/>
                    </w:trPr>
                    <w:tc>
                      <w:tcPr>
                        <w:tcW w:w="2523" w:type="dxa"/>
                      </w:tcPr>
                      <w:p>
                        <w:pPr>
                          <w:pStyle w:val="TableParagraph"/>
                          <w:ind w:left="244" w:right="363"/>
                          <w:rPr>
                            <w:rFonts w:ascii="Arial" w:hAnsi="Arial"/>
                            <w:sz w:val="16"/>
                          </w:rPr>
                        </w:pPr>
                        <w:r>
                          <w:rPr>
                            <w:rFonts w:ascii="Arial" w:hAnsi="Arial"/>
                            <w:sz w:val="16"/>
                          </w:rPr>
                          <w:t>7.- Restauración perdida o fracturada</w:t>
                        </w:r>
                      </w:p>
                    </w:tc>
                    <w:tc>
                      <w:tcPr>
                        <w:tcW w:w="2268" w:type="dxa"/>
                      </w:tcPr>
                      <w:p>
                        <w:pPr/>
                      </w:p>
                    </w:tc>
                  </w:tr>
                  <w:tr>
                    <w:trPr>
                      <w:trHeight w:val="192" w:hRule="exact"/>
                    </w:trPr>
                    <w:tc>
                      <w:tcPr>
                        <w:tcW w:w="2523" w:type="dxa"/>
                      </w:tcPr>
                      <w:p>
                        <w:pPr>
                          <w:pStyle w:val="TableParagraph"/>
                          <w:spacing w:line="181" w:lineRule="exact"/>
                          <w:ind w:left="244" w:right="159"/>
                          <w:rPr>
                            <w:rFonts w:ascii="Arial" w:hAnsi="Arial"/>
                            <w:sz w:val="16"/>
                          </w:rPr>
                        </w:pPr>
                        <w:r>
                          <w:rPr>
                            <w:rFonts w:ascii="Arial" w:hAnsi="Arial"/>
                            <w:sz w:val="16"/>
                          </w:rPr>
                          <w:t>8.-Restauración temporal</w:t>
                        </w:r>
                      </w:p>
                    </w:tc>
                    <w:tc>
                      <w:tcPr>
                        <w:tcW w:w="2268" w:type="dxa"/>
                      </w:tcPr>
                      <w:p>
                        <w:pPr/>
                      </w:p>
                    </w:tc>
                  </w:tr>
                  <w:tr>
                    <w:trPr>
                      <w:trHeight w:val="1116" w:hRule="exact"/>
                    </w:trPr>
                    <w:tc>
                      <w:tcPr>
                        <w:tcW w:w="2523" w:type="dxa"/>
                      </w:tcPr>
                      <w:p>
                        <w:pPr>
                          <w:pStyle w:val="TableParagraph"/>
                          <w:ind w:left="244" w:right="159" w:firstLine="91"/>
                          <w:rPr>
                            <w:rFonts w:ascii="Arial" w:hAnsi="Arial"/>
                            <w:sz w:val="16"/>
                          </w:rPr>
                        </w:pPr>
                        <w:r>
                          <w:rPr>
                            <w:rFonts w:ascii="Arial" w:hAnsi="Arial"/>
                            <w:sz w:val="16"/>
                          </w:rPr>
                          <w:t>A un código de 2 dígitos se debe ser utilizado</w:t>
                        </w:r>
                      </w:p>
                    </w:tc>
                    <w:tc>
                      <w:tcPr>
                        <w:tcW w:w="2268" w:type="dxa"/>
                      </w:tcPr>
                      <w:p>
                        <w:pPr>
                          <w:pStyle w:val="TableParagraph"/>
                          <w:spacing w:line="182" w:lineRule="exact"/>
                          <w:ind w:left="244"/>
                          <w:jc w:val="both"/>
                          <w:rPr>
                            <w:rFonts w:ascii="Arial"/>
                            <w:sz w:val="16"/>
                          </w:rPr>
                        </w:pPr>
                        <w:r>
                          <w:rPr>
                            <w:rFonts w:ascii="Arial"/>
                            <w:sz w:val="16"/>
                          </w:rPr>
                          <w:t>Dientes Perdidos</w:t>
                        </w:r>
                      </w:p>
                      <w:p>
                        <w:pPr>
                          <w:pStyle w:val="TableParagraph"/>
                          <w:ind w:left="244" w:right="352"/>
                          <w:jc w:val="both"/>
                          <w:rPr>
                            <w:rFonts w:ascii="Arial" w:hAnsi="Arial"/>
                            <w:sz w:val="16"/>
                          </w:rPr>
                        </w:pPr>
                        <w:r>
                          <w:rPr>
                            <w:rFonts w:ascii="Arial" w:hAnsi="Arial"/>
                            <w:sz w:val="16"/>
                          </w:rPr>
                          <w:t>97= Extraído por caries 98= Diente perdido por otra razón</w:t>
                        </w:r>
                      </w:p>
                      <w:p>
                        <w:pPr>
                          <w:pStyle w:val="TableParagraph"/>
                          <w:spacing w:before="1"/>
                          <w:ind w:left="244" w:right="993"/>
                          <w:rPr>
                            <w:rFonts w:ascii="Arial"/>
                            <w:sz w:val="16"/>
                          </w:rPr>
                        </w:pPr>
                        <w:r>
                          <w:rPr>
                            <w:rFonts w:ascii="Arial"/>
                            <w:sz w:val="16"/>
                          </w:rPr>
                          <w:t>99= Diente no erupcionado</w:t>
                        </w:r>
                      </w:p>
                    </w:tc>
                  </w:tr>
                </w:tbl>
                <w:p>
                  <w:pPr>
                    <w:pStyle w:val="BodyText"/>
                  </w:pPr>
                </w:p>
              </w:txbxContent>
            </v:textbox>
            <w10:wrap type="none"/>
          </v:shape>
        </w:pict>
      </w:r>
      <w:r>
        <w:rPr/>
        <w:pict>
          <v:shape style="position:absolute;margin-left:70.944pt;margin-top:398.569977pt;width:232.95pt;height:139.35pt;mso-position-horizontal-relative:page;mso-position-vertical-relative:page;z-index:36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106"/>
                    <w:gridCol w:w="257"/>
                    <w:gridCol w:w="108"/>
                    <w:gridCol w:w="238"/>
                    <w:gridCol w:w="362"/>
                    <w:gridCol w:w="346"/>
                    <w:gridCol w:w="452"/>
                    <w:gridCol w:w="401"/>
                    <w:gridCol w:w="350"/>
                    <w:gridCol w:w="358"/>
                    <w:gridCol w:w="374"/>
                    <w:gridCol w:w="334"/>
                  </w:tblGrid>
                  <w:tr>
                    <w:trPr>
                      <w:trHeight w:val="278" w:hRule="exact"/>
                    </w:trPr>
                    <w:tc>
                      <w:tcPr>
                        <w:tcW w:w="4645" w:type="dxa"/>
                        <w:gridSpan w:val="13"/>
                      </w:tcPr>
                      <w:p>
                        <w:pPr>
                          <w:pStyle w:val="TableParagraph"/>
                          <w:spacing w:line="265" w:lineRule="exact"/>
                          <w:ind w:left="1111"/>
                          <w:rPr>
                            <w:sz w:val="22"/>
                          </w:rPr>
                        </w:pPr>
                        <w:r>
                          <w:rPr>
                            <w:sz w:val="22"/>
                          </w:rPr>
                          <w:t>Cuadrante Superior Derecho</w:t>
                        </w:r>
                      </w:p>
                    </w:tc>
                  </w:tr>
                  <w:tr>
                    <w:trPr>
                      <w:trHeight w:val="548" w:hRule="exact"/>
                    </w:trPr>
                    <w:tc>
                      <w:tcPr>
                        <w:tcW w:w="960" w:type="dxa"/>
                      </w:tcPr>
                      <w:p>
                        <w:pPr>
                          <w:pStyle w:val="TableParagraph"/>
                          <w:ind w:left="244" w:right="92"/>
                          <w:rPr>
                            <w:sz w:val="22"/>
                          </w:rPr>
                        </w:pPr>
                        <w:r>
                          <w:rPr>
                            <w:sz w:val="22"/>
                          </w:rPr>
                          <w:t>Diente No.</w:t>
                        </w:r>
                      </w:p>
                    </w:tc>
                    <w:tc>
                      <w:tcPr>
                        <w:tcW w:w="708" w:type="dxa"/>
                        <w:gridSpan w:val="4"/>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50"/>
                          <w:rPr>
                            <w:sz w:val="22"/>
                          </w:rPr>
                        </w:pPr>
                        <w:r>
                          <w:rPr>
                            <w:w w:val="100"/>
                            <w:sz w:val="22"/>
                          </w:rPr>
                          <w:t>D</w:t>
                        </w:r>
                      </w:p>
                    </w:tc>
                    <w:tc>
                      <w:tcPr>
                        <w:tcW w:w="853" w:type="dxa"/>
                        <w:gridSpan w:val="2"/>
                      </w:tcPr>
                      <w:p>
                        <w:pPr>
                          <w:pStyle w:val="TableParagraph"/>
                          <w:spacing w:line="265" w:lineRule="exact"/>
                          <w:ind w:left="398"/>
                          <w:rPr>
                            <w:sz w:val="22"/>
                          </w:rPr>
                        </w:pPr>
                        <w:r>
                          <w:rPr>
                            <w:w w:val="100"/>
                            <w:sz w:val="22"/>
                          </w:rPr>
                          <w:t>M</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133"/>
                          <w:jc w:val="center"/>
                          <w:rPr>
                            <w:sz w:val="22"/>
                          </w:rPr>
                        </w:pPr>
                        <w:r>
                          <w:rPr>
                            <w:w w:val="100"/>
                            <w:sz w:val="22"/>
                          </w:rPr>
                          <w:t>L</w:t>
                        </w:r>
                      </w:p>
                    </w:tc>
                  </w:tr>
                  <w:tr>
                    <w:trPr>
                      <w:trHeight w:val="278" w:hRule="exact"/>
                    </w:trPr>
                    <w:tc>
                      <w:tcPr>
                        <w:tcW w:w="960" w:type="dxa"/>
                      </w:tcPr>
                      <w:p>
                        <w:pPr>
                          <w:pStyle w:val="TableParagraph"/>
                          <w:spacing w:line="265" w:lineRule="exact"/>
                          <w:ind w:left="244" w:right="92"/>
                          <w:rPr>
                            <w:sz w:val="22"/>
                          </w:rPr>
                        </w:pPr>
                        <w:r>
                          <w:rPr>
                            <w:sz w:val="22"/>
                          </w:rPr>
                          <w:t>21</w:t>
                        </w:r>
                      </w:p>
                    </w:tc>
                    <w:tc>
                      <w:tcPr>
                        <w:tcW w:w="106" w:type="dxa"/>
                        <w:tcBorders>
                          <w:top w:val="nil"/>
                          <w:left w:val="nil"/>
                          <w:bottom w:val="nil"/>
                          <w:right w:val="nil"/>
                        </w:tcBorders>
                        <w:shd w:val="clear" w:color="auto" w:fill="000000"/>
                      </w:tcPr>
                      <w:p>
                        <w:pPr/>
                      </w:p>
                    </w:tc>
                    <w:tc>
                      <w:tcPr>
                        <w:tcW w:w="257" w:type="dxa"/>
                        <w:tcBorders>
                          <w:left w:val="nil"/>
                          <w:bottom w:val="nil"/>
                        </w:tcBorders>
                      </w:tcPr>
                      <w:p>
                        <w:pPr/>
                      </w:p>
                    </w:tc>
                    <w:tc>
                      <w:tcPr>
                        <w:tcW w:w="108" w:type="dxa"/>
                        <w:tcBorders>
                          <w:top w:val="nil"/>
                          <w:left w:val="nil"/>
                          <w:bottom w:val="nil"/>
                          <w:right w:val="nil"/>
                        </w:tcBorders>
                        <w:shd w:val="clear" w:color="auto" w:fill="000000"/>
                      </w:tcPr>
                      <w:p>
                        <w:pPr/>
                      </w:p>
                    </w:tc>
                    <w:tc>
                      <w:tcPr>
                        <w:tcW w:w="238" w:type="dxa"/>
                        <w:tcBorders>
                          <w:left w:val="nil"/>
                          <w:bottom w:val="nil"/>
                        </w:tcBorders>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5" w:lineRule="exact"/>
                          <w:ind w:left="244" w:right="92"/>
                          <w:rPr>
                            <w:sz w:val="22"/>
                          </w:rPr>
                        </w:pPr>
                        <w:r>
                          <w:rPr>
                            <w:sz w:val="22"/>
                          </w:rPr>
                          <w:t>22</w:t>
                        </w:r>
                      </w:p>
                    </w:tc>
                    <w:tc>
                      <w:tcPr>
                        <w:tcW w:w="362" w:type="dxa"/>
                        <w:gridSpan w:val="2"/>
                        <w:tcBorders>
                          <w:top w:val="nil"/>
                          <w:left w:val="nil"/>
                          <w:bottom w:val="nil"/>
                          <w:right w:val="nil"/>
                        </w:tcBorders>
                        <w:shd w:val="clear" w:color="auto" w:fill="000000"/>
                      </w:tcPr>
                      <w:p>
                        <w:pPr/>
                      </w:p>
                    </w:tc>
                    <w:tc>
                      <w:tcPr>
                        <w:tcW w:w="346" w:type="dxa"/>
                        <w:gridSpan w:val="2"/>
                        <w:tcBorders>
                          <w:top w:val="nil"/>
                          <w:left w:val="nil"/>
                          <w:bottom w:val="nil"/>
                          <w:right w:val="nil"/>
                        </w:tcBorders>
                        <w:shd w:val="clear" w:color="auto" w:fill="000000"/>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5" w:lineRule="exact"/>
                          <w:ind w:left="244" w:right="92"/>
                          <w:rPr>
                            <w:sz w:val="22"/>
                          </w:rPr>
                        </w:pPr>
                        <w:r>
                          <w:rPr>
                            <w:sz w:val="22"/>
                          </w:rPr>
                          <w:t>23</w:t>
                        </w:r>
                      </w:p>
                    </w:tc>
                    <w:tc>
                      <w:tcPr>
                        <w:tcW w:w="362" w:type="dxa"/>
                        <w:gridSpan w:val="2"/>
                        <w:tcBorders>
                          <w:top w:val="nil"/>
                          <w:left w:val="nil"/>
                          <w:bottom w:val="nil"/>
                          <w:right w:val="nil"/>
                        </w:tcBorders>
                        <w:shd w:val="clear" w:color="auto" w:fill="000000"/>
                      </w:tcPr>
                      <w:p>
                        <w:pPr/>
                      </w:p>
                    </w:tc>
                    <w:tc>
                      <w:tcPr>
                        <w:tcW w:w="346" w:type="dxa"/>
                        <w:gridSpan w:val="2"/>
                        <w:tcBorders>
                          <w:top w:val="nil"/>
                          <w:left w:val="nil"/>
                          <w:bottom w:val="nil"/>
                          <w:right w:val="nil"/>
                        </w:tcBorders>
                        <w:shd w:val="clear" w:color="auto" w:fill="000000"/>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5" w:lineRule="exact"/>
                          <w:ind w:left="244" w:right="92"/>
                          <w:rPr>
                            <w:sz w:val="22"/>
                          </w:rPr>
                        </w:pPr>
                        <w:r>
                          <w:rPr>
                            <w:sz w:val="22"/>
                          </w:rPr>
                          <w:t>24</w:t>
                        </w:r>
                      </w:p>
                    </w:tc>
                    <w:tc>
                      <w:tcPr>
                        <w:tcW w:w="362" w:type="dxa"/>
                        <w:gridSpan w:val="2"/>
                        <w:tcBorders>
                          <w:top w:val="nil"/>
                        </w:tcBorders>
                      </w:tcPr>
                      <w:p>
                        <w:pPr/>
                      </w:p>
                    </w:tc>
                    <w:tc>
                      <w:tcPr>
                        <w:tcW w:w="346" w:type="dxa"/>
                        <w:gridSpan w:val="2"/>
                        <w:tcBorders>
                          <w:top w:val="nil"/>
                        </w:tcBorders>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8" w:lineRule="exact"/>
                          <w:ind w:left="244" w:right="92"/>
                          <w:rPr>
                            <w:sz w:val="22"/>
                          </w:rPr>
                        </w:pPr>
                        <w:r>
                          <w:rPr>
                            <w:sz w:val="22"/>
                          </w:rPr>
                          <w:t>25</w:t>
                        </w:r>
                      </w:p>
                    </w:tc>
                    <w:tc>
                      <w:tcPr>
                        <w:tcW w:w="362" w:type="dxa"/>
                        <w:gridSpan w:val="2"/>
                      </w:tcPr>
                      <w:p>
                        <w:pPr/>
                      </w:p>
                    </w:tc>
                    <w:tc>
                      <w:tcPr>
                        <w:tcW w:w="346" w:type="dxa"/>
                        <w:gridSpan w:val="2"/>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78" w:hRule="exact"/>
                    </w:trPr>
                    <w:tc>
                      <w:tcPr>
                        <w:tcW w:w="960" w:type="dxa"/>
                      </w:tcPr>
                      <w:p>
                        <w:pPr>
                          <w:pStyle w:val="TableParagraph"/>
                          <w:spacing w:line="268" w:lineRule="exact"/>
                          <w:ind w:left="244" w:right="92"/>
                          <w:rPr>
                            <w:sz w:val="22"/>
                          </w:rPr>
                        </w:pPr>
                        <w:r>
                          <w:rPr>
                            <w:sz w:val="22"/>
                          </w:rPr>
                          <w:t>26</w:t>
                        </w:r>
                      </w:p>
                    </w:tc>
                    <w:tc>
                      <w:tcPr>
                        <w:tcW w:w="362" w:type="dxa"/>
                        <w:gridSpan w:val="2"/>
                      </w:tcPr>
                      <w:p>
                        <w:pPr/>
                      </w:p>
                    </w:tc>
                    <w:tc>
                      <w:tcPr>
                        <w:tcW w:w="346" w:type="dxa"/>
                        <w:gridSpan w:val="2"/>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r>
                    <w:trPr>
                      <w:trHeight w:val="281" w:hRule="exact"/>
                    </w:trPr>
                    <w:tc>
                      <w:tcPr>
                        <w:tcW w:w="960" w:type="dxa"/>
                      </w:tcPr>
                      <w:p>
                        <w:pPr>
                          <w:pStyle w:val="TableParagraph"/>
                          <w:spacing w:line="268" w:lineRule="exact"/>
                          <w:ind w:left="244" w:right="92"/>
                          <w:rPr>
                            <w:sz w:val="22"/>
                          </w:rPr>
                        </w:pPr>
                        <w:r>
                          <w:rPr>
                            <w:sz w:val="22"/>
                          </w:rPr>
                          <w:t>27</w:t>
                        </w:r>
                      </w:p>
                    </w:tc>
                    <w:tc>
                      <w:tcPr>
                        <w:tcW w:w="362" w:type="dxa"/>
                        <w:gridSpan w:val="2"/>
                      </w:tcPr>
                      <w:p>
                        <w:pPr/>
                      </w:p>
                    </w:tc>
                    <w:tc>
                      <w:tcPr>
                        <w:tcW w:w="346" w:type="dxa"/>
                        <w:gridSpan w:val="2"/>
                      </w:tcPr>
                      <w:p>
                        <w:pPr/>
                      </w:p>
                    </w:tc>
                    <w:tc>
                      <w:tcPr>
                        <w:tcW w:w="362" w:type="dxa"/>
                      </w:tcPr>
                      <w:p>
                        <w:pPr/>
                      </w:p>
                    </w:tc>
                    <w:tc>
                      <w:tcPr>
                        <w:tcW w:w="346" w:type="dxa"/>
                      </w:tcPr>
                      <w:p>
                        <w:pPr/>
                      </w:p>
                    </w:tc>
                    <w:tc>
                      <w:tcPr>
                        <w:tcW w:w="452" w:type="dxa"/>
                      </w:tcPr>
                      <w:p>
                        <w:pPr/>
                      </w:p>
                    </w:tc>
                    <w:tc>
                      <w:tcPr>
                        <w:tcW w:w="401" w:type="dxa"/>
                      </w:tcPr>
                      <w:p>
                        <w:pPr/>
                      </w:p>
                    </w:tc>
                    <w:tc>
                      <w:tcPr>
                        <w:tcW w:w="350" w:type="dxa"/>
                      </w:tcPr>
                      <w:p>
                        <w:pPr/>
                      </w:p>
                    </w:tc>
                    <w:tc>
                      <w:tcPr>
                        <w:tcW w:w="358" w:type="dxa"/>
                      </w:tcPr>
                      <w:p>
                        <w:pPr/>
                      </w:p>
                    </w:tc>
                    <w:tc>
                      <w:tcPr>
                        <w:tcW w:w="374" w:type="dxa"/>
                      </w:tcPr>
                      <w:p>
                        <w:pPr/>
                      </w:p>
                    </w:tc>
                    <w:tc>
                      <w:tcPr>
                        <w:tcW w:w="334" w:type="dxa"/>
                      </w:tcPr>
                      <w:p>
                        <w:pPr/>
                      </w:p>
                    </w:tc>
                  </w:tr>
                </w:tbl>
                <w:p>
                  <w:pPr>
                    <w:pStyle w:val="BodyText"/>
                  </w:pPr>
                </w:p>
              </w:txbxContent>
            </v:textbox>
            <w10:wrap type="none"/>
          </v:shape>
        </w:pict>
      </w:r>
      <w:r>
        <w:rPr/>
        <w:pict>
          <v:shape style="position:absolute;margin-left:346.869995pt;margin-top:526.630005pt;width:240.3pt;height:66pt;mso-position-horizontal-relative:page;mso-position-vertical-relative:page;z-index:36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2"/>
                    <w:gridCol w:w="2269"/>
                  </w:tblGrid>
                  <w:tr>
                    <w:trPr>
                      <w:trHeight w:val="1310" w:hRule="exact"/>
                    </w:trPr>
                    <w:tc>
                      <w:tcPr>
                        <w:tcW w:w="2522" w:type="dxa"/>
                      </w:tcPr>
                      <w:p>
                        <w:pPr>
                          <w:pStyle w:val="TableParagraph"/>
                          <w:spacing w:line="182" w:lineRule="exact"/>
                          <w:ind w:left="244" w:right="514"/>
                          <w:rPr>
                            <w:rFonts w:ascii="Arial"/>
                            <w:sz w:val="16"/>
                          </w:rPr>
                        </w:pPr>
                        <w:r>
                          <w:rPr>
                            <w:rFonts w:ascii="Arial"/>
                            <w:sz w:val="16"/>
                          </w:rPr>
                          <w:t>Materia Blanca Previa al Cepillado</w:t>
                        </w:r>
                      </w:p>
                      <w:p>
                        <w:pPr>
                          <w:pStyle w:val="TableParagraph"/>
                          <w:rPr>
                            <w:rFonts w:ascii="Times New Roman"/>
                            <w:sz w:val="16"/>
                          </w:rPr>
                        </w:pPr>
                      </w:p>
                      <w:p>
                        <w:pPr>
                          <w:pStyle w:val="TableParagraph"/>
                          <w:spacing w:before="9"/>
                          <w:rPr>
                            <w:rFonts w:ascii="Times New Roman"/>
                            <w:sz w:val="15"/>
                          </w:rPr>
                        </w:pPr>
                      </w:p>
                      <w:p>
                        <w:pPr>
                          <w:pStyle w:val="TableParagraph"/>
                          <w:ind w:left="244" w:right="514"/>
                          <w:rPr>
                            <w:rFonts w:ascii="Arial"/>
                            <w:sz w:val="16"/>
                          </w:rPr>
                        </w:pPr>
                        <w:r>
                          <w:rPr>
                            <w:rFonts w:ascii="Arial"/>
                            <w:sz w:val="16"/>
                          </w:rPr>
                          <w:t>Calculo Dental</w:t>
                        </w:r>
                      </w:p>
                    </w:tc>
                    <w:tc>
                      <w:tcPr>
                        <w:tcW w:w="2269" w:type="dxa"/>
                      </w:tcPr>
                      <w:p>
                        <w:pPr>
                          <w:pStyle w:val="TableParagraph"/>
                          <w:tabs>
                            <w:tab w:pos="1618" w:val="left" w:leader="none"/>
                          </w:tabs>
                          <w:spacing w:line="180" w:lineRule="exact"/>
                          <w:ind w:left="576" w:right="127"/>
                          <w:rPr>
                            <w:rFonts w:ascii="Arial"/>
                            <w:sz w:val="16"/>
                          </w:rPr>
                        </w:pPr>
                        <w:r>
                          <w:rPr>
                            <w:rFonts w:ascii="Arial"/>
                            <w:sz w:val="16"/>
                          </w:rPr>
                          <w:t>SI</w:t>
                          <w:tab/>
                          <w:t>NO</w:t>
                        </w:r>
                      </w:p>
                      <w:p>
                        <w:pPr>
                          <w:pStyle w:val="TableParagraph"/>
                          <w:rPr>
                            <w:rFonts w:ascii="Times New Roman"/>
                            <w:sz w:val="16"/>
                          </w:rPr>
                        </w:pPr>
                      </w:p>
                      <w:p>
                        <w:pPr>
                          <w:pStyle w:val="TableParagraph"/>
                          <w:rPr>
                            <w:rFonts w:ascii="Times New Roman"/>
                            <w:sz w:val="16"/>
                          </w:rPr>
                        </w:pPr>
                      </w:p>
                      <w:p>
                        <w:pPr>
                          <w:pStyle w:val="TableParagraph"/>
                          <w:spacing w:before="9"/>
                          <w:rPr>
                            <w:rFonts w:ascii="Times New Roman"/>
                            <w:sz w:val="15"/>
                          </w:rPr>
                        </w:pPr>
                      </w:p>
                      <w:p>
                        <w:pPr>
                          <w:pStyle w:val="TableParagraph"/>
                          <w:tabs>
                            <w:tab w:pos="1709" w:val="left" w:leader="none"/>
                          </w:tabs>
                          <w:spacing w:before="1"/>
                          <w:ind w:left="554" w:right="127"/>
                          <w:rPr>
                            <w:rFonts w:ascii="Arial"/>
                            <w:sz w:val="16"/>
                          </w:rPr>
                        </w:pPr>
                        <w:r>
                          <w:rPr>
                            <w:rFonts w:ascii="Arial"/>
                            <w:sz w:val="16"/>
                          </w:rPr>
                          <w:t>SI</w:t>
                          <w:tab/>
                          <w:t>NO</w:t>
                        </w:r>
                      </w:p>
                    </w:tc>
                  </w:tr>
                </w:tbl>
                <w:p>
                  <w:pPr>
                    <w:pStyle w:val="BodyText"/>
                  </w:pPr>
                </w:p>
              </w:txbxContent>
            </v:textbox>
            <w10:wrap type="none"/>
          </v:shape>
        </w:pict>
      </w:r>
      <w:r>
        <w:rPr/>
        <w:pict>
          <v:shape style="position:absolute;margin-left:70.944pt;margin-top:556.149963pt;width:232.95pt;height:139.25pt;mso-position-horizontal-relative:page;mso-position-vertical-relative:page;z-index:36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38"/>
                    <w:gridCol w:w="370"/>
                    <w:gridCol w:w="288"/>
                    <w:gridCol w:w="420"/>
                    <w:gridCol w:w="363"/>
                    <w:gridCol w:w="490"/>
                    <w:gridCol w:w="312"/>
                    <w:gridCol w:w="396"/>
                    <w:gridCol w:w="350"/>
                    <w:gridCol w:w="358"/>
                  </w:tblGrid>
                  <w:tr>
                    <w:trPr>
                      <w:trHeight w:val="278" w:hRule="exact"/>
                    </w:trPr>
                    <w:tc>
                      <w:tcPr>
                        <w:tcW w:w="4645" w:type="dxa"/>
                        <w:gridSpan w:val="11"/>
                      </w:tcPr>
                      <w:p>
                        <w:pPr>
                          <w:pStyle w:val="TableParagraph"/>
                          <w:spacing w:line="265" w:lineRule="exact"/>
                          <w:ind w:left="1159"/>
                          <w:rPr>
                            <w:sz w:val="22"/>
                          </w:rPr>
                        </w:pPr>
                        <w:r>
                          <w:rPr>
                            <w:sz w:val="22"/>
                          </w:rPr>
                          <w:t>Cuadrante Inferior Derecho</w:t>
                        </w:r>
                      </w:p>
                    </w:tc>
                  </w:tr>
                  <w:tr>
                    <w:trPr>
                      <w:trHeight w:val="547" w:hRule="exact"/>
                    </w:trPr>
                    <w:tc>
                      <w:tcPr>
                        <w:tcW w:w="960" w:type="dxa"/>
                      </w:tcPr>
                      <w:p>
                        <w:pPr>
                          <w:pStyle w:val="TableParagraph"/>
                          <w:ind w:left="244" w:right="92"/>
                          <w:rPr>
                            <w:sz w:val="22"/>
                          </w:rPr>
                        </w:pPr>
                        <w:r>
                          <w:rPr>
                            <w:sz w:val="22"/>
                          </w:rPr>
                          <w:t>Diente No.</w:t>
                        </w:r>
                      </w:p>
                    </w:tc>
                    <w:tc>
                      <w:tcPr>
                        <w:tcW w:w="708" w:type="dxa"/>
                        <w:gridSpan w:val="2"/>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50"/>
                          <w:rPr>
                            <w:sz w:val="22"/>
                          </w:rPr>
                        </w:pPr>
                        <w:r>
                          <w:rPr>
                            <w:w w:val="100"/>
                            <w:sz w:val="22"/>
                          </w:rPr>
                          <w:t>D</w:t>
                        </w:r>
                      </w:p>
                    </w:tc>
                    <w:tc>
                      <w:tcPr>
                        <w:tcW w:w="853" w:type="dxa"/>
                        <w:gridSpan w:val="2"/>
                      </w:tcPr>
                      <w:p>
                        <w:pPr>
                          <w:pStyle w:val="TableParagraph"/>
                          <w:spacing w:line="265" w:lineRule="exact"/>
                          <w:ind w:left="398"/>
                          <w:rPr>
                            <w:sz w:val="22"/>
                          </w:rPr>
                        </w:pPr>
                        <w:r>
                          <w:rPr>
                            <w:w w:val="100"/>
                            <w:sz w:val="22"/>
                          </w:rPr>
                          <w:t>M</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133"/>
                          <w:jc w:val="center"/>
                          <w:rPr>
                            <w:sz w:val="22"/>
                          </w:rPr>
                        </w:pPr>
                        <w:r>
                          <w:rPr>
                            <w:w w:val="100"/>
                            <w:sz w:val="22"/>
                          </w:rPr>
                          <w:t>L</w:t>
                        </w:r>
                      </w:p>
                    </w:tc>
                  </w:tr>
                  <w:tr>
                    <w:trPr>
                      <w:trHeight w:val="279" w:hRule="exact"/>
                    </w:trPr>
                    <w:tc>
                      <w:tcPr>
                        <w:tcW w:w="960" w:type="dxa"/>
                      </w:tcPr>
                      <w:p>
                        <w:pPr>
                          <w:pStyle w:val="TableParagraph"/>
                          <w:spacing w:line="266" w:lineRule="exact"/>
                          <w:ind w:left="244" w:right="92"/>
                          <w:rPr>
                            <w:sz w:val="22"/>
                          </w:rPr>
                        </w:pPr>
                        <w:r>
                          <w:rPr>
                            <w:sz w:val="22"/>
                          </w:rPr>
                          <w:t>37</w:t>
                        </w:r>
                      </w:p>
                    </w:tc>
                    <w:tc>
                      <w:tcPr>
                        <w:tcW w:w="338" w:type="dxa"/>
                      </w:tcPr>
                      <w:p>
                        <w:pPr/>
                      </w:p>
                    </w:tc>
                    <w:tc>
                      <w:tcPr>
                        <w:tcW w:w="370" w:type="dxa"/>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36</w:t>
                        </w:r>
                      </w:p>
                    </w:tc>
                    <w:tc>
                      <w:tcPr>
                        <w:tcW w:w="338" w:type="dxa"/>
                      </w:tcPr>
                      <w:p>
                        <w:pPr/>
                      </w:p>
                    </w:tc>
                    <w:tc>
                      <w:tcPr>
                        <w:tcW w:w="370" w:type="dxa"/>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35</w:t>
                        </w:r>
                      </w:p>
                    </w:tc>
                    <w:tc>
                      <w:tcPr>
                        <w:tcW w:w="338" w:type="dxa"/>
                      </w:tcPr>
                      <w:p>
                        <w:pPr/>
                      </w:p>
                    </w:tc>
                    <w:tc>
                      <w:tcPr>
                        <w:tcW w:w="370" w:type="dxa"/>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34</w:t>
                        </w:r>
                      </w:p>
                    </w:tc>
                    <w:tc>
                      <w:tcPr>
                        <w:tcW w:w="338" w:type="dxa"/>
                        <w:tcBorders>
                          <w:bottom w:val="nil"/>
                        </w:tcBorders>
                      </w:tcPr>
                      <w:p>
                        <w:pPr/>
                      </w:p>
                    </w:tc>
                    <w:tc>
                      <w:tcPr>
                        <w:tcW w:w="370" w:type="dxa"/>
                        <w:tcBorders>
                          <w:bottom w:val="nil"/>
                        </w:tcBorders>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33</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32</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r>
                    <w:trPr>
                      <w:trHeight w:val="278" w:hRule="exact"/>
                    </w:trPr>
                    <w:tc>
                      <w:tcPr>
                        <w:tcW w:w="960" w:type="dxa"/>
                      </w:tcPr>
                      <w:p>
                        <w:pPr>
                          <w:pStyle w:val="TableParagraph"/>
                          <w:spacing w:line="265" w:lineRule="exact"/>
                          <w:ind w:left="244" w:right="92"/>
                          <w:rPr>
                            <w:sz w:val="22"/>
                          </w:rPr>
                        </w:pPr>
                        <w:r>
                          <w:rPr>
                            <w:sz w:val="22"/>
                          </w:rPr>
                          <w:t>31</w:t>
                        </w:r>
                      </w:p>
                    </w:tc>
                    <w:tc>
                      <w:tcPr>
                        <w:tcW w:w="338" w:type="dxa"/>
                        <w:tcBorders>
                          <w:top w:val="nil"/>
                          <w:left w:val="nil"/>
                          <w:bottom w:val="nil"/>
                          <w:right w:val="nil"/>
                        </w:tcBorders>
                        <w:shd w:val="clear" w:color="auto" w:fill="000000"/>
                      </w:tcPr>
                      <w:p>
                        <w:pPr/>
                      </w:p>
                    </w:tc>
                    <w:tc>
                      <w:tcPr>
                        <w:tcW w:w="370" w:type="dxa"/>
                        <w:tcBorders>
                          <w:top w:val="nil"/>
                          <w:left w:val="nil"/>
                          <w:bottom w:val="nil"/>
                          <w:right w:val="nil"/>
                        </w:tcBorders>
                        <w:shd w:val="clear" w:color="auto" w:fill="000000"/>
                      </w:tcPr>
                      <w:p>
                        <w:pPr/>
                      </w:p>
                    </w:tc>
                    <w:tc>
                      <w:tcPr>
                        <w:tcW w:w="288" w:type="dxa"/>
                      </w:tcPr>
                      <w:p>
                        <w:pPr/>
                      </w:p>
                    </w:tc>
                    <w:tc>
                      <w:tcPr>
                        <w:tcW w:w="420" w:type="dxa"/>
                      </w:tcPr>
                      <w:p>
                        <w:pPr/>
                      </w:p>
                    </w:tc>
                    <w:tc>
                      <w:tcPr>
                        <w:tcW w:w="363" w:type="dxa"/>
                      </w:tcPr>
                      <w:p>
                        <w:pPr/>
                      </w:p>
                    </w:tc>
                    <w:tc>
                      <w:tcPr>
                        <w:tcW w:w="490" w:type="dxa"/>
                      </w:tcPr>
                      <w:p>
                        <w:pPr/>
                      </w:p>
                    </w:tc>
                    <w:tc>
                      <w:tcPr>
                        <w:tcW w:w="312" w:type="dxa"/>
                      </w:tcPr>
                      <w:p>
                        <w:pPr/>
                      </w:p>
                    </w:tc>
                    <w:tc>
                      <w:tcPr>
                        <w:tcW w:w="396" w:type="dxa"/>
                      </w:tcPr>
                      <w:p>
                        <w:pPr/>
                      </w:p>
                    </w:tc>
                    <w:tc>
                      <w:tcPr>
                        <w:tcW w:w="350" w:type="dxa"/>
                      </w:tcPr>
                      <w:p>
                        <w:pPr/>
                      </w:p>
                    </w:tc>
                    <w:tc>
                      <w:tcPr>
                        <w:tcW w:w="358" w:type="dxa"/>
                      </w:tcPr>
                      <w:p>
                        <w:pP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p>
      <w:pPr>
        <w:tabs>
          <w:tab w:pos="7714" w:val="left" w:leader="none"/>
        </w:tabs>
        <w:spacing w:line="240" w:lineRule="auto"/>
        <w:ind w:left="138" w:right="0" w:firstLine="0"/>
        <w:rPr>
          <w:rFonts w:ascii="Times New Roman"/>
          <w:sz w:val="20"/>
        </w:rPr>
      </w:pPr>
      <w:r>
        <w:rPr>
          <w:rFonts w:ascii="Times New Roman"/>
          <w:sz w:val="20"/>
        </w:rPr>
        <w:pict>
          <v:shape style="width:232.95pt;height:278.7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106"/>
                    <w:gridCol w:w="245"/>
                    <w:gridCol w:w="120"/>
                    <w:gridCol w:w="238"/>
                    <w:gridCol w:w="374"/>
                    <w:gridCol w:w="334"/>
                    <w:gridCol w:w="464"/>
                    <w:gridCol w:w="389"/>
                    <w:gridCol w:w="350"/>
                    <w:gridCol w:w="358"/>
                    <w:gridCol w:w="362"/>
                    <w:gridCol w:w="346"/>
                  </w:tblGrid>
                  <w:tr>
                    <w:trPr>
                      <w:trHeight w:val="281" w:hRule="exact"/>
                    </w:trPr>
                    <w:tc>
                      <w:tcPr>
                        <w:tcW w:w="4645" w:type="dxa"/>
                        <w:gridSpan w:val="13"/>
                      </w:tcPr>
                      <w:p>
                        <w:pPr>
                          <w:pStyle w:val="TableParagraph"/>
                          <w:spacing w:line="268" w:lineRule="exact"/>
                          <w:ind w:left="1156"/>
                          <w:rPr>
                            <w:sz w:val="22"/>
                          </w:rPr>
                        </w:pPr>
                        <w:r>
                          <w:rPr>
                            <w:sz w:val="22"/>
                          </w:rPr>
                          <w:t>Cuadrante Inferior Derecho</w:t>
                        </w:r>
                      </w:p>
                    </w:tc>
                  </w:tr>
                  <w:tr>
                    <w:trPr>
                      <w:trHeight w:val="545" w:hRule="exact"/>
                    </w:trPr>
                    <w:tc>
                      <w:tcPr>
                        <w:tcW w:w="960" w:type="dxa"/>
                      </w:tcPr>
                      <w:p>
                        <w:pPr>
                          <w:pStyle w:val="TableParagraph"/>
                          <w:ind w:left="244" w:right="92"/>
                          <w:rPr>
                            <w:sz w:val="22"/>
                          </w:rPr>
                        </w:pPr>
                        <w:r>
                          <w:rPr>
                            <w:sz w:val="22"/>
                          </w:rPr>
                          <w:t>Diente No.</w:t>
                        </w:r>
                      </w:p>
                    </w:tc>
                    <w:tc>
                      <w:tcPr>
                        <w:tcW w:w="708" w:type="dxa"/>
                        <w:gridSpan w:val="4"/>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50"/>
                          <w:rPr>
                            <w:sz w:val="22"/>
                          </w:rPr>
                        </w:pPr>
                        <w:r>
                          <w:rPr>
                            <w:w w:val="100"/>
                            <w:sz w:val="22"/>
                          </w:rPr>
                          <w:t>D</w:t>
                        </w:r>
                      </w:p>
                    </w:tc>
                    <w:tc>
                      <w:tcPr>
                        <w:tcW w:w="853" w:type="dxa"/>
                        <w:gridSpan w:val="2"/>
                      </w:tcPr>
                      <w:p>
                        <w:pPr>
                          <w:pStyle w:val="TableParagraph"/>
                          <w:spacing w:line="265" w:lineRule="exact"/>
                          <w:ind w:left="398"/>
                          <w:rPr>
                            <w:sz w:val="22"/>
                          </w:rPr>
                        </w:pPr>
                        <w:r>
                          <w:rPr>
                            <w:w w:val="100"/>
                            <w:sz w:val="22"/>
                          </w:rPr>
                          <w:t>M</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133"/>
                          <w:jc w:val="center"/>
                          <w:rPr>
                            <w:sz w:val="22"/>
                          </w:rPr>
                        </w:pPr>
                        <w:r>
                          <w:rPr>
                            <w:w w:val="100"/>
                            <w:sz w:val="22"/>
                          </w:rPr>
                          <w:t>L</w:t>
                        </w:r>
                      </w:p>
                    </w:tc>
                  </w:tr>
                  <w:tr>
                    <w:trPr>
                      <w:trHeight w:val="281" w:hRule="exact"/>
                    </w:trPr>
                    <w:tc>
                      <w:tcPr>
                        <w:tcW w:w="960" w:type="dxa"/>
                      </w:tcPr>
                      <w:p>
                        <w:pPr>
                          <w:pStyle w:val="TableParagraph"/>
                          <w:spacing w:line="268" w:lineRule="exact"/>
                          <w:ind w:left="244" w:right="92"/>
                          <w:rPr>
                            <w:sz w:val="22"/>
                          </w:rPr>
                        </w:pPr>
                        <w:r>
                          <w:rPr>
                            <w:sz w:val="22"/>
                          </w:rPr>
                          <w:t>41</w:t>
                        </w:r>
                      </w:p>
                    </w:tc>
                    <w:tc>
                      <w:tcPr>
                        <w:tcW w:w="106" w:type="dxa"/>
                        <w:tcBorders>
                          <w:top w:val="nil"/>
                          <w:left w:val="nil"/>
                          <w:bottom w:val="nil"/>
                          <w:right w:val="nil"/>
                        </w:tcBorders>
                        <w:shd w:val="clear" w:color="auto" w:fill="000000"/>
                      </w:tcPr>
                      <w:p>
                        <w:pPr/>
                      </w:p>
                    </w:tc>
                    <w:tc>
                      <w:tcPr>
                        <w:tcW w:w="245" w:type="dxa"/>
                        <w:tcBorders>
                          <w:left w:val="nil"/>
                          <w:bottom w:val="nil"/>
                        </w:tcBorders>
                      </w:tcPr>
                      <w:p>
                        <w:pPr/>
                      </w:p>
                    </w:tc>
                    <w:tc>
                      <w:tcPr>
                        <w:tcW w:w="120" w:type="dxa"/>
                        <w:tcBorders>
                          <w:top w:val="nil"/>
                          <w:left w:val="nil"/>
                          <w:bottom w:val="nil"/>
                          <w:right w:val="nil"/>
                        </w:tcBorders>
                        <w:shd w:val="clear" w:color="auto" w:fill="000000"/>
                      </w:tcPr>
                      <w:p>
                        <w:pPr/>
                      </w:p>
                    </w:tc>
                    <w:tc>
                      <w:tcPr>
                        <w:tcW w:w="238" w:type="dxa"/>
                        <w:tcBorders>
                          <w:left w:val="nil"/>
                          <w:bottom w:val="nil"/>
                        </w:tcBorders>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42</w:t>
                        </w:r>
                      </w:p>
                    </w:tc>
                    <w:tc>
                      <w:tcPr>
                        <w:tcW w:w="350" w:type="dxa"/>
                        <w:gridSpan w:val="2"/>
                        <w:tcBorders>
                          <w:top w:val="nil"/>
                          <w:left w:val="nil"/>
                          <w:bottom w:val="nil"/>
                          <w:right w:val="nil"/>
                        </w:tcBorders>
                        <w:shd w:val="clear" w:color="auto" w:fill="000000"/>
                      </w:tcPr>
                      <w:p>
                        <w:pPr/>
                      </w:p>
                    </w:tc>
                    <w:tc>
                      <w:tcPr>
                        <w:tcW w:w="358" w:type="dxa"/>
                        <w:gridSpan w:val="2"/>
                        <w:tcBorders>
                          <w:top w:val="nil"/>
                          <w:left w:val="nil"/>
                          <w:bottom w:val="nil"/>
                          <w:right w:val="nil"/>
                        </w:tcBorders>
                        <w:shd w:val="clear" w:color="auto" w:fill="000000"/>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43</w:t>
                        </w:r>
                      </w:p>
                    </w:tc>
                    <w:tc>
                      <w:tcPr>
                        <w:tcW w:w="350" w:type="dxa"/>
                        <w:gridSpan w:val="2"/>
                        <w:tcBorders>
                          <w:top w:val="nil"/>
                          <w:left w:val="nil"/>
                          <w:bottom w:val="nil"/>
                          <w:right w:val="nil"/>
                        </w:tcBorders>
                        <w:shd w:val="clear" w:color="auto" w:fill="000000"/>
                      </w:tcPr>
                      <w:p>
                        <w:pPr/>
                      </w:p>
                    </w:tc>
                    <w:tc>
                      <w:tcPr>
                        <w:tcW w:w="358" w:type="dxa"/>
                        <w:gridSpan w:val="2"/>
                        <w:tcBorders>
                          <w:top w:val="nil"/>
                          <w:left w:val="nil"/>
                          <w:bottom w:val="nil"/>
                          <w:right w:val="nil"/>
                        </w:tcBorders>
                        <w:shd w:val="clear" w:color="auto" w:fill="000000"/>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44</w:t>
                        </w:r>
                      </w:p>
                    </w:tc>
                    <w:tc>
                      <w:tcPr>
                        <w:tcW w:w="350" w:type="dxa"/>
                        <w:gridSpan w:val="2"/>
                        <w:tcBorders>
                          <w:top w:val="nil"/>
                        </w:tcBorders>
                      </w:tcPr>
                      <w:p>
                        <w:pPr/>
                      </w:p>
                    </w:tc>
                    <w:tc>
                      <w:tcPr>
                        <w:tcW w:w="358" w:type="dxa"/>
                        <w:gridSpan w:val="2"/>
                        <w:tcBorders>
                          <w:top w:val="nil"/>
                        </w:tcBorders>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45</w:t>
                        </w:r>
                      </w:p>
                    </w:tc>
                    <w:tc>
                      <w:tcPr>
                        <w:tcW w:w="350" w:type="dxa"/>
                        <w:gridSpan w:val="2"/>
                      </w:tcPr>
                      <w:p>
                        <w:pPr/>
                      </w:p>
                    </w:tc>
                    <w:tc>
                      <w:tcPr>
                        <w:tcW w:w="358" w:type="dxa"/>
                        <w:gridSpan w:val="2"/>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46</w:t>
                        </w:r>
                      </w:p>
                    </w:tc>
                    <w:tc>
                      <w:tcPr>
                        <w:tcW w:w="350" w:type="dxa"/>
                        <w:gridSpan w:val="2"/>
                      </w:tcPr>
                      <w:p>
                        <w:pPr/>
                      </w:p>
                    </w:tc>
                    <w:tc>
                      <w:tcPr>
                        <w:tcW w:w="358" w:type="dxa"/>
                        <w:gridSpan w:val="2"/>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88" w:hRule="exact"/>
                    </w:trPr>
                    <w:tc>
                      <w:tcPr>
                        <w:tcW w:w="960" w:type="dxa"/>
                        <w:tcBorders>
                          <w:bottom w:val="single" w:sz="8" w:space="0" w:color="000000"/>
                        </w:tcBorders>
                      </w:tcPr>
                      <w:p>
                        <w:pPr>
                          <w:pStyle w:val="TableParagraph"/>
                          <w:spacing w:line="265" w:lineRule="exact"/>
                          <w:ind w:left="244" w:right="92"/>
                          <w:rPr>
                            <w:sz w:val="22"/>
                          </w:rPr>
                        </w:pPr>
                        <w:r>
                          <w:rPr>
                            <w:sz w:val="22"/>
                          </w:rPr>
                          <w:t>47</w:t>
                        </w:r>
                      </w:p>
                    </w:tc>
                    <w:tc>
                      <w:tcPr>
                        <w:tcW w:w="350" w:type="dxa"/>
                        <w:gridSpan w:val="2"/>
                        <w:tcBorders>
                          <w:bottom w:val="single" w:sz="8" w:space="0" w:color="000000"/>
                        </w:tcBorders>
                      </w:tcPr>
                      <w:p>
                        <w:pPr/>
                      </w:p>
                    </w:tc>
                    <w:tc>
                      <w:tcPr>
                        <w:tcW w:w="358" w:type="dxa"/>
                        <w:gridSpan w:val="2"/>
                        <w:tcBorders>
                          <w:bottom w:val="single" w:sz="8" w:space="0" w:color="000000"/>
                        </w:tcBorders>
                      </w:tcPr>
                      <w:p>
                        <w:pPr/>
                      </w:p>
                    </w:tc>
                    <w:tc>
                      <w:tcPr>
                        <w:tcW w:w="374" w:type="dxa"/>
                        <w:tcBorders>
                          <w:bottom w:val="single" w:sz="8" w:space="0" w:color="000000"/>
                        </w:tcBorders>
                      </w:tcPr>
                      <w:p>
                        <w:pPr/>
                      </w:p>
                    </w:tc>
                    <w:tc>
                      <w:tcPr>
                        <w:tcW w:w="334" w:type="dxa"/>
                        <w:tcBorders>
                          <w:bottom w:val="single" w:sz="8" w:space="0" w:color="000000"/>
                        </w:tcBorders>
                      </w:tcPr>
                      <w:p>
                        <w:pPr/>
                      </w:p>
                    </w:tc>
                    <w:tc>
                      <w:tcPr>
                        <w:tcW w:w="464" w:type="dxa"/>
                        <w:tcBorders>
                          <w:bottom w:val="single" w:sz="8" w:space="0" w:color="000000"/>
                        </w:tcBorders>
                      </w:tcPr>
                      <w:p>
                        <w:pPr/>
                      </w:p>
                    </w:tc>
                    <w:tc>
                      <w:tcPr>
                        <w:tcW w:w="389" w:type="dxa"/>
                        <w:tcBorders>
                          <w:bottom w:val="single" w:sz="8" w:space="0" w:color="000000"/>
                        </w:tcBorders>
                      </w:tcPr>
                      <w:p>
                        <w:pPr/>
                      </w:p>
                    </w:tc>
                    <w:tc>
                      <w:tcPr>
                        <w:tcW w:w="350" w:type="dxa"/>
                        <w:tcBorders>
                          <w:bottom w:val="single" w:sz="8" w:space="0" w:color="000000"/>
                        </w:tcBorders>
                      </w:tcPr>
                      <w:p>
                        <w:pPr/>
                      </w:p>
                    </w:tc>
                    <w:tc>
                      <w:tcPr>
                        <w:tcW w:w="358" w:type="dxa"/>
                        <w:tcBorders>
                          <w:bottom w:val="single" w:sz="8" w:space="0" w:color="000000"/>
                        </w:tcBorders>
                      </w:tcPr>
                      <w:p>
                        <w:pPr/>
                      </w:p>
                    </w:tc>
                    <w:tc>
                      <w:tcPr>
                        <w:tcW w:w="362" w:type="dxa"/>
                        <w:tcBorders>
                          <w:bottom w:val="single" w:sz="8" w:space="0" w:color="000000"/>
                        </w:tcBorders>
                      </w:tcPr>
                      <w:p>
                        <w:pPr/>
                      </w:p>
                    </w:tc>
                    <w:tc>
                      <w:tcPr>
                        <w:tcW w:w="346" w:type="dxa"/>
                        <w:tcBorders>
                          <w:bottom w:val="single" w:sz="8" w:space="0" w:color="000000"/>
                        </w:tcBorders>
                      </w:tcPr>
                      <w:p>
                        <w:pPr/>
                      </w:p>
                    </w:tc>
                  </w:tr>
                  <w:tr>
                    <w:trPr>
                      <w:trHeight w:val="279" w:hRule="exact"/>
                    </w:trPr>
                    <w:tc>
                      <w:tcPr>
                        <w:tcW w:w="4645" w:type="dxa"/>
                        <w:gridSpan w:val="13"/>
                        <w:tcBorders>
                          <w:top w:val="single" w:sz="8" w:space="0" w:color="000000"/>
                        </w:tcBorders>
                      </w:tcPr>
                      <w:p>
                        <w:pPr>
                          <w:pStyle w:val="TableParagraph"/>
                          <w:spacing w:line="261" w:lineRule="exact"/>
                          <w:ind w:left="1067"/>
                          <w:rPr>
                            <w:sz w:val="22"/>
                          </w:rPr>
                        </w:pPr>
                        <w:r>
                          <w:rPr>
                            <w:sz w:val="22"/>
                          </w:rPr>
                          <w:t>Cuadrante Superior Izquierdo</w:t>
                        </w:r>
                      </w:p>
                    </w:tc>
                  </w:tr>
                  <w:tr>
                    <w:trPr>
                      <w:trHeight w:val="547" w:hRule="exact"/>
                    </w:trPr>
                    <w:tc>
                      <w:tcPr>
                        <w:tcW w:w="960" w:type="dxa"/>
                      </w:tcPr>
                      <w:p>
                        <w:pPr>
                          <w:pStyle w:val="TableParagraph"/>
                          <w:ind w:left="244" w:right="92"/>
                          <w:rPr>
                            <w:sz w:val="22"/>
                          </w:rPr>
                        </w:pPr>
                        <w:r>
                          <w:rPr>
                            <w:sz w:val="22"/>
                          </w:rPr>
                          <w:t>Diente No.</w:t>
                        </w:r>
                      </w:p>
                    </w:tc>
                    <w:tc>
                      <w:tcPr>
                        <w:tcW w:w="708" w:type="dxa"/>
                        <w:gridSpan w:val="4"/>
                      </w:tcPr>
                      <w:p>
                        <w:pPr>
                          <w:pStyle w:val="TableParagraph"/>
                          <w:spacing w:line="265" w:lineRule="exact"/>
                          <w:ind w:left="343"/>
                          <w:rPr>
                            <w:sz w:val="22"/>
                          </w:rPr>
                        </w:pPr>
                        <w:r>
                          <w:rPr>
                            <w:w w:val="100"/>
                            <w:sz w:val="22"/>
                          </w:rPr>
                          <w:t>O</w:t>
                        </w:r>
                      </w:p>
                    </w:tc>
                    <w:tc>
                      <w:tcPr>
                        <w:tcW w:w="708" w:type="dxa"/>
                        <w:gridSpan w:val="2"/>
                      </w:tcPr>
                      <w:p>
                        <w:pPr>
                          <w:pStyle w:val="TableParagraph"/>
                          <w:spacing w:line="265" w:lineRule="exact"/>
                          <w:ind w:left="323"/>
                          <w:rPr>
                            <w:sz w:val="22"/>
                          </w:rPr>
                        </w:pPr>
                        <w:r>
                          <w:rPr>
                            <w:w w:val="100"/>
                            <w:sz w:val="22"/>
                          </w:rPr>
                          <w:t>M</w:t>
                        </w:r>
                      </w:p>
                    </w:tc>
                    <w:tc>
                      <w:tcPr>
                        <w:tcW w:w="853" w:type="dxa"/>
                        <w:gridSpan w:val="2"/>
                      </w:tcPr>
                      <w:p>
                        <w:pPr>
                          <w:pStyle w:val="TableParagraph"/>
                          <w:spacing w:line="265" w:lineRule="exact"/>
                          <w:ind w:left="143"/>
                          <w:jc w:val="center"/>
                          <w:rPr>
                            <w:sz w:val="22"/>
                          </w:rPr>
                        </w:pPr>
                        <w:r>
                          <w:rPr>
                            <w:w w:val="100"/>
                            <w:sz w:val="22"/>
                          </w:rPr>
                          <w:t>D</w:t>
                        </w:r>
                      </w:p>
                    </w:tc>
                    <w:tc>
                      <w:tcPr>
                        <w:tcW w:w="708" w:type="dxa"/>
                        <w:gridSpan w:val="2"/>
                      </w:tcPr>
                      <w:p>
                        <w:pPr>
                          <w:pStyle w:val="TableParagraph"/>
                          <w:spacing w:line="265" w:lineRule="exact"/>
                          <w:ind w:left="357"/>
                          <w:rPr>
                            <w:sz w:val="22"/>
                          </w:rPr>
                        </w:pPr>
                        <w:r>
                          <w:rPr>
                            <w:w w:val="100"/>
                            <w:sz w:val="22"/>
                          </w:rPr>
                          <w:t>B</w:t>
                        </w:r>
                      </w:p>
                    </w:tc>
                    <w:tc>
                      <w:tcPr>
                        <w:tcW w:w="708" w:type="dxa"/>
                        <w:gridSpan w:val="2"/>
                      </w:tcPr>
                      <w:p>
                        <w:pPr>
                          <w:pStyle w:val="TableParagraph"/>
                          <w:spacing w:line="265" w:lineRule="exact"/>
                          <w:ind w:left="133"/>
                          <w:jc w:val="center"/>
                          <w:rPr>
                            <w:sz w:val="22"/>
                          </w:rPr>
                        </w:pPr>
                        <w:r>
                          <w:rPr>
                            <w:w w:val="100"/>
                            <w:sz w:val="22"/>
                          </w:rPr>
                          <w:t>L</w:t>
                        </w:r>
                      </w:p>
                    </w:tc>
                  </w:tr>
                  <w:tr>
                    <w:trPr>
                      <w:trHeight w:val="278" w:hRule="exact"/>
                    </w:trPr>
                    <w:tc>
                      <w:tcPr>
                        <w:tcW w:w="960" w:type="dxa"/>
                      </w:tcPr>
                      <w:p>
                        <w:pPr>
                          <w:pStyle w:val="TableParagraph"/>
                          <w:spacing w:line="265" w:lineRule="exact"/>
                          <w:ind w:left="244" w:right="92"/>
                          <w:rPr>
                            <w:sz w:val="22"/>
                          </w:rPr>
                        </w:pPr>
                        <w:r>
                          <w:rPr>
                            <w:sz w:val="22"/>
                          </w:rPr>
                          <w:t>17</w:t>
                        </w:r>
                      </w:p>
                    </w:tc>
                    <w:tc>
                      <w:tcPr>
                        <w:tcW w:w="350" w:type="dxa"/>
                        <w:gridSpan w:val="2"/>
                      </w:tcPr>
                      <w:p>
                        <w:pPr/>
                      </w:p>
                    </w:tc>
                    <w:tc>
                      <w:tcPr>
                        <w:tcW w:w="358" w:type="dxa"/>
                        <w:gridSpan w:val="2"/>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16</w:t>
                        </w:r>
                      </w:p>
                    </w:tc>
                    <w:tc>
                      <w:tcPr>
                        <w:tcW w:w="350" w:type="dxa"/>
                        <w:gridSpan w:val="2"/>
                      </w:tcPr>
                      <w:p>
                        <w:pPr/>
                      </w:p>
                    </w:tc>
                    <w:tc>
                      <w:tcPr>
                        <w:tcW w:w="358" w:type="dxa"/>
                        <w:gridSpan w:val="2"/>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15</w:t>
                        </w:r>
                      </w:p>
                    </w:tc>
                    <w:tc>
                      <w:tcPr>
                        <w:tcW w:w="350" w:type="dxa"/>
                        <w:gridSpan w:val="2"/>
                      </w:tcPr>
                      <w:p>
                        <w:pPr/>
                      </w:p>
                    </w:tc>
                    <w:tc>
                      <w:tcPr>
                        <w:tcW w:w="358" w:type="dxa"/>
                        <w:gridSpan w:val="2"/>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14</w:t>
                        </w:r>
                      </w:p>
                    </w:tc>
                    <w:tc>
                      <w:tcPr>
                        <w:tcW w:w="350" w:type="dxa"/>
                        <w:gridSpan w:val="2"/>
                        <w:tcBorders>
                          <w:bottom w:val="nil"/>
                        </w:tcBorders>
                      </w:tcPr>
                      <w:p>
                        <w:pPr/>
                      </w:p>
                    </w:tc>
                    <w:tc>
                      <w:tcPr>
                        <w:tcW w:w="358" w:type="dxa"/>
                        <w:gridSpan w:val="2"/>
                        <w:tcBorders>
                          <w:bottom w:val="nil"/>
                        </w:tcBorders>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8" w:lineRule="exact"/>
                          <w:ind w:left="244" w:right="92"/>
                          <w:rPr>
                            <w:sz w:val="22"/>
                          </w:rPr>
                        </w:pPr>
                        <w:r>
                          <w:rPr>
                            <w:sz w:val="22"/>
                          </w:rPr>
                          <w:t>13</w:t>
                        </w:r>
                      </w:p>
                    </w:tc>
                    <w:tc>
                      <w:tcPr>
                        <w:tcW w:w="350" w:type="dxa"/>
                        <w:gridSpan w:val="2"/>
                        <w:tcBorders>
                          <w:top w:val="nil"/>
                          <w:left w:val="nil"/>
                          <w:bottom w:val="nil"/>
                          <w:right w:val="nil"/>
                        </w:tcBorders>
                        <w:shd w:val="clear" w:color="auto" w:fill="000000"/>
                      </w:tcPr>
                      <w:p>
                        <w:pPr/>
                      </w:p>
                    </w:tc>
                    <w:tc>
                      <w:tcPr>
                        <w:tcW w:w="358" w:type="dxa"/>
                        <w:gridSpan w:val="2"/>
                        <w:tcBorders>
                          <w:top w:val="nil"/>
                          <w:left w:val="nil"/>
                          <w:bottom w:val="nil"/>
                          <w:right w:val="nil"/>
                        </w:tcBorders>
                        <w:shd w:val="clear" w:color="auto" w:fill="000000"/>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81" w:hRule="exact"/>
                    </w:trPr>
                    <w:tc>
                      <w:tcPr>
                        <w:tcW w:w="960" w:type="dxa"/>
                      </w:tcPr>
                      <w:p>
                        <w:pPr>
                          <w:pStyle w:val="TableParagraph"/>
                          <w:spacing w:line="268" w:lineRule="exact"/>
                          <w:ind w:left="244" w:right="92"/>
                          <w:rPr>
                            <w:sz w:val="22"/>
                          </w:rPr>
                        </w:pPr>
                        <w:r>
                          <w:rPr>
                            <w:sz w:val="22"/>
                          </w:rPr>
                          <w:t>12</w:t>
                        </w:r>
                      </w:p>
                    </w:tc>
                    <w:tc>
                      <w:tcPr>
                        <w:tcW w:w="350" w:type="dxa"/>
                        <w:gridSpan w:val="2"/>
                        <w:tcBorders>
                          <w:top w:val="nil"/>
                          <w:left w:val="nil"/>
                          <w:bottom w:val="nil"/>
                          <w:right w:val="nil"/>
                        </w:tcBorders>
                        <w:shd w:val="clear" w:color="auto" w:fill="000000"/>
                      </w:tcPr>
                      <w:p>
                        <w:pPr/>
                      </w:p>
                    </w:tc>
                    <w:tc>
                      <w:tcPr>
                        <w:tcW w:w="358" w:type="dxa"/>
                        <w:gridSpan w:val="2"/>
                        <w:tcBorders>
                          <w:top w:val="nil"/>
                          <w:left w:val="nil"/>
                          <w:bottom w:val="nil"/>
                          <w:right w:val="nil"/>
                        </w:tcBorders>
                        <w:shd w:val="clear" w:color="auto" w:fill="000000"/>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r>
                    <w:trPr>
                      <w:trHeight w:val="278" w:hRule="exact"/>
                    </w:trPr>
                    <w:tc>
                      <w:tcPr>
                        <w:tcW w:w="960" w:type="dxa"/>
                      </w:tcPr>
                      <w:p>
                        <w:pPr>
                          <w:pStyle w:val="TableParagraph"/>
                          <w:spacing w:line="265" w:lineRule="exact"/>
                          <w:ind w:left="244" w:right="92"/>
                          <w:rPr>
                            <w:sz w:val="22"/>
                          </w:rPr>
                        </w:pPr>
                        <w:r>
                          <w:rPr>
                            <w:sz w:val="22"/>
                          </w:rPr>
                          <w:t>11</w:t>
                        </w:r>
                      </w:p>
                    </w:tc>
                    <w:tc>
                      <w:tcPr>
                        <w:tcW w:w="350" w:type="dxa"/>
                        <w:gridSpan w:val="2"/>
                        <w:tcBorders>
                          <w:top w:val="nil"/>
                          <w:left w:val="nil"/>
                          <w:bottom w:val="nil"/>
                          <w:right w:val="nil"/>
                        </w:tcBorders>
                        <w:shd w:val="clear" w:color="auto" w:fill="000000"/>
                      </w:tcPr>
                      <w:p>
                        <w:pPr/>
                      </w:p>
                    </w:tc>
                    <w:tc>
                      <w:tcPr>
                        <w:tcW w:w="358" w:type="dxa"/>
                        <w:gridSpan w:val="2"/>
                        <w:tcBorders>
                          <w:top w:val="nil"/>
                          <w:left w:val="nil"/>
                          <w:bottom w:val="nil"/>
                          <w:right w:val="nil"/>
                        </w:tcBorders>
                        <w:shd w:val="clear" w:color="auto" w:fill="000000"/>
                      </w:tcPr>
                      <w:p>
                        <w:pPr/>
                      </w:p>
                    </w:tc>
                    <w:tc>
                      <w:tcPr>
                        <w:tcW w:w="374" w:type="dxa"/>
                      </w:tcPr>
                      <w:p>
                        <w:pPr/>
                      </w:p>
                    </w:tc>
                    <w:tc>
                      <w:tcPr>
                        <w:tcW w:w="334" w:type="dxa"/>
                      </w:tcPr>
                      <w:p>
                        <w:pPr/>
                      </w:p>
                    </w:tc>
                    <w:tc>
                      <w:tcPr>
                        <w:tcW w:w="464" w:type="dxa"/>
                      </w:tcPr>
                      <w:p>
                        <w:pPr/>
                      </w:p>
                    </w:tc>
                    <w:tc>
                      <w:tcPr>
                        <w:tcW w:w="389" w:type="dxa"/>
                      </w:tcPr>
                      <w:p>
                        <w:pPr/>
                      </w:p>
                    </w:tc>
                    <w:tc>
                      <w:tcPr>
                        <w:tcW w:w="350" w:type="dxa"/>
                      </w:tcPr>
                      <w:p>
                        <w:pPr/>
                      </w:p>
                    </w:tc>
                    <w:tc>
                      <w:tcPr>
                        <w:tcW w:w="358" w:type="dxa"/>
                      </w:tcPr>
                      <w:p>
                        <w:pPr/>
                      </w:p>
                    </w:tc>
                    <w:tc>
                      <w:tcPr>
                        <w:tcW w:w="362" w:type="dxa"/>
                      </w:tcPr>
                      <w:p>
                        <w:pPr/>
                      </w:p>
                    </w:tc>
                    <w:tc>
                      <w:tcPr>
                        <w:tcW w:w="346" w:type="dxa"/>
                      </w:tcPr>
                      <w:p>
                        <w:pPr/>
                      </w:p>
                    </w:tc>
                  </w:tr>
                </w:tbl>
                <w:p>
                  <w:pPr>
                    <w:pStyle w:val="BodyText"/>
                  </w:pPr>
                </w:p>
              </w:txbxContent>
            </v:textbox>
          </v:shape>
        </w:pict>
      </w:r>
      <w:r>
        <w:rPr>
          <w:rFonts w:ascii="Times New Roman"/>
          <w:sz w:val="20"/>
        </w:rPr>
      </w:r>
      <w:r>
        <w:rPr>
          <w:rFonts w:ascii="Times New Roman"/>
          <w:sz w:val="20"/>
        </w:rPr>
        <w:tab/>
      </w:r>
      <w:r>
        <w:rPr>
          <w:rFonts w:ascii="Times New Roman"/>
          <w:position w:val="404"/>
          <w:sz w:val="20"/>
        </w:rPr>
        <w:pict>
          <v:shape style="width:77.55pt;height:68.3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1057"/>
                  </w:tblGrid>
                  <w:tr>
                    <w:trPr>
                      <w:trHeight w:val="226" w:hRule="exact"/>
                    </w:trPr>
                    <w:tc>
                      <w:tcPr>
                        <w:tcW w:w="1537" w:type="dxa"/>
                        <w:gridSpan w:val="2"/>
                      </w:tcPr>
                      <w:p>
                        <w:pPr>
                          <w:pStyle w:val="TableParagraph"/>
                          <w:spacing w:line="159" w:lineRule="exact"/>
                          <w:ind w:left="441"/>
                          <w:rPr>
                            <w:rFonts w:ascii="Arial"/>
                            <w:sz w:val="14"/>
                          </w:rPr>
                        </w:pPr>
                        <w:r>
                          <w:rPr>
                            <w:rFonts w:ascii="Arial"/>
                            <w:sz w:val="14"/>
                          </w:rPr>
                          <w:t>Abreviaturas</w:t>
                        </w:r>
                      </w:p>
                    </w:tc>
                  </w:tr>
                  <w:tr>
                    <w:trPr>
                      <w:trHeight w:val="228" w:hRule="exact"/>
                    </w:trPr>
                    <w:tc>
                      <w:tcPr>
                        <w:tcW w:w="480" w:type="dxa"/>
                      </w:tcPr>
                      <w:p>
                        <w:pPr>
                          <w:pStyle w:val="TableParagraph"/>
                          <w:ind w:right="108"/>
                          <w:jc w:val="right"/>
                          <w:rPr>
                            <w:rFonts w:ascii="Arial"/>
                            <w:sz w:val="14"/>
                          </w:rPr>
                        </w:pPr>
                        <w:r>
                          <w:rPr>
                            <w:rFonts w:ascii="Arial"/>
                            <w:w w:val="99"/>
                            <w:sz w:val="14"/>
                          </w:rPr>
                          <w:t>O</w:t>
                        </w:r>
                      </w:p>
                    </w:tc>
                    <w:tc>
                      <w:tcPr>
                        <w:tcW w:w="1057" w:type="dxa"/>
                      </w:tcPr>
                      <w:p>
                        <w:pPr>
                          <w:pStyle w:val="TableParagraph"/>
                          <w:ind w:left="244" w:right="107"/>
                          <w:jc w:val="center"/>
                          <w:rPr>
                            <w:rFonts w:ascii="Arial"/>
                            <w:sz w:val="14"/>
                          </w:rPr>
                        </w:pPr>
                        <w:r>
                          <w:rPr>
                            <w:rFonts w:ascii="Arial"/>
                            <w:sz w:val="14"/>
                          </w:rPr>
                          <w:t>OCLUSAL</w:t>
                        </w:r>
                      </w:p>
                    </w:tc>
                  </w:tr>
                  <w:tr>
                    <w:trPr>
                      <w:trHeight w:val="226" w:hRule="exact"/>
                    </w:trPr>
                    <w:tc>
                      <w:tcPr>
                        <w:tcW w:w="480" w:type="dxa"/>
                      </w:tcPr>
                      <w:p>
                        <w:pPr>
                          <w:pStyle w:val="TableParagraph"/>
                          <w:spacing w:line="159" w:lineRule="exact"/>
                          <w:ind w:right="105"/>
                          <w:jc w:val="right"/>
                          <w:rPr>
                            <w:rFonts w:ascii="Arial"/>
                            <w:sz w:val="14"/>
                          </w:rPr>
                        </w:pPr>
                        <w:r>
                          <w:rPr>
                            <w:rFonts w:ascii="Arial"/>
                            <w:w w:val="99"/>
                            <w:sz w:val="14"/>
                          </w:rPr>
                          <w:t>M</w:t>
                        </w:r>
                      </w:p>
                    </w:tc>
                    <w:tc>
                      <w:tcPr>
                        <w:tcW w:w="1057" w:type="dxa"/>
                      </w:tcPr>
                      <w:p>
                        <w:pPr>
                          <w:pStyle w:val="TableParagraph"/>
                          <w:spacing w:line="159" w:lineRule="exact"/>
                          <w:ind w:left="244" w:right="102"/>
                          <w:jc w:val="center"/>
                          <w:rPr>
                            <w:rFonts w:ascii="Arial"/>
                            <w:sz w:val="14"/>
                          </w:rPr>
                        </w:pPr>
                        <w:r>
                          <w:rPr>
                            <w:rFonts w:ascii="Arial"/>
                            <w:sz w:val="14"/>
                          </w:rPr>
                          <w:t>MESIAL</w:t>
                        </w:r>
                      </w:p>
                    </w:tc>
                  </w:tr>
                  <w:tr>
                    <w:trPr>
                      <w:trHeight w:val="214" w:hRule="exact"/>
                    </w:trPr>
                    <w:tc>
                      <w:tcPr>
                        <w:tcW w:w="480" w:type="dxa"/>
                      </w:tcPr>
                      <w:p>
                        <w:pPr>
                          <w:pStyle w:val="TableParagraph"/>
                          <w:spacing w:line="159" w:lineRule="exact"/>
                          <w:ind w:right="113"/>
                          <w:jc w:val="right"/>
                          <w:rPr>
                            <w:rFonts w:ascii="Arial"/>
                            <w:sz w:val="14"/>
                          </w:rPr>
                        </w:pPr>
                        <w:r>
                          <w:rPr>
                            <w:rFonts w:ascii="Arial"/>
                            <w:w w:val="99"/>
                            <w:sz w:val="14"/>
                          </w:rPr>
                          <w:t>D</w:t>
                        </w:r>
                      </w:p>
                    </w:tc>
                    <w:tc>
                      <w:tcPr>
                        <w:tcW w:w="1057" w:type="dxa"/>
                      </w:tcPr>
                      <w:p>
                        <w:pPr>
                          <w:pStyle w:val="TableParagraph"/>
                          <w:spacing w:line="159" w:lineRule="exact"/>
                          <w:ind w:left="244" w:right="107"/>
                          <w:jc w:val="center"/>
                          <w:rPr>
                            <w:rFonts w:ascii="Arial"/>
                            <w:sz w:val="14"/>
                          </w:rPr>
                        </w:pPr>
                        <w:r>
                          <w:rPr>
                            <w:rFonts w:ascii="Arial"/>
                            <w:sz w:val="14"/>
                          </w:rPr>
                          <w:t>DISTAL</w:t>
                        </w:r>
                      </w:p>
                    </w:tc>
                  </w:tr>
                  <w:tr>
                    <w:trPr>
                      <w:trHeight w:val="226" w:hRule="exact"/>
                    </w:trPr>
                    <w:tc>
                      <w:tcPr>
                        <w:tcW w:w="480" w:type="dxa"/>
                      </w:tcPr>
                      <w:p>
                        <w:pPr>
                          <w:pStyle w:val="TableParagraph"/>
                          <w:spacing w:line="159" w:lineRule="exact"/>
                          <w:ind w:right="116"/>
                          <w:jc w:val="right"/>
                          <w:rPr>
                            <w:rFonts w:ascii="Arial"/>
                            <w:sz w:val="14"/>
                          </w:rPr>
                        </w:pPr>
                        <w:r>
                          <w:rPr>
                            <w:rFonts w:ascii="Arial"/>
                            <w:w w:val="99"/>
                            <w:sz w:val="14"/>
                          </w:rPr>
                          <w:t>B</w:t>
                        </w:r>
                      </w:p>
                    </w:tc>
                    <w:tc>
                      <w:tcPr>
                        <w:tcW w:w="1057" w:type="dxa"/>
                      </w:tcPr>
                      <w:p>
                        <w:pPr>
                          <w:pStyle w:val="TableParagraph"/>
                          <w:spacing w:line="159" w:lineRule="exact"/>
                          <w:ind w:left="244" w:right="105"/>
                          <w:jc w:val="center"/>
                          <w:rPr>
                            <w:rFonts w:ascii="Arial"/>
                            <w:sz w:val="14"/>
                          </w:rPr>
                        </w:pPr>
                        <w:r>
                          <w:rPr>
                            <w:rFonts w:ascii="Arial"/>
                            <w:sz w:val="14"/>
                          </w:rPr>
                          <w:t>BUCAL</w:t>
                        </w:r>
                      </w:p>
                    </w:tc>
                  </w:tr>
                  <w:tr>
                    <w:trPr>
                      <w:trHeight w:val="238" w:hRule="exact"/>
                    </w:trPr>
                    <w:tc>
                      <w:tcPr>
                        <w:tcW w:w="480" w:type="dxa"/>
                      </w:tcPr>
                      <w:p>
                        <w:pPr>
                          <w:pStyle w:val="TableParagraph"/>
                          <w:spacing w:line="159" w:lineRule="exact"/>
                          <w:ind w:right="124"/>
                          <w:jc w:val="right"/>
                          <w:rPr>
                            <w:rFonts w:ascii="Arial"/>
                            <w:sz w:val="14"/>
                          </w:rPr>
                        </w:pPr>
                        <w:r>
                          <w:rPr>
                            <w:rFonts w:ascii="Arial"/>
                            <w:w w:val="99"/>
                            <w:sz w:val="14"/>
                          </w:rPr>
                          <w:t>L</w:t>
                        </w:r>
                      </w:p>
                    </w:tc>
                    <w:tc>
                      <w:tcPr>
                        <w:tcW w:w="1057" w:type="dxa"/>
                      </w:tcPr>
                      <w:p>
                        <w:pPr>
                          <w:pStyle w:val="TableParagraph"/>
                          <w:spacing w:line="159" w:lineRule="exact"/>
                          <w:ind w:left="244" w:right="106"/>
                          <w:jc w:val="center"/>
                          <w:rPr>
                            <w:rFonts w:ascii="Arial"/>
                            <w:sz w:val="14"/>
                          </w:rPr>
                        </w:pPr>
                        <w:r>
                          <w:rPr>
                            <w:rFonts w:ascii="Arial"/>
                            <w:sz w:val="14"/>
                          </w:rPr>
                          <w:t>LINGUA</w:t>
                        </w:r>
                      </w:p>
                    </w:tc>
                  </w:tr>
                </w:tbl>
                <w:p>
                  <w:pPr>
                    <w:pStyle w:val="BodyText"/>
                  </w:pPr>
                </w:p>
              </w:txbxContent>
            </v:textbox>
          </v:shape>
        </w:pict>
      </w:r>
      <w:r>
        <w:rPr>
          <w:rFonts w:ascii="Times New Roman"/>
          <w:position w:val="404"/>
          <w:sz w:val="20"/>
        </w:rPr>
      </w:r>
    </w:p>
    <w:p>
      <w:pPr>
        <w:spacing w:after="0" w:line="240" w:lineRule="auto"/>
        <w:rPr>
          <w:rFonts w:ascii="Times New Roman"/>
          <w:sz w:val="20"/>
        </w:rPr>
        <w:sectPr>
          <w:pgSz w:w="12240" w:h="15840"/>
          <w:pgMar w:header="686" w:footer="964" w:top="1080" w:bottom="1160" w:left="1280" w:right="2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240" w:h="15840"/>
          <w:pgMar w:header="686" w:footer="964" w:top="1080" w:bottom="1160" w:left="1280" w:right="1560"/>
        </w:sectPr>
      </w:pPr>
    </w:p>
    <w:p>
      <w:pPr>
        <w:pStyle w:val="Heading1"/>
        <w:spacing w:before="211"/>
        <w:ind w:left="498" w:right="-20"/>
        <w:jc w:val="left"/>
      </w:pPr>
      <w:r>
        <w:rPr/>
        <w:t>Anexo III</w:t>
      </w:r>
    </w:p>
    <w:p>
      <w:pPr>
        <w:pStyle w:val="BodyText"/>
        <w:rPr>
          <w:b/>
          <w:sz w:val="22"/>
        </w:rPr>
      </w:pPr>
      <w:r>
        <w:rPr/>
        <w:br w:type="column"/>
      </w:r>
      <w:r>
        <w:rPr>
          <w:b/>
          <w:sz w:val="22"/>
        </w:rPr>
      </w:r>
    </w:p>
    <w:p>
      <w:pPr>
        <w:pStyle w:val="BodyText"/>
        <w:rPr>
          <w:b/>
        </w:rPr>
      </w:pPr>
    </w:p>
    <w:p>
      <w:pPr>
        <w:spacing w:before="0"/>
        <w:ind w:left="1658" w:right="1961" w:hanging="1160"/>
        <w:jc w:val="left"/>
        <w:rPr>
          <w:rFonts w:ascii="Calibri" w:hAnsi="Calibri"/>
          <w:sz w:val="23"/>
        </w:rPr>
      </w:pPr>
      <w:r>
        <w:rPr>
          <w:rFonts w:ascii="Calibri" w:hAnsi="Calibri"/>
          <w:color w:val="044D6D"/>
          <w:sz w:val="23"/>
        </w:rPr>
        <w:t>Universidad Autónoma del Estado de México </w:t>
      </w:r>
      <w:r>
        <w:rPr>
          <w:rFonts w:ascii="Calibri" w:hAnsi="Calibri"/>
          <w:sz w:val="23"/>
        </w:rPr>
        <w:t>Facultad de Odontología</w:t>
      </w:r>
    </w:p>
    <w:p>
      <w:pPr>
        <w:spacing w:after="0"/>
        <w:jc w:val="left"/>
        <w:rPr>
          <w:rFonts w:ascii="Calibri" w:hAnsi="Calibri"/>
          <w:sz w:val="23"/>
        </w:rPr>
        <w:sectPr>
          <w:type w:val="continuous"/>
          <w:pgSz w:w="12240" w:h="15840"/>
          <w:pgMar w:top="280" w:bottom="280" w:left="1280" w:right="1560"/>
          <w:cols w:num="2" w:equalWidth="0">
            <w:col w:w="1499" w:space="467"/>
            <w:col w:w="7434"/>
          </w:cols>
        </w:sectPr>
      </w:pPr>
    </w:p>
    <w:p>
      <w:pPr>
        <w:pStyle w:val="BodyText"/>
        <w:rPr>
          <w:rFonts w:ascii="Calibri"/>
          <w:sz w:val="20"/>
        </w:rPr>
      </w:pPr>
    </w:p>
    <w:p>
      <w:pPr>
        <w:pStyle w:val="BodyText"/>
        <w:spacing w:before="1"/>
        <w:rPr>
          <w:rFonts w:ascii="Calibri"/>
          <w:sz w:val="17"/>
        </w:rPr>
      </w:pPr>
    </w:p>
    <w:p>
      <w:pPr>
        <w:spacing w:before="0"/>
        <w:ind w:left="280" w:right="630" w:firstLine="0"/>
        <w:jc w:val="left"/>
        <w:rPr>
          <w:rFonts w:ascii="Calibri" w:hAnsi="Calibri"/>
          <w:b/>
          <w:sz w:val="18"/>
        </w:rPr>
      </w:pPr>
      <w:r>
        <w:rPr>
          <w:rFonts w:ascii="Calibri" w:hAnsi="Calibri"/>
          <w:b/>
          <w:sz w:val="18"/>
        </w:rPr>
        <w:t>Ficha de Identificación</w:t>
      </w:r>
    </w:p>
    <w:p>
      <w:pPr>
        <w:pStyle w:val="BodyText"/>
        <w:spacing w:before="2" w:after="1"/>
        <w:rPr>
          <w:rFonts w:ascii="Calibri"/>
          <w:b/>
          <w:sz w:val="19"/>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80"/>
        <w:gridCol w:w="2410"/>
      </w:tblGrid>
      <w:tr>
        <w:trPr>
          <w:trHeight w:val="502" w:hRule="exact"/>
        </w:trPr>
        <w:tc>
          <w:tcPr>
            <w:tcW w:w="6380" w:type="dxa"/>
          </w:tcPr>
          <w:p>
            <w:pPr>
              <w:pStyle w:val="TableParagraph"/>
              <w:spacing w:before="117"/>
              <w:ind w:left="244"/>
              <w:rPr>
                <w:rFonts w:ascii="Arial"/>
                <w:sz w:val="22"/>
              </w:rPr>
            </w:pPr>
            <w:r>
              <w:rPr>
                <w:rFonts w:ascii="Arial"/>
                <w:sz w:val="22"/>
              </w:rPr>
              <w:t>Nombre</w:t>
            </w:r>
          </w:p>
        </w:tc>
        <w:tc>
          <w:tcPr>
            <w:tcW w:w="2410" w:type="dxa"/>
          </w:tcPr>
          <w:p>
            <w:pPr>
              <w:pStyle w:val="TableParagraph"/>
              <w:spacing w:before="117"/>
              <w:ind w:left="244"/>
              <w:rPr>
                <w:rFonts w:ascii="Arial"/>
                <w:sz w:val="22"/>
              </w:rPr>
            </w:pPr>
            <w:r>
              <w:rPr>
                <w:rFonts w:ascii="Arial"/>
                <w:sz w:val="22"/>
              </w:rPr>
              <w:t>Edad</w:t>
            </w:r>
          </w:p>
        </w:tc>
      </w:tr>
      <w:tr>
        <w:trPr>
          <w:trHeight w:val="504" w:hRule="exact"/>
        </w:trPr>
        <w:tc>
          <w:tcPr>
            <w:tcW w:w="6380" w:type="dxa"/>
          </w:tcPr>
          <w:p>
            <w:pPr>
              <w:pStyle w:val="TableParagraph"/>
              <w:spacing w:before="120"/>
              <w:ind w:left="244"/>
              <w:rPr>
                <w:rFonts w:ascii="Arial"/>
                <w:sz w:val="22"/>
              </w:rPr>
            </w:pPr>
            <w:r>
              <w:rPr>
                <w:rFonts w:ascii="Arial"/>
                <w:sz w:val="22"/>
              </w:rPr>
              <w:t>Escuela</w:t>
            </w:r>
          </w:p>
        </w:tc>
        <w:tc>
          <w:tcPr>
            <w:tcW w:w="2410" w:type="dxa"/>
          </w:tcPr>
          <w:p>
            <w:pPr>
              <w:pStyle w:val="TableParagraph"/>
              <w:spacing w:before="120"/>
              <w:ind w:left="244"/>
              <w:rPr>
                <w:rFonts w:ascii="Arial"/>
                <w:sz w:val="22"/>
              </w:rPr>
            </w:pPr>
            <w:r>
              <w:rPr>
                <w:rFonts w:ascii="Arial"/>
                <w:sz w:val="22"/>
              </w:rPr>
              <w:t>Grupo</w:t>
            </w:r>
          </w:p>
        </w:tc>
      </w:tr>
    </w:tbl>
    <w:p>
      <w:pPr>
        <w:pStyle w:val="BodyText"/>
        <w:rPr>
          <w:rFonts w:ascii="Calibri"/>
          <w:b/>
          <w:sz w:val="20"/>
        </w:rPr>
      </w:pPr>
    </w:p>
    <w:p>
      <w:pPr>
        <w:pStyle w:val="BodyText"/>
        <w:spacing w:before="8"/>
        <w:rPr>
          <w:rFonts w:ascii="Calibri"/>
          <w:b/>
          <w:sz w:val="16"/>
        </w:rPr>
      </w:pPr>
    </w:p>
    <w:p>
      <w:pPr>
        <w:pStyle w:val="BodyText"/>
        <w:spacing w:line="276" w:lineRule="auto" w:before="69"/>
        <w:ind w:left="280" w:right="135"/>
      </w:pPr>
      <w:r>
        <w:rPr/>
        <w:t>Estimado padre de familia a continuación le informamos del Estado de Salud de la de los diente de su hijo.</w:t>
      </w:r>
    </w:p>
    <w:p>
      <w:pPr>
        <w:pStyle w:val="BodyText"/>
        <w:spacing w:before="6"/>
        <w:rPr>
          <w:sz w:val="17"/>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52"/>
        <w:gridCol w:w="1177"/>
      </w:tblGrid>
      <w:tr>
        <w:trPr>
          <w:trHeight w:val="2232" w:hRule="exact"/>
        </w:trPr>
        <w:tc>
          <w:tcPr>
            <w:tcW w:w="7652" w:type="dxa"/>
          </w:tcPr>
          <w:p>
            <w:pPr>
              <w:pStyle w:val="TableParagraph"/>
              <w:ind w:left="244" w:right="667"/>
              <w:rPr>
                <w:rFonts w:ascii="Arial" w:hAnsi="Arial"/>
                <w:sz w:val="24"/>
              </w:rPr>
            </w:pPr>
            <w:r>
              <w:rPr>
                <w:rFonts w:ascii="Arial" w:hAnsi="Arial"/>
                <w:sz w:val="24"/>
              </w:rPr>
              <w:t>Esta sano y no requiere ningún tipo de tratamiento dental, pero deberá continuar con buenos hábitos dietéticos e higiénicos</w:t>
            </w:r>
          </w:p>
          <w:p>
            <w:pPr>
              <w:pStyle w:val="TableParagraph"/>
              <w:spacing w:before="3"/>
              <w:rPr>
                <w:rFonts w:ascii="Arial"/>
                <w:sz w:val="24"/>
              </w:rPr>
            </w:pPr>
          </w:p>
          <w:p>
            <w:pPr>
              <w:pStyle w:val="TableParagraph"/>
              <w:ind w:left="244"/>
              <w:rPr>
                <w:rFonts w:ascii="Arial"/>
                <w:sz w:val="20"/>
              </w:rPr>
            </w:pPr>
            <w:r>
              <w:rPr>
                <w:rFonts w:ascii="Arial"/>
                <w:sz w:val="20"/>
              </w:rPr>
              <w:drawing>
                <wp:inline distT="0" distB="0" distL="0" distR="0">
                  <wp:extent cx="876310" cy="882396"/>
                  <wp:effectExtent l="0" t="0" r="0" b="0"/>
                  <wp:docPr id="21" name="image8.jpeg" descr=""/>
                  <wp:cNvGraphicFramePr>
                    <a:graphicFrameLocks noChangeAspect="1"/>
                  </wp:cNvGraphicFramePr>
                  <a:graphic>
                    <a:graphicData uri="http://schemas.openxmlformats.org/drawingml/2006/picture">
                      <pic:pic>
                        <pic:nvPicPr>
                          <pic:cNvPr id="22" name="image8.jpeg"/>
                          <pic:cNvPicPr/>
                        </pic:nvPicPr>
                        <pic:blipFill>
                          <a:blip r:embed="rId43" cstate="print"/>
                          <a:stretch>
                            <a:fillRect/>
                          </a:stretch>
                        </pic:blipFill>
                        <pic:spPr>
                          <a:xfrm>
                            <a:off x="0" y="0"/>
                            <a:ext cx="876310" cy="882396"/>
                          </a:xfrm>
                          <a:prstGeom prst="rect">
                            <a:avLst/>
                          </a:prstGeom>
                        </pic:spPr>
                      </pic:pic>
                    </a:graphicData>
                  </a:graphic>
                </wp:inline>
              </w:drawing>
            </w:r>
            <w:r>
              <w:rPr>
                <w:rFonts w:ascii="Arial"/>
                <w:sz w:val="20"/>
              </w:rPr>
            </w:r>
          </w:p>
        </w:tc>
        <w:tc>
          <w:tcPr>
            <w:tcW w:w="1177" w:type="dxa"/>
          </w:tcPr>
          <w:p>
            <w:pPr/>
          </w:p>
        </w:tc>
      </w:tr>
      <w:tr>
        <w:trPr>
          <w:trHeight w:val="1466" w:hRule="exact"/>
        </w:trPr>
        <w:tc>
          <w:tcPr>
            <w:tcW w:w="7652" w:type="dxa"/>
          </w:tcPr>
          <w:p>
            <w:pPr>
              <w:pStyle w:val="TableParagraph"/>
              <w:spacing w:line="274" w:lineRule="exact"/>
              <w:ind w:left="244" w:right="667"/>
              <w:rPr>
                <w:rFonts w:ascii="Arial"/>
                <w:sz w:val="24"/>
              </w:rPr>
            </w:pPr>
            <w:r>
              <w:rPr>
                <w:rFonts w:ascii="Arial"/>
                <w:sz w:val="24"/>
              </w:rPr>
              <w:t>Requiere mejorar su higiene</w:t>
            </w:r>
          </w:p>
          <w:p>
            <w:pPr>
              <w:pStyle w:val="TableParagraph"/>
              <w:ind w:left="246"/>
              <w:rPr>
                <w:rFonts w:ascii="Arial"/>
                <w:sz w:val="20"/>
              </w:rPr>
            </w:pPr>
            <w:r>
              <w:rPr>
                <w:rFonts w:ascii="Arial"/>
                <w:sz w:val="20"/>
              </w:rPr>
              <w:drawing>
                <wp:inline distT="0" distB="0" distL="0" distR="0">
                  <wp:extent cx="940608" cy="740663"/>
                  <wp:effectExtent l="0" t="0" r="0" b="0"/>
                  <wp:docPr id="23" name="image9.jpeg" descr=""/>
                  <wp:cNvGraphicFramePr>
                    <a:graphicFrameLocks noChangeAspect="1"/>
                  </wp:cNvGraphicFramePr>
                  <a:graphic>
                    <a:graphicData uri="http://schemas.openxmlformats.org/drawingml/2006/picture">
                      <pic:pic>
                        <pic:nvPicPr>
                          <pic:cNvPr id="24" name="image9.jpeg"/>
                          <pic:cNvPicPr/>
                        </pic:nvPicPr>
                        <pic:blipFill>
                          <a:blip r:embed="rId44" cstate="print"/>
                          <a:stretch>
                            <a:fillRect/>
                          </a:stretch>
                        </pic:blipFill>
                        <pic:spPr>
                          <a:xfrm>
                            <a:off x="0" y="0"/>
                            <a:ext cx="940608" cy="740663"/>
                          </a:xfrm>
                          <a:prstGeom prst="rect">
                            <a:avLst/>
                          </a:prstGeom>
                        </pic:spPr>
                      </pic:pic>
                    </a:graphicData>
                  </a:graphic>
                </wp:inline>
              </w:drawing>
            </w:r>
            <w:r>
              <w:rPr>
                <w:rFonts w:ascii="Arial"/>
                <w:sz w:val="20"/>
              </w:rPr>
            </w:r>
          </w:p>
        </w:tc>
        <w:tc>
          <w:tcPr>
            <w:tcW w:w="1177" w:type="dxa"/>
          </w:tcPr>
          <w:p>
            <w:pPr/>
          </w:p>
        </w:tc>
      </w:tr>
      <w:tr>
        <w:trPr>
          <w:trHeight w:val="1574" w:hRule="exact"/>
        </w:trPr>
        <w:tc>
          <w:tcPr>
            <w:tcW w:w="7652" w:type="dxa"/>
          </w:tcPr>
          <w:p>
            <w:pPr>
              <w:pStyle w:val="TableParagraph"/>
              <w:spacing w:line="272" w:lineRule="exact"/>
              <w:ind w:left="244" w:right="667"/>
              <w:rPr>
                <w:rFonts w:ascii="Arial" w:hAnsi="Arial"/>
                <w:sz w:val="24"/>
              </w:rPr>
            </w:pPr>
            <w:r>
              <w:rPr>
                <w:rFonts w:ascii="Arial" w:hAnsi="Arial"/>
                <w:sz w:val="24"/>
              </w:rPr>
              <w:t>Requiere mejorar sus hábitos dietéticos</w:t>
            </w:r>
          </w:p>
          <w:p>
            <w:pPr>
              <w:pStyle w:val="TableParagraph"/>
              <w:ind w:left="244"/>
              <w:rPr>
                <w:rFonts w:ascii="Arial"/>
                <w:sz w:val="20"/>
              </w:rPr>
            </w:pPr>
            <w:r>
              <w:rPr>
                <w:rFonts w:ascii="Arial"/>
                <w:sz w:val="20"/>
              </w:rPr>
              <w:drawing>
                <wp:inline distT="0" distB="0" distL="0" distR="0">
                  <wp:extent cx="802804" cy="808863"/>
                  <wp:effectExtent l="0" t="0" r="0" b="0"/>
                  <wp:docPr id="25" name="image8.jpeg" descr=""/>
                  <wp:cNvGraphicFramePr>
                    <a:graphicFrameLocks noChangeAspect="1"/>
                  </wp:cNvGraphicFramePr>
                  <a:graphic>
                    <a:graphicData uri="http://schemas.openxmlformats.org/drawingml/2006/picture">
                      <pic:pic>
                        <pic:nvPicPr>
                          <pic:cNvPr id="26" name="image8.jpeg"/>
                          <pic:cNvPicPr/>
                        </pic:nvPicPr>
                        <pic:blipFill>
                          <a:blip r:embed="rId43" cstate="print"/>
                          <a:stretch>
                            <a:fillRect/>
                          </a:stretch>
                        </pic:blipFill>
                        <pic:spPr>
                          <a:xfrm>
                            <a:off x="0" y="0"/>
                            <a:ext cx="802804" cy="808863"/>
                          </a:xfrm>
                          <a:prstGeom prst="rect">
                            <a:avLst/>
                          </a:prstGeom>
                        </pic:spPr>
                      </pic:pic>
                    </a:graphicData>
                  </a:graphic>
                </wp:inline>
              </w:drawing>
            </w:r>
            <w:r>
              <w:rPr>
                <w:rFonts w:ascii="Arial"/>
                <w:sz w:val="20"/>
              </w:rPr>
            </w:r>
          </w:p>
        </w:tc>
        <w:tc>
          <w:tcPr>
            <w:tcW w:w="1177" w:type="dxa"/>
          </w:tcPr>
          <w:p>
            <w:pPr/>
          </w:p>
        </w:tc>
      </w:tr>
      <w:tr>
        <w:trPr>
          <w:trHeight w:val="1321" w:hRule="exact"/>
        </w:trPr>
        <w:tc>
          <w:tcPr>
            <w:tcW w:w="7652" w:type="dxa"/>
          </w:tcPr>
          <w:p>
            <w:pPr>
              <w:pStyle w:val="TableParagraph"/>
              <w:spacing w:line="274" w:lineRule="exact"/>
              <w:ind w:left="244" w:right="667"/>
              <w:rPr>
                <w:rFonts w:ascii="Arial"/>
                <w:sz w:val="24"/>
              </w:rPr>
            </w:pPr>
            <w:r>
              <w:rPr>
                <w:rFonts w:ascii="Arial"/>
                <w:sz w:val="24"/>
              </w:rPr>
              <w:t>Requiere asistir a consulta dental, porque tiene caries</w:t>
            </w:r>
          </w:p>
          <w:p>
            <w:pPr>
              <w:pStyle w:val="TableParagraph"/>
              <w:ind w:left="244"/>
              <w:rPr>
                <w:rFonts w:ascii="Arial"/>
                <w:sz w:val="20"/>
              </w:rPr>
            </w:pPr>
            <w:r>
              <w:rPr>
                <w:rFonts w:ascii="Arial"/>
                <w:sz w:val="20"/>
              </w:rPr>
              <w:drawing>
                <wp:inline distT="0" distB="0" distL="0" distR="0">
                  <wp:extent cx="989597" cy="650652"/>
                  <wp:effectExtent l="0" t="0" r="0" b="0"/>
                  <wp:docPr id="27" name="image10.jpeg" descr=""/>
                  <wp:cNvGraphicFramePr>
                    <a:graphicFrameLocks noChangeAspect="1"/>
                  </wp:cNvGraphicFramePr>
                  <a:graphic>
                    <a:graphicData uri="http://schemas.openxmlformats.org/drawingml/2006/picture">
                      <pic:pic>
                        <pic:nvPicPr>
                          <pic:cNvPr id="28" name="image10.jpeg"/>
                          <pic:cNvPicPr/>
                        </pic:nvPicPr>
                        <pic:blipFill>
                          <a:blip r:embed="rId45" cstate="print"/>
                          <a:stretch>
                            <a:fillRect/>
                          </a:stretch>
                        </pic:blipFill>
                        <pic:spPr>
                          <a:xfrm>
                            <a:off x="0" y="0"/>
                            <a:ext cx="989597" cy="650652"/>
                          </a:xfrm>
                          <a:prstGeom prst="rect">
                            <a:avLst/>
                          </a:prstGeom>
                        </pic:spPr>
                      </pic:pic>
                    </a:graphicData>
                  </a:graphic>
                </wp:inline>
              </w:drawing>
            </w:r>
            <w:r>
              <w:rPr>
                <w:rFonts w:ascii="Arial"/>
                <w:sz w:val="20"/>
              </w:rPr>
            </w:r>
          </w:p>
        </w:tc>
        <w:tc>
          <w:tcPr>
            <w:tcW w:w="1177" w:type="dxa"/>
          </w:tcPr>
          <w:p>
            <w:pPr/>
          </w:p>
        </w:tc>
      </w:tr>
      <w:tr>
        <w:trPr>
          <w:trHeight w:val="286" w:hRule="exact"/>
        </w:trPr>
        <w:tc>
          <w:tcPr>
            <w:tcW w:w="7652" w:type="dxa"/>
          </w:tcPr>
          <w:p>
            <w:pPr>
              <w:pStyle w:val="TableParagraph"/>
              <w:spacing w:line="272" w:lineRule="exact"/>
              <w:ind w:left="244" w:right="667"/>
              <w:rPr>
                <w:rFonts w:ascii="Arial"/>
                <w:sz w:val="24"/>
              </w:rPr>
            </w:pPr>
            <w:r>
              <w:rPr>
                <w:rFonts w:ascii="Arial"/>
                <w:sz w:val="24"/>
              </w:rPr>
              <w:t>Observaciones:</w:t>
            </w:r>
          </w:p>
        </w:tc>
        <w:tc>
          <w:tcPr>
            <w:tcW w:w="1177" w:type="dxa"/>
          </w:tcPr>
          <w:p>
            <w:pPr/>
          </w:p>
        </w:tc>
      </w:tr>
    </w:tbl>
    <w:sectPr>
      <w:type w:val="continuous"/>
      <w:pgSz w:w="12240" w:h="15840"/>
      <w:pgMar w:top="280" w:bottom="280" w:left="128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024" from="69.503998pt,731.015991pt" to="528.453998pt,731.015991pt" stroked="true" strokeweight=".47998pt" strokecolor="#d9d9d9">
          <w10:wrap type="none"/>
        </v:line>
      </w:pict>
    </w:r>
    <w:r>
      <w:rPr/>
      <w:pict>
        <v:shape style="position:absolute;margin-left:469.910004pt;margin-top:733.106018pt;width:55.05pt;height:11pt;mso-position-horizontal-relative:page;mso-position-vertical-relative:page;z-index:-145000"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2</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592"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568"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50 | </w:t>
                </w:r>
                <w:r>
                  <w:rPr>
                    <w:rFonts w:ascii="Calibri" w:hAnsi="Calibri"/>
                    <w:color w:val="7E7E7E"/>
                    <w:sz w:val="18"/>
                  </w:rPr>
                  <w:t>P á g i n   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544"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520"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51</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496"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472"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60 | </w:t>
                </w:r>
                <w:r>
                  <w:rPr>
                    <w:rFonts w:ascii="Calibri" w:hAnsi="Calibri"/>
                    <w:color w:val="7E7E7E"/>
                    <w:sz w:val="18"/>
                  </w:rPr>
                  <w:t>P á g i n   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448"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424"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61</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400"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376"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70 | </w:t>
                </w:r>
                <w:r>
                  <w:rPr>
                    <w:rFonts w:ascii="Calibri" w:hAnsi="Calibri"/>
                    <w:color w:val="7E7E7E"/>
                    <w:sz w:val="18"/>
                  </w:rPr>
                  <w:t>P á g i n   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352"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328"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71</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976"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952"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10 | </w:t>
                </w:r>
                <w:r>
                  <w:rPr>
                    <w:rFonts w:ascii="Calibri" w:hAnsi="Calibri"/>
                    <w:color w:val="7E7E7E"/>
                    <w:sz w:val="18"/>
                  </w:rPr>
                  <w:t>P á g i n   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928"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904"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11</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880"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856"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20 | </w:t>
                </w:r>
                <w:r>
                  <w:rPr>
                    <w:rFonts w:ascii="Calibri" w:hAnsi="Calibri"/>
                    <w:color w:val="7E7E7E"/>
                    <w:sz w:val="18"/>
                  </w:rPr>
                  <w:t>P á g i n   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832"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808"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21</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784"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760"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30 | </w:t>
                </w:r>
                <w:r>
                  <w:rPr>
                    <w:rFonts w:ascii="Calibri" w:hAnsi="Calibri"/>
                    <w:color w:val="7E7E7E"/>
                    <w:sz w:val="18"/>
                  </w:rPr>
                  <w:t>P á g i n   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736"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712"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33</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688" from="69.503998pt,731.015991pt" to="528.453998pt,731.015991pt" stroked="true" strokeweight=".47998pt" strokecolor="#d9d9d9">
          <w10:wrap type="none"/>
        </v:line>
      </w:pict>
    </w:r>
    <w:r>
      <w:rPr/>
      <w:pict>
        <v:shape style="position:absolute;margin-left:466.350006pt;margin-top:733.106018pt;width:58.65pt;height:11pt;mso-position-horizontal-relative:page;mso-position-vertical-relative:page;z-index:-144664"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40 | </w:t>
                </w:r>
                <w:r>
                  <w:rPr>
                    <w:rFonts w:ascii="Calibri" w:hAnsi="Calibri"/>
                    <w:color w:val="7E7E7E"/>
                    <w:sz w:val="18"/>
                  </w:rPr>
                  <w:t>P á g i n   a</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640" from="69.503998pt,731.015991pt" to="528.453998pt,731.015991pt" stroked="true" strokeweight=".47998pt" strokecolor="#d9d9d9">
          <w10:wrap type="none"/>
        </v:line>
      </w:pict>
    </w:r>
    <w:r>
      <w:rPr/>
      <w:pict>
        <v:shape style="position:absolute;margin-left:465.350006pt;margin-top:733.106018pt;width:59.65pt;height:11pt;mso-position-horizontal-relative:page;mso-position-vertical-relative:page;z-index:-144616" type="#_x0000_t202" filled="false" stroked="false">
          <v:textbox inset="0,0,0,0">
            <w:txbxContent>
              <w:p>
                <w:pPr>
                  <w:spacing w:line="203" w:lineRule="exact" w:before="0"/>
                  <w:ind w:left="40" w:right="0" w:firstLine="0"/>
                  <w:jc w:val="left"/>
                  <w:rPr>
                    <w:rFonts w:ascii="Calibri" w:hAnsi="Calibri"/>
                    <w:sz w:val="18"/>
                  </w:rPr>
                </w:pPr>
                <w:r>
                  <w:rPr/>
                  <w:fldChar w:fldCharType="begin"/>
                </w:r>
                <w:r>
                  <w:rPr>
                    <w:rFonts w:ascii="Calibri" w:hAnsi="Calibri"/>
                    <w:sz w:val="18"/>
                  </w:rPr>
                  <w:instrText> PAGE </w:instrText>
                </w:r>
                <w:r>
                  <w:rPr/>
                  <w:fldChar w:fldCharType="separate"/>
                </w:r>
                <w:r>
                  <w:rPr/>
                  <w:t>41</w:t>
                </w:r>
                <w:r>
                  <w:rPr/>
                  <w:fldChar w:fldCharType="end"/>
                </w:r>
                <w:r>
                  <w:rPr>
                    <w:rFonts w:ascii="Calibri" w:hAnsi="Calibri"/>
                    <w:sz w:val="18"/>
                  </w:rPr>
                  <w:t> | </w:t>
                </w:r>
                <w:r>
                  <w:rPr>
                    <w:rFonts w:ascii="Calibri" w:hAnsi="Calibri"/>
                    <w:color w:val="7E7E7E"/>
                    <w:sz w:val="18"/>
                  </w:rPr>
                  <w:t>P á g i n   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9.143997pt;margin-top:34.32pt;width:458.95pt;height:19.95pt;mso-position-horizontal-relative:page;mso-position-vertical-relative:page;z-index:-145096" coordorigin="1383,686" coordsize="9179,399">
          <v:line style="position:absolute" from="1404,1042" to="9357,1042" stroked="true" strokeweight="2.16pt" strokecolor="#808080"/>
          <v:line style="position:absolute" from="9378,708" to="9378,1063" stroked="true" strokeweight="2.16pt" strokecolor="#808080"/>
          <v:line style="position:absolute" from="9400,1042" to="10540,1042" stroked="true" strokeweight="2.16pt" strokecolor="#808080"/>
          <w10:wrap type="none"/>
        </v:group>
      </w:pict>
    </w:r>
    <w:r>
      <w:rPr/>
      <w:pict>
        <v:shapetype id="_x0000_t202" o:spt="202" coordsize="21600,21600" path="m,l,21600r21600,l21600,xe">
          <v:stroke joinstyle="miter"/>
          <v:path gradientshapeok="t" o:connecttype="rect"/>
        </v:shapetype>
        <v:shape style="position:absolute;margin-left:103.540001pt;margin-top:38.95895pt;width:332.5pt;height:9pt;mso-position-horizontal-relative:page;mso-position-vertical-relative:page;z-index:-145072" type="#_x0000_t202" filled="false" stroked="false">
          <v:textbox inset="0,0,0,0">
            <w:txbxContent>
              <w:p>
                <w:pPr>
                  <w:spacing w:line="164" w:lineRule="exact" w:before="0"/>
                  <w:ind w:left="20" w:right="0" w:firstLine="0"/>
                  <w:jc w:val="left"/>
                  <w:rPr>
                    <w:rFonts w:ascii="Cambria" w:hAnsi="Cambria"/>
                    <w:sz w:val="14"/>
                  </w:rPr>
                </w:pPr>
                <w:r>
                  <w:rPr>
                    <w:rFonts w:ascii="Cambria" w:hAnsi="Cambria"/>
                    <w:color w:val="808080"/>
                    <w:sz w:val="14"/>
                  </w:rPr>
                  <w:t>Modelo Predictivo de Caries en Preescolares Mazahuas del Municipio de San José del Rincón, Estado de México</w:t>
                </w:r>
              </w:p>
            </w:txbxContent>
          </v:textbox>
          <w10:wrap type="none"/>
        </v:shape>
      </w:pict>
    </w:r>
    <w:r>
      <w:rPr/>
      <w:pict>
        <v:shape style="position:absolute;margin-left:473.670013pt;margin-top:38.95895pt;width:18.75pt;height:9pt;mso-position-horizontal-relative:page;mso-position-vertical-relative:page;z-index:-145048" type="#_x0000_t202" filled="false" stroked="false">
          <v:textbox inset="0,0,0,0">
            <w:txbxContent>
              <w:p>
                <w:pPr>
                  <w:spacing w:line="164" w:lineRule="exact" w:before="0"/>
                  <w:ind w:left="20" w:right="-2" w:firstLine="0"/>
                  <w:jc w:val="left"/>
                  <w:rPr>
                    <w:rFonts w:ascii="Cambria"/>
                    <w:b/>
                    <w:sz w:val="14"/>
                  </w:rPr>
                </w:pPr>
                <w:r>
                  <w:rPr>
                    <w:rFonts w:ascii="Cambria"/>
                    <w:b/>
                    <w:color w:val="808080"/>
                    <w:sz w:val="14"/>
                  </w:rPr>
                  <w:t>Tesis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decimal"/>
      <w:lvlText w:val="%1"/>
      <w:lvlJc w:val="left"/>
      <w:pPr>
        <w:ind w:left="808" w:hanging="567"/>
        <w:jc w:val="left"/>
      </w:pPr>
      <w:rPr>
        <w:rFonts w:hint="default" w:ascii="Calibri" w:hAnsi="Calibri" w:eastAsia="Calibri" w:cs="Calibri"/>
        <w:w w:val="100"/>
        <w:sz w:val="16"/>
        <w:szCs w:val="16"/>
      </w:rPr>
    </w:lvl>
    <w:lvl w:ilvl="1">
      <w:start w:val="1"/>
      <w:numFmt w:val="bullet"/>
      <w:lvlText w:val="•"/>
      <w:lvlJc w:val="left"/>
      <w:pPr>
        <w:ind w:left="999" w:hanging="567"/>
      </w:pPr>
      <w:rPr>
        <w:rFonts w:hint="default"/>
      </w:rPr>
    </w:lvl>
    <w:lvl w:ilvl="2">
      <w:start w:val="1"/>
      <w:numFmt w:val="bullet"/>
      <w:lvlText w:val="•"/>
      <w:lvlJc w:val="left"/>
      <w:pPr>
        <w:ind w:left="1198" w:hanging="567"/>
      </w:pPr>
      <w:rPr>
        <w:rFonts w:hint="default"/>
      </w:rPr>
    </w:lvl>
    <w:lvl w:ilvl="3">
      <w:start w:val="1"/>
      <w:numFmt w:val="bullet"/>
      <w:lvlText w:val="•"/>
      <w:lvlJc w:val="left"/>
      <w:pPr>
        <w:ind w:left="1398" w:hanging="567"/>
      </w:pPr>
      <w:rPr>
        <w:rFonts w:hint="default"/>
      </w:rPr>
    </w:lvl>
    <w:lvl w:ilvl="4">
      <w:start w:val="1"/>
      <w:numFmt w:val="bullet"/>
      <w:lvlText w:val="•"/>
      <w:lvlJc w:val="left"/>
      <w:pPr>
        <w:ind w:left="1597" w:hanging="567"/>
      </w:pPr>
      <w:rPr>
        <w:rFonts w:hint="default"/>
      </w:rPr>
    </w:lvl>
    <w:lvl w:ilvl="5">
      <w:start w:val="1"/>
      <w:numFmt w:val="bullet"/>
      <w:lvlText w:val="•"/>
      <w:lvlJc w:val="left"/>
      <w:pPr>
        <w:ind w:left="1797" w:hanging="567"/>
      </w:pPr>
      <w:rPr>
        <w:rFonts w:hint="default"/>
      </w:rPr>
    </w:lvl>
    <w:lvl w:ilvl="6">
      <w:start w:val="1"/>
      <w:numFmt w:val="bullet"/>
      <w:lvlText w:val="•"/>
      <w:lvlJc w:val="left"/>
      <w:pPr>
        <w:ind w:left="1996" w:hanging="567"/>
      </w:pPr>
      <w:rPr>
        <w:rFonts w:hint="default"/>
      </w:rPr>
    </w:lvl>
    <w:lvl w:ilvl="7">
      <w:start w:val="1"/>
      <w:numFmt w:val="bullet"/>
      <w:lvlText w:val="•"/>
      <w:lvlJc w:val="left"/>
      <w:pPr>
        <w:ind w:left="2195" w:hanging="567"/>
      </w:pPr>
      <w:rPr>
        <w:rFonts w:hint="default"/>
      </w:rPr>
    </w:lvl>
    <w:lvl w:ilvl="8">
      <w:start w:val="1"/>
      <w:numFmt w:val="bullet"/>
      <w:lvlText w:val="•"/>
      <w:lvlJc w:val="left"/>
      <w:pPr>
        <w:ind w:left="2395" w:hanging="567"/>
      </w:pPr>
      <w:rPr>
        <w:rFonts w:hint="default"/>
      </w:rPr>
    </w:lvl>
  </w:abstractNum>
  <w:abstractNum w:abstractNumId="13">
    <w:multiLevelType w:val="hybridMultilevel"/>
    <w:lvl w:ilvl="0">
      <w:start w:val="35"/>
      <w:numFmt w:val="decimal"/>
      <w:lvlText w:val="%1."/>
      <w:lvlJc w:val="left"/>
      <w:pPr>
        <w:ind w:left="138" w:hanging="418"/>
        <w:jc w:val="left"/>
      </w:pPr>
      <w:rPr>
        <w:rFonts w:hint="default" w:ascii="Times New Roman" w:hAnsi="Times New Roman" w:eastAsia="Times New Roman" w:cs="Times New Roman"/>
        <w:spacing w:val="-22"/>
        <w:w w:val="99"/>
        <w:sz w:val="24"/>
        <w:szCs w:val="24"/>
      </w:rPr>
    </w:lvl>
    <w:lvl w:ilvl="1">
      <w:start w:val="7"/>
      <w:numFmt w:val="decimal"/>
      <w:lvlText w:val="%2."/>
      <w:lvlJc w:val="left"/>
      <w:pPr>
        <w:ind w:left="4485" w:hanging="360"/>
        <w:jc w:val="right"/>
      </w:pPr>
      <w:rPr>
        <w:rFonts w:hint="default" w:ascii="Arial" w:hAnsi="Arial" w:eastAsia="Arial" w:cs="Arial"/>
        <w:b/>
        <w:bCs/>
        <w:w w:val="99"/>
        <w:sz w:val="24"/>
        <w:szCs w:val="24"/>
      </w:rPr>
    </w:lvl>
    <w:lvl w:ilvl="2">
      <w:start w:val="1"/>
      <w:numFmt w:val="bullet"/>
      <w:lvlText w:val="•"/>
      <w:lvlJc w:val="left"/>
      <w:pPr>
        <w:ind w:left="5026" w:hanging="360"/>
      </w:pPr>
      <w:rPr>
        <w:rFonts w:hint="default"/>
      </w:rPr>
    </w:lvl>
    <w:lvl w:ilvl="3">
      <w:start w:val="1"/>
      <w:numFmt w:val="bullet"/>
      <w:lvlText w:val="•"/>
      <w:lvlJc w:val="left"/>
      <w:pPr>
        <w:ind w:left="5573" w:hanging="360"/>
      </w:pPr>
      <w:rPr>
        <w:rFonts w:hint="default"/>
      </w:rPr>
    </w:lvl>
    <w:lvl w:ilvl="4">
      <w:start w:val="1"/>
      <w:numFmt w:val="bullet"/>
      <w:lvlText w:val="•"/>
      <w:lvlJc w:val="left"/>
      <w:pPr>
        <w:ind w:left="6120" w:hanging="360"/>
      </w:pPr>
      <w:rPr>
        <w:rFonts w:hint="default"/>
      </w:rPr>
    </w:lvl>
    <w:lvl w:ilvl="5">
      <w:start w:val="1"/>
      <w:numFmt w:val="bullet"/>
      <w:lvlText w:val="•"/>
      <w:lvlJc w:val="left"/>
      <w:pPr>
        <w:ind w:left="6666" w:hanging="360"/>
      </w:pPr>
      <w:rPr>
        <w:rFonts w:hint="default"/>
      </w:rPr>
    </w:lvl>
    <w:lvl w:ilvl="6">
      <w:start w:val="1"/>
      <w:numFmt w:val="bullet"/>
      <w:lvlText w:val="•"/>
      <w:lvlJc w:val="left"/>
      <w:pPr>
        <w:ind w:left="7213" w:hanging="360"/>
      </w:pPr>
      <w:rPr>
        <w:rFonts w:hint="default"/>
      </w:rPr>
    </w:lvl>
    <w:lvl w:ilvl="7">
      <w:start w:val="1"/>
      <w:numFmt w:val="bullet"/>
      <w:lvlText w:val="•"/>
      <w:lvlJc w:val="left"/>
      <w:pPr>
        <w:ind w:left="7760" w:hanging="360"/>
      </w:pPr>
      <w:rPr>
        <w:rFonts w:hint="default"/>
      </w:rPr>
    </w:lvl>
    <w:lvl w:ilvl="8">
      <w:start w:val="1"/>
      <w:numFmt w:val="bullet"/>
      <w:lvlText w:val="•"/>
      <w:lvlJc w:val="left"/>
      <w:pPr>
        <w:ind w:left="8306" w:hanging="360"/>
      </w:pPr>
      <w:rPr>
        <w:rFonts w:hint="default"/>
      </w:rPr>
    </w:lvl>
  </w:abstractNum>
  <w:abstractNum w:abstractNumId="12">
    <w:multiLevelType w:val="hybridMultilevel"/>
    <w:lvl w:ilvl="0">
      <w:start w:val="1"/>
      <w:numFmt w:val="decimal"/>
      <w:lvlText w:val="%1."/>
      <w:lvlJc w:val="left"/>
      <w:pPr>
        <w:ind w:left="138" w:hanging="240"/>
        <w:jc w:val="left"/>
      </w:pPr>
      <w:rPr>
        <w:rFonts w:hint="default" w:ascii="Times New Roman" w:hAnsi="Times New Roman" w:eastAsia="Times New Roman" w:cs="Times New Roman"/>
        <w:spacing w:val="-4"/>
        <w:w w:val="99"/>
        <w:sz w:val="24"/>
        <w:szCs w:val="24"/>
      </w:rPr>
    </w:lvl>
    <w:lvl w:ilvl="1">
      <w:start w:val="1"/>
      <w:numFmt w:val="bullet"/>
      <w:lvlText w:val="•"/>
      <w:lvlJc w:val="left"/>
      <w:pPr>
        <w:ind w:left="1066" w:hanging="240"/>
      </w:pPr>
      <w:rPr>
        <w:rFonts w:hint="default"/>
      </w:rPr>
    </w:lvl>
    <w:lvl w:ilvl="2">
      <w:start w:val="1"/>
      <w:numFmt w:val="bullet"/>
      <w:lvlText w:val="•"/>
      <w:lvlJc w:val="left"/>
      <w:pPr>
        <w:ind w:left="1992" w:hanging="240"/>
      </w:pPr>
      <w:rPr>
        <w:rFonts w:hint="default"/>
      </w:rPr>
    </w:lvl>
    <w:lvl w:ilvl="3">
      <w:start w:val="1"/>
      <w:numFmt w:val="bullet"/>
      <w:lvlText w:val="•"/>
      <w:lvlJc w:val="left"/>
      <w:pPr>
        <w:ind w:left="2918" w:hanging="240"/>
      </w:pPr>
      <w:rPr>
        <w:rFonts w:hint="default"/>
      </w:rPr>
    </w:lvl>
    <w:lvl w:ilvl="4">
      <w:start w:val="1"/>
      <w:numFmt w:val="bullet"/>
      <w:lvlText w:val="•"/>
      <w:lvlJc w:val="left"/>
      <w:pPr>
        <w:ind w:left="3844" w:hanging="240"/>
      </w:pPr>
      <w:rPr>
        <w:rFonts w:hint="default"/>
      </w:rPr>
    </w:lvl>
    <w:lvl w:ilvl="5">
      <w:start w:val="1"/>
      <w:numFmt w:val="bullet"/>
      <w:lvlText w:val="•"/>
      <w:lvlJc w:val="left"/>
      <w:pPr>
        <w:ind w:left="4770" w:hanging="240"/>
      </w:pPr>
      <w:rPr>
        <w:rFonts w:hint="default"/>
      </w:rPr>
    </w:lvl>
    <w:lvl w:ilvl="6">
      <w:start w:val="1"/>
      <w:numFmt w:val="bullet"/>
      <w:lvlText w:val="•"/>
      <w:lvlJc w:val="left"/>
      <w:pPr>
        <w:ind w:left="5696" w:hanging="240"/>
      </w:pPr>
      <w:rPr>
        <w:rFonts w:hint="default"/>
      </w:rPr>
    </w:lvl>
    <w:lvl w:ilvl="7">
      <w:start w:val="1"/>
      <w:numFmt w:val="bullet"/>
      <w:lvlText w:val="•"/>
      <w:lvlJc w:val="left"/>
      <w:pPr>
        <w:ind w:left="6622" w:hanging="240"/>
      </w:pPr>
      <w:rPr>
        <w:rFonts w:hint="default"/>
      </w:rPr>
    </w:lvl>
    <w:lvl w:ilvl="8">
      <w:start w:val="1"/>
      <w:numFmt w:val="bullet"/>
      <w:lvlText w:val="•"/>
      <w:lvlJc w:val="left"/>
      <w:pPr>
        <w:ind w:left="7548" w:hanging="240"/>
      </w:pPr>
      <w:rPr>
        <w:rFonts w:hint="default"/>
      </w:rPr>
    </w:lvl>
  </w:abstractNum>
  <w:abstractNum w:abstractNumId="11">
    <w:multiLevelType w:val="hybridMultilevel"/>
    <w:lvl w:ilvl="0">
      <w:start w:val="7"/>
      <w:numFmt w:val="decimal"/>
      <w:lvlText w:val="%1"/>
      <w:lvlJc w:val="left"/>
      <w:pPr>
        <w:ind w:left="541" w:hanging="403"/>
        <w:jc w:val="left"/>
      </w:pPr>
      <w:rPr>
        <w:rFonts w:hint="default"/>
      </w:rPr>
    </w:lvl>
    <w:lvl w:ilvl="1">
      <w:start w:val="1"/>
      <w:numFmt w:val="decimal"/>
      <w:lvlText w:val="%1.%2"/>
      <w:lvlJc w:val="left"/>
      <w:pPr>
        <w:ind w:left="541" w:hanging="403"/>
        <w:jc w:val="right"/>
      </w:pPr>
      <w:rPr>
        <w:rFonts w:hint="default"/>
        <w:b/>
        <w:bCs/>
        <w:w w:val="99"/>
      </w:rPr>
    </w:lvl>
    <w:lvl w:ilvl="2">
      <w:start w:val="1"/>
      <w:numFmt w:val="bullet"/>
      <w:lvlText w:val="•"/>
      <w:lvlJc w:val="left"/>
      <w:pPr>
        <w:ind w:left="2340" w:hanging="403"/>
      </w:pPr>
      <w:rPr>
        <w:rFonts w:hint="default"/>
      </w:rPr>
    </w:lvl>
    <w:lvl w:ilvl="3">
      <w:start w:val="1"/>
      <w:numFmt w:val="bullet"/>
      <w:lvlText w:val="•"/>
      <w:lvlJc w:val="left"/>
      <w:pPr>
        <w:ind w:left="3240" w:hanging="403"/>
      </w:pPr>
      <w:rPr>
        <w:rFonts w:hint="default"/>
      </w:rPr>
    </w:lvl>
    <w:lvl w:ilvl="4">
      <w:start w:val="1"/>
      <w:numFmt w:val="bullet"/>
      <w:lvlText w:val="•"/>
      <w:lvlJc w:val="left"/>
      <w:pPr>
        <w:ind w:left="4140" w:hanging="403"/>
      </w:pPr>
      <w:rPr>
        <w:rFonts w:hint="default"/>
      </w:rPr>
    </w:lvl>
    <w:lvl w:ilvl="5">
      <w:start w:val="1"/>
      <w:numFmt w:val="bullet"/>
      <w:lvlText w:val="•"/>
      <w:lvlJc w:val="left"/>
      <w:pPr>
        <w:ind w:left="5040" w:hanging="403"/>
      </w:pPr>
      <w:rPr>
        <w:rFonts w:hint="default"/>
      </w:rPr>
    </w:lvl>
    <w:lvl w:ilvl="6">
      <w:start w:val="1"/>
      <w:numFmt w:val="bullet"/>
      <w:lvlText w:val="•"/>
      <w:lvlJc w:val="left"/>
      <w:pPr>
        <w:ind w:left="5940" w:hanging="403"/>
      </w:pPr>
      <w:rPr>
        <w:rFonts w:hint="default"/>
      </w:rPr>
    </w:lvl>
    <w:lvl w:ilvl="7">
      <w:start w:val="1"/>
      <w:numFmt w:val="bullet"/>
      <w:lvlText w:val="•"/>
      <w:lvlJc w:val="left"/>
      <w:pPr>
        <w:ind w:left="6840" w:hanging="403"/>
      </w:pPr>
      <w:rPr>
        <w:rFonts w:hint="default"/>
      </w:rPr>
    </w:lvl>
    <w:lvl w:ilvl="8">
      <w:start w:val="1"/>
      <w:numFmt w:val="bullet"/>
      <w:lvlText w:val="•"/>
      <w:lvlJc w:val="left"/>
      <w:pPr>
        <w:ind w:left="7740" w:hanging="403"/>
      </w:pPr>
      <w:rPr>
        <w:rFonts w:hint="default"/>
      </w:rPr>
    </w:lvl>
  </w:abstractNum>
  <w:abstractNum w:abstractNumId="10">
    <w:multiLevelType w:val="hybridMultilevel"/>
    <w:lvl w:ilvl="0">
      <w:start w:val="6"/>
      <w:numFmt w:val="decimal"/>
      <w:lvlText w:val="%1"/>
      <w:lvlJc w:val="left"/>
      <w:pPr>
        <w:ind w:left="748" w:hanging="468"/>
        <w:jc w:val="left"/>
      </w:pPr>
      <w:rPr>
        <w:rFonts w:hint="default"/>
      </w:rPr>
    </w:lvl>
    <w:lvl w:ilvl="1">
      <w:start w:val="5"/>
      <w:numFmt w:val="decimal"/>
      <w:lvlText w:val="%1.%2."/>
      <w:lvlJc w:val="left"/>
      <w:pPr>
        <w:ind w:left="748" w:hanging="468"/>
        <w:jc w:val="left"/>
      </w:pPr>
      <w:rPr>
        <w:rFonts w:hint="default" w:ascii="Arial" w:hAnsi="Arial" w:eastAsia="Arial" w:cs="Arial"/>
        <w:b/>
        <w:bCs/>
        <w:w w:val="99"/>
        <w:sz w:val="24"/>
        <w:szCs w:val="24"/>
      </w:rPr>
    </w:lvl>
    <w:lvl w:ilvl="2">
      <w:start w:val="1"/>
      <w:numFmt w:val="bullet"/>
      <w:lvlText w:val="•"/>
      <w:lvlJc w:val="left"/>
      <w:pPr>
        <w:ind w:left="2472" w:hanging="468"/>
      </w:pPr>
      <w:rPr>
        <w:rFonts w:hint="default"/>
      </w:rPr>
    </w:lvl>
    <w:lvl w:ilvl="3">
      <w:start w:val="1"/>
      <w:numFmt w:val="bullet"/>
      <w:lvlText w:val="•"/>
      <w:lvlJc w:val="left"/>
      <w:pPr>
        <w:ind w:left="3338" w:hanging="468"/>
      </w:pPr>
      <w:rPr>
        <w:rFonts w:hint="default"/>
      </w:rPr>
    </w:lvl>
    <w:lvl w:ilvl="4">
      <w:start w:val="1"/>
      <w:numFmt w:val="bullet"/>
      <w:lvlText w:val="•"/>
      <w:lvlJc w:val="left"/>
      <w:pPr>
        <w:ind w:left="4204" w:hanging="468"/>
      </w:pPr>
      <w:rPr>
        <w:rFonts w:hint="default"/>
      </w:rPr>
    </w:lvl>
    <w:lvl w:ilvl="5">
      <w:start w:val="1"/>
      <w:numFmt w:val="bullet"/>
      <w:lvlText w:val="•"/>
      <w:lvlJc w:val="left"/>
      <w:pPr>
        <w:ind w:left="5070" w:hanging="468"/>
      </w:pPr>
      <w:rPr>
        <w:rFonts w:hint="default"/>
      </w:rPr>
    </w:lvl>
    <w:lvl w:ilvl="6">
      <w:start w:val="1"/>
      <w:numFmt w:val="bullet"/>
      <w:lvlText w:val="•"/>
      <w:lvlJc w:val="left"/>
      <w:pPr>
        <w:ind w:left="5936" w:hanging="468"/>
      </w:pPr>
      <w:rPr>
        <w:rFonts w:hint="default"/>
      </w:rPr>
    </w:lvl>
    <w:lvl w:ilvl="7">
      <w:start w:val="1"/>
      <w:numFmt w:val="bullet"/>
      <w:lvlText w:val="•"/>
      <w:lvlJc w:val="left"/>
      <w:pPr>
        <w:ind w:left="6802" w:hanging="468"/>
      </w:pPr>
      <w:rPr>
        <w:rFonts w:hint="default"/>
      </w:rPr>
    </w:lvl>
    <w:lvl w:ilvl="8">
      <w:start w:val="1"/>
      <w:numFmt w:val="bullet"/>
      <w:lvlText w:val="•"/>
      <w:lvlJc w:val="left"/>
      <w:pPr>
        <w:ind w:left="7668" w:hanging="468"/>
      </w:pPr>
      <w:rPr>
        <w:rFonts w:hint="default"/>
      </w:rPr>
    </w:lvl>
  </w:abstractNum>
  <w:abstractNum w:abstractNumId="9">
    <w:multiLevelType w:val="hybridMultilevel"/>
    <w:lvl w:ilvl="0">
      <w:start w:val="1"/>
      <w:numFmt w:val="decimal"/>
      <w:lvlText w:val="%1"/>
      <w:lvlJc w:val="left"/>
      <w:pPr>
        <w:ind w:left="967" w:hanging="151"/>
        <w:jc w:val="right"/>
      </w:pPr>
      <w:rPr>
        <w:rFonts w:hint="default" w:ascii="Arial" w:hAnsi="Arial" w:eastAsia="Arial" w:cs="Arial"/>
        <w:w w:val="99"/>
        <w:sz w:val="18"/>
        <w:szCs w:val="18"/>
      </w:rPr>
    </w:lvl>
    <w:lvl w:ilvl="1">
      <w:start w:val="1"/>
      <w:numFmt w:val="decimal"/>
      <w:lvlText w:val="%2."/>
      <w:lvlJc w:val="left"/>
      <w:pPr>
        <w:ind w:left="1461" w:hanging="202"/>
        <w:jc w:val="left"/>
      </w:pPr>
      <w:rPr>
        <w:rFonts w:hint="default" w:ascii="Arial" w:hAnsi="Arial" w:eastAsia="Arial" w:cs="Arial"/>
        <w:w w:val="99"/>
        <w:sz w:val="18"/>
        <w:szCs w:val="18"/>
      </w:rPr>
    </w:lvl>
    <w:lvl w:ilvl="2">
      <w:start w:val="1"/>
      <w:numFmt w:val="bullet"/>
      <w:lvlText w:val="•"/>
      <w:lvlJc w:val="left"/>
      <w:pPr>
        <w:ind w:left="1682" w:hanging="202"/>
      </w:pPr>
      <w:rPr>
        <w:rFonts w:hint="default"/>
      </w:rPr>
    </w:lvl>
    <w:lvl w:ilvl="3">
      <w:start w:val="1"/>
      <w:numFmt w:val="bullet"/>
      <w:lvlText w:val="•"/>
      <w:lvlJc w:val="left"/>
      <w:pPr>
        <w:ind w:left="1904" w:hanging="202"/>
      </w:pPr>
      <w:rPr>
        <w:rFonts w:hint="default"/>
      </w:rPr>
    </w:lvl>
    <w:lvl w:ilvl="4">
      <w:start w:val="1"/>
      <w:numFmt w:val="bullet"/>
      <w:lvlText w:val="•"/>
      <w:lvlJc w:val="left"/>
      <w:pPr>
        <w:ind w:left="2127" w:hanging="202"/>
      </w:pPr>
      <w:rPr>
        <w:rFonts w:hint="default"/>
      </w:rPr>
    </w:lvl>
    <w:lvl w:ilvl="5">
      <w:start w:val="1"/>
      <w:numFmt w:val="bullet"/>
      <w:lvlText w:val="•"/>
      <w:lvlJc w:val="left"/>
      <w:pPr>
        <w:ind w:left="2349" w:hanging="202"/>
      </w:pPr>
      <w:rPr>
        <w:rFonts w:hint="default"/>
      </w:rPr>
    </w:lvl>
    <w:lvl w:ilvl="6">
      <w:start w:val="1"/>
      <w:numFmt w:val="bullet"/>
      <w:lvlText w:val="•"/>
      <w:lvlJc w:val="left"/>
      <w:pPr>
        <w:ind w:left="2571" w:hanging="202"/>
      </w:pPr>
      <w:rPr>
        <w:rFonts w:hint="default"/>
      </w:rPr>
    </w:lvl>
    <w:lvl w:ilvl="7">
      <w:start w:val="1"/>
      <w:numFmt w:val="bullet"/>
      <w:lvlText w:val="•"/>
      <w:lvlJc w:val="left"/>
      <w:pPr>
        <w:ind w:left="2794" w:hanging="202"/>
      </w:pPr>
      <w:rPr>
        <w:rFonts w:hint="default"/>
      </w:rPr>
    </w:lvl>
    <w:lvl w:ilvl="8">
      <w:start w:val="1"/>
      <w:numFmt w:val="bullet"/>
      <w:lvlText w:val="•"/>
      <w:lvlJc w:val="left"/>
      <w:pPr>
        <w:ind w:left="3016" w:hanging="202"/>
      </w:pPr>
      <w:rPr>
        <w:rFonts w:hint="default"/>
      </w:rPr>
    </w:lvl>
  </w:abstractNum>
  <w:abstractNum w:abstractNumId="8">
    <w:multiLevelType w:val="hybridMultilevel"/>
    <w:lvl w:ilvl="0">
      <w:start w:val="1"/>
      <w:numFmt w:val="decimal"/>
      <w:lvlText w:val="%1"/>
      <w:lvlJc w:val="left"/>
      <w:pPr>
        <w:ind w:left="1725" w:hanging="151"/>
        <w:jc w:val="left"/>
      </w:pPr>
      <w:rPr>
        <w:rFonts w:hint="default" w:ascii="Arial" w:hAnsi="Arial" w:eastAsia="Arial" w:cs="Arial"/>
        <w:w w:val="99"/>
        <w:sz w:val="18"/>
        <w:szCs w:val="18"/>
      </w:rPr>
    </w:lvl>
    <w:lvl w:ilvl="1">
      <w:start w:val="1"/>
      <w:numFmt w:val="bullet"/>
      <w:lvlText w:val="•"/>
      <w:lvlJc w:val="left"/>
      <w:pPr>
        <w:ind w:left="1894" w:hanging="151"/>
      </w:pPr>
      <w:rPr>
        <w:rFonts w:hint="default"/>
      </w:rPr>
    </w:lvl>
    <w:lvl w:ilvl="2">
      <w:start w:val="1"/>
      <w:numFmt w:val="bullet"/>
      <w:lvlText w:val="•"/>
      <w:lvlJc w:val="left"/>
      <w:pPr>
        <w:ind w:left="2068" w:hanging="151"/>
      </w:pPr>
      <w:rPr>
        <w:rFonts w:hint="default"/>
      </w:rPr>
    </w:lvl>
    <w:lvl w:ilvl="3">
      <w:start w:val="1"/>
      <w:numFmt w:val="bullet"/>
      <w:lvlText w:val="•"/>
      <w:lvlJc w:val="left"/>
      <w:pPr>
        <w:ind w:left="2242" w:hanging="151"/>
      </w:pPr>
      <w:rPr>
        <w:rFonts w:hint="default"/>
      </w:rPr>
    </w:lvl>
    <w:lvl w:ilvl="4">
      <w:start w:val="1"/>
      <w:numFmt w:val="bullet"/>
      <w:lvlText w:val="•"/>
      <w:lvlJc w:val="left"/>
      <w:pPr>
        <w:ind w:left="2416" w:hanging="151"/>
      </w:pPr>
      <w:rPr>
        <w:rFonts w:hint="default"/>
      </w:rPr>
    </w:lvl>
    <w:lvl w:ilvl="5">
      <w:start w:val="1"/>
      <w:numFmt w:val="bullet"/>
      <w:lvlText w:val="•"/>
      <w:lvlJc w:val="left"/>
      <w:pPr>
        <w:ind w:left="2590" w:hanging="151"/>
      </w:pPr>
      <w:rPr>
        <w:rFonts w:hint="default"/>
      </w:rPr>
    </w:lvl>
    <w:lvl w:ilvl="6">
      <w:start w:val="1"/>
      <w:numFmt w:val="bullet"/>
      <w:lvlText w:val="•"/>
      <w:lvlJc w:val="left"/>
      <w:pPr>
        <w:ind w:left="2764" w:hanging="151"/>
      </w:pPr>
      <w:rPr>
        <w:rFonts w:hint="default"/>
      </w:rPr>
    </w:lvl>
    <w:lvl w:ilvl="7">
      <w:start w:val="1"/>
      <w:numFmt w:val="bullet"/>
      <w:lvlText w:val="•"/>
      <w:lvlJc w:val="left"/>
      <w:pPr>
        <w:ind w:left="2938" w:hanging="151"/>
      </w:pPr>
      <w:rPr>
        <w:rFonts w:hint="default"/>
      </w:rPr>
    </w:lvl>
    <w:lvl w:ilvl="8">
      <w:start w:val="1"/>
      <w:numFmt w:val="bullet"/>
      <w:lvlText w:val="•"/>
      <w:lvlJc w:val="left"/>
      <w:pPr>
        <w:ind w:left="3112" w:hanging="151"/>
      </w:pPr>
      <w:rPr>
        <w:rFonts w:hint="default"/>
      </w:rPr>
    </w:lvl>
  </w:abstractNum>
  <w:abstractNum w:abstractNumId="7">
    <w:multiLevelType w:val="hybridMultilevel"/>
    <w:lvl w:ilvl="0">
      <w:start w:val="1"/>
      <w:numFmt w:val="decimal"/>
      <w:lvlText w:val="%1."/>
      <w:lvlJc w:val="left"/>
      <w:pPr>
        <w:ind w:left="1258" w:hanging="360"/>
        <w:jc w:val="right"/>
      </w:pPr>
      <w:rPr>
        <w:rFonts w:hint="default"/>
        <w:spacing w:val="-3"/>
        <w:w w:val="99"/>
      </w:rPr>
    </w:lvl>
    <w:lvl w:ilvl="1">
      <w:start w:val="1"/>
      <w:numFmt w:val="bullet"/>
      <w:lvlText w:val="•"/>
      <w:lvlJc w:val="left"/>
      <w:pPr>
        <w:ind w:left="2114" w:hanging="360"/>
      </w:pPr>
      <w:rPr>
        <w:rFonts w:hint="default"/>
      </w:rPr>
    </w:lvl>
    <w:lvl w:ilvl="2">
      <w:start w:val="1"/>
      <w:numFmt w:val="bullet"/>
      <w:lvlText w:val="•"/>
      <w:lvlJc w:val="left"/>
      <w:pPr>
        <w:ind w:left="2968" w:hanging="360"/>
      </w:pPr>
      <w:rPr>
        <w:rFonts w:hint="default"/>
      </w:rPr>
    </w:lvl>
    <w:lvl w:ilvl="3">
      <w:start w:val="1"/>
      <w:numFmt w:val="bullet"/>
      <w:lvlText w:val="•"/>
      <w:lvlJc w:val="left"/>
      <w:pPr>
        <w:ind w:left="3822" w:hanging="360"/>
      </w:pPr>
      <w:rPr>
        <w:rFonts w:hint="default"/>
      </w:rPr>
    </w:lvl>
    <w:lvl w:ilvl="4">
      <w:start w:val="1"/>
      <w:numFmt w:val="bullet"/>
      <w:lvlText w:val="•"/>
      <w:lvlJc w:val="left"/>
      <w:pPr>
        <w:ind w:left="4676"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384" w:hanging="360"/>
      </w:pPr>
      <w:rPr>
        <w:rFonts w:hint="default"/>
      </w:rPr>
    </w:lvl>
    <w:lvl w:ilvl="7">
      <w:start w:val="1"/>
      <w:numFmt w:val="bullet"/>
      <w:lvlText w:val="•"/>
      <w:lvlJc w:val="left"/>
      <w:pPr>
        <w:ind w:left="7238" w:hanging="360"/>
      </w:pPr>
      <w:rPr>
        <w:rFonts w:hint="default"/>
      </w:rPr>
    </w:lvl>
    <w:lvl w:ilvl="8">
      <w:start w:val="1"/>
      <w:numFmt w:val="bullet"/>
      <w:lvlText w:val="•"/>
      <w:lvlJc w:val="left"/>
      <w:pPr>
        <w:ind w:left="8092" w:hanging="360"/>
      </w:pPr>
      <w:rPr>
        <w:rFonts w:hint="default"/>
      </w:rPr>
    </w:lvl>
  </w:abstractNum>
  <w:abstractNum w:abstractNumId="6">
    <w:multiLevelType w:val="hybridMultilevel"/>
    <w:lvl w:ilvl="0">
      <w:start w:val="3"/>
      <w:numFmt w:val="decimal"/>
      <w:lvlText w:val="%1."/>
      <w:lvlJc w:val="left"/>
      <w:pPr>
        <w:ind w:left="138" w:hanging="281"/>
        <w:jc w:val="left"/>
      </w:pPr>
      <w:rPr>
        <w:rFonts w:hint="default" w:ascii="Arial" w:hAnsi="Arial" w:eastAsia="Arial" w:cs="Arial"/>
        <w:w w:val="99"/>
        <w:sz w:val="24"/>
        <w:szCs w:val="24"/>
      </w:rPr>
    </w:lvl>
    <w:lvl w:ilvl="1">
      <w:start w:val="1"/>
      <w:numFmt w:val="bullet"/>
      <w:lvlText w:val=""/>
      <w:lvlJc w:val="left"/>
      <w:pPr>
        <w:ind w:left="858" w:hanging="360"/>
      </w:pPr>
      <w:rPr>
        <w:rFonts w:hint="default" w:ascii="Symbol" w:hAnsi="Symbol" w:eastAsia="Symbol" w:cs="Symbol"/>
        <w:w w:val="100"/>
        <w:sz w:val="24"/>
        <w:szCs w:val="24"/>
      </w:rPr>
    </w:lvl>
    <w:lvl w:ilvl="2">
      <w:start w:val="1"/>
      <w:numFmt w:val="bullet"/>
      <w:lvlText w:val="•"/>
      <w:lvlJc w:val="left"/>
      <w:pPr>
        <w:ind w:left="1808" w:hanging="360"/>
      </w:pPr>
      <w:rPr>
        <w:rFonts w:hint="default"/>
      </w:rPr>
    </w:lvl>
    <w:lvl w:ilvl="3">
      <w:start w:val="1"/>
      <w:numFmt w:val="bullet"/>
      <w:lvlText w:val="•"/>
      <w:lvlJc w:val="left"/>
      <w:pPr>
        <w:ind w:left="2757" w:hanging="360"/>
      </w:pPr>
      <w:rPr>
        <w:rFonts w:hint="default"/>
      </w:rPr>
    </w:lvl>
    <w:lvl w:ilvl="4">
      <w:start w:val="1"/>
      <w:numFmt w:val="bullet"/>
      <w:lvlText w:val="•"/>
      <w:lvlJc w:val="left"/>
      <w:pPr>
        <w:ind w:left="3706" w:hanging="360"/>
      </w:pPr>
      <w:rPr>
        <w:rFonts w:hint="default"/>
      </w:rPr>
    </w:lvl>
    <w:lvl w:ilvl="5">
      <w:start w:val="1"/>
      <w:numFmt w:val="bullet"/>
      <w:lvlText w:val="•"/>
      <w:lvlJc w:val="left"/>
      <w:pPr>
        <w:ind w:left="4655" w:hanging="360"/>
      </w:pPr>
      <w:rPr>
        <w:rFonts w:hint="default"/>
      </w:rPr>
    </w:lvl>
    <w:lvl w:ilvl="6">
      <w:start w:val="1"/>
      <w:numFmt w:val="bullet"/>
      <w:lvlText w:val="•"/>
      <w:lvlJc w:val="left"/>
      <w:pPr>
        <w:ind w:left="5604"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502" w:hanging="360"/>
      </w:pPr>
      <w:rPr>
        <w:rFonts w:hint="default"/>
      </w:rPr>
    </w:lvl>
  </w:abstractNum>
  <w:abstractNum w:abstractNumId="5">
    <w:multiLevelType w:val="hybridMultilevel"/>
    <w:lvl w:ilvl="0">
      <w:start w:val="6"/>
      <w:numFmt w:val="decimal"/>
      <w:lvlText w:val="%1"/>
      <w:lvlJc w:val="left"/>
      <w:pPr>
        <w:ind w:left="280" w:hanging="403"/>
        <w:jc w:val="left"/>
      </w:pPr>
      <w:rPr>
        <w:rFonts w:hint="default"/>
      </w:rPr>
    </w:lvl>
    <w:lvl w:ilvl="1">
      <w:start w:val="1"/>
      <w:numFmt w:val="decimal"/>
      <w:lvlText w:val="%1.%2"/>
      <w:lvlJc w:val="left"/>
      <w:pPr>
        <w:ind w:left="280" w:hanging="403"/>
        <w:jc w:val="right"/>
      </w:pPr>
      <w:rPr>
        <w:rFonts w:hint="default" w:ascii="Arial" w:hAnsi="Arial" w:eastAsia="Arial" w:cs="Arial"/>
        <w:b/>
        <w:bCs/>
        <w:w w:val="99"/>
        <w:sz w:val="24"/>
        <w:szCs w:val="24"/>
      </w:rPr>
    </w:lvl>
    <w:lvl w:ilvl="2">
      <w:start w:val="1"/>
      <w:numFmt w:val="bullet"/>
      <w:lvlText w:val="•"/>
      <w:lvlJc w:val="left"/>
      <w:pPr>
        <w:ind w:left="2104" w:hanging="403"/>
      </w:pPr>
      <w:rPr>
        <w:rFonts w:hint="default"/>
      </w:rPr>
    </w:lvl>
    <w:lvl w:ilvl="3">
      <w:start w:val="1"/>
      <w:numFmt w:val="bullet"/>
      <w:lvlText w:val="•"/>
      <w:lvlJc w:val="left"/>
      <w:pPr>
        <w:ind w:left="3016" w:hanging="403"/>
      </w:pPr>
      <w:rPr>
        <w:rFonts w:hint="default"/>
      </w:rPr>
    </w:lvl>
    <w:lvl w:ilvl="4">
      <w:start w:val="1"/>
      <w:numFmt w:val="bullet"/>
      <w:lvlText w:val="•"/>
      <w:lvlJc w:val="left"/>
      <w:pPr>
        <w:ind w:left="3928" w:hanging="403"/>
      </w:pPr>
      <w:rPr>
        <w:rFonts w:hint="default"/>
      </w:rPr>
    </w:lvl>
    <w:lvl w:ilvl="5">
      <w:start w:val="1"/>
      <w:numFmt w:val="bullet"/>
      <w:lvlText w:val="•"/>
      <w:lvlJc w:val="left"/>
      <w:pPr>
        <w:ind w:left="4840" w:hanging="403"/>
      </w:pPr>
      <w:rPr>
        <w:rFonts w:hint="default"/>
      </w:rPr>
    </w:lvl>
    <w:lvl w:ilvl="6">
      <w:start w:val="1"/>
      <w:numFmt w:val="bullet"/>
      <w:lvlText w:val="•"/>
      <w:lvlJc w:val="left"/>
      <w:pPr>
        <w:ind w:left="5752" w:hanging="403"/>
      </w:pPr>
      <w:rPr>
        <w:rFonts w:hint="default"/>
      </w:rPr>
    </w:lvl>
    <w:lvl w:ilvl="7">
      <w:start w:val="1"/>
      <w:numFmt w:val="bullet"/>
      <w:lvlText w:val="•"/>
      <w:lvlJc w:val="left"/>
      <w:pPr>
        <w:ind w:left="6664" w:hanging="403"/>
      </w:pPr>
      <w:rPr>
        <w:rFonts w:hint="default"/>
      </w:rPr>
    </w:lvl>
    <w:lvl w:ilvl="8">
      <w:start w:val="1"/>
      <w:numFmt w:val="bullet"/>
      <w:lvlText w:val="•"/>
      <w:lvlJc w:val="left"/>
      <w:pPr>
        <w:ind w:left="7576" w:hanging="403"/>
      </w:pPr>
      <w:rPr>
        <w:rFonts w:hint="default"/>
      </w:rPr>
    </w:lvl>
  </w:abstractNum>
  <w:abstractNum w:abstractNumId="4">
    <w:multiLevelType w:val="hybridMultilevel"/>
    <w:lvl w:ilvl="0">
      <w:start w:val="1"/>
      <w:numFmt w:val="decimal"/>
      <w:lvlText w:val="%1"/>
      <w:lvlJc w:val="left"/>
      <w:pPr>
        <w:ind w:left="138" w:hanging="404"/>
        <w:jc w:val="left"/>
      </w:pPr>
      <w:rPr>
        <w:rFonts w:hint="default"/>
      </w:rPr>
    </w:lvl>
    <w:lvl w:ilvl="1">
      <w:start w:val="5"/>
      <w:numFmt w:val="decimal"/>
      <w:lvlText w:val="%1.%2"/>
      <w:lvlJc w:val="left"/>
      <w:pPr>
        <w:ind w:left="138" w:hanging="404"/>
        <w:jc w:val="left"/>
      </w:pPr>
      <w:rPr>
        <w:rFonts w:hint="default" w:ascii="Arial" w:hAnsi="Arial" w:eastAsia="Arial" w:cs="Arial"/>
        <w:b/>
        <w:bCs/>
        <w:w w:val="99"/>
        <w:sz w:val="24"/>
        <w:szCs w:val="24"/>
      </w:rPr>
    </w:lvl>
    <w:lvl w:ilvl="2">
      <w:start w:val="1"/>
      <w:numFmt w:val="bullet"/>
      <w:lvlText w:val=""/>
      <w:lvlJc w:val="left"/>
      <w:pPr>
        <w:ind w:left="846" w:hanging="567"/>
      </w:pPr>
      <w:rPr>
        <w:rFonts w:hint="default" w:ascii="Symbol" w:hAnsi="Symbol" w:eastAsia="Symbol" w:cs="Symbol"/>
        <w:w w:val="100"/>
        <w:sz w:val="24"/>
        <w:szCs w:val="24"/>
      </w:rPr>
    </w:lvl>
    <w:lvl w:ilvl="3">
      <w:start w:val="1"/>
      <w:numFmt w:val="bullet"/>
      <w:lvlText w:val="•"/>
      <w:lvlJc w:val="left"/>
      <w:pPr>
        <w:ind w:left="2742" w:hanging="567"/>
      </w:pPr>
      <w:rPr>
        <w:rFonts w:hint="default"/>
      </w:rPr>
    </w:lvl>
    <w:lvl w:ilvl="4">
      <w:start w:val="1"/>
      <w:numFmt w:val="bullet"/>
      <w:lvlText w:val="•"/>
      <w:lvlJc w:val="left"/>
      <w:pPr>
        <w:ind w:left="3693" w:hanging="567"/>
      </w:pPr>
      <w:rPr>
        <w:rFonts w:hint="default"/>
      </w:rPr>
    </w:lvl>
    <w:lvl w:ilvl="5">
      <w:start w:val="1"/>
      <w:numFmt w:val="bullet"/>
      <w:lvlText w:val="•"/>
      <w:lvlJc w:val="left"/>
      <w:pPr>
        <w:ind w:left="4644" w:hanging="567"/>
      </w:pPr>
      <w:rPr>
        <w:rFonts w:hint="default"/>
      </w:rPr>
    </w:lvl>
    <w:lvl w:ilvl="6">
      <w:start w:val="1"/>
      <w:numFmt w:val="bullet"/>
      <w:lvlText w:val="•"/>
      <w:lvlJc w:val="left"/>
      <w:pPr>
        <w:ind w:left="5595" w:hanging="567"/>
      </w:pPr>
      <w:rPr>
        <w:rFonts w:hint="default"/>
      </w:rPr>
    </w:lvl>
    <w:lvl w:ilvl="7">
      <w:start w:val="1"/>
      <w:numFmt w:val="bullet"/>
      <w:lvlText w:val="•"/>
      <w:lvlJc w:val="left"/>
      <w:pPr>
        <w:ind w:left="6546" w:hanging="567"/>
      </w:pPr>
      <w:rPr>
        <w:rFonts w:hint="default"/>
      </w:rPr>
    </w:lvl>
    <w:lvl w:ilvl="8">
      <w:start w:val="1"/>
      <w:numFmt w:val="bullet"/>
      <w:lvlText w:val="•"/>
      <w:lvlJc w:val="left"/>
      <w:pPr>
        <w:ind w:left="7497" w:hanging="567"/>
      </w:pPr>
      <w:rPr>
        <w:rFonts w:hint="default"/>
      </w:rPr>
    </w:lvl>
  </w:abstractNum>
  <w:abstractNum w:abstractNumId="3">
    <w:multiLevelType w:val="hybridMultilevel"/>
    <w:lvl w:ilvl="0">
      <w:start w:val="1"/>
      <w:numFmt w:val="decimal"/>
      <w:lvlText w:val="%1"/>
      <w:lvlJc w:val="left"/>
      <w:pPr>
        <w:ind w:left="542" w:hanging="404"/>
        <w:jc w:val="left"/>
      </w:pPr>
      <w:rPr>
        <w:rFonts w:hint="default"/>
      </w:rPr>
    </w:lvl>
    <w:lvl w:ilvl="1">
      <w:start w:val="2"/>
      <w:numFmt w:val="decimal"/>
      <w:lvlText w:val="%1.%2"/>
      <w:lvlJc w:val="left"/>
      <w:pPr>
        <w:ind w:left="542" w:hanging="404"/>
        <w:jc w:val="left"/>
      </w:pPr>
      <w:rPr>
        <w:rFonts w:hint="default" w:ascii="Arial" w:hAnsi="Arial" w:eastAsia="Arial" w:cs="Arial"/>
        <w:b/>
        <w:bCs/>
        <w:w w:val="99"/>
        <w:sz w:val="24"/>
        <w:szCs w:val="24"/>
      </w:rPr>
    </w:lvl>
    <w:lvl w:ilvl="2">
      <w:start w:val="1"/>
      <w:numFmt w:val="bullet"/>
      <w:lvlText w:val="•"/>
      <w:lvlJc w:val="left"/>
      <w:pPr>
        <w:ind w:left="2312" w:hanging="404"/>
      </w:pPr>
      <w:rPr>
        <w:rFonts w:hint="default"/>
      </w:rPr>
    </w:lvl>
    <w:lvl w:ilvl="3">
      <w:start w:val="1"/>
      <w:numFmt w:val="bullet"/>
      <w:lvlText w:val="•"/>
      <w:lvlJc w:val="left"/>
      <w:pPr>
        <w:ind w:left="3198" w:hanging="404"/>
      </w:pPr>
      <w:rPr>
        <w:rFonts w:hint="default"/>
      </w:rPr>
    </w:lvl>
    <w:lvl w:ilvl="4">
      <w:start w:val="1"/>
      <w:numFmt w:val="bullet"/>
      <w:lvlText w:val="•"/>
      <w:lvlJc w:val="left"/>
      <w:pPr>
        <w:ind w:left="4084" w:hanging="404"/>
      </w:pPr>
      <w:rPr>
        <w:rFonts w:hint="default"/>
      </w:rPr>
    </w:lvl>
    <w:lvl w:ilvl="5">
      <w:start w:val="1"/>
      <w:numFmt w:val="bullet"/>
      <w:lvlText w:val="•"/>
      <w:lvlJc w:val="left"/>
      <w:pPr>
        <w:ind w:left="4970" w:hanging="404"/>
      </w:pPr>
      <w:rPr>
        <w:rFonts w:hint="default"/>
      </w:rPr>
    </w:lvl>
    <w:lvl w:ilvl="6">
      <w:start w:val="1"/>
      <w:numFmt w:val="bullet"/>
      <w:lvlText w:val="•"/>
      <w:lvlJc w:val="left"/>
      <w:pPr>
        <w:ind w:left="5856" w:hanging="404"/>
      </w:pPr>
      <w:rPr>
        <w:rFonts w:hint="default"/>
      </w:rPr>
    </w:lvl>
    <w:lvl w:ilvl="7">
      <w:start w:val="1"/>
      <w:numFmt w:val="bullet"/>
      <w:lvlText w:val="•"/>
      <w:lvlJc w:val="left"/>
      <w:pPr>
        <w:ind w:left="6742" w:hanging="404"/>
      </w:pPr>
      <w:rPr>
        <w:rFonts w:hint="default"/>
      </w:rPr>
    </w:lvl>
    <w:lvl w:ilvl="8">
      <w:start w:val="1"/>
      <w:numFmt w:val="bullet"/>
      <w:lvlText w:val="•"/>
      <w:lvlJc w:val="left"/>
      <w:pPr>
        <w:ind w:left="7628" w:hanging="404"/>
      </w:pPr>
      <w:rPr>
        <w:rFonts w:hint="default"/>
      </w:rPr>
    </w:lvl>
  </w:abstractNum>
  <w:abstractNum w:abstractNumId="2">
    <w:multiLevelType w:val="hybridMultilevel"/>
    <w:lvl w:ilvl="0">
      <w:start w:val="10"/>
      <w:numFmt w:val="decimal"/>
      <w:lvlText w:val="%1."/>
      <w:lvlJc w:val="left"/>
      <w:pPr>
        <w:ind w:left="138" w:hanging="660"/>
        <w:jc w:val="left"/>
      </w:pPr>
      <w:rPr>
        <w:rFonts w:hint="default"/>
        <w:spacing w:val="-1"/>
        <w:w w:val="100"/>
        <w:u w:val="single" w:color="000000"/>
      </w:rPr>
    </w:lvl>
    <w:lvl w:ilvl="1">
      <w:start w:val="1"/>
      <w:numFmt w:val="decimal"/>
      <w:lvlText w:val="%2."/>
      <w:lvlJc w:val="left"/>
      <w:pPr>
        <w:ind w:left="4120" w:hanging="271"/>
        <w:jc w:val="right"/>
      </w:pPr>
      <w:rPr>
        <w:rFonts w:hint="default" w:ascii="Arial" w:hAnsi="Arial" w:eastAsia="Arial" w:cs="Arial"/>
        <w:b/>
        <w:bCs/>
        <w:w w:val="99"/>
        <w:sz w:val="24"/>
        <w:szCs w:val="24"/>
      </w:rPr>
    </w:lvl>
    <w:lvl w:ilvl="2">
      <w:start w:val="1"/>
      <w:numFmt w:val="bullet"/>
      <w:lvlText w:val="•"/>
      <w:lvlJc w:val="left"/>
      <w:pPr>
        <w:ind w:left="4706" w:hanging="271"/>
      </w:pPr>
      <w:rPr>
        <w:rFonts w:hint="default"/>
      </w:rPr>
    </w:lvl>
    <w:lvl w:ilvl="3">
      <w:start w:val="1"/>
      <w:numFmt w:val="bullet"/>
      <w:lvlText w:val="•"/>
      <w:lvlJc w:val="left"/>
      <w:pPr>
        <w:ind w:left="5293" w:hanging="271"/>
      </w:pPr>
      <w:rPr>
        <w:rFonts w:hint="default"/>
      </w:rPr>
    </w:lvl>
    <w:lvl w:ilvl="4">
      <w:start w:val="1"/>
      <w:numFmt w:val="bullet"/>
      <w:lvlText w:val="•"/>
      <w:lvlJc w:val="left"/>
      <w:pPr>
        <w:ind w:left="5880" w:hanging="271"/>
      </w:pPr>
      <w:rPr>
        <w:rFonts w:hint="default"/>
      </w:rPr>
    </w:lvl>
    <w:lvl w:ilvl="5">
      <w:start w:val="1"/>
      <w:numFmt w:val="bullet"/>
      <w:lvlText w:val="•"/>
      <w:lvlJc w:val="left"/>
      <w:pPr>
        <w:ind w:left="6466" w:hanging="271"/>
      </w:pPr>
      <w:rPr>
        <w:rFonts w:hint="default"/>
      </w:rPr>
    </w:lvl>
    <w:lvl w:ilvl="6">
      <w:start w:val="1"/>
      <w:numFmt w:val="bullet"/>
      <w:lvlText w:val="•"/>
      <w:lvlJc w:val="left"/>
      <w:pPr>
        <w:ind w:left="7053" w:hanging="271"/>
      </w:pPr>
      <w:rPr>
        <w:rFonts w:hint="default"/>
      </w:rPr>
    </w:lvl>
    <w:lvl w:ilvl="7">
      <w:start w:val="1"/>
      <w:numFmt w:val="bullet"/>
      <w:lvlText w:val="•"/>
      <w:lvlJc w:val="left"/>
      <w:pPr>
        <w:ind w:left="7640" w:hanging="271"/>
      </w:pPr>
      <w:rPr>
        <w:rFonts w:hint="default"/>
      </w:rPr>
    </w:lvl>
    <w:lvl w:ilvl="8">
      <w:start w:val="1"/>
      <w:numFmt w:val="bullet"/>
      <w:lvlText w:val="•"/>
      <w:lvlJc w:val="left"/>
      <w:pPr>
        <w:ind w:left="8226" w:hanging="271"/>
      </w:pPr>
      <w:rPr>
        <w:rFonts w:hint="default"/>
      </w:rPr>
    </w:lvl>
  </w:abstractNum>
  <w:abstractNum w:abstractNumId="1">
    <w:multiLevelType w:val="hybridMultilevel"/>
    <w:lvl w:ilvl="0">
      <w:start w:val="7"/>
      <w:numFmt w:val="decimal"/>
      <w:lvlText w:val="%1"/>
      <w:lvlJc w:val="left"/>
      <w:pPr>
        <w:ind w:left="569" w:hanging="370"/>
        <w:jc w:val="left"/>
      </w:pPr>
      <w:rPr>
        <w:rFonts w:hint="default"/>
      </w:rPr>
    </w:lvl>
    <w:lvl w:ilvl="1">
      <w:start w:val="2"/>
      <w:numFmt w:val="decimal"/>
      <w:lvlText w:val="%1.%2"/>
      <w:lvlJc w:val="left"/>
      <w:pPr>
        <w:ind w:left="569" w:hanging="370"/>
        <w:jc w:val="left"/>
      </w:pPr>
      <w:rPr>
        <w:rFonts w:hint="default" w:ascii="Arial" w:hAnsi="Arial" w:eastAsia="Arial" w:cs="Arial"/>
        <w:w w:val="100"/>
        <w:sz w:val="22"/>
        <w:szCs w:val="22"/>
      </w:rPr>
    </w:lvl>
    <w:lvl w:ilvl="2">
      <w:start w:val="1"/>
      <w:numFmt w:val="bullet"/>
      <w:lvlText w:val="•"/>
      <w:lvlJc w:val="left"/>
      <w:pPr>
        <w:ind w:left="2283" w:hanging="370"/>
      </w:pPr>
      <w:rPr>
        <w:rFonts w:hint="default"/>
      </w:rPr>
    </w:lvl>
    <w:lvl w:ilvl="3">
      <w:start w:val="1"/>
      <w:numFmt w:val="bullet"/>
      <w:lvlText w:val="•"/>
      <w:lvlJc w:val="left"/>
      <w:pPr>
        <w:ind w:left="3145" w:hanging="370"/>
      </w:pPr>
      <w:rPr>
        <w:rFonts w:hint="default"/>
      </w:rPr>
    </w:lvl>
    <w:lvl w:ilvl="4">
      <w:start w:val="1"/>
      <w:numFmt w:val="bullet"/>
      <w:lvlText w:val="•"/>
      <w:lvlJc w:val="left"/>
      <w:pPr>
        <w:ind w:left="4007" w:hanging="370"/>
      </w:pPr>
      <w:rPr>
        <w:rFonts w:hint="default"/>
      </w:rPr>
    </w:lvl>
    <w:lvl w:ilvl="5">
      <w:start w:val="1"/>
      <w:numFmt w:val="bullet"/>
      <w:lvlText w:val="•"/>
      <w:lvlJc w:val="left"/>
      <w:pPr>
        <w:ind w:left="4869" w:hanging="370"/>
      </w:pPr>
      <w:rPr>
        <w:rFonts w:hint="default"/>
      </w:rPr>
    </w:lvl>
    <w:lvl w:ilvl="6">
      <w:start w:val="1"/>
      <w:numFmt w:val="bullet"/>
      <w:lvlText w:val="•"/>
      <w:lvlJc w:val="left"/>
      <w:pPr>
        <w:ind w:left="5731" w:hanging="370"/>
      </w:pPr>
      <w:rPr>
        <w:rFonts w:hint="default"/>
      </w:rPr>
    </w:lvl>
    <w:lvl w:ilvl="7">
      <w:start w:val="1"/>
      <w:numFmt w:val="bullet"/>
      <w:lvlText w:val="•"/>
      <w:lvlJc w:val="left"/>
      <w:pPr>
        <w:ind w:left="6592" w:hanging="370"/>
      </w:pPr>
      <w:rPr>
        <w:rFonts w:hint="default"/>
      </w:rPr>
    </w:lvl>
    <w:lvl w:ilvl="8">
      <w:start w:val="1"/>
      <w:numFmt w:val="bullet"/>
      <w:lvlText w:val="•"/>
      <w:lvlJc w:val="left"/>
      <w:pPr>
        <w:ind w:left="7454" w:hanging="370"/>
      </w:pPr>
      <w:rPr>
        <w:rFonts w:hint="default"/>
      </w:rPr>
    </w:lvl>
  </w:abstractNum>
  <w:abstractNum w:abstractNumId="0">
    <w:multiLevelType w:val="hybridMultilevel"/>
    <w:lvl w:ilvl="0">
      <w:start w:val="1"/>
      <w:numFmt w:val="decimal"/>
      <w:lvlText w:val="%1"/>
      <w:lvlJc w:val="left"/>
      <w:pPr>
        <w:ind w:left="1079" w:hanging="660"/>
        <w:jc w:val="left"/>
      </w:pPr>
      <w:rPr>
        <w:rFonts w:hint="default"/>
      </w:rPr>
    </w:lvl>
    <w:lvl w:ilvl="1">
      <w:start w:val="2"/>
      <w:numFmt w:val="decimal"/>
      <w:lvlText w:val="%1.%2."/>
      <w:lvlJc w:val="left"/>
      <w:pPr>
        <w:ind w:left="419" w:hanging="660"/>
        <w:jc w:val="left"/>
      </w:pPr>
      <w:rPr>
        <w:rFonts w:hint="default"/>
        <w:w w:val="100"/>
        <w:u w:val="single" w:color="000000"/>
      </w:rPr>
    </w:lvl>
    <w:lvl w:ilvl="2">
      <w:start w:val="1"/>
      <w:numFmt w:val="bullet"/>
      <w:lvlText w:val="•"/>
      <w:lvlJc w:val="left"/>
      <w:pPr>
        <w:ind w:left="2011" w:hanging="660"/>
      </w:pPr>
      <w:rPr>
        <w:rFonts w:hint="default"/>
      </w:rPr>
    </w:lvl>
    <w:lvl w:ilvl="3">
      <w:start w:val="1"/>
      <w:numFmt w:val="bullet"/>
      <w:lvlText w:val="•"/>
      <w:lvlJc w:val="left"/>
      <w:pPr>
        <w:ind w:left="2942" w:hanging="660"/>
      </w:pPr>
      <w:rPr>
        <w:rFonts w:hint="default"/>
      </w:rPr>
    </w:lvl>
    <w:lvl w:ilvl="4">
      <w:start w:val="1"/>
      <w:numFmt w:val="bullet"/>
      <w:lvlText w:val="•"/>
      <w:lvlJc w:val="left"/>
      <w:pPr>
        <w:ind w:left="3873" w:hanging="660"/>
      </w:pPr>
      <w:rPr>
        <w:rFonts w:hint="default"/>
      </w:rPr>
    </w:lvl>
    <w:lvl w:ilvl="5">
      <w:start w:val="1"/>
      <w:numFmt w:val="bullet"/>
      <w:lvlText w:val="•"/>
      <w:lvlJc w:val="left"/>
      <w:pPr>
        <w:ind w:left="4804" w:hanging="660"/>
      </w:pPr>
      <w:rPr>
        <w:rFonts w:hint="default"/>
      </w:rPr>
    </w:lvl>
    <w:lvl w:ilvl="6">
      <w:start w:val="1"/>
      <w:numFmt w:val="bullet"/>
      <w:lvlText w:val="•"/>
      <w:lvlJc w:val="left"/>
      <w:pPr>
        <w:ind w:left="5735" w:hanging="660"/>
      </w:pPr>
      <w:rPr>
        <w:rFonts w:hint="default"/>
      </w:rPr>
    </w:lvl>
    <w:lvl w:ilvl="7">
      <w:start w:val="1"/>
      <w:numFmt w:val="bullet"/>
      <w:lvlText w:val="•"/>
      <w:lvlJc w:val="left"/>
      <w:pPr>
        <w:ind w:left="6666" w:hanging="660"/>
      </w:pPr>
      <w:rPr>
        <w:rFonts w:hint="default"/>
      </w:rPr>
    </w:lvl>
    <w:lvl w:ilvl="8">
      <w:start w:val="1"/>
      <w:numFmt w:val="bullet"/>
      <w:lvlText w:val="•"/>
      <w:lvlJc w:val="left"/>
      <w:pPr>
        <w:ind w:left="7597" w:hanging="660"/>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38"/>
      <w:jc w:val="both"/>
      <w:outlineLvl w:val="1"/>
    </w:pPr>
    <w:rPr>
      <w:rFonts w:ascii="Arial" w:hAnsi="Arial" w:eastAsia="Arial" w:cs="Arial"/>
      <w:b/>
      <w:bCs/>
      <w:sz w:val="24"/>
      <w:szCs w:val="24"/>
    </w:rPr>
  </w:style>
  <w:style w:styleId="ListParagraph" w:type="paragraph">
    <w:name w:val="List Paragraph"/>
    <w:basedOn w:val="Normal"/>
    <w:uiPriority w:val="1"/>
    <w:qFormat/>
    <w:pPr>
      <w:ind w:left="138"/>
      <w:jc w:val="both"/>
    </w:pPr>
    <w:rPr>
      <w:rFonts w:ascii="Times New Roman" w:hAnsi="Times New Roman" w:eastAsia="Times New Roman" w:cs="Times New Roman"/>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image" Target="media/image4.png"/><Relationship Id="rId18" Type="http://schemas.openxmlformats.org/officeDocument/2006/relationships/footer" Target="footer9.xml"/><Relationship Id="rId19" Type="http://schemas.openxmlformats.org/officeDocument/2006/relationships/hyperlink" Target="mailto:rovilaster@gmail.com" TargetMode="External"/><Relationship Id="rId20" Type="http://schemas.openxmlformats.org/officeDocument/2006/relationships/hyperlink" Target="mailto:rovila@uaemex.mx" TargetMode="External"/><Relationship Id="rId21" Type="http://schemas.openxmlformats.org/officeDocument/2006/relationships/hyperlink" Target="mailto:mechems@yahoo.com.mx" TargetMode="External"/><Relationship Id="rId22" Type="http://schemas.openxmlformats.org/officeDocument/2006/relationships/hyperlink" Target="mailto:rcb0209@yahoo.com.mx" TargetMode="External"/><Relationship Id="rId23" Type="http://schemas.openxmlformats.org/officeDocument/2006/relationships/hyperlink" Target="mailto:nefo99@hotmail.com" TargetMode="External"/><Relationship Id="rId24" Type="http://schemas.openxmlformats.org/officeDocument/2006/relationships/hyperlink" Target="mailto:scorp_lili@hotmail.com" TargetMode="External"/><Relationship Id="rId25" Type="http://schemas.openxmlformats.org/officeDocument/2006/relationships/hyperlink" Target="mailto:arjona139@yahoo.com" TargetMode="External"/><Relationship Id="rId26" Type="http://schemas.openxmlformats.org/officeDocument/2006/relationships/hyperlink" Target="http://www.ncbi.nlm.nih.gov/pubmed/?term=Changes%2Bin%2Bdental%2Bcaries%2B1953-2003" TargetMode="External"/><Relationship Id="rId27" Type="http://schemas.openxmlformats.org/officeDocument/2006/relationships/footer" Target="footer10.xml"/><Relationship Id="rId28" Type="http://schemas.openxmlformats.org/officeDocument/2006/relationships/hyperlink" Target="http://www.ncbi.nlm.nih.gov/pubmed/?term=Drugan%20CS%5BAuthor%5D&amp;amp;cauthor=true&amp;amp;cauthor_uid=21887616" TargetMode="External"/><Relationship Id="rId29" Type="http://schemas.openxmlformats.org/officeDocument/2006/relationships/hyperlink" Target="http://www.ncbi.nlm.nih.gov/pubmed/?term=Downer%20MC%5BAuthor%5D&amp;amp;cauthor=true&amp;amp;cauthor_uid=21887616" TargetMode="External"/><Relationship Id="rId30" Type="http://schemas.openxmlformats.org/officeDocument/2006/relationships/footer" Target="footer11.xml"/><Relationship Id="rId31" Type="http://schemas.openxmlformats.org/officeDocument/2006/relationships/hyperlink" Target="http://www.cdi.gob.mx/index.php?option=com_docman&amp;amp;task=cat_view&amp;amp;gid=18&amp;amp;Itemid=20" TargetMode="External"/><Relationship Id="rId32" Type="http://schemas.openxmlformats.org/officeDocument/2006/relationships/hyperlink" Target="http://portal2.edomex.gob.mx/cedipiem/pueblosindigenas/index.htm" TargetMode="External"/><Relationship Id="rId33" Type="http://schemas.openxmlformats.org/officeDocument/2006/relationships/hyperlink" Target="https://www.icdas.org/courses/spanish/course/nav.html" TargetMode="External"/><Relationship Id="rId34" Type="http://schemas.openxmlformats.org/officeDocument/2006/relationships/footer" Target="footer12.xml"/><Relationship Id="rId35" Type="http://schemas.openxmlformats.org/officeDocument/2006/relationships/footer" Target="footer13.xml"/><Relationship Id="rId36" Type="http://schemas.openxmlformats.org/officeDocument/2006/relationships/footer" Target="footer14.xml"/><Relationship Id="rId37" Type="http://schemas.openxmlformats.org/officeDocument/2006/relationships/hyperlink" Target="http://www.ncbi.nlm.nih.gov/pubmed?term=%22Drugan%20CS%22%5BAuthor%5D" TargetMode="External"/><Relationship Id="rId38" Type="http://schemas.openxmlformats.org/officeDocument/2006/relationships/hyperlink" Target="http://www.ncbi.nlm.nih.gov/pubmed?term=%22Downer%20MC%22%5BAuthor%5D" TargetMode="External"/><Relationship Id="rId39" Type="http://schemas.openxmlformats.org/officeDocument/2006/relationships/footer" Target="footer15.xml"/><Relationship Id="rId40" Type="http://schemas.openxmlformats.org/officeDocument/2006/relationships/image" Target="media/image5.png"/><Relationship Id="rId41" Type="http://schemas.openxmlformats.org/officeDocument/2006/relationships/image" Target="media/image6.png"/><Relationship Id="rId42" Type="http://schemas.openxmlformats.org/officeDocument/2006/relationships/image" Target="media/image7.png"/><Relationship Id="rId43" Type="http://schemas.openxmlformats.org/officeDocument/2006/relationships/image" Target="media/image8.jpeg"/><Relationship Id="rId44" Type="http://schemas.openxmlformats.org/officeDocument/2006/relationships/image" Target="media/image9.jpeg"/><Relationship Id="rId45" Type="http://schemas.openxmlformats.org/officeDocument/2006/relationships/image" Target="media/image10.jpeg"/><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2017-05-26T22:47:34Z</dcterms:created>
  <dcterms:modified xsi:type="dcterms:W3CDTF">2017-05-26T22:47:34Z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