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79"/>
        <w:ind w:right="167"/>
      </w:pPr>
      <w:r>
        <w:rPr/>
        <w:pict>
          <v:group style="position:absolute;margin-left:.06pt;margin-top:-34.816437pt;width:503.7pt;height:104.2pt;mso-position-horizontal-relative:page;mso-position-vertical-relative:paragraph;z-index:-71944" coordorigin="1,-696" coordsize="10074,2084">
            <v:line style="position:absolute" from="2417,1068" to="2420,1068" stroked="true" strokeweight="1pt" strokecolor="#000000"/>
            <v:line style="position:absolute" from="2420,1072" to="10025,1072" stroked="true" strokeweight="5pt" strokecolor="#000000"/>
            <v:shape style="position:absolute;left:1;top:-696;width:2312;height:2084" type="#_x0000_t75" stroked="false">
              <v:imagedata r:id="rId5" o:title=""/>
            </v:shape>
            <w10:wrap type="none"/>
          </v:group>
        </w:pict>
      </w:r>
      <w:r>
        <w:rPr/>
        <w:t>Universidad Autónoma del Estado de México</w:t>
      </w:r>
    </w:p>
    <w:p>
      <w:pPr>
        <w:pStyle w:val="BodyText"/>
        <w:rPr>
          <w:b/>
          <w:sz w:val="40"/>
        </w:rPr>
      </w:pPr>
    </w:p>
    <w:p>
      <w:pPr>
        <w:pStyle w:val="BodyText"/>
        <w:spacing w:before="1"/>
        <w:rPr>
          <w:b/>
          <w:sz w:val="33"/>
        </w:rPr>
      </w:pPr>
    </w:p>
    <w:p>
      <w:pPr>
        <w:pStyle w:val="Heading2"/>
        <w:ind w:left="4477" w:firstLine="0"/>
        <w:jc w:val="left"/>
      </w:pPr>
      <w:r>
        <w:rPr/>
        <w:pict>
          <v:line style="position:absolute;mso-position-horizontal-relative:page;mso-position-vertical-relative:paragraph;z-index:1072" from="52.450001pt,3.571863pt" to="52.450001pt,524.621863pt" stroked="true" strokeweight="1pt" strokecolor="#000000">
            <w10:wrap type="none"/>
          </v:line>
        </w:pict>
      </w:r>
      <w:r>
        <w:rPr/>
        <w:pict>
          <v:line style="position:absolute;mso-position-horizontal-relative:page;mso-position-vertical-relative:paragraph;z-index:1096" from="35.25pt,3.571863pt" to="35.25pt,524.621863pt" stroked="true" strokeweight="5pt" strokecolor="#000000">
            <w10:wrap type="none"/>
          </v:line>
        </w:pict>
      </w:r>
      <w:r>
        <w:rPr/>
        <w:t>FACULTAD DE QUÍMICA</w:t>
      </w:r>
    </w:p>
    <w:p>
      <w:pPr>
        <w:pStyle w:val="BodyText"/>
        <w:rPr>
          <w:b/>
          <w:sz w:val="28"/>
        </w:rPr>
      </w:pPr>
    </w:p>
    <w:p>
      <w:pPr>
        <w:pStyle w:val="BodyText"/>
        <w:rPr>
          <w:b/>
          <w:sz w:val="28"/>
        </w:rPr>
      </w:pPr>
    </w:p>
    <w:p>
      <w:pPr>
        <w:spacing w:line="360" w:lineRule="auto" w:before="170"/>
        <w:ind w:left="1406" w:right="392" w:firstLine="2"/>
        <w:jc w:val="center"/>
        <w:rPr>
          <w:b/>
          <w:sz w:val="32"/>
        </w:rPr>
      </w:pPr>
      <w:r>
        <w:rPr>
          <w:b/>
          <w:sz w:val="32"/>
        </w:rPr>
        <w:t>EFICIENCIA DE UN SISTEMA ACOPLADO ELECTROCOAGULACIÓN-FITORREMEDIACIÓN PARA </w:t>
      </w:r>
      <w:r>
        <w:rPr>
          <w:b/>
          <w:spacing w:val="3"/>
          <w:sz w:val="32"/>
        </w:rPr>
        <w:t>LA </w:t>
      </w:r>
      <w:r>
        <w:rPr>
          <w:b/>
          <w:sz w:val="32"/>
        </w:rPr>
        <w:t>REMOCIÓN DE Pb, Cu, Cd Y Zn, PRESENTES EN</w:t>
      </w:r>
      <w:r>
        <w:rPr>
          <w:b/>
          <w:spacing w:val="-16"/>
          <w:sz w:val="32"/>
        </w:rPr>
        <w:t> </w:t>
      </w:r>
      <w:r>
        <w:rPr>
          <w:b/>
          <w:sz w:val="32"/>
        </w:rPr>
        <w:t>EFLUENTES MINEROS</w:t>
      </w:r>
    </w:p>
    <w:p>
      <w:pPr>
        <w:pStyle w:val="BodyText"/>
        <w:rPr>
          <w:b/>
          <w:sz w:val="32"/>
        </w:rPr>
      </w:pPr>
    </w:p>
    <w:p>
      <w:pPr>
        <w:pStyle w:val="BodyText"/>
        <w:spacing w:before="3"/>
        <w:rPr>
          <w:b/>
          <w:sz w:val="36"/>
        </w:rPr>
      </w:pPr>
    </w:p>
    <w:p>
      <w:pPr>
        <w:spacing w:before="0"/>
        <w:ind w:left="2985" w:right="1967" w:firstLine="0"/>
        <w:jc w:val="center"/>
        <w:rPr>
          <w:b/>
          <w:sz w:val="32"/>
        </w:rPr>
      </w:pPr>
      <w:r>
        <w:rPr>
          <w:b/>
          <w:sz w:val="32"/>
        </w:rPr>
        <w:t>TESIS</w:t>
      </w:r>
    </w:p>
    <w:p>
      <w:pPr>
        <w:pStyle w:val="BodyText"/>
        <w:spacing w:before="3"/>
        <w:rPr>
          <w:b/>
          <w:sz w:val="33"/>
        </w:rPr>
      </w:pPr>
    </w:p>
    <w:p>
      <w:pPr>
        <w:spacing w:line="372" w:lineRule="auto" w:before="0"/>
        <w:ind w:left="2985" w:right="1971" w:firstLine="0"/>
        <w:jc w:val="center"/>
        <w:rPr>
          <w:b/>
          <w:sz w:val="32"/>
        </w:rPr>
      </w:pPr>
      <w:r>
        <w:rPr>
          <w:b/>
          <w:sz w:val="32"/>
        </w:rPr>
        <w:t>QUE PARA OBTENER EL GRADO DE MAESTRO EN CIENCIAS AMBIENTALES</w:t>
      </w:r>
    </w:p>
    <w:p>
      <w:pPr>
        <w:pStyle w:val="BodyText"/>
        <w:rPr>
          <w:b/>
          <w:sz w:val="32"/>
        </w:rPr>
      </w:pPr>
    </w:p>
    <w:p>
      <w:pPr>
        <w:pStyle w:val="BodyText"/>
        <w:spacing w:before="9"/>
        <w:rPr>
          <w:b/>
          <w:sz w:val="33"/>
        </w:rPr>
      </w:pPr>
    </w:p>
    <w:p>
      <w:pPr>
        <w:pStyle w:val="Heading2"/>
        <w:spacing w:before="1"/>
        <w:ind w:left="2985" w:right="1962" w:firstLine="0"/>
        <w:jc w:val="center"/>
      </w:pPr>
      <w:r>
        <w:rPr/>
        <w:t>SUSTENTA</w:t>
      </w:r>
    </w:p>
    <w:p>
      <w:pPr>
        <w:spacing w:before="197"/>
        <w:ind w:left="2985" w:right="1969" w:firstLine="0"/>
        <w:jc w:val="center"/>
        <w:rPr>
          <w:b/>
          <w:sz w:val="32"/>
        </w:rPr>
      </w:pPr>
      <w:r>
        <w:rPr>
          <w:b/>
          <w:sz w:val="32"/>
        </w:rPr>
        <w:t>FRANCISCO FERNIZA GARCÍA</w:t>
      </w:r>
    </w:p>
    <w:p>
      <w:pPr>
        <w:pStyle w:val="BodyText"/>
        <w:rPr>
          <w:b/>
          <w:sz w:val="32"/>
        </w:rPr>
      </w:pPr>
    </w:p>
    <w:p>
      <w:pPr>
        <w:pStyle w:val="BodyText"/>
        <w:spacing w:before="10"/>
        <w:rPr>
          <w:b/>
          <w:sz w:val="35"/>
        </w:rPr>
      </w:pPr>
    </w:p>
    <w:p>
      <w:pPr>
        <w:pStyle w:val="Heading2"/>
        <w:ind w:left="2985" w:right="1969" w:firstLine="0"/>
        <w:jc w:val="center"/>
      </w:pPr>
      <w:r>
        <w:rPr/>
        <w:t>DIRIGIDA POR</w:t>
      </w:r>
    </w:p>
    <w:p>
      <w:pPr>
        <w:pStyle w:val="BodyText"/>
        <w:spacing w:before="4"/>
        <w:rPr>
          <w:b/>
          <w:sz w:val="31"/>
        </w:rPr>
      </w:pPr>
    </w:p>
    <w:p>
      <w:pPr>
        <w:spacing w:line="372" w:lineRule="auto" w:before="0"/>
        <w:ind w:left="3603" w:right="2586" w:firstLine="1"/>
        <w:jc w:val="center"/>
        <w:rPr>
          <w:b/>
          <w:sz w:val="32"/>
        </w:rPr>
      </w:pPr>
      <w:r>
        <w:rPr>
          <w:b/>
          <w:sz w:val="32"/>
        </w:rPr>
        <w:t>DRA. ARACELI AMAYA CHÁVEZ DRA. GABRIELA ROA</w:t>
      </w:r>
      <w:r>
        <w:rPr>
          <w:b/>
          <w:spacing w:val="-13"/>
          <w:sz w:val="32"/>
        </w:rPr>
        <w:t> </w:t>
      </w:r>
      <w:r>
        <w:rPr>
          <w:b/>
          <w:sz w:val="32"/>
        </w:rPr>
        <w:t>MORALES</w:t>
      </w:r>
    </w:p>
    <w:p>
      <w:pPr>
        <w:spacing w:before="2"/>
        <w:ind w:left="2985" w:right="1971" w:firstLine="0"/>
        <w:jc w:val="center"/>
        <w:rPr>
          <w:b/>
          <w:sz w:val="32"/>
        </w:rPr>
      </w:pPr>
      <w:r>
        <w:rPr/>
        <w:drawing>
          <wp:anchor distT="0" distB="0" distL="0" distR="0" allowOverlap="1" layoutInCell="1" locked="0" behindDoc="0" simplePos="0" relativeHeight="1048">
            <wp:simplePos x="0" y="0"/>
            <wp:positionH relativeFrom="page">
              <wp:posOffset>2666</wp:posOffset>
            </wp:positionH>
            <wp:positionV relativeFrom="paragraph">
              <wp:posOffset>436445</wp:posOffset>
            </wp:positionV>
            <wp:extent cx="1414354" cy="1296060"/>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414354" cy="1296060"/>
                    </a:xfrm>
                    <a:prstGeom prst="rect">
                      <a:avLst/>
                    </a:prstGeom>
                  </pic:spPr>
                </pic:pic>
              </a:graphicData>
            </a:graphic>
          </wp:anchor>
        </w:drawing>
      </w:r>
      <w:r>
        <w:rPr>
          <w:b/>
          <w:sz w:val="32"/>
        </w:rPr>
        <w:t>DR. CARLOS EDUARDO BARRERA DÍAZ</w:t>
      </w:r>
    </w:p>
    <w:p>
      <w:pPr>
        <w:pStyle w:val="BodyText"/>
        <w:rPr>
          <w:b/>
          <w:sz w:val="32"/>
        </w:rPr>
      </w:pPr>
    </w:p>
    <w:p>
      <w:pPr>
        <w:pStyle w:val="BodyText"/>
        <w:rPr>
          <w:b/>
          <w:sz w:val="36"/>
        </w:rPr>
      </w:pPr>
    </w:p>
    <w:p>
      <w:pPr>
        <w:pStyle w:val="BodyText"/>
        <w:ind w:right="108"/>
        <w:jc w:val="right"/>
      </w:pPr>
      <w:r>
        <w:rPr/>
        <w:t>Toluca, Estado de México. 2017.</w:t>
      </w:r>
    </w:p>
    <w:p>
      <w:pPr>
        <w:spacing w:after="0"/>
        <w:jc w:val="right"/>
        <w:sectPr>
          <w:type w:val="continuous"/>
          <w:pgSz w:w="12240" w:h="15840"/>
          <w:pgMar w:top="260" w:bottom="280" w:left="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spacing w:line="360" w:lineRule="auto" w:before="69"/>
        <w:ind w:left="112" w:right="109"/>
        <w:jc w:val="both"/>
      </w:pPr>
      <w:r>
        <w:rPr/>
        <w:t>EL PRESENTE TRABAJO SE DESARROLLO DENTRO DE LAS INSTALACIONES DEL LABORATORIO 7 DEL DEPARTAMENTO DE FARMACIA DE LA FACULTAD DE QUIMICA DE LA UNIVERSIDAD AUTONOMA DEL ESTADO DE MÉXICO (UAEMÉX) Y EN LAS INSTALACIONES DEL LABORATORIO DE QUIMICA AMBIENTAL DEL CENTRO CONJUNTO DE INVESTIGACIÓN EN QUÍMICA SUSTENTABLE (UAEM-UNAM).</w:t>
      </w:r>
    </w:p>
    <w:p>
      <w:pPr>
        <w:pStyle w:val="BodyText"/>
      </w:pPr>
    </w:p>
    <w:p>
      <w:pPr>
        <w:pStyle w:val="BodyText"/>
      </w:pPr>
    </w:p>
    <w:p>
      <w:pPr>
        <w:pStyle w:val="BodyText"/>
        <w:spacing w:before="2"/>
        <w:rPr>
          <w:sz w:val="23"/>
        </w:rPr>
      </w:pPr>
    </w:p>
    <w:p>
      <w:pPr>
        <w:pStyle w:val="BodyText"/>
        <w:spacing w:line="360" w:lineRule="auto"/>
        <w:ind w:left="112" w:right="110"/>
        <w:jc w:val="both"/>
      </w:pPr>
      <w:r>
        <w:rPr/>
        <w:t>EL PRESENTE TRABAJO DE INVESTIGACIÓN FUE REGISTRO ANTE LA SECRETARIA DE INVESTIGACIÓN Y ESTUDIOS AVANZADOS (SIyEA) DE LA UAEMÉX, CON EL TITULO: “EFICIENCIA DE UN SISTEMA ACOPLADO ELECTROCOAGULACIÓN- FITORREMEDIACIÓN PARA LA REMOCIÓN DE Pb, Cu, Cd y Zn, PRESENTES EN EFLUENTES MINEROS” CON EL NUMERO DE REGISTRO </w:t>
      </w:r>
      <w:r>
        <w:rPr>
          <w:b/>
        </w:rPr>
        <w:t>MACIAS-0715</w:t>
      </w:r>
      <w:r>
        <w:rPr/>
        <w:t>.</w:t>
      </w:r>
    </w:p>
    <w:p>
      <w:pPr>
        <w:spacing w:after="0" w:line="360" w:lineRule="auto"/>
        <w:jc w:val="both"/>
        <w:sectPr>
          <w:pgSz w:w="12240" w:h="15840"/>
          <w:pgMar w:top="150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1"/>
        <w:ind w:left="0" w:right="120" w:firstLine="0"/>
        <w:jc w:val="right"/>
        <w:rPr>
          <w:rFonts w:ascii="Arial Black" w:hAnsi="Arial Black"/>
          <w:b/>
          <w:sz w:val="32"/>
        </w:rPr>
      </w:pPr>
      <w:r>
        <w:rPr>
          <w:rFonts w:ascii="Arial Black" w:hAnsi="Arial Black"/>
          <w:b/>
          <w:sz w:val="32"/>
        </w:rPr>
        <w:t>“LA CIENCIA ES COMO LA TIERRA, SOLO SE PUEDE</w:t>
      </w:r>
    </w:p>
    <w:p>
      <w:pPr>
        <w:spacing w:before="226"/>
        <w:ind w:left="0" w:right="116" w:firstLine="0"/>
        <w:jc w:val="right"/>
        <w:rPr>
          <w:rFonts w:ascii="Arial Black" w:hAnsi="Arial Black"/>
          <w:b/>
          <w:sz w:val="32"/>
        </w:rPr>
      </w:pPr>
      <w:r>
        <w:rPr>
          <w:rFonts w:ascii="Arial Black" w:hAnsi="Arial Black"/>
          <w:b/>
          <w:sz w:val="32"/>
        </w:rPr>
        <w:t>POSEER UN POCO DE ELLA”</w:t>
      </w:r>
    </w:p>
    <w:p>
      <w:pPr>
        <w:pStyle w:val="BodyText"/>
        <w:rPr>
          <w:rFonts w:ascii="Arial Black"/>
          <w:b/>
          <w:sz w:val="32"/>
        </w:rPr>
      </w:pPr>
    </w:p>
    <w:p>
      <w:pPr>
        <w:pStyle w:val="BodyText"/>
        <w:rPr>
          <w:rFonts w:ascii="Arial Black"/>
          <w:b/>
          <w:sz w:val="32"/>
        </w:rPr>
      </w:pPr>
    </w:p>
    <w:p>
      <w:pPr>
        <w:spacing w:before="273"/>
        <w:ind w:left="0" w:right="114" w:firstLine="0"/>
        <w:jc w:val="right"/>
        <w:rPr>
          <w:rFonts w:ascii="Arial Black"/>
          <w:b/>
          <w:sz w:val="32"/>
        </w:rPr>
      </w:pPr>
      <w:r>
        <w:rPr>
          <w:rFonts w:ascii="Arial Black"/>
          <w:b/>
          <w:sz w:val="32"/>
        </w:rPr>
        <w:t>Voltaire</w:t>
      </w:r>
    </w:p>
    <w:p>
      <w:pPr>
        <w:spacing w:after="0"/>
        <w:jc w:val="right"/>
        <w:rPr>
          <w:rFonts w:ascii="Arial Black"/>
          <w:sz w:val="32"/>
        </w:rPr>
        <w:sectPr>
          <w:pgSz w:w="12240" w:h="15840"/>
          <w:pgMar w:top="1500" w:bottom="280" w:left="1720" w:right="1020"/>
        </w:sectPr>
      </w:pPr>
    </w:p>
    <w:p>
      <w:pPr>
        <w:pStyle w:val="Heading1"/>
        <w:ind w:right="131"/>
      </w:pPr>
      <w:r>
        <w:rPr/>
        <w:t>CONTENIDO</w:t>
      </w:r>
    </w:p>
    <w:p>
      <w:pPr>
        <w:pStyle w:val="BodyText"/>
        <w:rPr>
          <w:b/>
          <w:sz w:val="20"/>
        </w:rPr>
      </w:pPr>
    </w:p>
    <w:p>
      <w:pPr>
        <w:pStyle w:val="BodyText"/>
        <w:rPr>
          <w:b/>
          <w:sz w:val="20"/>
        </w:rPr>
      </w:pPr>
    </w:p>
    <w:p>
      <w:pPr>
        <w:pStyle w:val="BodyText"/>
        <w:spacing w:before="6"/>
        <w:rPr>
          <w:b/>
          <w:sz w:val="28"/>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64"/>
        <w:gridCol w:w="1380"/>
      </w:tblGrid>
      <w:tr>
        <w:trPr>
          <w:trHeight w:val="11514" w:hRule="exact"/>
        </w:trPr>
        <w:tc>
          <w:tcPr>
            <w:tcW w:w="8764" w:type="dxa"/>
          </w:tcPr>
          <w:p>
            <w:pPr>
              <w:pStyle w:val="TableParagraph"/>
              <w:spacing w:line="226" w:lineRule="exact"/>
              <w:ind w:left="200" w:right="6380"/>
              <w:rPr>
                <w:b/>
                <w:sz w:val="22"/>
              </w:rPr>
            </w:pPr>
            <w:r>
              <w:rPr>
                <w:b/>
                <w:sz w:val="22"/>
              </w:rPr>
              <w:t>RESUMEN</w:t>
            </w:r>
          </w:p>
          <w:p>
            <w:pPr>
              <w:pStyle w:val="TableParagraph"/>
              <w:spacing w:before="6"/>
              <w:rPr>
                <w:b/>
                <w:sz w:val="20"/>
              </w:rPr>
            </w:pPr>
          </w:p>
          <w:p>
            <w:pPr>
              <w:pStyle w:val="TableParagraph"/>
              <w:ind w:left="200" w:right="6380"/>
              <w:rPr>
                <w:b/>
                <w:sz w:val="22"/>
              </w:rPr>
            </w:pPr>
            <w:r>
              <w:rPr>
                <w:b/>
                <w:sz w:val="22"/>
              </w:rPr>
              <w:t>ABSTRACT</w:t>
            </w:r>
          </w:p>
          <w:p>
            <w:pPr>
              <w:pStyle w:val="TableParagraph"/>
              <w:spacing w:before="9"/>
              <w:rPr>
                <w:b/>
                <w:sz w:val="20"/>
              </w:rPr>
            </w:pPr>
          </w:p>
          <w:p>
            <w:pPr>
              <w:pStyle w:val="TableParagraph"/>
              <w:spacing w:line="465" w:lineRule="auto"/>
              <w:ind w:left="200" w:right="6380"/>
              <w:rPr>
                <w:b/>
                <w:sz w:val="22"/>
              </w:rPr>
            </w:pPr>
            <w:r>
              <w:rPr>
                <w:b/>
                <w:sz w:val="22"/>
              </w:rPr>
              <w:t>ÍNDICE DE FIGURAS ÍNDICE DE TABLAS ABREVIATURAS</w:t>
            </w:r>
          </w:p>
          <w:p>
            <w:pPr>
              <w:pStyle w:val="TableParagraph"/>
              <w:rPr>
                <w:b/>
                <w:sz w:val="22"/>
              </w:rPr>
            </w:pPr>
          </w:p>
          <w:p>
            <w:pPr>
              <w:pStyle w:val="TableParagraph"/>
              <w:spacing w:before="3"/>
              <w:rPr>
                <w:b/>
                <w:sz w:val="21"/>
              </w:rPr>
            </w:pPr>
          </w:p>
          <w:p>
            <w:pPr>
              <w:pStyle w:val="TableParagraph"/>
              <w:numPr>
                <w:ilvl w:val="0"/>
                <w:numId w:val="1"/>
              </w:numPr>
              <w:tabs>
                <w:tab w:pos="908" w:val="left" w:leader="none"/>
              </w:tabs>
              <w:spacing w:line="240" w:lineRule="auto" w:before="0" w:after="0"/>
              <w:ind w:left="908" w:right="0" w:hanging="348"/>
              <w:jc w:val="left"/>
              <w:rPr>
                <w:b/>
                <w:sz w:val="22"/>
              </w:rPr>
            </w:pPr>
            <w:r>
              <w:rPr>
                <w:b/>
                <w:sz w:val="22"/>
              </w:rPr>
              <w:t>INTRODUCCIÓN</w:t>
            </w:r>
          </w:p>
          <w:p>
            <w:pPr>
              <w:pStyle w:val="TableParagraph"/>
              <w:spacing w:before="9"/>
              <w:rPr>
                <w:b/>
                <w:sz w:val="20"/>
              </w:rPr>
            </w:pPr>
          </w:p>
          <w:p>
            <w:pPr>
              <w:pStyle w:val="TableParagraph"/>
              <w:numPr>
                <w:ilvl w:val="0"/>
                <w:numId w:val="1"/>
              </w:numPr>
              <w:tabs>
                <w:tab w:pos="908" w:val="left" w:leader="none"/>
              </w:tabs>
              <w:spacing w:line="240" w:lineRule="auto" w:before="0" w:after="0"/>
              <w:ind w:left="908" w:right="0" w:hanging="348"/>
              <w:jc w:val="left"/>
              <w:rPr>
                <w:b/>
                <w:sz w:val="22"/>
              </w:rPr>
            </w:pPr>
            <w:r>
              <w:rPr>
                <w:b/>
                <w:sz w:val="22"/>
              </w:rPr>
              <w:t>ANTECEDENTES</w:t>
            </w:r>
          </w:p>
          <w:p>
            <w:pPr>
              <w:pStyle w:val="TableParagraph"/>
              <w:spacing w:before="9"/>
              <w:rPr>
                <w:b/>
                <w:sz w:val="20"/>
              </w:rPr>
            </w:pPr>
          </w:p>
          <w:p>
            <w:pPr>
              <w:pStyle w:val="TableParagraph"/>
              <w:numPr>
                <w:ilvl w:val="1"/>
                <w:numId w:val="1"/>
              </w:numPr>
              <w:tabs>
                <w:tab w:pos="1280" w:val="left" w:leader="none"/>
              </w:tabs>
              <w:spacing w:line="240" w:lineRule="auto" w:before="0" w:after="0"/>
              <w:ind w:left="1279" w:right="0" w:hanging="359"/>
              <w:jc w:val="left"/>
              <w:rPr>
                <w:sz w:val="22"/>
              </w:rPr>
            </w:pPr>
            <w:r>
              <w:rPr>
                <w:sz w:val="22"/>
              </w:rPr>
              <w:t>La minería en</w:t>
            </w:r>
            <w:r>
              <w:rPr>
                <w:spacing w:val="-6"/>
                <w:sz w:val="22"/>
              </w:rPr>
              <w:t> </w:t>
            </w:r>
            <w:r>
              <w:rPr>
                <w:sz w:val="22"/>
              </w:rPr>
              <w:t>México</w:t>
            </w:r>
          </w:p>
          <w:p>
            <w:pPr>
              <w:pStyle w:val="TableParagraph"/>
              <w:spacing w:before="9"/>
              <w:rPr>
                <w:b/>
                <w:sz w:val="20"/>
              </w:rPr>
            </w:pPr>
          </w:p>
          <w:p>
            <w:pPr>
              <w:pStyle w:val="TableParagraph"/>
              <w:numPr>
                <w:ilvl w:val="2"/>
                <w:numId w:val="1"/>
              </w:numPr>
              <w:tabs>
                <w:tab w:pos="1999" w:val="left" w:leader="none"/>
                <w:tab w:pos="2000" w:val="left" w:leader="none"/>
              </w:tabs>
              <w:spacing w:line="240" w:lineRule="auto" w:before="0" w:after="0"/>
              <w:ind w:left="1999" w:right="0" w:hanging="720"/>
              <w:jc w:val="left"/>
              <w:rPr>
                <w:sz w:val="22"/>
              </w:rPr>
            </w:pPr>
            <w:r>
              <w:rPr>
                <w:sz w:val="22"/>
              </w:rPr>
              <w:t>Impacto de la minería en</w:t>
            </w:r>
            <w:r>
              <w:rPr>
                <w:spacing w:val="-15"/>
                <w:sz w:val="22"/>
              </w:rPr>
              <w:t> </w:t>
            </w:r>
            <w:r>
              <w:rPr>
                <w:sz w:val="22"/>
              </w:rPr>
              <w:t>México</w:t>
            </w:r>
          </w:p>
          <w:p>
            <w:pPr>
              <w:pStyle w:val="TableParagraph"/>
              <w:spacing w:before="6"/>
              <w:rPr>
                <w:b/>
                <w:sz w:val="20"/>
              </w:rPr>
            </w:pPr>
          </w:p>
          <w:p>
            <w:pPr>
              <w:pStyle w:val="TableParagraph"/>
              <w:numPr>
                <w:ilvl w:val="2"/>
                <w:numId w:val="1"/>
              </w:numPr>
              <w:tabs>
                <w:tab w:pos="1999" w:val="left" w:leader="none"/>
                <w:tab w:pos="2000" w:val="left" w:leader="none"/>
              </w:tabs>
              <w:spacing w:line="240" w:lineRule="auto" w:before="0" w:after="0"/>
              <w:ind w:left="1999" w:right="0" w:hanging="720"/>
              <w:jc w:val="left"/>
              <w:rPr>
                <w:sz w:val="22"/>
              </w:rPr>
            </w:pPr>
            <w:r>
              <w:rPr>
                <w:sz w:val="22"/>
              </w:rPr>
              <w:t>Impacto</w:t>
            </w:r>
            <w:r>
              <w:rPr>
                <w:spacing w:val="-4"/>
                <w:sz w:val="22"/>
              </w:rPr>
              <w:t> </w:t>
            </w:r>
            <w:r>
              <w:rPr>
                <w:sz w:val="22"/>
              </w:rPr>
              <w:t>Ambiental</w:t>
            </w:r>
          </w:p>
          <w:p>
            <w:pPr>
              <w:pStyle w:val="TableParagraph"/>
              <w:spacing w:before="9"/>
              <w:rPr>
                <w:b/>
                <w:sz w:val="20"/>
              </w:rPr>
            </w:pPr>
          </w:p>
          <w:p>
            <w:pPr>
              <w:pStyle w:val="TableParagraph"/>
              <w:numPr>
                <w:ilvl w:val="1"/>
                <w:numId w:val="1"/>
              </w:numPr>
              <w:tabs>
                <w:tab w:pos="1343" w:val="left" w:leader="none"/>
              </w:tabs>
              <w:spacing w:line="240" w:lineRule="auto" w:before="0" w:after="0"/>
              <w:ind w:left="1342" w:right="0" w:hanging="422"/>
              <w:jc w:val="left"/>
              <w:rPr>
                <w:sz w:val="22"/>
              </w:rPr>
            </w:pPr>
            <w:r>
              <w:rPr>
                <w:sz w:val="22"/>
              </w:rPr>
              <w:t>Métodos Electroquímicos y el</w:t>
            </w:r>
            <w:r>
              <w:rPr>
                <w:spacing w:val="-8"/>
                <w:sz w:val="22"/>
              </w:rPr>
              <w:t> </w:t>
            </w:r>
            <w:r>
              <w:rPr>
                <w:sz w:val="22"/>
              </w:rPr>
              <w:t>Ambiente</w:t>
            </w:r>
          </w:p>
          <w:p>
            <w:pPr>
              <w:pStyle w:val="TableParagraph"/>
              <w:spacing w:before="7"/>
              <w:rPr>
                <w:b/>
                <w:sz w:val="20"/>
              </w:rPr>
            </w:pPr>
          </w:p>
          <w:p>
            <w:pPr>
              <w:pStyle w:val="TableParagraph"/>
              <w:numPr>
                <w:ilvl w:val="2"/>
                <w:numId w:val="1"/>
              </w:numPr>
              <w:tabs>
                <w:tab w:pos="1999" w:val="left" w:leader="none"/>
                <w:tab w:pos="2000" w:val="left" w:leader="none"/>
              </w:tabs>
              <w:spacing w:line="240" w:lineRule="auto" w:before="0" w:after="0"/>
              <w:ind w:left="1999" w:right="0" w:hanging="720"/>
              <w:jc w:val="left"/>
              <w:rPr>
                <w:sz w:val="22"/>
              </w:rPr>
            </w:pPr>
            <w:r>
              <w:rPr>
                <w:sz w:val="22"/>
              </w:rPr>
              <w:t>Electrocoagulación</w:t>
            </w:r>
          </w:p>
          <w:p>
            <w:pPr>
              <w:pStyle w:val="TableParagraph"/>
              <w:spacing w:before="9"/>
              <w:rPr>
                <w:b/>
                <w:sz w:val="20"/>
              </w:rPr>
            </w:pPr>
          </w:p>
          <w:p>
            <w:pPr>
              <w:pStyle w:val="TableParagraph"/>
              <w:numPr>
                <w:ilvl w:val="2"/>
                <w:numId w:val="1"/>
              </w:numPr>
              <w:tabs>
                <w:tab w:pos="1999" w:val="left" w:leader="none"/>
                <w:tab w:pos="2000" w:val="left" w:leader="none"/>
              </w:tabs>
              <w:spacing w:line="240" w:lineRule="auto" w:before="0" w:after="0"/>
              <w:ind w:left="1999" w:right="0" w:hanging="720"/>
              <w:jc w:val="left"/>
              <w:rPr>
                <w:sz w:val="22"/>
              </w:rPr>
            </w:pPr>
            <w:r>
              <w:rPr>
                <w:sz w:val="22"/>
              </w:rPr>
              <w:t>Variables que afectan la</w:t>
            </w:r>
            <w:r>
              <w:rPr>
                <w:spacing w:val="-8"/>
                <w:sz w:val="22"/>
              </w:rPr>
              <w:t> </w:t>
            </w:r>
            <w:r>
              <w:rPr>
                <w:sz w:val="22"/>
              </w:rPr>
              <w:t>electrocoagulación</w:t>
            </w:r>
          </w:p>
          <w:p>
            <w:pPr>
              <w:pStyle w:val="TableParagraph"/>
              <w:spacing w:before="9"/>
              <w:rPr>
                <w:b/>
                <w:sz w:val="20"/>
              </w:rPr>
            </w:pPr>
          </w:p>
          <w:p>
            <w:pPr>
              <w:pStyle w:val="TableParagraph"/>
              <w:numPr>
                <w:ilvl w:val="1"/>
                <w:numId w:val="1"/>
              </w:numPr>
              <w:tabs>
                <w:tab w:pos="1280" w:val="left" w:leader="none"/>
              </w:tabs>
              <w:spacing w:line="240" w:lineRule="auto" w:before="0" w:after="0"/>
              <w:ind w:left="1279" w:right="0" w:hanging="359"/>
              <w:jc w:val="left"/>
              <w:rPr>
                <w:sz w:val="22"/>
              </w:rPr>
            </w:pPr>
            <w:r>
              <w:rPr>
                <w:sz w:val="22"/>
              </w:rPr>
              <w:t>Tecnologías de Remediación</w:t>
            </w:r>
            <w:r>
              <w:rPr>
                <w:spacing w:val="-9"/>
                <w:sz w:val="22"/>
              </w:rPr>
              <w:t> </w:t>
            </w:r>
            <w:r>
              <w:rPr>
                <w:sz w:val="22"/>
              </w:rPr>
              <w:t>Ambiental</w:t>
            </w:r>
          </w:p>
          <w:p>
            <w:pPr>
              <w:pStyle w:val="TableParagraph"/>
              <w:spacing w:before="6"/>
              <w:rPr>
                <w:b/>
                <w:sz w:val="20"/>
              </w:rPr>
            </w:pPr>
          </w:p>
          <w:p>
            <w:pPr>
              <w:pStyle w:val="TableParagraph"/>
              <w:numPr>
                <w:ilvl w:val="2"/>
                <w:numId w:val="1"/>
              </w:numPr>
              <w:tabs>
                <w:tab w:pos="1999" w:val="left" w:leader="none"/>
                <w:tab w:pos="2000" w:val="left" w:leader="none"/>
              </w:tabs>
              <w:spacing w:line="240" w:lineRule="auto" w:before="0" w:after="0"/>
              <w:ind w:left="1999" w:right="0" w:hanging="720"/>
              <w:jc w:val="left"/>
              <w:rPr>
                <w:sz w:val="22"/>
              </w:rPr>
            </w:pPr>
            <w:r>
              <w:rPr>
                <w:sz w:val="22"/>
              </w:rPr>
              <w:t>Biorremediación</w:t>
            </w:r>
          </w:p>
          <w:p>
            <w:pPr>
              <w:pStyle w:val="TableParagraph"/>
              <w:spacing w:before="9"/>
              <w:rPr>
                <w:b/>
                <w:sz w:val="20"/>
              </w:rPr>
            </w:pPr>
          </w:p>
          <w:p>
            <w:pPr>
              <w:pStyle w:val="TableParagraph"/>
              <w:numPr>
                <w:ilvl w:val="3"/>
                <w:numId w:val="1"/>
              </w:numPr>
              <w:tabs>
                <w:tab w:pos="2449" w:val="left" w:leader="none"/>
              </w:tabs>
              <w:spacing w:line="240" w:lineRule="auto" w:before="0" w:after="0"/>
              <w:ind w:left="2448" w:right="0" w:hanging="809"/>
              <w:jc w:val="left"/>
              <w:rPr>
                <w:sz w:val="22"/>
              </w:rPr>
            </w:pPr>
            <w:r>
              <w:rPr>
                <w:sz w:val="22"/>
              </w:rPr>
              <w:t>Fitorremediación</w:t>
            </w:r>
          </w:p>
          <w:p>
            <w:pPr>
              <w:pStyle w:val="TableParagraph"/>
              <w:spacing w:before="6"/>
              <w:rPr>
                <w:b/>
                <w:sz w:val="20"/>
              </w:rPr>
            </w:pPr>
          </w:p>
          <w:p>
            <w:pPr>
              <w:pStyle w:val="TableParagraph"/>
              <w:numPr>
                <w:ilvl w:val="3"/>
                <w:numId w:val="1"/>
              </w:numPr>
              <w:tabs>
                <w:tab w:pos="2449" w:val="left" w:leader="none"/>
              </w:tabs>
              <w:spacing w:line="240" w:lineRule="auto" w:before="0" w:after="0"/>
              <w:ind w:left="2448" w:right="0" w:hanging="809"/>
              <w:jc w:val="left"/>
              <w:rPr>
                <w:sz w:val="22"/>
              </w:rPr>
            </w:pPr>
            <w:r>
              <w:rPr>
                <w:sz w:val="22"/>
              </w:rPr>
              <w:t>Fitorremediación</w:t>
            </w:r>
            <w:r>
              <w:rPr>
                <w:spacing w:val="-10"/>
                <w:sz w:val="22"/>
              </w:rPr>
              <w:t> </w:t>
            </w:r>
            <w:r>
              <w:rPr>
                <w:sz w:val="22"/>
              </w:rPr>
              <w:t>acuática</w:t>
            </w:r>
          </w:p>
          <w:p>
            <w:pPr>
              <w:pStyle w:val="TableParagraph"/>
              <w:spacing w:before="9"/>
              <w:rPr>
                <w:b/>
                <w:sz w:val="20"/>
              </w:rPr>
            </w:pPr>
          </w:p>
          <w:p>
            <w:pPr>
              <w:pStyle w:val="TableParagraph"/>
              <w:numPr>
                <w:ilvl w:val="4"/>
                <w:numId w:val="1"/>
              </w:numPr>
              <w:tabs>
                <w:tab w:pos="3033" w:val="left" w:leader="none"/>
              </w:tabs>
              <w:spacing w:line="240" w:lineRule="auto" w:before="0" w:after="0"/>
              <w:ind w:left="3032" w:right="0" w:hanging="1033"/>
              <w:jc w:val="left"/>
              <w:rPr>
                <w:i/>
                <w:sz w:val="22"/>
              </w:rPr>
            </w:pPr>
            <w:r>
              <w:rPr>
                <w:sz w:val="22"/>
              </w:rPr>
              <w:t>Características de </w:t>
            </w:r>
            <w:r>
              <w:rPr>
                <w:i/>
                <w:sz w:val="22"/>
              </w:rPr>
              <w:t>Typha latifolia</w:t>
            </w:r>
            <w:r>
              <w:rPr>
                <w:i/>
                <w:spacing w:val="-6"/>
                <w:sz w:val="22"/>
              </w:rPr>
              <w:t> </w:t>
            </w:r>
            <w:r>
              <w:rPr>
                <w:i/>
                <w:sz w:val="22"/>
              </w:rPr>
              <w:t>L.</w:t>
            </w:r>
          </w:p>
          <w:p>
            <w:pPr>
              <w:pStyle w:val="TableParagraph"/>
              <w:spacing w:before="7"/>
              <w:rPr>
                <w:b/>
                <w:sz w:val="20"/>
              </w:rPr>
            </w:pPr>
          </w:p>
          <w:p>
            <w:pPr>
              <w:pStyle w:val="TableParagraph"/>
              <w:numPr>
                <w:ilvl w:val="4"/>
                <w:numId w:val="1"/>
              </w:numPr>
              <w:tabs>
                <w:tab w:pos="3033" w:val="left" w:leader="none"/>
              </w:tabs>
              <w:spacing w:line="240" w:lineRule="auto" w:before="0" w:after="0"/>
              <w:ind w:left="3032" w:right="0" w:hanging="1033"/>
              <w:jc w:val="left"/>
              <w:rPr>
                <w:i/>
                <w:sz w:val="22"/>
              </w:rPr>
            </w:pPr>
            <w:r>
              <w:rPr>
                <w:sz w:val="22"/>
              </w:rPr>
              <w:t>Capacidad fitorremediadoras de </w:t>
            </w:r>
            <w:r>
              <w:rPr>
                <w:i/>
                <w:sz w:val="22"/>
              </w:rPr>
              <w:t>Typha latifolia</w:t>
            </w:r>
            <w:r>
              <w:rPr>
                <w:i/>
                <w:spacing w:val="-13"/>
                <w:sz w:val="22"/>
              </w:rPr>
              <w:t> </w:t>
            </w:r>
            <w:r>
              <w:rPr>
                <w:i/>
                <w:sz w:val="22"/>
              </w:rPr>
              <w:t>L.</w:t>
            </w:r>
          </w:p>
          <w:p>
            <w:pPr>
              <w:pStyle w:val="TableParagraph"/>
              <w:rPr>
                <w:b/>
                <w:sz w:val="22"/>
              </w:rPr>
            </w:pPr>
          </w:p>
          <w:p>
            <w:pPr>
              <w:pStyle w:val="TableParagraph"/>
              <w:rPr>
                <w:b/>
                <w:sz w:val="22"/>
              </w:rPr>
            </w:pPr>
          </w:p>
          <w:p>
            <w:pPr>
              <w:pStyle w:val="TableParagraph"/>
              <w:spacing w:before="1"/>
              <w:rPr>
                <w:b/>
                <w:sz w:val="19"/>
              </w:rPr>
            </w:pPr>
          </w:p>
          <w:p>
            <w:pPr>
              <w:pStyle w:val="TableParagraph"/>
              <w:numPr>
                <w:ilvl w:val="0"/>
                <w:numId w:val="1"/>
              </w:numPr>
              <w:tabs>
                <w:tab w:pos="908" w:val="left" w:leader="none"/>
              </w:tabs>
              <w:spacing w:line="240" w:lineRule="auto" w:before="0" w:after="0"/>
              <w:ind w:left="908" w:right="0" w:hanging="348"/>
              <w:jc w:val="left"/>
              <w:rPr>
                <w:b/>
                <w:sz w:val="22"/>
              </w:rPr>
            </w:pPr>
            <w:r>
              <w:rPr>
                <w:b/>
                <w:sz w:val="22"/>
              </w:rPr>
              <w:t>JUSTIFICACIÓN</w:t>
            </w:r>
          </w:p>
          <w:p>
            <w:pPr>
              <w:pStyle w:val="TableParagraph"/>
              <w:spacing w:before="9"/>
              <w:rPr>
                <w:b/>
                <w:sz w:val="20"/>
              </w:rPr>
            </w:pPr>
          </w:p>
          <w:p>
            <w:pPr>
              <w:pStyle w:val="TableParagraph"/>
              <w:numPr>
                <w:ilvl w:val="0"/>
                <w:numId w:val="1"/>
              </w:numPr>
              <w:tabs>
                <w:tab w:pos="908" w:val="left" w:leader="none"/>
              </w:tabs>
              <w:spacing w:line="240" w:lineRule="auto" w:before="0" w:after="0"/>
              <w:ind w:left="908" w:right="0" w:hanging="348"/>
              <w:jc w:val="left"/>
              <w:rPr>
                <w:b/>
                <w:sz w:val="22"/>
              </w:rPr>
            </w:pPr>
            <w:r>
              <w:rPr>
                <w:b/>
                <w:sz w:val="22"/>
              </w:rPr>
              <w:t>HIPOTESIS</w:t>
            </w:r>
          </w:p>
          <w:p>
            <w:pPr>
              <w:pStyle w:val="TableParagraph"/>
              <w:spacing w:before="8"/>
              <w:rPr>
                <w:b/>
                <w:sz w:val="20"/>
              </w:rPr>
            </w:pPr>
          </w:p>
          <w:p>
            <w:pPr>
              <w:pStyle w:val="TableParagraph"/>
              <w:numPr>
                <w:ilvl w:val="0"/>
                <w:numId w:val="1"/>
              </w:numPr>
              <w:tabs>
                <w:tab w:pos="908" w:val="left" w:leader="none"/>
              </w:tabs>
              <w:spacing w:line="240" w:lineRule="auto" w:before="1" w:after="0"/>
              <w:ind w:left="908" w:right="0" w:hanging="348"/>
              <w:jc w:val="left"/>
              <w:rPr>
                <w:b/>
                <w:sz w:val="22"/>
              </w:rPr>
            </w:pPr>
            <w:r>
              <w:rPr>
                <w:b/>
                <w:sz w:val="22"/>
              </w:rPr>
              <w:t>OBJETIVOS</w:t>
            </w:r>
          </w:p>
        </w:tc>
        <w:tc>
          <w:tcPr>
            <w:tcW w:w="1380" w:type="dxa"/>
          </w:tcPr>
          <w:p>
            <w:pPr>
              <w:pStyle w:val="TableParagraph"/>
              <w:spacing w:line="226" w:lineRule="exact"/>
              <w:ind w:right="320"/>
              <w:jc w:val="right"/>
              <w:rPr>
                <w:b/>
                <w:sz w:val="22"/>
              </w:rPr>
            </w:pPr>
            <w:r>
              <w:rPr>
                <w:b/>
                <w:w w:val="100"/>
                <w:sz w:val="22"/>
              </w:rPr>
              <w:t>1</w:t>
            </w:r>
          </w:p>
          <w:p>
            <w:pPr>
              <w:pStyle w:val="TableParagraph"/>
              <w:spacing w:before="6"/>
              <w:rPr>
                <w:b/>
                <w:sz w:val="20"/>
              </w:rPr>
            </w:pPr>
          </w:p>
          <w:p>
            <w:pPr>
              <w:pStyle w:val="TableParagraph"/>
              <w:ind w:right="320"/>
              <w:jc w:val="right"/>
              <w:rPr>
                <w:b/>
                <w:sz w:val="22"/>
              </w:rPr>
            </w:pPr>
            <w:r>
              <w:rPr>
                <w:b/>
                <w:w w:val="100"/>
                <w:sz w:val="22"/>
              </w:rPr>
              <w:t>2</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9"/>
              <w:ind w:right="320"/>
              <w:jc w:val="right"/>
              <w:rPr>
                <w:b/>
                <w:sz w:val="22"/>
              </w:rPr>
            </w:pPr>
            <w:r>
              <w:rPr>
                <w:b/>
                <w:w w:val="100"/>
                <w:sz w:val="22"/>
              </w:rPr>
              <w:t>3</w:t>
            </w:r>
          </w:p>
          <w:p>
            <w:pPr>
              <w:pStyle w:val="TableParagraph"/>
              <w:spacing w:before="9"/>
              <w:rPr>
                <w:b/>
                <w:sz w:val="20"/>
              </w:rPr>
            </w:pPr>
          </w:p>
          <w:p>
            <w:pPr>
              <w:pStyle w:val="TableParagraph"/>
              <w:ind w:right="320"/>
              <w:jc w:val="right"/>
              <w:rPr>
                <w:b/>
                <w:sz w:val="22"/>
              </w:rPr>
            </w:pPr>
            <w:r>
              <w:rPr>
                <w:b/>
                <w:w w:val="100"/>
                <w:sz w:val="22"/>
              </w:rPr>
              <w:t>4</w:t>
            </w:r>
          </w:p>
          <w:p>
            <w:pPr>
              <w:pStyle w:val="TableParagraph"/>
              <w:spacing w:before="6"/>
              <w:rPr>
                <w:b/>
                <w:sz w:val="20"/>
              </w:rPr>
            </w:pPr>
          </w:p>
          <w:p>
            <w:pPr>
              <w:pStyle w:val="TableParagraph"/>
              <w:ind w:right="320"/>
              <w:jc w:val="right"/>
              <w:rPr>
                <w:b/>
                <w:sz w:val="22"/>
              </w:rPr>
            </w:pPr>
            <w:r>
              <w:rPr>
                <w:b/>
                <w:w w:val="100"/>
                <w:sz w:val="22"/>
              </w:rPr>
              <w:t>4</w:t>
            </w:r>
          </w:p>
          <w:p>
            <w:pPr>
              <w:pStyle w:val="TableParagraph"/>
              <w:spacing w:before="9"/>
              <w:rPr>
                <w:b/>
                <w:sz w:val="20"/>
              </w:rPr>
            </w:pPr>
          </w:p>
          <w:p>
            <w:pPr>
              <w:pStyle w:val="TableParagraph"/>
              <w:ind w:right="320"/>
              <w:jc w:val="right"/>
              <w:rPr>
                <w:b/>
                <w:sz w:val="22"/>
              </w:rPr>
            </w:pPr>
            <w:r>
              <w:rPr>
                <w:b/>
                <w:w w:val="100"/>
                <w:sz w:val="22"/>
              </w:rPr>
              <w:t>6</w:t>
            </w:r>
          </w:p>
          <w:p>
            <w:pPr>
              <w:pStyle w:val="TableParagraph"/>
              <w:spacing w:before="6"/>
              <w:rPr>
                <w:b/>
                <w:sz w:val="20"/>
              </w:rPr>
            </w:pPr>
          </w:p>
          <w:p>
            <w:pPr>
              <w:pStyle w:val="TableParagraph"/>
              <w:ind w:right="320"/>
              <w:jc w:val="right"/>
              <w:rPr>
                <w:b/>
                <w:sz w:val="22"/>
              </w:rPr>
            </w:pPr>
            <w:r>
              <w:rPr>
                <w:b/>
                <w:w w:val="100"/>
                <w:sz w:val="22"/>
              </w:rPr>
              <w:t>7</w:t>
            </w:r>
          </w:p>
          <w:p>
            <w:pPr>
              <w:pStyle w:val="TableParagraph"/>
              <w:spacing w:before="9"/>
              <w:rPr>
                <w:b/>
                <w:sz w:val="20"/>
              </w:rPr>
            </w:pPr>
          </w:p>
          <w:p>
            <w:pPr>
              <w:pStyle w:val="TableParagraph"/>
              <w:ind w:right="320"/>
              <w:jc w:val="right"/>
              <w:rPr>
                <w:b/>
                <w:sz w:val="22"/>
              </w:rPr>
            </w:pPr>
            <w:r>
              <w:rPr>
                <w:b/>
                <w:w w:val="100"/>
                <w:sz w:val="22"/>
              </w:rPr>
              <w:t>8</w:t>
            </w:r>
          </w:p>
          <w:p>
            <w:pPr>
              <w:pStyle w:val="TableParagraph"/>
              <w:spacing w:before="7"/>
              <w:rPr>
                <w:b/>
                <w:sz w:val="20"/>
              </w:rPr>
            </w:pPr>
          </w:p>
          <w:p>
            <w:pPr>
              <w:pStyle w:val="TableParagraph"/>
              <w:ind w:right="320"/>
              <w:jc w:val="right"/>
              <w:rPr>
                <w:b/>
                <w:sz w:val="22"/>
              </w:rPr>
            </w:pPr>
            <w:r>
              <w:rPr>
                <w:b/>
                <w:w w:val="100"/>
                <w:sz w:val="22"/>
              </w:rPr>
              <w:t>9</w:t>
            </w:r>
          </w:p>
          <w:p>
            <w:pPr>
              <w:pStyle w:val="TableParagraph"/>
              <w:spacing w:before="9"/>
              <w:rPr>
                <w:b/>
                <w:sz w:val="20"/>
              </w:rPr>
            </w:pPr>
          </w:p>
          <w:p>
            <w:pPr>
              <w:pStyle w:val="TableParagraph"/>
              <w:ind w:right="198"/>
              <w:jc w:val="right"/>
              <w:rPr>
                <w:b/>
                <w:sz w:val="22"/>
              </w:rPr>
            </w:pPr>
            <w:r>
              <w:rPr>
                <w:b/>
                <w:sz w:val="22"/>
              </w:rPr>
              <w:t>11</w:t>
            </w:r>
          </w:p>
          <w:p>
            <w:pPr>
              <w:pStyle w:val="TableParagraph"/>
              <w:spacing w:before="9"/>
              <w:rPr>
                <w:b/>
                <w:sz w:val="20"/>
              </w:rPr>
            </w:pPr>
          </w:p>
          <w:p>
            <w:pPr>
              <w:pStyle w:val="TableParagraph"/>
              <w:ind w:right="198"/>
              <w:jc w:val="right"/>
              <w:rPr>
                <w:b/>
                <w:sz w:val="22"/>
              </w:rPr>
            </w:pPr>
            <w:r>
              <w:rPr>
                <w:b/>
                <w:sz w:val="22"/>
              </w:rPr>
              <w:t>14</w:t>
            </w:r>
          </w:p>
          <w:p>
            <w:pPr>
              <w:pStyle w:val="TableParagraph"/>
              <w:spacing w:before="6"/>
              <w:rPr>
                <w:b/>
                <w:sz w:val="20"/>
              </w:rPr>
            </w:pPr>
          </w:p>
          <w:p>
            <w:pPr>
              <w:pStyle w:val="TableParagraph"/>
              <w:ind w:right="198"/>
              <w:jc w:val="right"/>
              <w:rPr>
                <w:b/>
                <w:sz w:val="22"/>
              </w:rPr>
            </w:pPr>
            <w:r>
              <w:rPr>
                <w:b/>
                <w:sz w:val="22"/>
              </w:rPr>
              <w:t>15</w:t>
            </w:r>
          </w:p>
          <w:p>
            <w:pPr>
              <w:pStyle w:val="TableParagraph"/>
              <w:spacing w:before="9"/>
              <w:rPr>
                <w:b/>
                <w:sz w:val="20"/>
              </w:rPr>
            </w:pPr>
          </w:p>
          <w:p>
            <w:pPr>
              <w:pStyle w:val="TableParagraph"/>
              <w:ind w:right="198"/>
              <w:jc w:val="right"/>
              <w:rPr>
                <w:b/>
                <w:sz w:val="22"/>
              </w:rPr>
            </w:pPr>
            <w:r>
              <w:rPr>
                <w:b/>
                <w:sz w:val="22"/>
              </w:rPr>
              <w:t>16</w:t>
            </w:r>
          </w:p>
          <w:p>
            <w:pPr>
              <w:pStyle w:val="TableParagraph"/>
              <w:spacing w:before="6"/>
              <w:rPr>
                <w:b/>
                <w:sz w:val="20"/>
              </w:rPr>
            </w:pPr>
          </w:p>
          <w:p>
            <w:pPr>
              <w:pStyle w:val="TableParagraph"/>
              <w:ind w:right="198"/>
              <w:jc w:val="right"/>
              <w:rPr>
                <w:b/>
                <w:sz w:val="22"/>
              </w:rPr>
            </w:pPr>
            <w:r>
              <w:rPr>
                <w:b/>
                <w:sz w:val="22"/>
              </w:rPr>
              <w:t>19</w:t>
            </w:r>
          </w:p>
          <w:p>
            <w:pPr>
              <w:pStyle w:val="TableParagraph"/>
              <w:spacing w:before="9"/>
              <w:rPr>
                <w:b/>
                <w:sz w:val="20"/>
              </w:rPr>
            </w:pPr>
          </w:p>
          <w:p>
            <w:pPr>
              <w:pStyle w:val="TableParagraph"/>
              <w:ind w:right="198"/>
              <w:jc w:val="right"/>
              <w:rPr>
                <w:b/>
                <w:sz w:val="22"/>
              </w:rPr>
            </w:pPr>
            <w:r>
              <w:rPr>
                <w:b/>
                <w:sz w:val="22"/>
              </w:rPr>
              <w:t>20</w:t>
            </w:r>
          </w:p>
          <w:p>
            <w:pPr>
              <w:pStyle w:val="TableParagraph"/>
              <w:spacing w:before="7"/>
              <w:rPr>
                <w:b/>
                <w:sz w:val="20"/>
              </w:rPr>
            </w:pPr>
          </w:p>
          <w:p>
            <w:pPr>
              <w:pStyle w:val="TableParagraph"/>
              <w:ind w:right="198"/>
              <w:jc w:val="right"/>
              <w:rPr>
                <w:b/>
                <w:sz w:val="22"/>
              </w:rPr>
            </w:pPr>
            <w:r>
              <w:rPr>
                <w:b/>
                <w:sz w:val="22"/>
              </w:rPr>
              <w:t>22</w:t>
            </w:r>
          </w:p>
          <w:p>
            <w:pPr>
              <w:pStyle w:val="TableParagraph"/>
              <w:rPr>
                <w:b/>
                <w:sz w:val="22"/>
              </w:rPr>
            </w:pPr>
          </w:p>
          <w:p>
            <w:pPr>
              <w:pStyle w:val="TableParagraph"/>
              <w:rPr>
                <w:b/>
                <w:sz w:val="22"/>
              </w:rPr>
            </w:pPr>
          </w:p>
          <w:p>
            <w:pPr>
              <w:pStyle w:val="TableParagraph"/>
              <w:spacing w:before="4"/>
              <w:rPr>
                <w:b/>
                <w:sz w:val="19"/>
              </w:rPr>
            </w:pPr>
          </w:p>
          <w:p>
            <w:pPr>
              <w:pStyle w:val="TableParagraph"/>
              <w:ind w:right="198"/>
              <w:jc w:val="right"/>
              <w:rPr>
                <w:b/>
                <w:sz w:val="22"/>
              </w:rPr>
            </w:pPr>
            <w:r>
              <w:rPr>
                <w:b/>
                <w:sz w:val="22"/>
              </w:rPr>
              <w:t>24</w:t>
            </w:r>
          </w:p>
          <w:p>
            <w:pPr>
              <w:pStyle w:val="TableParagraph"/>
              <w:spacing w:before="9"/>
              <w:rPr>
                <w:b/>
                <w:sz w:val="20"/>
              </w:rPr>
            </w:pPr>
          </w:p>
          <w:p>
            <w:pPr>
              <w:pStyle w:val="TableParagraph"/>
              <w:ind w:right="198"/>
              <w:jc w:val="right"/>
              <w:rPr>
                <w:b/>
                <w:sz w:val="22"/>
              </w:rPr>
            </w:pPr>
            <w:r>
              <w:rPr>
                <w:b/>
                <w:sz w:val="22"/>
              </w:rPr>
              <w:t>25</w:t>
            </w:r>
          </w:p>
          <w:p>
            <w:pPr>
              <w:pStyle w:val="TableParagraph"/>
              <w:spacing w:before="8"/>
              <w:rPr>
                <w:b/>
                <w:sz w:val="20"/>
              </w:rPr>
            </w:pPr>
          </w:p>
          <w:p>
            <w:pPr>
              <w:pStyle w:val="TableParagraph"/>
              <w:spacing w:before="1"/>
              <w:ind w:right="198"/>
              <w:jc w:val="right"/>
              <w:rPr>
                <w:b/>
                <w:sz w:val="22"/>
              </w:rPr>
            </w:pPr>
            <w:r>
              <w:rPr>
                <w:b/>
                <w:sz w:val="22"/>
              </w:rPr>
              <w:t>25</w:t>
            </w:r>
          </w:p>
        </w:tc>
      </w:tr>
    </w:tbl>
    <w:p>
      <w:pPr>
        <w:spacing w:after="0"/>
        <w:jc w:val="right"/>
        <w:rPr>
          <w:sz w:val="22"/>
        </w:rPr>
        <w:sectPr>
          <w:pgSz w:w="12240" w:h="15840"/>
          <w:pgMar w:top="1100" w:bottom="280" w:left="880" w:right="1000"/>
        </w:sectPr>
      </w:pPr>
    </w:p>
    <w:p>
      <w:pPr>
        <w:pStyle w:val="BodyText"/>
        <w:spacing w:before="9" w:after="1"/>
        <w:rPr>
          <w:rFonts w:ascii="Times New Roman"/>
          <w:sz w:val="12"/>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86"/>
        <w:gridCol w:w="1297"/>
      </w:tblGrid>
      <w:tr>
        <w:trPr>
          <w:trHeight w:val="11514" w:hRule="exact"/>
        </w:trPr>
        <w:tc>
          <w:tcPr>
            <w:tcW w:w="8486" w:type="dxa"/>
          </w:tcPr>
          <w:p>
            <w:pPr>
              <w:pStyle w:val="TableParagraph"/>
              <w:numPr>
                <w:ilvl w:val="0"/>
                <w:numId w:val="2"/>
              </w:numPr>
              <w:tabs>
                <w:tab w:pos="548" w:val="left" w:leader="none"/>
              </w:tabs>
              <w:spacing w:line="226" w:lineRule="exact" w:before="0" w:after="0"/>
              <w:ind w:left="548" w:right="0" w:hanging="348"/>
              <w:jc w:val="left"/>
              <w:rPr>
                <w:b/>
                <w:sz w:val="22"/>
              </w:rPr>
            </w:pPr>
            <w:r>
              <w:rPr>
                <w:b/>
                <w:sz w:val="22"/>
              </w:rPr>
              <w:t>MÉTODOLOGIA</w:t>
            </w:r>
          </w:p>
          <w:p>
            <w:pPr>
              <w:pStyle w:val="TableParagraph"/>
              <w:spacing w:before="11"/>
              <w:rPr>
                <w:rFonts w:ascii="Times New Roman"/>
                <w:sz w:val="20"/>
              </w:rPr>
            </w:pPr>
          </w:p>
          <w:p>
            <w:pPr>
              <w:pStyle w:val="TableParagraph"/>
              <w:numPr>
                <w:ilvl w:val="1"/>
                <w:numId w:val="2"/>
              </w:numPr>
              <w:tabs>
                <w:tab w:pos="983" w:val="left" w:leader="none"/>
              </w:tabs>
              <w:spacing w:line="240" w:lineRule="auto" w:before="0" w:after="0"/>
              <w:ind w:left="982" w:right="0" w:hanging="422"/>
              <w:jc w:val="left"/>
              <w:rPr>
                <w:sz w:val="22"/>
              </w:rPr>
            </w:pPr>
            <w:r>
              <w:rPr>
                <w:sz w:val="22"/>
              </w:rPr>
              <w:t>Identificación de zona de impacto minero en Estado de</w:t>
            </w:r>
            <w:r>
              <w:rPr>
                <w:spacing w:val="-25"/>
                <w:sz w:val="22"/>
              </w:rPr>
              <w:t> </w:t>
            </w:r>
            <w:r>
              <w:rPr>
                <w:sz w:val="22"/>
              </w:rPr>
              <w:t>México</w:t>
            </w:r>
          </w:p>
          <w:p>
            <w:pPr>
              <w:pStyle w:val="TableParagraph"/>
              <w:spacing w:before="6"/>
              <w:rPr>
                <w:rFonts w:ascii="Times New Roman"/>
                <w:sz w:val="20"/>
              </w:rPr>
            </w:pPr>
          </w:p>
          <w:p>
            <w:pPr>
              <w:pStyle w:val="TableParagraph"/>
              <w:numPr>
                <w:ilvl w:val="1"/>
                <w:numId w:val="2"/>
              </w:numPr>
              <w:tabs>
                <w:tab w:pos="983" w:val="left" w:leader="none"/>
              </w:tabs>
              <w:spacing w:line="240" w:lineRule="auto" w:before="0" w:after="0"/>
              <w:ind w:left="982" w:right="0" w:hanging="422"/>
              <w:jc w:val="left"/>
              <w:rPr>
                <w:sz w:val="22"/>
              </w:rPr>
            </w:pPr>
            <w:r>
              <w:rPr>
                <w:sz w:val="22"/>
              </w:rPr>
              <w:t>Obtención de concentraciones de metales</w:t>
            </w:r>
            <w:r>
              <w:rPr>
                <w:spacing w:val="-13"/>
                <w:sz w:val="22"/>
              </w:rPr>
              <w:t> </w:t>
            </w:r>
            <w:r>
              <w:rPr>
                <w:sz w:val="22"/>
              </w:rPr>
              <w:t>pesados</w:t>
            </w:r>
          </w:p>
          <w:p>
            <w:pPr>
              <w:pStyle w:val="TableParagraph"/>
              <w:spacing w:before="9"/>
              <w:rPr>
                <w:rFonts w:ascii="Times New Roman"/>
                <w:sz w:val="20"/>
              </w:rPr>
            </w:pPr>
          </w:p>
          <w:p>
            <w:pPr>
              <w:pStyle w:val="TableParagraph"/>
              <w:numPr>
                <w:ilvl w:val="1"/>
                <w:numId w:val="2"/>
              </w:numPr>
              <w:tabs>
                <w:tab w:pos="983" w:val="left" w:leader="none"/>
              </w:tabs>
              <w:spacing w:line="240" w:lineRule="auto" w:before="0" w:after="0"/>
              <w:ind w:left="982" w:right="0" w:hanging="422"/>
              <w:jc w:val="left"/>
              <w:rPr>
                <w:sz w:val="22"/>
              </w:rPr>
            </w:pPr>
            <w:r>
              <w:rPr>
                <w:sz w:val="22"/>
              </w:rPr>
              <w:t>Preparación de solución acuosa</w:t>
            </w:r>
            <w:r>
              <w:rPr>
                <w:spacing w:val="-7"/>
                <w:sz w:val="22"/>
              </w:rPr>
              <w:t> </w:t>
            </w:r>
            <w:r>
              <w:rPr>
                <w:sz w:val="22"/>
              </w:rPr>
              <w:t>minera</w:t>
            </w:r>
          </w:p>
          <w:p>
            <w:pPr>
              <w:pStyle w:val="TableParagraph"/>
              <w:spacing w:before="6"/>
              <w:rPr>
                <w:rFonts w:ascii="Times New Roman"/>
                <w:sz w:val="20"/>
              </w:rPr>
            </w:pPr>
          </w:p>
          <w:p>
            <w:pPr>
              <w:pStyle w:val="TableParagraph"/>
              <w:numPr>
                <w:ilvl w:val="1"/>
                <w:numId w:val="2"/>
              </w:numPr>
              <w:tabs>
                <w:tab w:pos="980" w:val="left" w:leader="none"/>
              </w:tabs>
              <w:spacing w:line="240" w:lineRule="auto" w:before="0" w:after="0"/>
              <w:ind w:left="979" w:right="0" w:hanging="419"/>
              <w:jc w:val="left"/>
              <w:rPr>
                <w:sz w:val="22"/>
              </w:rPr>
            </w:pPr>
            <w:r>
              <w:rPr>
                <w:sz w:val="22"/>
              </w:rPr>
              <w:t>Tratamiento de</w:t>
            </w:r>
            <w:r>
              <w:rPr>
                <w:spacing w:val="-7"/>
                <w:sz w:val="22"/>
              </w:rPr>
              <w:t> </w:t>
            </w:r>
            <w:r>
              <w:rPr>
                <w:sz w:val="22"/>
              </w:rPr>
              <w:t>Electrocoagulación</w:t>
            </w:r>
          </w:p>
          <w:p>
            <w:pPr>
              <w:pStyle w:val="TableParagraph"/>
              <w:spacing w:before="9"/>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Reactor</w:t>
            </w:r>
            <w:r>
              <w:rPr>
                <w:spacing w:val="-7"/>
                <w:sz w:val="22"/>
              </w:rPr>
              <w:t> </w:t>
            </w:r>
            <w:r>
              <w:rPr>
                <w:sz w:val="22"/>
              </w:rPr>
              <w:t>electroquímico</w:t>
            </w:r>
          </w:p>
          <w:p>
            <w:pPr>
              <w:pStyle w:val="TableParagraph"/>
              <w:spacing w:before="6"/>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Electrocoagulación de solución acuosa</w:t>
            </w:r>
            <w:r>
              <w:rPr>
                <w:spacing w:val="-10"/>
                <w:sz w:val="22"/>
              </w:rPr>
              <w:t> </w:t>
            </w:r>
            <w:r>
              <w:rPr>
                <w:sz w:val="22"/>
              </w:rPr>
              <w:t>minera</w:t>
            </w:r>
          </w:p>
          <w:p>
            <w:pPr>
              <w:pStyle w:val="TableParagraph"/>
              <w:spacing w:before="9"/>
              <w:rPr>
                <w:rFonts w:ascii="Times New Roman"/>
                <w:sz w:val="20"/>
              </w:rPr>
            </w:pPr>
          </w:p>
          <w:p>
            <w:pPr>
              <w:pStyle w:val="TableParagraph"/>
              <w:numPr>
                <w:ilvl w:val="1"/>
                <w:numId w:val="2"/>
              </w:numPr>
              <w:tabs>
                <w:tab w:pos="980" w:val="left" w:leader="none"/>
              </w:tabs>
              <w:spacing w:line="240" w:lineRule="auto" w:before="0" w:after="0"/>
              <w:ind w:left="979" w:right="0" w:hanging="419"/>
              <w:jc w:val="left"/>
              <w:rPr>
                <w:sz w:val="22"/>
              </w:rPr>
            </w:pPr>
            <w:r>
              <w:rPr>
                <w:sz w:val="22"/>
              </w:rPr>
              <w:t>Tratamiento de</w:t>
            </w:r>
            <w:r>
              <w:rPr>
                <w:spacing w:val="-8"/>
                <w:sz w:val="22"/>
              </w:rPr>
              <w:t> </w:t>
            </w:r>
            <w:r>
              <w:rPr>
                <w:sz w:val="22"/>
              </w:rPr>
              <w:t>Fitorremediación</w:t>
            </w:r>
          </w:p>
          <w:p>
            <w:pPr>
              <w:pStyle w:val="TableParagraph"/>
              <w:spacing w:before="6"/>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i/>
                <w:sz w:val="22"/>
              </w:rPr>
            </w:pPr>
            <w:r>
              <w:rPr>
                <w:sz w:val="22"/>
              </w:rPr>
              <w:t>Colecta, identificación y aclimatación de </w:t>
            </w:r>
            <w:r>
              <w:rPr>
                <w:i/>
                <w:sz w:val="22"/>
              </w:rPr>
              <w:t>Typha latifolia</w:t>
            </w:r>
            <w:r>
              <w:rPr>
                <w:i/>
                <w:spacing w:val="-13"/>
                <w:sz w:val="22"/>
              </w:rPr>
              <w:t> </w:t>
            </w:r>
            <w:r>
              <w:rPr>
                <w:i/>
                <w:sz w:val="22"/>
              </w:rPr>
              <w:t>L.</w:t>
            </w:r>
          </w:p>
          <w:p>
            <w:pPr>
              <w:pStyle w:val="TableParagraph"/>
              <w:spacing w:before="9"/>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Sistemas de</w:t>
            </w:r>
            <w:r>
              <w:rPr>
                <w:spacing w:val="-8"/>
                <w:sz w:val="22"/>
              </w:rPr>
              <w:t> </w:t>
            </w:r>
            <w:r>
              <w:rPr>
                <w:sz w:val="22"/>
              </w:rPr>
              <w:t>fitorremediación</w:t>
            </w:r>
          </w:p>
          <w:p>
            <w:pPr>
              <w:pStyle w:val="TableParagraph"/>
              <w:spacing w:before="9"/>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Determinación de</w:t>
            </w:r>
            <w:r>
              <w:rPr>
                <w:spacing w:val="-10"/>
                <w:sz w:val="22"/>
              </w:rPr>
              <w:t> </w:t>
            </w:r>
            <w:r>
              <w:rPr>
                <w:sz w:val="22"/>
              </w:rPr>
              <w:t>tolerancia</w:t>
            </w:r>
          </w:p>
          <w:p>
            <w:pPr>
              <w:pStyle w:val="TableParagraph"/>
              <w:spacing w:before="6"/>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Cinéticas de</w:t>
            </w:r>
            <w:r>
              <w:rPr>
                <w:spacing w:val="-3"/>
                <w:sz w:val="22"/>
              </w:rPr>
              <w:t> </w:t>
            </w:r>
            <w:r>
              <w:rPr>
                <w:sz w:val="22"/>
              </w:rPr>
              <w:t>remoción</w:t>
            </w:r>
          </w:p>
          <w:p>
            <w:pPr>
              <w:pStyle w:val="TableParagraph"/>
              <w:spacing w:before="9"/>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Concentración de metales en agua y</w:t>
            </w:r>
            <w:r>
              <w:rPr>
                <w:spacing w:val="-8"/>
                <w:sz w:val="22"/>
              </w:rPr>
              <w:t> </w:t>
            </w:r>
            <w:r>
              <w:rPr>
                <w:sz w:val="22"/>
              </w:rPr>
              <w:t>biomasa</w:t>
            </w:r>
          </w:p>
          <w:p>
            <w:pPr>
              <w:pStyle w:val="TableParagraph"/>
              <w:spacing w:before="6"/>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Determinación del Factor de Traslocación y</w:t>
            </w:r>
            <w:r>
              <w:rPr>
                <w:spacing w:val="-16"/>
                <w:sz w:val="22"/>
              </w:rPr>
              <w:t> </w:t>
            </w:r>
            <w:r>
              <w:rPr>
                <w:sz w:val="22"/>
              </w:rPr>
              <w:t>Bioconcentración</w:t>
            </w:r>
          </w:p>
          <w:p>
            <w:pPr>
              <w:pStyle w:val="TableParagraph"/>
              <w:spacing w:before="9"/>
              <w:rPr>
                <w:rFonts w:ascii="Times New Roman"/>
                <w:sz w:val="20"/>
              </w:rPr>
            </w:pPr>
          </w:p>
          <w:p>
            <w:pPr>
              <w:pStyle w:val="TableParagraph"/>
              <w:numPr>
                <w:ilvl w:val="1"/>
                <w:numId w:val="2"/>
              </w:numPr>
              <w:tabs>
                <w:tab w:pos="983" w:val="left" w:leader="none"/>
              </w:tabs>
              <w:spacing w:line="240" w:lineRule="auto" w:before="0" w:after="0"/>
              <w:ind w:left="982" w:right="0" w:hanging="422"/>
              <w:jc w:val="left"/>
              <w:rPr>
                <w:sz w:val="22"/>
              </w:rPr>
            </w:pPr>
            <w:r>
              <w:rPr>
                <w:sz w:val="22"/>
              </w:rPr>
              <w:t>Sistema Acoplado</w:t>
            </w:r>
            <w:r>
              <w:rPr>
                <w:spacing w:val="-13"/>
                <w:sz w:val="22"/>
              </w:rPr>
              <w:t> </w:t>
            </w:r>
            <w:r>
              <w:rPr>
                <w:sz w:val="22"/>
              </w:rPr>
              <w:t>Electrocoagulación-Fitorremediación</w:t>
            </w:r>
          </w:p>
          <w:p>
            <w:pPr>
              <w:pStyle w:val="TableParagraph"/>
              <w:spacing w:before="6"/>
              <w:rPr>
                <w:rFonts w:ascii="Times New Roman"/>
                <w:sz w:val="20"/>
              </w:rPr>
            </w:pPr>
          </w:p>
          <w:p>
            <w:pPr>
              <w:pStyle w:val="TableParagraph"/>
              <w:numPr>
                <w:ilvl w:val="1"/>
                <w:numId w:val="2"/>
              </w:numPr>
              <w:tabs>
                <w:tab w:pos="983" w:val="left" w:leader="none"/>
              </w:tabs>
              <w:spacing w:line="240" w:lineRule="auto" w:before="0" w:after="0"/>
              <w:ind w:left="982" w:right="0" w:hanging="422"/>
              <w:jc w:val="left"/>
              <w:rPr>
                <w:sz w:val="22"/>
              </w:rPr>
            </w:pPr>
            <w:r>
              <w:rPr>
                <w:sz w:val="22"/>
              </w:rPr>
              <w:t>Análisis</w:t>
            </w:r>
            <w:r>
              <w:rPr>
                <w:spacing w:val="-7"/>
                <w:sz w:val="22"/>
              </w:rPr>
              <w:t> </w:t>
            </w:r>
            <w:r>
              <w:rPr>
                <w:sz w:val="22"/>
              </w:rPr>
              <w:t>estadístico</w:t>
            </w: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9"/>
              </w:rPr>
            </w:pPr>
          </w:p>
          <w:p>
            <w:pPr>
              <w:pStyle w:val="TableParagraph"/>
              <w:numPr>
                <w:ilvl w:val="0"/>
                <w:numId w:val="2"/>
              </w:numPr>
              <w:tabs>
                <w:tab w:pos="548" w:val="left" w:leader="none"/>
              </w:tabs>
              <w:spacing w:line="240" w:lineRule="auto" w:before="0" w:after="0"/>
              <w:ind w:left="548" w:right="0" w:hanging="348"/>
              <w:jc w:val="left"/>
              <w:rPr>
                <w:b/>
                <w:sz w:val="22"/>
              </w:rPr>
            </w:pPr>
            <w:r>
              <w:rPr>
                <w:b/>
                <w:sz w:val="22"/>
              </w:rPr>
              <w:t>RESULTADOS</w:t>
            </w:r>
          </w:p>
          <w:p>
            <w:pPr>
              <w:pStyle w:val="TableParagraph"/>
              <w:spacing w:before="11"/>
              <w:rPr>
                <w:rFonts w:ascii="Times New Roman"/>
                <w:sz w:val="20"/>
              </w:rPr>
            </w:pPr>
          </w:p>
          <w:p>
            <w:pPr>
              <w:pStyle w:val="TableParagraph"/>
              <w:numPr>
                <w:ilvl w:val="1"/>
                <w:numId w:val="2"/>
              </w:numPr>
              <w:tabs>
                <w:tab w:pos="920" w:val="left" w:leader="none"/>
              </w:tabs>
              <w:spacing w:line="240" w:lineRule="auto" w:before="0" w:after="0"/>
              <w:ind w:left="919" w:right="0" w:hanging="359"/>
              <w:jc w:val="left"/>
              <w:rPr>
                <w:sz w:val="22"/>
              </w:rPr>
            </w:pPr>
            <w:r>
              <w:rPr>
                <w:sz w:val="22"/>
              </w:rPr>
              <w:t>Articulo en</w:t>
            </w:r>
            <w:r>
              <w:rPr>
                <w:spacing w:val="-8"/>
                <w:sz w:val="22"/>
              </w:rPr>
              <w:t> </w:t>
            </w:r>
            <w:r>
              <w:rPr>
                <w:sz w:val="22"/>
              </w:rPr>
              <w:t>revisión</w:t>
            </w:r>
          </w:p>
          <w:p>
            <w:pPr>
              <w:pStyle w:val="TableParagraph"/>
              <w:spacing w:before="9"/>
              <w:rPr>
                <w:rFonts w:ascii="Times New Roman"/>
                <w:sz w:val="20"/>
              </w:rPr>
            </w:pPr>
          </w:p>
          <w:p>
            <w:pPr>
              <w:pStyle w:val="TableParagraph"/>
              <w:numPr>
                <w:ilvl w:val="1"/>
                <w:numId w:val="2"/>
              </w:numPr>
              <w:tabs>
                <w:tab w:pos="920" w:val="left" w:leader="none"/>
              </w:tabs>
              <w:spacing w:line="240" w:lineRule="auto" w:before="0" w:after="0"/>
              <w:ind w:left="919" w:right="0" w:hanging="359"/>
              <w:jc w:val="left"/>
              <w:rPr>
                <w:sz w:val="22"/>
              </w:rPr>
            </w:pPr>
            <w:r>
              <w:rPr>
                <w:sz w:val="22"/>
              </w:rPr>
              <w:t>Resultados no</w:t>
            </w:r>
            <w:r>
              <w:rPr>
                <w:spacing w:val="-7"/>
                <w:sz w:val="22"/>
              </w:rPr>
              <w:t> </w:t>
            </w:r>
            <w:r>
              <w:rPr>
                <w:sz w:val="22"/>
              </w:rPr>
              <w:t>publicados</w:t>
            </w:r>
          </w:p>
          <w:p>
            <w:pPr>
              <w:pStyle w:val="TableParagraph"/>
              <w:spacing w:before="6"/>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Tasa de Crecimiento</w:t>
            </w:r>
            <w:r>
              <w:rPr>
                <w:spacing w:val="-10"/>
                <w:sz w:val="22"/>
              </w:rPr>
              <w:t> </w:t>
            </w:r>
            <w:r>
              <w:rPr>
                <w:sz w:val="22"/>
              </w:rPr>
              <w:t>Relativo</w:t>
            </w:r>
          </w:p>
          <w:p>
            <w:pPr>
              <w:pStyle w:val="TableParagraph"/>
              <w:spacing w:before="9"/>
              <w:rPr>
                <w:rFonts w:ascii="Times New Roman"/>
                <w:sz w:val="20"/>
              </w:rPr>
            </w:pPr>
          </w:p>
          <w:p>
            <w:pPr>
              <w:pStyle w:val="TableParagraph"/>
              <w:numPr>
                <w:ilvl w:val="2"/>
                <w:numId w:val="2"/>
              </w:numPr>
              <w:tabs>
                <w:tab w:pos="1639" w:val="left" w:leader="none"/>
                <w:tab w:pos="1640" w:val="left" w:leader="none"/>
              </w:tabs>
              <w:spacing w:line="240" w:lineRule="auto" w:before="0" w:after="0"/>
              <w:ind w:left="1639" w:right="0" w:hanging="720"/>
              <w:jc w:val="left"/>
              <w:rPr>
                <w:sz w:val="22"/>
              </w:rPr>
            </w:pPr>
            <w:r>
              <w:rPr>
                <w:sz w:val="22"/>
              </w:rPr>
              <w:t>Contenido de</w:t>
            </w:r>
            <w:r>
              <w:rPr>
                <w:spacing w:val="-3"/>
                <w:sz w:val="22"/>
              </w:rPr>
              <w:t> </w:t>
            </w:r>
            <w:r>
              <w:rPr>
                <w:sz w:val="22"/>
              </w:rPr>
              <w:t>Agua</w:t>
            </w:r>
          </w:p>
          <w:p>
            <w:pPr>
              <w:pStyle w:val="TableParagraph"/>
              <w:spacing w:before="4"/>
              <w:rPr>
                <w:rFonts w:ascii="Times New Roman"/>
                <w:sz w:val="20"/>
              </w:rPr>
            </w:pPr>
          </w:p>
          <w:p>
            <w:pPr>
              <w:pStyle w:val="TableParagraph"/>
              <w:numPr>
                <w:ilvl w:val="0"/>
                <w:numId w:val="2"/>
              </w:numPr>
              <w:tabs>
                <w:tab w:pos="548" w:val="left" w:leader="none"/>
              </w:tabs>
              <w:spacing w:line="240" w:lineRule="auto" w:before="0" w:after="0"/>
              <w:ind w:left="548" w:right="0" w:hanging="348"/>
              <w:jc w:val="left"/>
              <w:rPr>
                <w:b/>
                <w:sz w:val="22"/>
              </w:rPr>
            </w:pPr>
            <w:r>
              <w:rPr>
                <w:b/>
                <w:sz w:val="22"/>
              </w:rPr>
              <w:t>CONCLUSIONES</w:t>
            </w:r>
          </w:p>
          <w:p>
            <w:pPr>
              <w:pStyle w:val="TableParagraph"/>
              <w:spacing w:before="9"/>
              <w:rPr>
                <w:rFonts w:ascii="Times New Roman"/>
                <w:sz w:val="20"/>
              </w:rPr>
            </w:pPr>
          </w:p>
          <w:p>
            <w:pPr>
              <w:pStyle w:val="TableParagraph"/>
              <w:numPr>
                <w:ilvl w:val="0"/>
                <w:numId w:val="2"/>
              </w:numPr>
              <w:tabs>
                <w:tab w:pos="548" w:val="left" w:leader="none"/>
              </w:tabs>
              <w:spacing w:line="240" w:lineRule="auto" w:before="0" w:after="0"/>
              <w:ind w:left="548" w:right="0" w:hanging="348"/>
              <w:jc w:val="left"/>
              <w:rPr>
                <w:b/>
                <w:sz w:val="22"/>
              </w:rPr>
            </w:pPr>
            <w:r>
              <w:rPr>
                <w:b/>
                <w:sz w:val="22"/>
              </w:rPr>
              <w:t>BIBLIOGRAFÍA</w:t>
            </w:r>
          </w:p>
        </w:tc>
        <w:tc>
          <w:tcPr>
            <w:tcW w:w="1297" w:type="dxa"/>
          </w:tcPr>
          <w:p>
            <w:pPr>
              <w:pStyle w:val="TableParagraph"/>
              <w:spacing w:line="226" w:lineRule="exact"/>
              <w:ind w:left="852"/>
              <w:rPr>
                <w:b/>
                <w:sz w:val="22"/>
              </w:rPr>
            </w:pPr>
            <w:r>
              <w:rPr>
                <w:b/>
                <w:sz w:val="22"/>
              </w:rPr>
              <w:t>26</w:t>
            </w:r>
          </w:p>
          <w:p>
            <w:pPr>
              <w:pStyle w:val="TableParagraph"/>
              <w:spacing w:before="9"/>
              <w:rPr>
                <w:rFonts w:ascii="Times New Roman"/>
                <w:sz w:val="20"/>
              </w:rPr>
            </w:pPr>
          </w:p>
          <w:p>
            <w:pPr>
              <w:pStyle w:val="TableParagraph"/>
              <w:ind w:left="852"/>
              <w:rPr>
                <w:b/>
                <w:sz w:val="22"/>
              </w:rPr>
            </w:pPr>
            <w:r>
              <w:rPr>
                <w:b/>
                <w:sz w:val="22"/>
              </w:rPr>
              <w:t>27</w:t>
            </w:r>
          </w:p>
          <w:p>
            <w:pPr>
              <w:pStyle w:val="TableParagraph"/>
              <w:spacing w:before="6"/>
              <w:rPr>
                <w:rFonts w:ascii="Times New Roman"/>
                <w:sz w:val="20"/>
              </w:rPr>
            </w:pPr>
          </w:p>
          <w:p>
            <w:pPr>
              <w:pStyle w:val="TableParagraph"/>
              <w:ind w:left="852"/>
              <w:rPr>
                <w:b/>
                <w:sz w:val="22"/>
              </w:rPr>
            </w:pPr>
            <w:r>
              <w:rPr>
                <w:b/>
                <w:sz w:val="22"/>
              </w:rPr>
              <w:t>28</w:t>
            </w:r>
          </w:p>
          <w:p>
            <w:pPr>
              <w:pStyle w:val="TableParagraph"/>
              <w:spacing w:before="9"/>
              <w:rPr>
                <w:rFonts w:ascii="Times New Roman"/>
                <w:sz w:val="20"/>
              </w:rPr>
            </w:pPr>
          </w:p>
          <w:p>
            <w:pPr>
              <w:pStyle w:val="TableParagraph"/>
              <w:ind w:left="852"/>
              <w:rPr>
                <w:b/>
                <w:sz w:val="22"/>
              </w:rPr>
            </w:pPr>
            <w:r>
              <w:rPr>
                <w:b/>
                <w:sz w:val="22"/>
              </w:rPr>
              <w:t>28</w:t>
            </w:r>
          </w:p>
          <w:p>
            <w:pPr>
              <w:pStyle w:val="TableParagraph"/>
              <w:spacing w:before="6"/>
              <w:rPr>
                <w:rFonts w:ascii="Times New Roman"/>
                <w:sz w:val="20"/>
              </w:rPr>
            </w:pPr>
          </w:p>
          <w:p>
            <w:pPr>
              <w:pStyle w:val="TableParagraph"/>
              <w:ind w:left="852"/>
              <w:rPr>
                <w:b/>
                <w:sz w:val="22"/>
              </w:rPr>
            </w:pPr>
            <w:r>
              <w:rPr>
                <w:b/>
                <w:sz w:val="22"/>
              </w:rPr>
              <w:t>28</w:t>
            </w:r>
          </w:p>
          <w:p>
            <w:pPr>
              <w:pStyle w:val="TableParagraph"/>
              <w:spacing w:before="9"/>
              <w:rPr>
                <w:rFonts w:ascii="Times New Roman"/>
                <w:sz w:val="20"/>
              </w:rPr>
            </w:pPr>
          </w:p>
          <w:p>
            <w:pPr>
              <w:pStyle w:val="TableParagraph"/>
              <w:ind w:left="852"/>
              <w:rPr>
                <w:b/>
                <w:sz w:val="22"/>
              </w:rPr>
            </w:pPr>
            <w:r>
              <w:rPr>
                <w:b/>
                <w:sz w:val="22"/>
              </w:rPr>
              <w:t>28</w:t>
            </w:r>
          </w:p>
          <w:p>
            <w:pPr>
              <w:pStyle w:val="TableParagraph"/>
              <w:spacing w:before="6"/>
              <w:rPr>
                <w:rFonts w:ascii="Times New Roman"/>
                <w:sz w:val="20"/>
              </w:rPr>
            </w:pPr>
          </w:p>
          <w:p>
            <w:pPr>
              <w:pStyle w:val="TableParagraph"/>
              <w:ind w:left="852"/>
              <w:rPr>
                <w:b/>
                <w:sz w:val="22"/>
              </w:rPr>
            </w:pPr>
            <w:r>
              <w:rPr>
                <w:b/>
                <w:sz w:val="22"/>
              </w:rPr>
              <w:t>29</w:t>
            </w:r>
          </w:p>
          <w:p>
            <w:pPr>
              <w:pStyle w:val="TableParagraph"/>
              <w:spacing w:before="9"/>
              <w:rPr>
                <w:rFonts w:ascii="Times New Roman"/>
                <w:sz w:val="20"/>
              </w:rPr>
            </w:pPr>
          </w:p>
          <w:p>
            <w:pPr>
              <w:pStyle w:val="TableParagraph"/>
              <w:ind w:left="852"/>
              <w:rPr>
                <w:b/>
                <w:sz w:val="22"/>
              </w:rPr>
            </w:pPr>
            <w:r>
              <w:rPr>
                <w:b/>
                <w:sz w:val="22"/>
              </w:rPr>
              <w:t>30</w:t>
            </w:r>
          </w:p>
          <w:p>
            <w:pPr>
              <w:pStyle w:val="TableParagraph"/>
              <w:spacing w:before="6"/>
              <w:rPr>
                <w:rFonts w:ascii="Times New Roman"/>
                <w:sz w:val="20"/>
              </w:rPr>
            </w:pPr>
          </w:p>
          <w:p>
            <w:pPr>
              <w:pStyle w:val="TableParagraph"/>
              <w:ind w:left="852"/>
              <w:rPr>
                <w:b/>
                <w:sz w:val="22"/>
              </w:rPr>
            </w:pPr>
            <w:r>
              <w:rPr>
                <w:b/>
                <w:sz w:val="22"/>
              </w:rPr>
              <w:t>30</w:t>
            </w:r>
          </w:p>
          <w:p>
            <w:pPr>
              <w:pStyle w:val="TableParagraph"/>
              <w:spacing w:before="9"/>
              <w:rPr>
                <w:rFonts w:ascii="Times New Roman"/>
                <w:sz w:val="20"/>
              </w:rPr>
            </w:pPr>
          </w:p>
          <w:p>
            <w:pPr>
              <w:pStyle w:val="TableParagraph"/>
              <w:ind w:left="852"/>
              <w:rPr>
                <w:b/>
                <w:sz w:val="22"/>
              </w:rPr>
            </w:pPr>
            <w:r>
              <w:rPr>
                <w:b/>
                <w:sz w:val="22"/>
              </w:rPr>
              <w:t>30</w:t>
            </w:r>
          </w:p>
          <w:p>
            <w:pPr>
              <w:pStyle w:val="TableParagraph"/>
              <w:spacing w:before="9"/>
              <w:rPr>
                <w:rFonts w:ascii="Times New Roman"/>
                <w:sz w:val="20"/>
              </w:rPr>
            </w:pPr>
          </w:p>
          <w:p>
            <w:pPr>
              <w:pStyle w:val="TableParagraph"/>
              <w:ind w:left="852"/>
              <w:rPr>
                <w:b/>
                <w:sz w:val="22"/>
              </w:rPr>
            </w:pPr>
            <w:r>
              <w:rPr>
                <w:b/>
                <w:sz w:val="22"/>
              </w:rPr>
              <w:t>31</w:t>
            </w:r>
          </w:p>
          <w:p>
            <w:pPr>
              <w:pStyle w:val="TableParagraph"/>
              <w:spacing w:before="6"/>
              <w:rPr>
                <w:rFonts w:ascii="Times New Roman"/>
                <w:sz w:val="20"/>
              </w:rPr>
            </w:pPr>
          </w:p>
          <w:p>
            <w:pPr>
              <w:pStyle w:val="TableParagraph"/>
              <w:ind w:left="852"/>
              <w:rPr>
                <w:b/>
                <w:sz w:val="22"/>
              </w:rPr>
            </w:pPr>
            <w:r>
              <w:rPr>
                <w:b/>
                <w:sz w:val="22"/>
              </w:rPr>
              <w:t>32</w:t>
            </w:r>
          </w:p>
          <w:p>
            <w:pPr>
              <w:pStyle w:val="TableParagraph"/>
              <w:spacing w:before="9"/>
              <w:rPr>
                <w:rFonts w:ascii="Times New Roman"/>
                <w:sz w:val="20"/>
              </w:rPr>
            </w:pPr>
          </w:p>
          <w:p>
            <w:pPr>
              <w:pStyle w:val="TableParagraph"/>
              <w:ind w:left="852"/>
              <w:rPr>
                <w:b/>
                <w:sz w:val="22"/>
              </w:rPr>
            </w:pPr>
            <w:r>
              <w:rPr>
                <w:b/>
                <w:sz w:val="22"/>
              </w:rPr>
              <w:t>32</w:t>
            </w:r>
          </w:p>
          <w:p>
            <w:pPr>
              <w:pStyle w:val="TableParagraph"/>
              <w:spacing w:before="6"/>
              <w:rPr>
                <w:rFonts w:ascii="Times New Roman"/>
                <w:sz w:val="20"/>
              </w:rPr>
            </w:pPr>
          </w:p>
          <w:p>
            <w:pPr>
              <w:pStyle w:val="TableParagraph"/>
              <w:ind w:left="852"/>
              <w:rPr>
                <w:b/>
                <w:sz w:val="22"/>
              </w:rPr>
            </w:pPr>
            <w:r>
              <w:rPr>
                <w:b/>
                <w:sz w:val="22"/>
              </w:rPr>
              <w:t>32</w:t>
            </w:r>
          </w:p>
          <w:p>
            <w:pPr>
              <w:pStyle w:val="TableParagraph"/>
              <w:spacing w:before="9"/>
              <w:rPr>
                <w:rFonts w:ascii="Times New Roman"/>
                <w:sz w:val="20"/>
              </w:rPr>
            </w:pPr>
          </w:p>
          <w:p>
            <w:pPr>
              <w:pStyle w:val="TableParagraph"/>
              <w:ind w:left="852"/>
              <w:rPr>
                <w:b/>
                <w:sz w:val="22"/>
              </w:rPr>
            </w:pPr>
            <w:r>
              <w:rPr>
                <w:b/>
                <w:sz w:val="22"/>
              </w:rPr>
              <w:t>33</w:t>
            </w:r>
          </w:p>
          <w:p>
            <w:pPr>
              <w:pStyle w:val="TableParagraph"/>
              <w:spacing w:before="6"/>
              <w:rPr>
                <w:rFonts w:ascii="Times New Roman"/>
                <w:sz w:val="20"/>
              </w:rPr>
            </w:pPr>
          </w:p>
          <w:p>
            <w:pPr>
              <w:pStyle w:val="TableParagraph"/>
              <w:ind w:left="852"/>
              <w:rPr>
                <w:b/>
                <w:sz w:val="22"/>
              </w:rPr>
            </w:pPr>
            <w:r>
              <w:rPr>
                <w:b/>
                <w:sz w:val="22"/>
              </w:rPr>
              <w:t>33</w:t>
            </w: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9"/>
              </w:rPr>
            </w:pPr>
          </w:p>
          <w:p>
            <w:pPr>
              <w:pStyle w:val="TableParagraph"/>
              <w:ind w:left="852"/>
              <w:rPr>
                <w:b/>
                <w:sz w:val="22"/>
              </w:rPr>
            </w:pPr>
            <w:r>
              <w:rPr>
                <w:b/>
                <w:sz w:val="22"/>
              </w:rPr>
              <w:t>34</w:t>
            </w:r>
          </w:p>
          <w:p>
            <w:pPr>
              <w:pStyle w:val="TableParagraph"/>
              <w:spacing w:before="9"/>
              <w:rPr>
                <w:rFonts w:ascii="Times New Roman"/>
                <w:sz w:val="20"/>
              </w:rPr>
            </w:pPr>
          </w:p>
          <w:p>
            <w:pPr>
              <w:pStyle w:val="TableParagraph"/>
              <w:ind w:left="852"/>
              <w:rPr>
                <w:b/>
                <w:sz w:val="22"/>
              </w:rPr>
            </w:pPr>
            <w:r>
              <w:rPr>
                <w:b/>
                <w:sz w:val="22"/>
              </w:rPr>
              <w:t>34</w:t>
            </w:r>
          </w:p>
          <w:p>
            <w:pPr>
              <w:pStyle w:val="TableParagraph"/>
              <w:spacing w:before="9"/>
              <w:rPr>
                <w:rFonts w:ascii="Times New Roman"/>
                <w:sz w:val="20"/>
              </w:rPr>
            </w:pPr>
          </w:p>
          <w:p>
            <w:pPr>
              <w:pStyle w:val="TableParagraph"/>
              <w:ind w:left="852"/>
              <w:rPr>
                <w:b/>
                <w:sz w:val="22"/>
              </w:rPr>
            </w:pPr>
            <w:r>
              <w:rPr>
                <w:b/>
                <w:sz w:val="22"/>
              </w:rPr>
              <w:t>51</w:t>
            </w:r>
          </w:p>
          <w:p>
            <w:pPr>
              <w:pStyle w:val="TableParagraph"/>
              <w:spacing w:before="6"/>
              <w:rPr>
                <w:rFonts w:ascii="Times New Roman"/>
                <w:sz w:val="20"/>
              </w:rPr>
            </w:pPr>
          </w:p>
          <w:p>
            <w:pPr>
              <w:pStyle w:val="TableParagraph"/>
              <w:ind w:left="852"/>
              <w:rPr>
                <w:b/>
                <w:sz w:val="22"/>
              </w:rPr>
            </w:pPr>
            <w:r>
              <w:rPr>
                <w:b/>
                <w:sz w:val="22"/>
              </w:rPr>
              <w:t>51</w:t>
            </w:r>
          </w:p>
          <w:p>
            <w:pPr>
              <w:pStyle w:val="TableParagraph"/>
              <w:spacing w:before="9"/>
              <w:rPr>
                <w:rFonts w:ascii="Times New Roman"/>
                <w:sz w:val="20"/>
              </w:rPr>
            </w:pPr>
          </w:p>
          <w:p>
            <w:pPr>
              <w:pStyle w:val="TableParagraph"/>
              <w:ind w:left="852"/>
              <w:rPr>
                <w:b/>
                <w:sz w:val="22"/>
              </w:rPr>
            </w:pPr>
            <w:r>
              <w:rPr>
                <w:b/>
                <w:sz w:val="22"/>
              </w:rPr>
              <w:t>51</w:t>
            </w:r>
          </w:p>
          <w:p>
            <w:pPr>
              <w:pStyle w:val="TableParagraph"/>
              <w:spacing w:before="6"/>
              <w:rPr>
                <w:rFonts w:ascii="Times New Roman"/>
                <w:sz w:val="20"/>
              </w:rPr>
            </w:pPr>
          </w:p>
          <w:p>
            <w:pPr>
              <w:pStyle w:val="TableParagraph"/>
              <w:ind w:left="852"/>
              <w:rPr>
                <w:b/>
                <w:sz w:val="22"/>
              </w:rPr>
            </w:pPr>
            <w:r>
              <w:rPr>
                <w:b/>
                <w:sz w:val="22"/>
              </w:rPr>
              <w:t>53</w:t>
            </w:r>
          </w:p>
          <w:p>
            <w:pPr>
              <w:pStyle w:val="TableParagraph"/>
              <w:spacing w:before="9"/>
              <w:rPr>
                <w:rFonts w:ascii="Times New Roman"/>
                <w:sz w:val="20"/>
              </w:rPr>
            </w:pPr>
          </w:p>
          <w:p>
            <w:pPr>
              <w:pStyle w:val="TableParagraph"/>
              <w:ind w:left="852"/>
              <w:rPr>
                <w:b/>
                <w:sz w:val="22"/>
              </w:rPr>
            </w:pPr>
            <w:r>
              <w:rPr>
                <w:b/>
                <w:sz w:val="22"/>
              </w:rPr>
              <w:t>58</w:t>
            </w:r>
          </w:p>
        </w:tc>
      </w:tr>
    </w:tbl>
    <w:p>
      <w:pPr>
        <w:spacing w:after="0"/>
        <w:rPr>
          <w:sz w:val="22"/>
        </w:rPr>
        <w:sectPr>
          <w:pgSz w:w="12240" w:h="15840"/>
          <w:pgMar w:top="1500" w:bottom="280" w:left="1240" w:right="1000"/>
        </w:sectPr>
      </w:pPr>
    </w:p>
    <w:p>
      <w:pPr>
        <w:spacing w:before="30"/>
        <w:ind w:left="5755" w:right="0" w:firstLine="0"/>
        <w:jc w:val="left"/>
        <w:rPr>
          <w:b/>
          <w:sz w:val="44"/>
        </w:rPr>
      </w:pPr>
      <w:r>
        <w:rPr>
          <w:b/>
          <w:sz w:val="40"/>
        </w:rPr>
        <w:t>ÍNDICE DE </w:t>
      </w:r>
      <w:r>
        <w:rPr>
          <w:b/>
          <w:sz w:val="44"/>
        </w:rPr>
        <w:t>FIGURAS</w:t>
      </w:r>
    </w:p>
    <w:p>
      <w:pPr>
        <w:pStyle w:val="BodyText"/>
        <w:rPr>
          <w:b/>
          <w:sz w:val="20"/>
        </w:rPr>
      </w:pPr>
    </w:p>
    <w:p>
      <w:pPr>
        <w:pStyle w:val="BodyText"/>
        <w:rPr>
          <w:b/>
          <w:sz w:val="20"/>
        </w:rPr>
      </w:pPr>
    </w:p>
    <w:p>
      <w:pPr>
        <w:pStyle w:val="BodyText"/>
        <w:rPr>
          <w:b/>
          <w:sz w:val="29"/>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65"/>
        <w:gridCol w:w="971"/>
      </w:tblGrid>
      <w:tr>
        <w:trPr>
          <w:trHeight w:val="5132" w:hRule="exact"/>
        </w:trPr>
        <w:tc>
          <w:tcPr>
            <w:tcW w:w="8865" w:type="dxa"/>
          </w:tcPr>
          <w:p>
            <w:pPr>
              <w:pStyle w:val="TableParagraph"/>
              <w:numPr>
                <w:ilvl w:val="0"/>
                <w:numId w:val="3"/>
              </w:numPr>
              <w:tabs>
                <w:tab w:pos="548" w:val="left" w:leader="none"/>
              </w:tabs>
              <w:spacing w:line="228" w:lineRule="exact" w:before="0" w:after="0"/>
              <w:ind w:left="548" w:right="0" w:hanging="348"/>
              <w:jc w:val="left"/>
              <w:rPr>
                <w:sz w:val="22"/>
              </w:rPr>
            </w:pPr>
            <w:r>
              <w:rPr>
                <w:sz w:val="22"/>
              </w:rPr>
              <w:t>Participación por estado en la industria</w:t>
            </w:r>
            <w:r>
              <w:rPr>
                <w:spacing w:val="-12"/>
                <w:sz w:val="22"/>
              </w:rPr>
              <w:t> </w:t>
            </w:r>
            <w:r>
              <w:rPr>
                <w:sz w:val="22"/>
              </w:rPr>
              <w:t>minera</w:t>
            </w:r>
          </w:p>
          <w:p>
            <w:pPr>
              <w:pStyle w:val="TableParagraph"/>
              <w:spacing w:before="6"/>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Localización de regiones mineras del Estado de</w:t>
            </w:r>
            <w:r>
              <w:rPr>
                <w:spacing w:val="-19"/>
                <w:sz w:val="22"/>
              </w:rPr>
              <w:t> </w:t>
            </w:r>
            <w:r>
              <w:rPr>
                <w:sz w:val="22"/>
              </w:rPr>
              <w:t>México</w:t>
            </w:r>
          </w:p>
          <w:p>
            <w:pPr>
              <w:pStyle w:val="TableParagraph"/>
              <w:spacing w:before="9"/>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Celda</w:t>
            </w:r>
            <w:r>
              <w:rPr>
                <w:spacing w:val="-8"/>
                <w:sz w:val="22"/>
              </w:rPr>
              <w:t> </w:t>
            </w:r>
            <w:r>
              <w:rPr>
                <w:sz w:val="22"/>
              </w:rPr>
              <w:t>electrolítica</w:t>
            </w:r>
          </w:p>
          <w:p>
            <w:pPr>
              <w:pStyle w:val="TableParagraph"/>
              <w:spacing w:before="6"/>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Sistema de electrocoagulación de</w:t>
            </w:r>
            <w:r>
              <w:rPr>
                <w:spacing w:val="-11"/>
                <w:sz w:val="22"/>
              </w:rPr>
              <w:t> </w:t>
            </w:r>
            <w:r>
              <w:rPr>
                <w:sz w:val="22"/>
              </w:rPr>
              <w:t>Aluminio</w:t>
            </w:r>
          </w:p>
          <w:p>
            <w:pPr>
              <w:pStyle w:val="TableParagraph"/>
              <w:spacing w:before="9"/>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Mecanismos de</w:t>
            </w:r>
            <w:r>
              <w:rPr>
                <w:spacing w:val="-12"/>
                <w:sz w:val="22"/>
              </w:rPr>
              <w:t> </w:t>
            </w:r>
            <w:r>
              <w:rPr>
                <w:sz w:val="22"/>
              </w:rPr>
              <w:t>fitorremediación</w:t>
            </w:r>
          </w:p>
          <w:p>
            <w:pPr>
              <w:pStyle w:val="TableParagraph"/>
              <w:spacing w:before="9"/>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Macrófitas utilizadas en</w:t>
            </w:r>
            <w:r>
              <w:rPr>
                <w:spacing w:val="-11"/>
                <w:sz w:val="22"/>
              </w:rPr>
              <w:t> </w:t>
            </w:r>
            <w:r>
              <w:rPr>
                <w:sz w:val="22"/>
              </w:rPr>
              <w:t>fitorremediación</w:t>
            </w:r>
          </w:p>
          <w:p>
            <w:pPr>
              <w:pStyle w:val="TableParagraph"/>
              <w:spacing w:before="6"/>
              <w:rPr>
                <w:b/>
                <w:sz w:val="20"/>
              </w:rPr>
            </w:pPr>
          </w:p>
          <w:p>
            <w:pPr>
              <w:pStyle w:val="TableParagraph"/>
              <w:numPr>
                <w:ilvl w:val="0"/>
                <w:numId w:val="3"/>
              </w:numPr>
              <w:tabs>
                <w:tab w:pos="548" w:val="left" w:leader="none"/>
              </w:tabs>
              <w:spacing w:line="240" w:lineRule="auto" w:before="0" w:after="0"/>
              <w:ind w:left="548" w:right="0" w:hanging="348"/>
              <w:jc w:val="left"/>
              <w:rPr>
                <w:i/>
                <w:sz w:val="22"/>
              </w:rPr>
            </w:pPr>
            <w:r>
              <w:rPr>
                <w:sz w:val="22"/>
              </w:rPr>
              <w:t>Características de </w:t>
            </w:r>
            <w:r>
              <w:rPr>
                <w:i/>
                <w:sz w:val="22"/>
              </w:rPr>
              <w:t>Typha latifolia</w:t>
            </w:r>
            <w:r>
              <w:rPr>
                <w:i/>
                <w:spacing w:val="-6"/>
                <w:sz w:val="22"/>
              </w:rPr>
              <w:t> </w:t>
            </w:r>
            <w:r>
              <w:rPr>
                <w:i/>
                <w:sz w:val="22"/>
              </w:rPr>
              <w:t>L.</w:t>
            </w:r>
          </w:p>
          <w:p>
            <w:pPr>
              <w:pStyle w:val="TableParagraph"/>
              <w:spacing w:before="9"/>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Localización geográfica de zona</w:t>
            </w:r>
            <w:r>
              <w:rPr>
                <w:spacing w:val="-10"/>
                <w:sz w:val="22"/>
              </w:rPr>
              <w:t> </w:t>
            </w:r>
            <w:r>
              <w:rPr>
                <w:sz w:val="22"/>
              </w:rPr>
              <w:t>minera</w:t>
            </w:r>
          </w:p>
          <w:p>
            <w:pPr>
              <w:pStyle w:val="TableParagraph"/>
              <w:spacing w:before="6"/>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sz w:val="22"/>
              </w:rPr>
              <w:t>Reactor</w:t>
            </w:r>
            <w:r>
              <w:rPr>
                <w:spacing w:val="-7"/>
                <w:sz w:val="22"/>
              </w:rPr>
              <w:t> </w:t>
            </w:r>
            <w:r>
              <w:rPr>
                <w:sz w:val="22"/>
              </w:rPr>
              <w:t>electroquímico</w:t>
            </w:r>
          </w:p>
          <w:p>
            <w:pPr>
              <w:pStyle w:val="TableParagraph"/>
              <w:spacing w:before="9"/>
              <w:rPr>
                <w:b/>
                <w:sz w:val="20"/>
              </w:rPr>
            </w:pPr>
          </w:p>
          <w:p>
            <w:pPr>
              <w:pStyle w:val="TableParagraph"/>
              <w:numPr>
                <w:ilvl w:val="0"/>
                <w:numId w:val="3"/>
              </w:numPr>
              <w:tabs>
                <w:tab w:pos="548" w:val="left" w:leader="none"/>
              </w:tabs>
              <w:spacing w:line="240" w:lineRule="auto" w:before="0" w:after="0"/>
              <w:ind w:left="548" w:right="0" w:hanging="348"/>
              <w:jc w:val="left"/>
              <w:rPr>
                <w:i/>
                <w:sz w:val="22"/>
              </w:rPr>
            </w:pPr>
            <w:r>
              <w:rPr>
                <w:sz w:val="22"/>
              </w:rPr>
              <w:t>Colecta de </w:t>
            </w:r>
            <w:r>
              <w:rPr>
                <w:i/>
                <w:sz w:val="22"/>
              </w:rPr>
              <w:t>Typha latifolia</w:t>
            </w:r>
            <w:r>
              <w:rPr>
                <w:i/>
                <w:spacing w:val="-5"/>
                <w:sz w:val="22"/>
              </w:rPr>
              <w:t> </w:t>
            </w:r>
            <w:r>
              <w:rPr>
                <w:i/>
                <w:sz w:val="22"/>
              </w:rPr>
              <w:t>L.</w:t>
            </w:r>
          </w:p>
          <w:p>
            <w:pPr>
              <w:pStyle w:val="TableParagraph"/>
              <w:spacing w:before="6"/>
              <w:rPr>
                <w:b/>
                <w:sz w:val="20"/>
              </w:rPr>
            </w:pPr>
          </w:p>
          <w:p>
            <w:pPr>
              <w:pStyle w:val="TableParagraph"/>
              <w:numPr>
                <w:ilvl w:val="0"/>
                <w:numId w:val="3"/>
              </w:numPr>
              <w:tabs>
                <w:tab w:pos="548" w:val="left" w:leader="none"/>
              </w:tabs>
              <w:spacing w:line="240" w:lineRule="auto" w:before="0" w:after="0"/>
              <w:ind w:left="548" w:right="0" w:hanging="348"/>
              <w:jc w:val="left"/>
              <w:rPr>
                <w:sz w:val="22"/>
              </w:rPr>
            </w:pPr>
            <w:r>
              <w:rPr>
                <w:i/>
                <w:sz w:val="22"/>
              </w:rPr>
              <w:t>Contenido de agua en Typha latifolia L.</w:t>
            </w:r>
            <w:r>
              <w:rPr>
                <w:sz w:val="22"/>
              </w:rPr>
              <w:t>, durante tratamiento de</w:t>
            </w:r>
            <w:r>
              <w:rPr>
                <w:spacing w:val="-26"/>
                <w:sz w:val="22"/>
              </w:rPr>
              <w:t> </w:t>
            </w:r>
            <w:r>
              <w:rPr>
                <w:sz w:val="22"/>
              </w:rPr>
              <w:t>fitorremediación</w:t>
            </w:r>
          </w:p>
        </w:tc>
        <w:tc>
          <w:tcPr>
            <w:tcW w:w="971" w:type="dxa"/>
          </w:tcPr>
          <w:p>
            <w:pPr>
              <w:pStyle w:val="TableParagraph"/>
              <w:spacing w:line="226" w:lineRule="exact"/>
              <w:ind w:left="586"/>
              <w:rPr>
                <w:b/>
                <w:sz w:val="22"/>
              </w:rPr>
            </w:pPr>
            <w:r>
              <w:rPr>
                <w:b/>
                <w:w w:val="100"/>
                <w:sz w:val="22"/>
              </w:rPr>
              <w:t>4</w:t>
            </w:r>
          </w:p>
          <w:p>
            <w:pPr>
              <w:pStyle w:val="TableParagraph"/>
              <w:spacing w:before="6"/>
              <w:rPr>
                <w:b/>
                <w:sz w:val="20"/>
              </w:rPr>
            </w:pPr>
          </w:p>
          <w:p>
            <w:pPr>
              <w:pStyle w:val="TableParagraph"/>
              <w:ind w:left="586"/>
              <w:rPr>
                <w:b/>
                <w:sz w:val="22"/>
              </w:rPr>
            </w:pPr>
            <w:r>
              <w:rPr>
                <w:b/>
                <w:w w:val="100"/>
                <w:sz w:val="22"/>
              </w:rPr>
              <w:t>5</w:t>
            </w:r>
          </w:p>
          <w:p>
            <w:pPr>
              <w:pStyle w:val="TableParagraph"/>
              <w:spacing w:before="9"/>
              <w:rPr>
                <w:b/>
                <w:sz w:val="20"/>
              </w:rPr>
            </w:pPr>
          </w:p>
          <w:p>
            <w:pPr>
              <w:pStyle w:val="TableParagraph"/>
              <w:ind w:left="586"/>
              <w:rPr>
                <w:b/>
                <w:sz w:val="22"/>
              </w:rPr>
            </w:pPr>
            <w:r>
              <w:rPr>
                <w:b/>
                <w:w w:val="100"/>
                <w:sz w:val="22"/>
              </w:rPr>
              <w:t>8</w:t>
            </w:r>
          </w:p>
          <w:p>
            <w:pPr>
              <w:pStyle w:val="TableParagraph"/>
              <w:spacing w:before="6"/>
              <w:rPr>
                <w:b/>
                <w:sz w:val="20"/>
              </w:rPr>
            </w:pPr>
          </w:p>
          <w:p>
            <w:pPr>
              <w:pStyle w:val="TableParagraph"/>
              <w:ind w:left="526"/>
              <w:rPr>
                <w:b/>
                <w:sz w:val="22"/>
              </w:rPr>
            </w:pPr>
            <w:r>
              <w:rPr>
                <w:b/>
                <w:sz w:val="22"/>
              </w:rPr>
              <w:t>11</w:t>
            </w:r>
          </w:p>
          <w:p>
            <w:pPr>
              <w:pStyle w:val="TableParagraph"/>
              <w:spacing w:before="9"/>
              <w:rPr>
                <w:b/>
                <w:sz w:val="20"/>
              </w:rPr>
            </w:pPr>
          </w:p>
          <w:p>
            <w:pPr>
              <w:pStyle w:val="TableParagraph"/>
              <w:ind w:left="526"/>
              <w:rPr>
                <w:b/>
                <w:sz w:val="22"/>
              </w:rPr>
            </w:pPr>
            <w:r>
              <w:rPr>
                <w:b/>
                <w:sz w:val="22"/>
              </w:rPr>
              <w:t>18</w:t>
            </w:r>
          </w:p>
          <w:p>
            <w:pPr>
              <w:pStyle w:val="TableParagraph"/>
              <w:spacing w:before="9"/>
              <w:rPr>
                <w:b/>
                <w:sz w:val="20"/>
              </w:rPr>
            </w:pPr>
          </w:p>
          <w:p>
            <w:pPr>
              <w:pStyle w:val="TableParagraph"/>
              <w:ind w:left="526"/>
              <w:rPr>
                <w:b/>
                <w:sz w:val="22"/>
              </w:rPr>
            </w:pPr>
            <w:r>
              <w:rPr>
                <w:b/>
                <w:sz w:val="22"/>
              </w:rPr>
              <w:t>20</w:t>
            </w:r>
          </w:p>
          <w:p>
            <w:pPr>
              <w:pStyle w:val="TableParagraph"/>
              <w:spacing w:before="6"/>
              <w:rPr>
                <w:b/>
                <w:sz w:val="20"/>
              </w:rPr>
            </w:pPr>
          </w:p>
          <w:p>
            <w:pPr>
              <w:pStyle w:val="TableParagraph"/>
              <w:ind w:left="526"/>
              <w:rPr>
                <w:b/>
                <w:sz w:val="22"/>
              </w:rPr>
            </w:pPr>
            <w:r>
              <w:rPr>
                <w:b/>
                <w:sz w:val="22"/>
              </w:rPr>
              <w:t>22</w:t>
            </w:r>
          </w:p>
          <w:p>
            <w:pPr>
              <w:pStyle w:val="TableParagraph"/>
              <w:spacing w:before="9"/>
              <w:rPr>
                <w:b/>
                <w:sz w:val="20"/>
              </w:rPr>
            </w:pPr>
          </w:p>
          <w:p>
            <w:pPr>
              <w:pStyle w:val="TableParagraph"/>
              <w:ind w:left="526"/>
              <w:rPr>
                <w:b/>
                <w:sz w:val="22"/>
              </w:rPr>
            </w:pPr>
            <w:r>
              <w:rPr>
                <w:b/>
                <w:sz w:val="22"/>
              </w:rPr>
              <w:t>27</w:t>
            </w:r>
          </w:p>
          <w:p>
            <w:pPr>
              <w:pStyle w:val="TableParagraph"/>
              <w:spacing w:before="6"/>
              <w:rPr>
                <w:b/>
                <w:sz w:val="20"/>
              </w:rPr>
            </w:pPr>
          </w:p>
          <w:p>
            <w:pPr>
              <w:pStyle w:val="TableParagraph"/>
              <w:ind w:left="526"/>
              <w:rPr>
                <w:b/>
                <w:sz w:val="22"/>
              </w:rPr>
            </w:pPr>
            <w:r>
              <w:rPr>
                <w:b/>
                <w:sz w:val="22"/>
              </w:rPr>
              <w:t>29</w:t>
            </w:r>
          </w:p>
          <w:p>
            <w:pPr>
              <w:pStyle w:val="TableParagraph"/>
              <w:spacing w:before="9"/>
              <w:rPr>
                <w:b/>
                <w:sz w:val="20"/>
              </w:rPr>
            </w:pPr>
          </w:p>
          <w:p>
            <w:pPr>
              <w:pStyle w:val="TableParagraph"/>
              <w:ind w:left="526"/>
              <w:rPr>
                <w:b/>
                <w:sz w:val="22"/>
              </w:rPr>
            </w:pPr>
            <w:r>
              <w:rPr>
                <w:b/>
                <w:sz w:val="22"/>
              </w:rPr>
              <w:t>30</w:t>
            </w:r>
          </w:p>
          <w:p>
            <w:pPr>
              <w:pStyle w:val="TableParagraph"/>
              <w:spacing w:before="6"/>
              <w:rPr>
                <w:b/>
                <w:sz w:val="20"/>
              </w:rPr>
            </w:pPr>
          </w:p>
          <w:p>
            <w:pPr>
              <w:pStyle w:val="TableParagraph"/>
              <w:ind w:left="526"/>
              <w:rPr>
                <w:b/>
                <w:sz w:val="22"/>
              </w:rPr>
            </w:pPr>
            <w:r>
              <w:rPr>
                <w:b/>
                <w:sz w:val="22"/>
              </w:rPr>
              <w:t>52</w:t>
            </w:r>
          </w:p>
        </w:tc>
      </w:tr>
    </w:tbl>
    <w:p>
      <w:pPr>
        <w:spacing w:after="0"/>
        <w:rPr>
          <w:sz w:val="22"/>
        </w:rPr>
        <w:sectPr>
          <w:pgSz w:w="12240" w:h="15840"/>
          <w:pgMar w:top="1100" w:bottom="280" w:left="1240" w:right="940"/>
        </w:sectPr>
      </w:pPr>
    </w:p>
    <w:p>
      <w:pPr>
        <w:pStyle w:val="Heading1"/>
        <w:ind w:left="6467"/>
        <w:jc w:val="left"/>
      </w:pPr>
      <w:r>
        <w:rPr/>
        <w:t>ÍNDICE DE TABLAS</w:t>
      </w:r>
    </w:p>
    <w:p>
      <w:pPr>
        <w:pStyle w:val="BodyText"/>
        <w:rPr>
          <w:b/>
          <w:sz w:val="20"/>
        </w:rPr>
      </w:pPr>
    </w:p>
    <w:p>
      <w:pPr>
        <w:pStyle w:val="BodyText"/>
        <w:rPr>
          <w:b/>
          <w:sz w:val="20"/>
        </w:rPr>
      </w:pPr>
    </w:p>
    <w:p>
      <w:pPr>
        <w:pStyle w:val="BodyText"/>
        <w:rPr>
          <w:b/>
          <w:sz w:val="20"/>
        </w:rPr>
      </w:pPr>
    </w:p>
    <w:p>
      <w:pPr>
        <w:pStyle w:val="BodyText"/>
        <w:rPr>
          <w:b/>
          <w:sz w:val="2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617"/>
        <w:gridCol w:w="579"/>
      </w:tblGrid>
      <w:tr>
        <w:trPr>
          <w:trHeight w:val="3951" w:hRule="exact"/>
        </w:trPr>
        <w:tc>
          <w:tcPr>
            <w:tcW w:w="9617" w:type="dxa"/>
          </w:tcPr>
          <w:p>
            <w:pPr>
              <w:pStyle w:val="TableParagraph"/>
              <w:spacing w:line="226" w:lineRule="exact"/>
              <w:ind w:left="200" w:right="131"/>
              <w:rPr>
                <w:sz w:val="22"/>
              </w:rPr>
            </w:pPr>
            <w:r>
              <w:rPr>
                <w:b/>
                <w:sz w:val="22"/>
              </w:rPr>
              <w:t>Tabla 1. </w:t>
            </w:r>
            <w:r>
              <w:rPr>
                <w:sz w:val="22"/>
              </w:rPr>
              <w:t>Regiones mineras del Estado de México</w:t>
            </w:r>
          </w:p>
          <w:p>
            <w:pPr>
              <w:pStyle w:val="TableParagraph"/>
              <w:spacing w:before="9"/>
              <w:rPr>
                <w:b/>
                <w:sz w:val="20"/>
              </w:rPr>
            </w:pPr>
          </w:p>
          <w:p>
            <w:pPr>
              <w:pStyle w:val="TableParagraph"/>
              <w:ind w:left="200" w:right="131"/>
              <w:rPr>
                <w:sz w:val="22"/>
              </w:rPr>
            </w:pPr>
            <w:r>
              <w:rPr>
                <w:b/>
                <w:sz w:val="22"/>
              </w:rPr>
              <w:t>Tabla 2. </w:t>
            </w:r>
            <w:r>
              <w:rPr>
                <w:sz w:val="22"/>
              </w:rPr>
              <w:t>Tipos de impacto causado por la minería en México</w:t>
            </w:r>
          </w:p>
          <w:p>
            <w:pPr>
              <w:pStyle w:val="TableParagraph"/>
              <w:spacing w:before="6"/>
              <w:rPr>
                <w:b/>
                <w:sz w:val="20"/>
              </w:rPr>
            </w:pPr>
          </w:p>
          <w:p>
            <w:pPr>
              <w:pStyle w:val="TableParagraph"/>
              <w:ind w:left="200" w:right="131"/>
              <w:rPr>
                <w:sz w:val="22"/>
              </w:rPr>
            </w:pPr>
            <w:r>
              <w:rPr>
                <w:b/>
                <w:sz w:val="22"/>
              </w:rPr>
              <w:t>Tabla 3. </w:t>
            </w:r>
            <w:r>
              <w:rPr>
                <w:sz w:val="22"/>
              </w:rPr>
              <w:t>Afectaciones ambientales provocados por minería en México</w:t>
            </w:r>
          </w:p>
          <w:p>
            <w:pPr>
              <w:pStyle w:val="TableParagraph"/>
              <w:spacing w:before="9"/>
              <w:rPr>
                <w:b/>
                <w:sz w:val="20"/>
              </w:rPr>
            </w:pPr>
          </w:p>
          <w:p>
            <w:pPr>
              <w:pStyle w:val="TableParagraph"/>
              <w:ind w:left="200" w:right="131"/>
              <w:rPr>
                <w:sz w:val="22"/>
              </w:rPr>
            </w:pPr>
            <w:r>
              <w:rPr>
                <w:b/>
                <w:sz w:val="22"/>
              </w:rPr>
              <w:t>Tabla 4. </w:t>
            </w:r>
            <w:r>
              <w:rPr>
                <w:sz w:val="22"/>
              </w:rPr>
              <w:t>Variables que afectan la electrocoagulación</w:t>
            </w:r>
          </w:p>
          <w:p>
            <w:pPr>
              <w:pStyle w:val="TableParagraph"/>
              <w:spacing w:before="9"/>
              <w:rPr>
                <w:b/>
                <w:sz w:val="20"/>
              </w:rPr>
            </w:pPr>
          </w:p>
          <w:p>
            <w:pPr>
              <w:pStyle w:val="TableParagraph"/>
              <w:spacing w:line="465" w:lineRule="auto"/>
              <w:ind w:left="200" w:right="3593"/>
              <w:rPr>
                <w:sz w:val="22"/>
              </w:rPr>
            </w:pPr>
            <w:r>
              <w:rPr>
                <w:b/>
                <w:sz w:val="22"/>
              </w:rPr>
              <w:t>Tabla 5. </w:t>
            </w:r>
            <w:r>
              <w:rPr>
                <w:sz w:val="22"/>
              </w:rPr>
              <w:t>Compuestos orgánicos capaces de quelar metales </w:t>
            </w:r>
            <w:r>
              <w:rPr>
                <w:b/>
                <w:sz w:val="22"/>
              </w:rPr>
              <w:t>Tabla 6. </w:t>
            </w:r>
            <w:r>
              <w:rPr>
                <w:sz w:val="22"/>
              </w:rPr>
              <w:t>Ventajas y desventajas de la Fitotecnologias </w:t>
            </w:r>
            <w:r>
              <w:rPr>
                <w:b/>
                <w:sz w:val="22"/>
              </w:rPr>
              <w:t>Tabla 7. </w:t>
            </w:r>
            <w:r>
              <w:rPr>
                <w:sz w:val="22"/>
              </w:rPr>
              <w:t>Distribución de sistemas de</w:t>
            </w:r>
            <w:r>
              <w:rPr>
                <w:spacing w:val="-16"/>
                <w:sz w:val="22"/>
              </w:rPr>
              <w:t> </w:t>
            </w:r>
            <w:r>
              <w:rPr>
                <w:sz w:val="22"/>
              </w:rPr>
              <w:t>fitorremediación</w:t>
            </w:r>
          </w:p>
          <w:p>
            <w:pPr>
              <w:pStyle w:val="TableParagraph"/>
              <w:spacing w:line="278" w:lineRule="auto" w:before="5"/>
              <w:ind w:left="200" w:right="131"/>
              <w:rPr>
                <w:sz w:val="22"/>
              </w:rPr>
            </w:pPr>
            <w:r>
              <w:rPr>
                <w:b/>
                <w:sz w:val="22"/>
              </w:rPr>
              <w:t>Tabla 8. </w:t>
            </w:r>
            <w:r>
              <w:rPr>
                <w:sz w:val="22"/>
              </w:rPr>
              <w:t>Tasa de crecimiento relativo (TCR) en peso de </w:t>
            </w:r>
            <w:r>
              <w:rPr>
                <w:i/>
                <w:sz w:val="22"/>
              </w:rPr>
              <w:t>Typha latifolia L., </w:t>
            </w:r>
            <w:r>
              <w:rPr>
                <w:sz w:val="22"/>
              </w:rPr>
              <w:t>durante el tratamiento</w:t>
            </w:r>
          </w:p>
        </w:tc>
        <w:tc>
          <w:tcPr>
            <w:tcW w:w="579" w:type="dxa"/>
          </w:tcPr>
          <w:p>
            <w:pPr>
              <w:pStyle w:val="TableParagraph"/>
              <w:spacing w:line="226" w:lineRule="exact"/>
              <w:ind w:right="65"/>
              <w:jc w:val="center"/>
              <w:rPr>
                <w:b/>
                <w:sz w:val="22"/>
              </w:rPr>
            </w:pPr>
            <w:r>
              <w:rPr>
                <w:b/>
                <w:w w:val="100"/>
                <w:sz w:val="22"/>
              </w:rPr>
              <w:t>5</w:t>
            </w:r>
          </w:p>
          <w:p>
            <w:pPr>
              <w:pStyle w:val="TableParagraph"/>
              <w:spacing w:before="9"/>
              <w:rPr>
                <w:b/>
                <w:sz w:val="20"/>
              </w:rPr>
            </w:pPr>
          </w:p>
          <w:p>
            <w:pPr>
              <w:pStyle w:val="TableParagraph"/>
              <w:ind w:right="65"/>
              <w:jc w:val="center"/>
              <w:rPr>
                <w:b/>
                <w:sz w:val="22"/>
              </w:rPr>
            </w:pPr>
            <w:r>
              <w:rPr>
                <w:b/>
                <w:w w:val="100"/>
                <w:sz w:val="22"/>
              </w:rPr>
              <w:t>6</w:t>
            </w:r>
          </w:p>
          <w:p>
            <w:pPr>
              <w:pStyle w:val="TableParagraph"/>
              <w:spacing w:before="6"/>
              <w:rPr>
                <w:b/>
                <w:sz w:val="20"/>
              </w:rPr>
            </w:pPr>
          </w:p>
          <w:p>
            <w:pPr>
              <w:pStyle w:val="TableParagraph"/>
              <w:ind w:right="65"/>
              <w:jc w:val="center"/>
              <w:rPr>
                <w:b/>
                <w:sz w:val="22"/>
              </w:rPr>
            </w:pPr>
            <w:r>
              <w:rPr>
                <w:b/>
                <w:w w:val="100"/>
                <w:sz w:val="22"/>
              </w:rPr>
              <w:t>7</w:t>
            </w:r>
          </w:p>
          <w:p>
            <w:pPr>
              <w:pStyle w:val="TableParagraph"/>
              <w:spacing w:before="9"/>
              <w:rPr>
                <w:b/>
                <w:sz w:val="20"/>
              </w:rPr>
            </w:pPr>
          </w:p>
          <w:p>
            <w:pPr>
              <w:pStyle w:val="TableParagraph"/>
              <w:ind w:left="115" w:right="178"/>
              <w:jc w:val="center"/>
              <w:rPr>
                <w:b/>
                <w:sz w:val="22"/>
              </w:rPr>
            </w:pPr>
            <w:r>
              <w:rPr>
                <w:b/>
                <w:sz w:val="22"/>
              </w:rPr>
              <w:t>12</w:t>
            </w:r>
          </w:p>
          <w:p>
            <w:pPr>
              <w:pStyle w:val="TableParagraph"/>
              <w:spacing w:before="9"/>
              <w:rPr>
                <w:b/>
                <w:sz w:val="20"/>
              </w:rPr>
            </w:pPr>
          </w:p>
          <w:p>
            <w:pPr>
              <w:pStyle w:val="TableParagraph"/>
              <w:ind w:left="115" w:right="178"/>
              <w:jc w:val="center"/>
              <w:rPr>
                <w:b/>
                <w:sz w:val="22"/>
              </w:rPr>
            </w:pPr>
            <w:r>
              <w:rPr>
                <w:b/>
                <w:sz w:val="22"/>
              </w:rPr>
              <w:t>16</w:t>
            </w:r>
          </w:p>
          <w:p>
            <w:pPr>
              <w:pStyle w:val="TableParagraph"/>
              <w:spacing w:before="7"/>
              <w:rPr>
                <w:b/>
                <w:sz w:val="20"/>
              </w:rPr>
            </w:pPr>
          </w:p>
          <w:p>
            <w:pPr>
              <w:pStyle w:val="TableParagraph"/>
              <w:ind w:left="115" w:right="178"/>
              <w:jc w:val="center"/>
              <w:rPr>
                <w:b/>
                <w:sz w:val="22"/>
              </w:rPr>
            </w:pPr>
            <w:r>
              <w:rPr>
                <w:b/>
                <w:sz w:val="22"/>
              </w:rPr>
              <w:t>18</w:t>
            </w:r>
          </w:p>
          <w:p>
            <w:pPr>
              <w:pStyle w:val="TableParagraph"/>
              <w:spacing w:before="9"/>
              <w:rPr>
                <w:b/>
                <w:sz w:val="20"/>
              </w:rPr>
            </w:pPr>
          </w:p>
          <w:p>
            <w:pPr>
              <w:pStyle w:val="TableParagraph"/>
              <w:ind w:left="115" w:right="178"/>
              <w:jc w:val="center"/>
              <w:rPr>
                <w:b/>
                <w:sz w:val="22"/>
              </w:rPr>
            </w:pPr>
            <w:r>
              <w:rPr>
                <w:b/>
                <w:sz w:val="22"/>
              </w:rPr>
              <w:t>31</w:t>
            </w:r>
          </w:p>
          <w:p>
            <w:pPr>
              <w:pStyle w:val="TableParagraph"/>
              <w:spacing w:before="6"/>
              <w:rPr>
                <w:b/>
                <w:sz w:val="20"/>
              </w:rPr>
            </w:pPr>
          </w:p>
          <w:p>
            <w:pPr>
              <w:pStyle w:val="TableParagraph"/>
              <w:ind w:left="115" w:right="178"/>
              <w:jc w:val="center"/>
              <w:rPr>
                <w:b/>
                <w:sz w:val="22"/>
              </w:rPr>
            </w:pPr>
            <w:r>
              <w:rPr>
                <w:b/>
                <w:sz w:val="22"/>
              </w:rPr>
              <w:t>51</w:t>
            </w:r>
          </w:p>
        </w:tc>
      </w:tr>
    </w:tbl>
    <w:p>
      <w:pPr>
        <w:pStyle w:val="BodyText"/>
        <w:rPr>
          <w:b/>
          <w:sz w:val="20"/>
        </w:rPr>
      </w:pPr>
    </w:p>
    <w:p>
      <w:pPr>
        <w:pStyle w:val="BodyText"/>
        <w:rPr>
          <w:b/>
          <w:sz w:val="20"/>
        </w:rPr>
      </w:pPr>
    </w:p>
    <w:p>
      <w:pPr>
        <w:pStyle w:val="BodyText"/>
        <w:rPr>
          <w:b/>
          <w:sz w:val="20"/>
        </w:rPr>
      </w:pPr>
    </w:p>
    <w:p>
      <w:pPr>
        <w:pStyle w:val="BodyText"/>
        <w:spacing w:before="9"/>
        <w:rPr>
          <w:b/>
        </w:rPr>
      </w:pPr>
    </w:p>
    <w:p>
      <w:pPr>
        <w:spacing w:before="50"/>
        <w:ind w:left="0" w:right="189" w:firstLine="0"/>
        <w:jc w:val="right"/>
        <w:rPr>
          <w:b/>
          <w:sz w:val="40"/>
        </w:rPr>
      </w:pPr>
      <w:r>
        <w:rPr>
          <w:b/>
          <w:sz w:val="40"/>
        </w:rPr>
        <w:t>ABREVIATURAS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pStyle w:val="BodyText"/>
        <w:tabs>
          <w:tab w:pos="1549" w:val="left" w:leader="none"/>
        </w:tabs>
        <w:spacing w:before="70"/>
        <w:ind w:left="252"/>
      </w:pPr>
      <w:r>
        <w:rPr>
          <w:b/>
        </w:rPr>
        <w:t>FT</w:t>
        <w:tab/>
      </w:r>
      <w:r>
        <w:rPr/>
        <w:t>Factor de</w:t>
      </w:r>
      <w:r>
        <w:rPr>
          <w:spacing w:val="-8"/>
        </w:rPr>
        <w:t> </w:t>
      </w:r>
      <w:r>
        <w:rPr/>
        <w:t>Traslocación</w:t>
      </w:r>
    </w:p>
    <w:p>
      <w:pPr>
        <w:pStyle w:val="BodyText"/>
        <w:spacing w:before="10"/>
        <w:rPr>
          <w:sz w:val="20"/>
        </w:rPr>
      </w:pPr>
    </w:p>
    <w:p>
      <w:pPr>
        <w:pStyle w:val="BodyText"/>
        <w:tabs>
          <w:tab w:pos="1549" w:val="left" w:leader="none"/>
        </w:tabs>
        <w:ind w:left="252"/>
      </w:pPr>
      <w:r>
        <w:rPr>
          <w:b/>
        </w:rPr>
        <w:t>FBC</w:t>
        <w:tab/>
      </w:r>
      <w:r>
        <w:rPr/>
        <w:t>Factor de</w:t>
      </w:r>
      <w:r>
        <w:rPr>
          <w:spacing w:val="-10"/>
        </w:rPr>
        <w:t> </w:t>
      </w:r>
      <w:r>
        <w:rPr/>
        <w:t>Bioconcentración</w:t>
      </w:r>
    </w:p>
    <w:p>
      <w:pPr>
        <w:pStyle w:val="BodyText"/>
        <w:rPr>
          <w:sz w:val="21"/>
        </w:rPr>
      </w:pPr>
    </w:p>
    <w:p>
      <w:pPr>
        <w:pStyle w:val="BodyText"/>
        <w:tabs>
          <w:tab w:pos="1546" w:val="left" w:leader="none"/>
        </w:tabs>
        <w:spacing w:before="1"/>
        <w:ind w:left="252"/>
      </w:pPr>
      <w:r>
        <w:rPr>
          <w:b/>
        </w:rPr>
        <w:t>TCR</w:t>
        <w:tab/>
      </w:r>
      <w:r>
        <w:rPr/>
        <w:t>Tasa de Crecimiento</w:t>
      </w:r>
      <w:r>
        <w:rPr>
          <w:spacing w:val="-10"/>
        </w:rPr>
        <w:t> </w:t>
      </w:r>
      <w:r>
        <w:rPr/>
        <w:t>Relativo</w:t>
      </w:r>
    </w:p>
    <w:p>
      <w:pPr>
        <w:spacing w:after="0"/>
        <w:sectPr>
          <w:pgSz w:w="12240" w:h="15840"/>
          <w:pgMar w:top="1100" w:bottom="280" w:left="880" w:right="940"/>
        </w:sectPr>
      </w:pPr>
    </w:p>
    <w:p>
      <w:pPr>
        <w:pStyle w:val="Heading1"/>
        <w:spacing w:before="35"/>
        <w:ind w:right="113"/>
      </w:pPr>
      <w:r>
        <w:rPr/>
        <w:t>RESUMEN</w:t>
      </w:r>
    </w:p>
    <w:p>
      <w:pPr>
        <w:pStyle w:val="BodyText"/>
        <w:spacing w:line="276" w:lineRule="auto" w:before="271"/>
        <w:ind w:left="118" w:right="114"/>
        <w:jc w:val="both"/>
      </w:pPr>
      <w:r>
        <w:rPr/>
        <w:t>El agua residual de la industria minera o agua de jales es producto de los procesos de extracción, molienda, flotación de mineral dentro de un complejo minero; dicha agua pose una gran cantidad de contaminantes tanto orgánicos como inorgánicos (principalmente metales pesados), que dada a su complejidad no son fácilmente removidos por procesos convencionales.</w:t>
      </w:r>
    </w:p>
    <w:p>
      <w:pPr>
        <w:pStyle w:val="BodyText"/>
        <w:spacing w:line="276" w:lineRule="auto" w:before="200"/>
        <w:ind w:left="118" w:right="116"/>
        <w:jc w:val="both"/>
      </w:pPr>
      <w:r>
        <w:rPr/>
        <w:t>Este estudio de investigación se empleo de un tratamiento acoplado de Electrocoagulación – Fitorremediación, con la finalidad de remover los metales pesados (Pb, Cu, Cd y Zn) presentes en agua residual minera y que esta agua pueda ser se reusó.</w:t>
      </w:r>
    </w:p>
    <w:p>
      <w:pPr>
        <w:pStyle w:val="BodyText"/>
        <w:spacing w:line="271" w:lineRule="auto" w:before="200"/>
        <w:ind w:left="118" w:right="115"/>
        <w:jc w:val="both"/>
      </w:pPr>
      <w:r>
        <w:rPr/>
        <w:t>Se partió de la elaboración de una solución acuosa idéntica en concentraciones a la del agua residual minera. Posteriormente fue sometida a tratamiento electroquímico “electrocoagulación” mediante un reactor en batch con 10 electrodos de aluminio, 5 como cátodos y 5 como ánodos. Al finalizar este tratamiento se obtuvieron porcentajes de remoción de 100% Zn, 98.3% Cu, 78.7% Cd y 96.9% </w:t>
      </w:r>
      <w:r>
        <w:rPr>
          <w:spacing w:val="2"/>
        </w:rPr>
        <w:t>Pb; </w:t>
      </w:r>
      <w:r>
        <w:rPr/>
        <w:t>con un consumo de energía de 26</w:t>
      </w:r>
      <w:r>
        <w:rPr>
          <w:spacing w:val="-5"/>
        </w:rPr>
        <w:t> </w:t>
      </w:r>
      <w:r>
        <w:rPr/>
        <w:t>Kwh/m</w:t>
      </w:r>
      <w:r>
        <w:rPr>
          <w:position w:val="11"/>
          <w:sz w:val="16"/>
        </w:rPr>
        <w:t>3</w:t>
      </w:r>
      <w:r>
        <w:rPr/>
        <w:t>.</w:t>
      </w:r>
    </w:p>
    <w:p>
      <w:pPr>
        <w:pStyle w:val="BodyText"/>
        <w:spacing w:line="276" w:lineRule="auto" w:before="198"/>
        <w:ind w:left="118" w:right="112"/>
        <w:jc w:val="both"/>
      </w:pPr>
      <w:r>
        <w:rPr/>
        <w:t>Para el tratamiento de fitorremediación fue seleccionada la macrófita </w:t>
      </w:r>
      <w:r>
        <w:rPr>
          <w:i/>
        </w:rPr>
        <w:t>Typha latifolia L</w:t>
      </w:r>
      <w:r>
        <w:rPr/>
        <w:t>., y se probaron diluciones de 12.5, 25, 50, 75 y 100%, sin embargo las plantas tuvieron procesos de fitotoxicidad en las diluciones de 50 a 100% del agua electrocoagulada. Siendo la dilución al 12.5% la concentración a la cual los biomarcadores como la relación clorofila a/b y la tasa de crecimiento relativo, donde no se presentaron efectos tóxicos en la planta.</w:t>
      </w:r>
    </w:p>
    <w:p>
      <w:pPr>
        <w:pStyle w:val="BodyText"/>
        <w:spacing w:line="276" w:lineRule="auto" w:before="202"/>
        <w:ind w:left="118" w:right="120"/>
        <w:jc w:val="both"/>
      </w:pPr>
      <w:r>
        <w:rPr/>
        <w:t>Finalmente los resultados obtenidos del tratamiento acoplado nos indican una remoción del 99.2% Cu, 81.3% Cd y 99.4% Pb; en el caso del Zn se presento incremento en su concentración debido a desorción de la planta. La combinación de procesos electroquímicos y fitorremediación es factible en el tratamiento de aguas residuales que contienen los metales probados en este estudio.</w:t>
      </w:r>
    </w:p>
    <w:p>
      <w:pPr>
        <w:spacing w:after="0" w:line="276" w:lineRule="auto"/>
        <w:jc w:val="both"/>
        <w:sectPr>
          <w:footerReference w:type="default" r:id="rId7"/>
          <w:pgSz w:w="12240" w:h="15840"/>
          <w:pgMar w:footer="1480" w:header="0" w:top="1380" w:bottom="1680" w:left="1300" w:right="1300"/>
          <w:pgNumType w:start="1"/>
        </w:sectPr>
      </w:pPr>
    </w:p>
    <w:p>
      <w:pPr>
        <w:pStyle w:val="BodyText"/>
        <w:rPr>
          <w:sz w:val="20"/>
        </w:rPr>
      </w:pPr>
    </w:p>
    <w:p>
      <w:pPr>
        <w:pStyle w:val="Heading1"/>
        <w:spacing w:before="175"/>
        <w:ind w:right="112"/>
      </w:pPr>
      <w:r>
        <w:rPr/>
        <w:t>ABSTRACT</w:t>
      </w:r>
    </w:p>
    <w:p>
      <w:pPr>
        <w:pStyle w:val="BodyText"/>
        <w:rPr>
          <w:b/>
          <w:sz w:val="40"/>
        </w:rPr>
      </w:pPr>
    </w:p>
    <w:p>
      <w:pPr>
        <w:pStyle w:val="BodyText"/>
        <w:rPr>
          <w:b/>
          <w:sz w:val="47"/>
        </w:rPr>
      </w:pPr>
    </w:p>
    <w:p>
      <w:pPr>
        <w:pStyle w:val="BodyText"/>
        <w:spacing w:line="276" w:lineRule="auto"/>
        <w:ind w:left="118" w:right="115"/>
        <w:jc w:val="both"/>
      </w:pPr>
      <w:r>
        <w:rPr/>
        <w:t>The residual water of the mining industry or mineral water is the product of the extraction, milling, or flotation of ore within a mining complex; Such water has a large amount of both organic and inorganic pollutants (mainly heavy metals), which due to their complexity are not easily removed by conventional processes. This research was used a coupled treatment of Electrocoagulation- Phytoremediation, in order to remove the heavy metals (Pb, Cu, Cd and Zn) present in wastewater and that this water can be reused.</w:t>
      </w:r>
    </w:p>
    <w:p>
      <w:pPr>
        <w:pStyle w:val="BodyText"/>
        <w:spacing w:line="276" w:lineRule="auto" w:before="202"/>
        <w:ind w:left="118" w:right="113"/>
        <w:jc w:val="both"/>
      </w:pPr>
      <w:r>
        <w:rPr/>
        <w:t>It was based on the elaboration of an identical aqueous solution in concentrations to the residual waste water. Subsequently it was subjected to electrochemical treatment "electrocoagulation" by means of a batch reactor with 10 aluminum electrodes, 5 as cathodes and 5 as anodes. At the end of this treatment, percentages of removal of  100%  Zn,  98.3%  Cu,  78.7%  Cd  and  96.9%  Pb  were  obtained;  with  an     </w:t>
      </w:r>
      <w:r>
        <w:rPr>
          <w:spacing w:val="65"/>
        </w:rPr>
        <w:t> </w:t>
      </w:r>
      <w:r>
        <w:rPr/>
        <w:t>energy</w:t>
      </w:r>
    </w:p>
    <w:p>
      <w:pPr>
        <w:pStyle w:val="BodyText"/>
        <w:spacing w:line="277" w:lineRule="exact"/>
        <w:ind w:left="118"/>
        <w:jc w:val="both"/>
      </w:pPr>
      <w:r>
        <w:rPr/>
        <w:t>consumption of 26 kWh / m</w:t>
      </w:r>
      <w:r>
        <w:rPr>
          <w:position w:val="11"/>
          <w:sz w:val="16"/>
        </w:rPr>
        <w:t>3</w:t>
      </w:r>
      <w:r>
        <w:rPr/>
        <w:t>.</w:t>
      </w:r>
    </w:p>
    <w:p>
      <w:pPr>
        <w:pStyle w:val="BodyText"/>
        <w:spacing w:line="276" w:lineRule="auto" w:before="242"/>
        <w:ind w:left="118" w:right="118"/>
        <w:jc w:val="both"/>
      </w:pPr>
      <w:r>
        <w:rPr/>
        <w:t>For the treatment of phytoremediation the macrophyte Typha latifolia L. was selected, and dilutions of 12.5, 25, 50, 75 and 100% were tested, however the plants had phytotoxicity processes in the dilutions of 50 to 100% of the electrocoagulated water. Dilution at 12.5% was the concentration at which biomarkers such as chlorophyll a / b ratio and relative growth rate, where no toxic effects were present at the plant.</w:t>
      </w:r>
    </w:p>
    <w:p>
      <w:pPr>
        <w:pStyle w:val="BodyText"/>
        <w:spacing w:line="276" w:lineRule="auto" w:before="200"/>
        <w:ind w:left="118" w:right="119"/>
        <w:jc w:val="both"/>
      </w:pPr>
      <w:r>
        <w:rPr/>
        <w:t>Finally the results obtained from the coupled treatment indicate a removal of 99.2% Cu, 81.3% Cd and 99.4% Pb; In the case of Zn, there was an increase in its concentration due to desorption of the plant. The combination of electrochemical processes and phytoremediation is feasible in the treatment of wastewater containing the metals tested in this study.</w:t>
      </w:r>
    </w:p>
    <w:p>
      <w:pPr>
        <w:spacing w:after="0" w:line="276" w:lineRule="auto"/>
        <w:jc w:val="both"/>
        <w:sectPr>
          <w:pgSz w:w="12240" w:h="15840"/>
          <w:pgMar w:header="0" w:footer="1480" w:top="1500" w:bottom="1680" w:left="1300" w:right="1300"/>
        </w:sectPr>
      </w:pPr>
    </w:p>
    <w:p>
      <w:pPr>
        <w:pStyle w:val="Heading2"/>
        <w:numPr>
          <w:ilvl w:val="0"/>
          <w:numId w:val="4"/>
        </w:numPr>
        <w:tabs>
          <w:tab w:pos="827" w:val="left" w:leader="none"/>
        </w:tabs>
        <w:spacing w:line="240" w:lineRule="auto" w:before="35" w:after="0"/>
        <w:ind w:left="826" w:right="0" w:hanging="348"/>
        <w:jc w:val="left"/>
      </w:pPr>
      <w:r>
        <w:rPr/>
        <w:t>INTRODUCCIÓN</w:t>
      </w:r>
    </w:p>
    <w:p>
      <w:pPr>
        <w:pStyle w:val="BodyText"/>
        <w:spacing w:before="6"/>
        <w:rPr>
          <w:b/>
          <w:sz w:val="33"/>
        </w:rPr>
      </w:pPr>
    </w:p>
    <w:p>
      <w:pPr>
        <w:pStyle w:val="BodyText"/>
        <w:spacing w:line="276" w:lineRule="auto"/>
        <w:ind w:left="118" w:right="112"/>
        <w:jc w:val="both"/>
      </w:pPr>
      <w:r>
        <w:rPr/>
        <w:t>La industria minera en México genera un amplio rango de contaminantes hacia el ambiente durante sus procesos de extracción, molienda, flotación y acumulación del mineral; los cuales se pueden dispersar en suelo, agua y aire, con la consecuente filtración a los mantos acuíferos. Esta industria genera contaminación a gran escala con diversas sustancias tóxicas como: hidrocarburos, solventes, sales, metales pesados, materia orgánica e inorgánica (Galdames, 2000; Hazrat </w:t>
      </w:r>
      <w:r>
        <w:rPr>
          <w:i/>
        </w:rPr>
        <w:t>et al</w:t>
      </w:r>
      <w:r>
        <w:rPr/>
        <w:t>., 2013), que pueden comprometer seriamente el uso de mantos acuíferos y agua superficial como fuente de agua para consumo. Para remediar esta situación se han hecho uso de procesos físicoquímicos (filtración, intercambio iónico, precipitación química, oxidación química, adsorción, ultrafiltración, ósmosis inversa, electroquímica y electrodiálisis) y procesos biológicos (Fitorremediación).</w:t>
      </w:r>
    </w:p>
    <w:p>
      <w:pPr>
        <w:pStyle w:val="BodyText"/>
        <w:spacing w:before="9"/>
        <w:rPr>
          <w:sz w:val="27"/>
        </w:rPr>
      </w:pPr>
    </w:p>
    <w:p>
      <w:pPr>
        <w:pStyle w:val="BodyText"/>
        <w:spacing w:line="276" w:lineRule="auto"/>
        <w:ind w:left="118" w:right="112"/>
        <w:jc w:val="both"/>
      </w:pPr>
      <w:r>
        <w:rPr/>
        <w:t>Hoy en día existen una serie de tecnologías emergentes que están basadas en la electroquímica y que actualmente se presentan como alternativas que ofrecen ventajas competitivas frente a las tecnologías tradicionales. Se puede mencionar en este grupo de tecnologías a la electrocoagulación una tecnología emergente desde 1906 que se han empleado para el tratamiento de una gran variedad de aguas residuales en particular efluentes industriales (Abbas et al., 2013), mediante el uso de electrodos de cobre, hierro y aluminio. Este método ha atraído considerablemente la atención por su compatibilidad con el ambiente que han llegado a ser considerados “reactivos limpios” (Gu </w:t>
      </w:r>
      <w:r>
        <w:rPr>
          <w:i/>
        </w:rPr>
        <w:t>et al</w:t>
      </w:r>
      <w:r>
        <w:rPr/>
        <w:t>., 2009; Kabdas </w:t>
      </w:r>
      <w:r>
        <w:rPr>
          <w:i/>
        </w:rPr>
        <w:t>et al</w:t>
      </w:r>
      <w:r>
        <w:rPr/>
        <w:t>., 2009).</w:t>
      </w:r>
    </w:p>
    <w:p>
      <w:pPr>
        <w:pStyle w:val="BodyText"/>
        <w:spacing w:before="9"/>
        <w:rPr>
          <w:sz w:val="27"/>
        </w:rPr>
      </w:pPr>
    </w:p>
    <w:p>
      <w:pPr>
        <w:pStyle w:val="BodyText"/>
        <w:spacing w:line="276" w:lineRule="auto"/>
        <w:ind w:left="118" w:right="114"/>
        <w:jc w:val="both"/>
      </w:pPr>
      <w:r>
        <w:rPr/>
        <w:t>En sus inicios la biorremediación utilizó como parte fundamental a los microorganismos, sin embargo, actualmente se realizan estudios para detectar otros organismos con potencial como es el caso de algas, hongos y plantas (Cotón y Vile, 2006; Sánchez, 2012). La Fitorremediación está  basada en plantas de gran potencial para eliminación  o reducir contaminantes, ya que actúan como filtros y metabolizan sustancias de  manera natural. El género </w:t>
      </w:r>
      <w:r>
        <w:rPr>
          <w:i/>
        </w:rPr>
        <w:t>Typha </w:t>
      </w:r>
      <w:r>
        <w:rPr/>
        <w:t>spp pose altos índices de crecimiento y desarrollo, la profundidad de su zona radicular pero sobre todo en su habilidad para bioacumular contaminantes del medio (Raskin y Ensley, 2000; Dordio </w:t>
      </w:r>
      <w:r>
        <w:rPr>
          <w:i/>
        </w:rPr>
        <w:t>et al</w:t>
      </w:r>
      <w:r>
        <w:rPr/>
        <w:t>., 2009). Debido a esta característica ofrece una opción efectiva para tratar metales pesados en agua (Ma y Wang 2009; Klinka  </w:t>
      </w:r>
      <w:r>
        <w:rPr>
          <w:i/>
        </w:rPr>
        <w:t>et al</w:t>
      </w:r>
      <w:r>
        <w:rPr/>
        <w:t>., 2013; Zohra </w:t>
      </w:r>
      <w:r>
        <w:rPr>
          <w:i/>
        </w:rPr>
        <w:t>et al</w:t>
      </w:r>
      <w:r>
        <w:rPr/>
        <w:t>.,</w:t>
      </w:r>
      <w:r>
        <w:rPr>
          <w:spacing w:val="-18"/>
        </w:rPr>
        <w:t> </w:t>
      </w:r>
      <w:r>
        <w:rPr/>
        <w:t>2014).</w:t>
      </w:r>
    </w:p>
    <w:p>
      <w:pPr>
        <w:pStyle w:val="BodyText"/>
      </w:pPr>
    </w:p>
    <w:p>
      <w:pPr>
        <w:pStyle w:val="BodyText"/>
        <w:spacing w:line="276" w:lineRule="auto" w:before="140"/>
        <w:ind w:left="118" w:right="112"/>
        <w:jc w:val="both"/>
      </w:pPr>
      <w:r>
        <w:rPr/>
        <w:t>Por tal motivo en el presente trabajo de investigación se determinará la eficiencia de la aplicación de un sistema acoplado de Electrocoagulación-Fitorremediación sobre Pb, Cu, Cd y Zn  presentes en un efluente minero.</w:t>
      </w:r>
    </w:p>
    <w:p>
      <w:pPr>
        <w:spacing w:after="0" w:line="276" w:lineRule="auto"/>
        <w:jc w:val="both"/>
        <w:sectPr>
          <w:pgSz w:w="12240" w:h="15840"/>
          <w:pgMar w:header="0" w:footer="1480" w:top="1380" w:bottom="1680" w:left="1300" w:right="1300"/>
        </w:sectPr>
      </w:pPr>
    </w:p>
    <w:p>
      <w:pPr>
        <w:pStyle w:val="Heading2"/>
        <w:numPr>
          <w:ilvl w:val="0"/>
          <w:numId w:val="4"/>
        </w:numPr>
        <w:tabs>
          <w:tab w:pos="827" w:val="left" w:leader="none"/>
        </w:tabs>
        <w:spacing w:line="240" w:lineRule="auto" w:before="35" w:after="0"/>
        <w:ind w:left="826" w:right="0" w:hanging="348"/>
        <w:jc w:val="left"/>
      </w:pPr>
      <w:r>
        <w:rPr/>
        <w:t>ANTECEDENTES</w:t>
      </w:r>
    </w:p>
    <w:p>
      <w:pPr>
        <w:pStyle w:val="BodyText"/>
        <w:rPr>
          <w:b/>
          <w:sz w:val="25"/>
        </w:rPr>
      </w:pPr>
    </w:p>
    <w:p>
      <w:pPr>
        <w:pStyle w:val="ListParagraph"/>
        <w:numPr>
          <w:ilvl w:val="1"/>
          <w:numId w:val="4"/>
        </w:numPr>
        <w:tabs>
          <w:tab w:pos="930" w:val="left" w:leader="none"/>
        </w:tabs>
        <w:spacing w:line="240" w:lineRule="auto" w:before="0" w:after="0"/>
        <w:ind w:left="930" w:right="0" w:hanging="452"/>
        <w:jc w:val="left"/>
        <w:rPr>
          <w:b/>
          <w:sz w:val="28"/>
        </w:rPr>
      </w:pPr>
      <w:r>
        <w:rPr>
          <w:b/>
          <w:sz w:val="28"/>
        </w:rPr>
        <w:t>La minería en</w:t>
      </w:r>
      <w:r>
        <w:rPr>
          <w:b/>
          <w:spacing w:val="-6"/>
          <w:sz w:val="28"/>
        </w:rPr>
        <w:t> </w:t>
      </w:r>
      <w:r>
        <w:rPr>
          <w:b/>
          <w:sz w:val="28"/>
        </w:rPr>
        <w:t>México</w:t>
      </w:r>
    </w:p>
    <w:p>
      <w:pPr>
        <w:pStyle w:val="BodyText"/>
        <w:rPr>
          <w:b/>
          <w:sz w:val="28"/>
        </w:rPr>
      </w:pPr>
    </w:p>
    <w:p>
      <w:pPr>
        <w:pStyle w:val="BodyText"/>
        <w:spacing w:before="8"/>
        <w:rPr>
          <w:b/>
          <w:sz w:val="25"/>
        </w:rPr>
      </w:pPr>
    </w:p>
    <w:p>
      <w:pPr>
        <w:pStyle w:val="BodyText"/>
        <w:spacing w:line="276" w:lineRule="auto"/>
        <w:ind w:left="118" w:right="112"/>
        <w:jc w:val="both"/>
      </w:pPr>
      <w:r>
        <w:rPr/>
        <w:t>La minería es una de las actividades económicas más antiguas y rentables en México, contribuye en gran medida con el desarrollo económico del país al brindar el 4.9 % del Producto Interno Bruto Nacional (SE, 2014) y ocupa el cuarto lugar en la generación de divisas con 22 mil 551 millones de dólares, suministrando insumos a todas las  industrias (CAMIMEX, 2013). De acuerdo a la Dirección General de Minas, la Industria minera nacional es mayoritariamente metálica (Cu, Pb, Ag, Au, Fe, Zn, Mn, Cd, Mo, Bi, Sb, As, Sn, Se, etc.) seguida por la no metálica (fluorito, celestita, wollastonita, caolín, grafito, yeso, feldespasto, azufre, diotomita, barita, etc.) (INEGI, 2013; CAMIMEX,  2013).</w:t>
      </w:r>
    </w:p>
    <w:p>
      <w:pPr>
        <w:pStyle w:val="BodyText"/>
        <w:spacing w:before="9"/>
        <w:rPr>
          <w:sz w:val="27"/>
        </w:rPr>
      </w:pPr>
    </w:p>
    <w:p>
      <w:pPr>
        <w:pStyle w:val="BodyText"/>
        <w:spacing w:line="276" w:lineRule="auto"/>
        <w:ind w:left="118" w:right="113"/>
        <w:jc w:val="both"/>
      </w:pPr>
      <w:r>
        <w:rPr/>
        <w:t>En la actualidad la industria minera mexicana registra 902 proyectos mineros: Sonora con 216, Chihuahua con        </w:t>
      </w:r>
      <w:r>
        <w:rPr>
          <w:spacing w:val="55"/>
        </w:rPr>
        <w:t> </w:t>
      </w:r>
      <w:r>
        <w:rPr/>
        <w:t>114, Durango con 98, Sinaloa con 93, Zacatecas  con 69,</w:t>
      </w:r>
    </w:p>
    <w:p>
      <w:pPr>
        <w:pStyle w:val="BodyText"/>
        <w:spacing w:line="276" w:lineRule="auto"/>
        <w:ind w:left="118" w:right="112"/>
        <w:jc w:val="both"/>
      </w:pPr>
      <w:r>
        <w:rPr/>
        <w:t>Jalisco con 60, Guerrero con 37, Oaxaca con 34, Nayarit con 22, Michoacán con 23, Guanajuato con 19, San Luis Potosí con 17, Coahuila con 12, Baja California y Colina con 11, Puebla con 10, Estado de México con 8, Chiapas con 7, Querétaro y Baja California Sur con 7, Hidalgo y Veracruz con 4, Tamaulipas con 2 y Morelos con 3 </w:t>
      </w:r>
      <w:r>
        <w:rPr>
          <w:color w:val="111111"/>
        </w:rPr>
        <w:t>(Fig. 1) (SE, 2013).</w:t>
      </w:r>
    </w:p>
    <w:p>
      <w:pPr>
        <w:pStyle w:val="BodyText"/>
        <w:spacing w:before="8"/>
        <w:rPr>
          <w:sz w:val="20"/>
        </w:rPr>
      </w:pPr>
      <w:r>
        <w:rPr/>
        <w:drawing>
          <wp:anchor distT="0" distB="0" distL="0" distR="0" allowOverlap="1" layoutInCell="1" locked="0" behindDoc="0" simplePos="0" relativeHeight="1120">
            <wp:simplePos x="0" y="0"/>
            <wp:positionH relativeFrom="page">
              <wp:posOffset>1271269</wp:posOffset>
            </wp:positionH>
            <wp:positionV relativeFrom="paragraph">
              <wp:posOffset>176480</wp:posOffset>
            </wp:positionV>
            <wp:extent cx="5222672" cy="2306955"/>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222672" cy="2306955"/>
                    </a:xfrm>
                    <a:prstGeom prst="rect">
                      <a:avLst/>
                    </a:prstGeom>
                  </pic:spPr>
                </pic:pic>
              </a:graphicData>
            </a:graphic>
          </wp:anchor>
        </w:drawing>
      </w:r>
    </w:p>
    <w:p>
      <w:pPr>
        <w:spacing w:before="71"/>
        <w:ind w:left="1811" w:right="1741" w:firstLine="0"/>
        <w:jc w:val="center"/>
        <w:rPr>
          <w:b/>
          <w:sz w:val="20"/>
        </w:rPr>
      </w:pPr>
      <w:r>
        <w:rPr>
          <w:b/>
          <w:sz w:val="20"/>
        </w:rPr>
        <w:t>Fig. 1 Participación por estado en la industria minera (SE, 2013)</w:t>
      </w:r>
    </w:p>
    <w:p>
      <w:pPr>
        <w:spacing w:after="0"/>
        <w:jc w:val="center"/>
        <w:rPr>
          <w:sz w:val="20"/>
        </w:rPr>
        <w:sectPr>
          <w:pgSz w:w="12240" w:h="15840"/>
          <w:pgMar w:header="0" w:footer="1480" w:top="1380" w:bottom="1680" w:left="1300" w:right="1300"/>
        </w:sectPr>
      </w:pPr>
    </w:p>
    <w:p>
      <w:pPr>
        <w:pStyle w:val="BodyText"/>
        <w:spacing w:line="276" w:lineRule="auto" w:before="56"/>
        <w:ind w:left="118" w:right="108"/>
        <w:jc w:val="both"/>
      </w:pPr>
      <w:r>
        <w:rPr/>
        <w:t>De acuerdo a datos del observatorio de Conflictos Mineros de América Latina y la  propia Secretaria de Energía el 70% de los proyectos mineros en México pertenecen a capital extranjero principalmente canadiense quienes incrementaron su presencia en desde la entrada en vigor del Tratado de Libre Comercio de América del Norte </w:t>
      </w:r>
      <w:r>
        <w:rPr>
          <w:spacing w:val="3"/>
        </w:rPr>
        <w:t>(SE- </w:t>
      </w:r>
      <w:r>
        <w:rPr/>
        <w:t>SGM, 2014; García, 2015). Actualmente el gobierno mexicano desarrolla el Programa de Desarrollo Minero “Prodemin” (2013-2018), el cual busca expandir mercados para participar en la exploración y explotación de minerales, y con ello conseguir más inversión extranjera como lo indica el reporte Behre Dolbear (2011-2014), el cual ubica  a México como el quinto país más atractivo para invertir en el sector, solo por detrás de Canadá, Australia, Estados Unidos y</w:t>
      </w:r>
      <w:r>
        <w:rPr>
          <w:spacing w:val="-12"/>
        </w:rPr>
        <w:t> </w:t>
      </w:r>
      <w:r>
        <w:rPr/>
        <w:t>Chile.</w:t>
      </w:r>
    </w:p>
    <w:p>
      <w:pPr>
        <w:pStyle w:val="BodyText"/>
        <w:spacing w:line="276" w:lineRule="auto" w:before="202"/>
        <w:ind w:left="118" w:right="114"/>
        <w:jc w:val="both"/>
      </w:pPr>
      <w:r>
        <w:rPr/>
        <w:t>En el caso del Estado de México se cuenta con recursos metálicos (Au, Ag, Pb, Zn, Cu y Cd); y no metálicos (arena, grava, tezontle, tepetate, pétreos de origen volcánico) (Servicio Geológico Mexicano, 2007), los cuales son explotados por 256 minas activas y que cubren una superficie de 191 267 ha (8.5 % de la superficie estatal). La explotación de recursos metálicos está repartida en tres regiones mineras (Tabla. 1 y Fig. 2) (SE, 2011). La actividad minera para el Estado de México genera un 8.7 % de su producto interno.</w:t>
      </w:r>
    </w:p>
    <w:p>
      <w:pPr>
        <w:pStyle w:val="BodyText"/>
        <w:rPr>
          <w:sz w:val="20"/>
        </w:rPr>
      </w:pPr>
    </w:p>
    <w:p>
      <w:pPr>
        <w:pStyle w:val="BodyText"/>
        <w:spacing w:before="1"/>
        <w:rPr>
          <w:sz w:val="18"/>
        </w:rPr>
      </w:pPr>
    </w:p>
    <w:p>
      <w:pPr>
        <w:spacing w:before="1"/>
        <w:ind w:left="1213" w:right="1741" w:firstLine="0"/>
        <w:jc w:val="center"/>
        <w:rPr>
          <w:sz w:val="20"/>
        </w:rPr>
      </w:pPr>
      <w:r>
        <w:rPr>
          <w:b/>
          <w:sz w:val="20"/>
        </w:rPr>
        <w:t>Tabla  1.  </w:t>
      </w:r>
      <w:r>
        <w:rPr>
          <w:sz w:val="20"/>
        </w:rPr>
        <w:t>Regiones mineras del Estado del México</w:t>
      </w:r>
    </w:p>
    <w:p>
      <w:pPr>
        <w:pStyle w:val="BodyText"/>
        <w:spacing w:before="6"/>
        <w:rPr>
          <w:sz w:val="10"/>
        </w:rPr>
      </w:pPr>
      <w:r>
        <w:rPr/>
        <w:drawing>
          <wp:anchor distT="0" distB="0" distL="0" distR="0" allowOverlap="1" layoutInCell="1" locked="0" behindDoc="0" simplePos="0" relativeHeight="1144">
            <wp:simplePos x="0" y="0"/>
            <wp:positionH relativeFrom="page">
              <wp:posOffset>900430</wp:posOffset>
            </wp:positionH>
            <wp:positionV relativeFrom="paragraph">
              <wp:posOffset>102118</wp:posOffset>
            </wp:positionV>
            <wp:extent cx="6000113" cy="1112996"/>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6000113" cy="1112996"/>
                    </a:xfrm>
                    <a:prstGeom prst="rect">
                      <a:avLst/>
                    </a:prstGeom>
                  </pic:spPr>
                </pic:pic>
              </a:graphicData>
            </a:graphic>
          </wp:anchor>
        </w:drawing>
      </w:r>
    </w:p>
    <w:p>
      <w:pPr>
        <w:spacing w:before="24"/>
        <w:ind w:left="1134" w:right="1741" w:firstLine="0"/>
        <w:jc w:val="center"/>
        <w:rPr>
          <w:sz w:val="20"/>
        </w:rPr>
      </w:pPr>
      <w:r>
        <w:rPr>
          <w:sz w:val="20"/>
        </w:rPr>
        <w:t>Fuente: SE-SGM, 2011</w:t>
      </w:r>
    </w:p>
    <w:p>
      <w:pPr>
        <w:pStyle w:val="BodyText"/>
        <w:rPr>
          <w:sz w:val="20"/>
        </w:rPr>
      </w:pPr>
    </w:p>
    <w:p>
      <w:pPr>
        <w:pStyle w:val="BodyText"/>
        <w:rPr>
          <w:sz w:val="20"/>
        </w:rPr>
      </w:pPr>
    </w:p>
    <w:p>
      <w:pPr>
        <w:pStyle w:val="BodyText"/>
        <w:rPr>
          <w:sz w:val="20"/>
        </w:rPr>
      </w:pPr>
    </w:p>
    <w:p>
      <w:pPr>
        <w:pStyle w:val="BodyText"/>
        <w:spacing w:before="6"/>
        <w:rPr>
          <w:sz w:val="17"/>
        </w:rPr>
      </w:pPr>
      <w:r>
        <w:rPr/>
        <w:pict>
          <v:group style="position:absolute;margin-left:81.349998pt;margin-top:12.023798pt;width:449.15pt;height:151.7pt;mso-position-horizontal-relative:page;mso-position-vertical-relative:paragraph;z-index:1192;mso-wrap-distance-left:0;mso-wrap-distance-right:0" coordorigin="1627,240" coordsize="8983,3034">
            <v:shape style="position:absolute;left:1627;top:240;width:8983;height:2599" type="#_x0000_t75" stroked="false">
              <v:imagedata r:id="rId10" o:title=""/>
            </v:shape>
            <v:rect style="position:absolute;left:1916;top:2798;width:8361;height:476" filled="true" fillcolor="#ffffff" stroked="false">
              <v:fill type="solid"/>
            </v:rect>
            <v:shape style="position:absolute;left:1627;top:240;width:8983;height:3034"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8"/>
                      </w:rPr>
                    </w:pPr>
                  </w:p>
                  <w:p>
                    <w:pPr>
                      <w:spacing w:before="0"/>
                      <w:ind w:left="766" w:right="0" w:firstLine="0"/>
                      <w:jc w:val="left"/>
                      <w:rPr>
                        <w:b/>
                        <w:sz w:val="20"/>
                      </w:rPr>
                    </w:pPr>
                    <w:r>
                      <w:rPr>
                        <w:b/>
                        <w:sz w:val="20"/>
                      </w:rPr>
                      <w:t>Fig. 2 </w:t>
                    </w:r>
                    <w:r>
                      <w:rPr>
                        <w:sz w:val="20"/>
                      </w:rPr>
                      <w:t>Localización de las regiones mineras del Estado del México (SE-SGM, 2011</w:t>
                    </w:r>
                    <w:r>
                      <w:rPr>
                        <w:b/>
                        <w:sz w:val="20"/>
                      </w:rPr>
                      <w:t>)</w:t>
                    </w:r>
                  </w:p>
                </w:txbxContent>
              </v:textbox>
              <w10:wrap type="none"/>
            </v:shape>
            <w10:wrap type="topAndBottom"/>
          </v:group>
        </w:pict>
      </w:r>
    </w:p>
    <w:p>
      <w:pPr>
        <w:spacing w:after="0"/>
        <w:rPr>
          <w:sz w:val="17"/>
        </w:rPr>
        <w:sectPr>
          <w:pgSz w:w="12240" w:h="15840"/>
          <w:pgMar w:header="0" w:footer="1480" w:top="1360" w:bottom="1680" w:left="1300" w:right="1300"/>
        </w:sectPr>
      </w:pPr>
    </w:p>
    <w:p>
      <w:pPr>
        <w:pStyle w:val="Heading2"/>
        <w:numPr>
          <w:ilvl w:val="2"/>
          <w:numId w:val="4"/>
        </w:numPr>
        <w:tabs>
          <w:tab w:pos="920" w:val="left" w:leader="none"/>
        </w:tabs>
        <w:spacing w:line="240" w:lineRule="auto" w:before="52" w:after="0"/>
        <w:ind w:left="919" w:right="0" w:hanging="701"/>
        <w:jc w:val="both"/>
      </w:pPr>
      <w:r>
        <w:rPr/>
        <w:t>Impacto de la minería en</w:t>
      </w:r>
      <w:r>
        <w:rPr>
          <w:spacing w:val="-10"/>
        </w:rPr>
        <w:t> </w:t>
      </w:r>
      <w:r>
        <w:rPr/>
        <w:t>México</w:t>
      </w:r>
    </w:p>
    <w:p>
      <w:pPr>
        <w:pStyle w:val="BodyText"/>
        <w:spacing w:before="8"/>
        <w:rPr>
          <w:b/>
        </w:rPr>
      </w:pPr>
    </w:p>
    <w:p>
      <w:pPr>
        <w:pStyle w:val="BodyText"/>
        <w:spacing w:line="276" w:lineRule="auto"/>
        <w:ind w:left="218" w:right="114"/>
        <w:jc w:val="both"/>
      </w:pPr>
      <w:r>
        <w:rPr/>
        <w:t>A primera vista la puesta en marcha de proyectos mineros trae consigo beneficios económicos como: contratación de residentes de la zona, contratistas (construcción, caminos, transporte), empleos directos, compra directa de insumos y servicios (energía, combustible, lubricantes, seguridad, mantenimiento mecánico, asistencia médica), aportes sociales directos e indirectos (red de energía, servicios de comunicación, apoyos educativos y construcción de infraestructura).</w:t>
      </w:r>
    </w:p>
    <w:p>
      <w:pPr>
        <w:pStyle w:val="BodyText"/>
        <w:spacing w:line="276" w:lineRule="auto" w:before="200"/>
        <w:ind w:left="218" w:right="117" w:firstLine="67"/>
        <w:jc w:val="both"/>
      </w:pPr>
      <w:r>
        <w:rPr/>
        <w:t>Más sin embargo el reporte de coyuntura de la minería 2013 publicado por la  Secretaria de Economía, indica que en todos los estados con actividad minera reportan conflictos en contra de esta actividad, siendo las principales denuncias: sociales, laboral, salud e impactos ambientales (Tabla.</w:t>
      </w:r>
      <w:r>
        <w:rPr>
          <w:spacing w:val="-9"/>
        </w:rPr>
        <w:t> </w:t>
      </w:r>
      <w:r>
        <w:rPr/>
        <w:t>2)</w:t>
      </w:r>
    </w:p>
    <w:p>
      <w:pPr>
        <w:spacing w:before="201"/>
        <w:ind w:left="2129" w:right="0" w:firstLine="0"/>
        <w:jc w:val="left"/>
        <w:rPr>
          <w:sz w:val="20"/>
        </w:rPr>
      </w:pPr>
      <w:r>
        <w:rPr>
          <w:b/>
          <w:sz w:val="20"/>
        </w:rPr>
        <w:t>Tabla 2. </w:t>
      </w:r>
      <w:r>
        <w:rPr>
          <w:sz w:val="20"/>
        </w:rPr>
        <w:t>Tipos de impactos causados por la minería en México</w:t>
      </w:r>
    </w:p>
    <w:p>
      <w:pPr>
        <w:pStyle w:val="BodyText"/>
        <w:rPr>
          <w:sz w:val="20"/>
        </w:rPr>
      </w:pPr>
    </w:p>
    <w:p>
      <w:pPr>
        <w:pStyle w:val="BodyText"/>
        <w:spacing w:before="3"/>
        <w:rPr>
          <w:sz w:val="19"/>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6805"/>
      </w:tblGrid>
      <w:tr>
        <w:trPr>
          <w:trHeight w:val="264" w:hRule="exact"/>
        </w:trPr>
        <w:tc>
          <w:tcPr>
            <w:tcW w:w="2552" w:type="dxa"/>
          </w:tcPr>
          <w:p>
            <w:pPr>
              <w:pStyle w:val="TableParagraph"/>
              <w:ind w:left="883" w:right="883"/>
              <w:jc w:val="center"/>
              <w:rPr>
                <w:sz w:val="22"/>
              </w:rPr>
            </w:pPr>
            <w:r>
              <w:rPr>
                <w:sz w:val="22"/>
              </w:rPr>
              <w:t>Tipo</w:t>
            </w:r>
          </w:p>
        </w:tc>
        <w:tc>
          <w:tcPr>
            <w:tcW w:w="6805" w:type="dxa"/>
          </w:tcPr>
          <w:p>
            <w:pPr>
              <w:pStyle w:val="TableParagraph"/>
              <w:ind w:left="2931" w:right="2931"/>
              <w:jc w:val="center"/>
              <w:rPr>
                <w:sz w:val="22"/>
              </w:rPr>
            </w:pPr>
            <w:r>
              <w:rPr>
                <w:sz w:val="22"/>
              </w:rPr>
              <w:t>Impactos</w:t>
            </w:r>
          </w:p>
        </w:tc>
      </w:tr>
      <w:tr>
        <w:trPr>
          <w:trHeight w:val="516" w:hRule="exact"/>
        </w:trPr>
        <w:tc>
          <w:tcPr>
            <w:tcW w:w="2552" w:type="dxa"/>
            <w:vMerge w:val="restart"/>
          </w:tcPr>
          <w:p>
            <w:pPr>
              <w:pStyle w:val="TableParagraph"/>
              <w:rPr>
                <w:sz w:val="22"/>
              </w:rPr>
            </w:pPr>
          </w:p>
          <w:p>
            <w:pPr>
              <w:pStyle w:val="TableParagraph"/>
              <w:spacing w:before="9"/>
              <w:rPr>
                <w:sz w:val="21"/>
              </w:rPr>
            </w:pPr>
          </w:p>
          <w:p>
            <w:pPr>
              <w:pStyle w:val="TableParagraph"/>
              <w:ind w:left="388"/>
              <w:rPr>
                <w:sz w:val="22"/>
              </w:rPr>
            </w:pPr>
            <w:r>
              <w:rPr>
                <w:sz w:val="22"/>
              </w:rPr>
              <w:t>Social-Económico</w:t>
            </w:r>
          </w:p>
        </w:tc>
        <w:tc>
          <w:tcPr>
            <w:tcW w:w="6805" w:type="dxa"/>
          </w:tcPr>
          <w:p>
            <w:pPr>
              <w:pStyle w:val="TableParagraph"/>
              <w:spacing w:line="242" w:lineRule="auto"/>
              <w:ind w:left="103" w:right="12"/>
              <w:rPr>
                <w:sz w:val="22"/>
              </w:rPr>
            </w:pPr>
            <w:r>
              <w:rPr>
                <w:sz w:val="22"/>
              </w:rPr>
              <w:t>Flujo humano hacia áreas poco pobladas generando aumentos en actividades económicas y demanda de recursos (Valadez, 2009).</w:t>
            </w:r>
          </w:p>
        </w:tc>
      </w:tr>
      <w:tr>
        <w:trPr>
          <w:trHeight w:val="1022" w:hRule="exact"/>
        </w:trPr>
        <w:tc>
          <w:tcPr>
            <w:tcW w:w="2552" w:type="dxa"/>
            <w:vMerge/>
          </w:tcPr>
          <w:p>
            <w:pPr/>
          </w:p>
        </w:tc>
        <w:tc>
          <w:tcPr>
            <w:tcW w:w="6805" w:type="dxa"/>
          </w:tcPr>
          <w:p>
            <w:pPr>
              <w:pStyle w:val="TableParagraph"/>
              <w:ind w:left="103" w:right="100"/>
              <w:jc w:val="both"/>
              <w:rPr>
                <w:sz w:val="22"/>
              </w:rPr>
            </w:pPr>
            <w:r>
              <w:rPr>
                <w:sz w:val="22"/>
              </w:rPr>
              <w:t>Desplazamiento forzado de comunidades indígenas “</w:t>
            </w:r>
            <w:r>
              <w:rPr>
                <w:b/>
                <w:sz w:val="22"/>
              </w:rPr>
              <w:t>Wirikuta</w:t>
            </w:r>
            <w:r>
              <w:rPr>
                <w:sz w:val="22"/>
              </w:rPr>
              <w:t>” (Lucas, 2014; Vertíz de la Fuente, 2014); represión de la población “</w:t>
            </w:r>
            <w:r>
              <w:rPr>
                <w:b/>
                <w:sz w:val="22"/>
              </w:rPr>
              <w:t>Sierrita de Galeana</w:t>
            </w:r>
            <w:r>
              <w:rPr>
                <w:sz w:val="22"/>
              </w:rPr>
              <w:t>” (Pérez, 2015) y asesinato de activistas “</w:t>
            </w:r>
            <w:r>
              <w:rPr>
                <w:b/>
                <w:sz w:val="22"/>
              </w:rPr>
              <w:t>Caso Abarca</w:t>
            </w:r>
            <w:r>
              <w:rPr>
                <w:sz w:val="22"/>
              </w:rPr>
              <w:t>” (Guillen,</w:t>
            </w:r>
            <w:r>
              <w:rPr>
                <w:spacing w:val="-9"/>
                <w:sz w:val="22"/>
              </w:rPr>
              <w:t> </w:t>
            </w:r>
            <w:r>
              <w:rPr>
                <w:sz w:val="22"/>
              </w:rPr>
              <w:t>2013).</w:t>
            </w:r>
          </w:p>
        </w:tc>
      </w:tr>
      <w:tr>
        <w:trPr>
          <w:trHeight w:val="516" w:hRule="exact"/>
        </w:trPr>
        <w:tc>
          <w:tcPr>
            <w:tcW w:w="2552" w:type="dxa"/>
            <w:vMerge w:val="restart"/>
          </w:tcPr>
          <w:p>
            <w:pPr>
              <w:pStyle w:val="TableParagraph"/>
              <w:spacing w:before="8"/>
              <w:rPr>
                <w:sz w:val="21"/>
              </w:rPr>
            </w:pPr>
          </w:p>
          <w:p>
            <w:pPr>
              <w:pStyle w:val="TableParagraph"/>
              <w:ind w:left="883" w:right="884"/>
              <w:jc w:val="center"/>
              <w:rPr>
                <w:sz w:val="22"/>
              </w:rPr>
            </w:pPr>
            <w:r>
              <w:rPr>
                <w:sz w:val="22"/>
              </w:rPr>
              <w:t>Laboral</w:t>
            </w:r>
          </w:p>
        </w:tc>
        <w:tc>
          <w:tcPr>
            <w:tcW w:w="6805" w:type="dxa"/>
          </w:tcPr>
          <w:p>
            <w:pPr>
              <w:pStyle w:val="TableParagraph"/>
              <w:spacing w:line="242" w:lineRule="auto"/>
              <w:ind w:left="103" w:right="12"/>
              <w:rPr>
                <w:sz w:val="22"/>
              </w:rPr>
            </w:pPr>
            <w:r>
              <w:rPr>
                <w:sz w:val="22"/>
              </w:rPr>
              <w:t>Incumplimiento de contrato laboral colectivo “</w:t>
            </w:r>
            <w:r>
              <w:rPr>
                <w:b/>
                <w:sz w:val="22"/>
              </w:rPr>
              <w:t>Grupo México</w:t>
            </w:r>
            <w:r>
              <w:rPr>
                <w:sz w:val="22"/>
              </w:rPr>
              <w:t>” (Flores, 2008).</w:t>
            </w:r>
          </w:p>
        </w:tc>
      </w:tr>
      <w:tr>
        <w:trPr>
          <w:trHeight w:val="262" w:hRule="exact"/>
        </w:trPr>
        <w:tc>
          <w:tcPr>
            <w:tcW w:w="2552" w:type="dxa"/>
            <w:vMerge/>
          </w:tcPr>
          <w:p>
            <w:pPr/>
          </w:p>
        </w:tc>
        <w:tc>
          <w:tcPr>
            <w:tcW w:w="6805" w:type="dxa"/>
          </w:tcPr>
          <w:p>
            <w:pPr>
              <w:pStyle w:val="TableParagraph"/>
              <w:spacing w:line="248" w:lineRule="exact"/>
              <w:ind w:left="103" w:right="12"/>
              <w:rPr>
                <w:sz w:val="22"/>
              </w:rPr>
            </w:pPr>
            <w:r>
              <w:rPr>
                <w:sz w:val="22"/>
              </w:rPr>
              <w:t>Malas prácticas de seguridad “</w:t>
            </w:r>
            <w:r>
              <w:rPr>
                <w:b/>
                <w:sz w:val="22"/>
              </w:rPr>
              <w:t>Grupo Carso</w:t>
            </w:r>
            <w:r>
              <w:rPr>
                <w:sz w:val="22"/>
              </w:rPr>
              <w:t>” (Carrillo, 2013).</w:t>
            </w:r>
          </w:p>
        </w:tc>
      </w:tr>
      <w:tr>
        <w:trPr>
          <w:trHeight w:val="264" w:hRule="exact"/>
        </w:trPr>
        <w:tc>
          <w:tcPr>
            <w:tcW w:w="2552" w:type="dxa"/>
            <w:vMerge/>
          </w:tcPr>
          <w:p>
            <w:pPr/>
          </w:p>
        </w:tc>
        <w:tc>
          <w:tcPr>
            <w:tcW w:w="6805" w:type="dxa"/>
          </w:tcPr>
          <w:p>
            <w:pPr>
              <w:pStyle w:val="TableParagraph"/>
              <w:spacing w:line="251" w:lineRule="exact"/>
              <w:ind w:left="103" w:right="12"/>
              <w:rPr>
                <w:sz w:val="22"/>
              </w:rPr>
            </w:pPr>
            <w:r>
              <w:rPr>
                <w:sz w:val="22"/>
              </w:rPr>
              <w:t>Despidos injustificados “</w:t>
            </w:r>
            <w:r>
              <w:rPr>
                <w:b/>
                <w:sz w:val="22"/>
              </w:rPr>
              <w:t>Grupo Peñoles</w:t>
            </w:r>
            <w:r>
              <w:rPr>
                <w:sz w:val="22"/>
              </w:rPr>
              <w:t>” (García, 2015).</w:t>
            </w:r>
          </w:p>
        </w:tc>
      </w:tr>
      <w:tr>
        <w:trPr>
          <w:trHeight w:val="1022" w:hRule="exact"/>
        </w:trPr>
        <w:tc>
          <w:tcPr>
            <w:tcW w:w="2552" w:type="dxa"/>
            <w:vMerge w:val="restart"/>
          </w:tcPr>
          <w:p>
            <w:pPr>
              <w:pStyle w:val="TableParagraph"/>
              <w:rPr>
                <w:sz w:val="22"/>
              </w:rPr>
            </w:pPr>
          </w:p>
          <w:p>
            <w:pPr>
              <w:pStyle w:val="TableParagraph"/>
              <w:spacing w:before="9"/>
              <w:rPr>
                <w:sz w:val="21"/>
              </w:rPr>
            </w:pPr>
          </w:p>
          <w:p>
            <w:pPr>
              <w:pStyle w:val="TableParagraph"/>
              <w:ind w:left="103"/>
              <w:rPr>
                <w:sz w:val="22"/>
              </w:rPr>
            </w:pPr>
            <w:r>
              <w:rPr>
                <w:sz w:val="22"/>
              </w:rPr>
              <w:t>Afectaciones a la Salud</w:t>
            </w:r>
          </w:p>
        </w:tc>
        <w:tc>
          <w:tcPr>
            <w:tcW w:w="6805" w:type="dxa"/>
          </w:tcPr>
          <w:p>
            <w:pPr>
              <w:pStyle w:val="TableParagraph"/>
              <w:ind w:left="103" w:right="103"/>
              <w:jc w:val="both"/>
              <w:rPr>
                <w:sz w:val="22"/>
              </w:rPr>
            </w:pPr>
            <w:r>
              <w:rPr>
                <w:sz w:val="22"/>
              </w:rPr>
              <w:t>Inmediatamente los trabajadores de mina presentan vómitos, asfixia, cáncer, pérdida de conciencia, perdida de tejido pulmonar, bronquitis, inflamación de riñones, entre otras afectaciones a la salud (OIT, 1991; WHO, 2015).</w:t>
            </w:r>
          </w:p>
        </w:tc>
      </w:tr>
      <w:tr>
        <w:trPr>
          <w:trHeight w:val="768" w:hRule="exact"/>
        </w:trPr>
        <w:tc>
          <w:tcPr>
            <w:tcW w:w="2552" w:type="dxa"/>
            <w:vMerge/>
          </w:tcPr>
          <w:p>
            <w:pPr/>
          </w:p>
        </w:tc>
        <w:tc>
          <w:tcPr>
            <w:tcW w:w="6805" w:type="dxa"/>
          </w:tcPr>
          <w:p>
            <w:pPr>
              <w:pStyle w:val="TableParagraph"/>
              <w:ind w:left="103" w:right="102"/>
              <w:jc w:val="both"/>
              <w:rPr>
                <w:sz w:val="22"/>
              </w:rPr>
            </w:pPr>
            <w:r>
              <w:rPr>
                <w:sz w:val="22"/>
              </w:rPr>
              <w:t>En poblaciones cercanas a complejos mineros se han observado procesos de osteoporosis, dermatitis, gastroenteritis, cáncer, altos niveles de metales en sangre (Acosta, 2014; Gutiérrez, 2015).</w:t>
            </w:r>
          </w:p>
        </w:tc>
      </w:tr>
    </w:tbl>
    <w:p>
      <w:pPr>
        <w:spacing w:after="0"/>
        <w:jc w:val="both"/>
        <w:rPr>
          <w:sz w:val="22"/>
        </w:rPr>
        <w:sectPr>
          <w:pgSz w:w="12240" w:h="15840"/>
          <w:pgMar w:header="0" w:footer="1480" w:top="1360" w:bottom="1680" w:left="1200" w:right="1300"/>
        </w:sectPr>
      </w:pPr>
    </w:p>
    <w:p>
      <w:pPr>
        <w:pStyle w:val="Heading2"/>
        <w:numPr>
          <w:ilvl w:val="2"/>
          <w:numId w:val="4"/>
        </w:numPr>
        <w:tabs>
          <w:tab w:pos="999" w:val="left" w:leader="none"/>
        </w:tabs>
        <w:spacing w:line="240" w:lineRule="auto" w:before="52" w:after="0"/>
        <w:ind w:left="998" w:right="0" w:hanging="780"/>
        <w:jc w:val="both"/>
      </w:pPr>
      <w:r>
        <w:rPr/>
        <w:t>Impacto</w:t>
      </w:r>
      <w:r>
        <w:rPr>
          <w:spacing w:val="-8"/>
        </w:rPr>
        <w:t> </w:t>
      </w:r>
      <w:r>
        <w:rPr/>
        <w:t>Ambiental</w:t>
      </w:r>
    </w:p>
    <w:p>
      <w:pPr>
        <w:pStyle w:val="BodyText"/>
        <w:spacing w:before="8"/>
        <w:rPr>
          <w:b/>
        </w:rPr>
      </w:pPr>
    </w:p>
    <w:p>
      <w:pPr>
        <w:pStyle w:val="BodyText"/>
        <w:spacing w:line="276" w:lineRule="auto"/>
        <w:ind w:left="218" w:right="152"/>
        <w:jc w:val="both"/>
      </w:pPr>
      <w:r>
        <w:rPr/>
        <w:t>México cuenta con normativas oficiales respecto al manejo de los residuos de  la minería como lo son NOM-157-SEMARNAT-2009 y NOM-141-SEMARNAT-2003; pero con todo y ello la minería ha generado por décadas gran cantidad de desechos y contaminación de suelo, agua y aire, además de provocar la destrucción de la flora y fauna en gran parte del país (aproximadamente 25% del territorio nacional), así lo menciona el Instituto Nacional de Ecología (2007) en su estudio Tecnología de remediación para sitios contaminados. Es innegable (Tabla 3) que la industria minera tenga un impacto devastador y preocupante en su entorno, pues poco a poco han contaminado los recursos hídricos, edáficos, calidad del aire, flora, vida silvestre  (ELAW,</w:t>
      </w:r>
      <w:r>
        <w:rPr>
          <w:spacing w:val="-4"/>
        </w:rPr>
        <w:t> </w:t>
      </w:r>
      <w:r>
        <w:rPr/>
        <w:t>2010).</w:t>
      </w:r>
    </w:p>
    <w:p>
      <w:pPr>
        <w:pStyle w:val="BodyText"/>
        <w:spacing w:before="8"/>
        <w:rPr>
          <w:sz w:val="23"/>
        </w:rPr>
      </w:pPr>
    </w:p>
    <w:p>
      <w:pPr>
        <w:spacing w:before="1" w:after="6"/>
        <w:ind w:left="1711" w:right="0" w:firstLine="0"/>
        <w:jc w:val="left"/>
        <w:rPr>
          <w:sz w:val="20"/>
        </w:rPr>
      </w:pPr>
      <w:r>
        <w:rPr>
          <w:b/>
          <w:sz w:val="20"/>
        </w:rPr>
        <w:t>Tabla 3. </w:t>
      </w:r>
      <w:r>
        <w:rPr>
          <w:sz w:val="20"/>
        </w:rPr>
        <w:t>Afectaciones ambientales provocadas por la minería en México</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7312"/>
      </w:tblGrid>
      <w:tr>
        <w:trPr>
          <w:trHeight w:val="262" w:hRule="exact"/>
        </w:trPr>
        <w:tc>
          <w:tcPr>
            <w:tcW w:w="2235" w:type="dxa"/>
          </w:tcPr>
          <w:p>
            <w:pPr>
              <w:pStyle w:val="TableParagraph"/>
              <w:spacing w:line="251" w:lineRule="exact"/>
              <w:ind w:left="719"/>
              <w:rPr>
                <w:sz w:val="22"/>
              </w:rPr>
            </w:pPr>
            <w:r>
              <w:rPr>
                <w:sz w:val="22"/>
              </w:rPr>
              <w:t>Impacto</w:t>
            </w:r>
          </w:p>
        </w:tc>
        <w:tc>
          <w:tcPr>
            <w:tcW w:w="7312" w:type="dxa"/>
          </w:tcPr>
          <w:p>
            <w:pPr>
              <w:pStyle w:val="TableParagraph"/>
              <w:spacing w:line="251" w:lineRule="exact"/>
              <w:ind w:left="3318" w:right="3319"/>
              <w:jc w:val="center"/>
              <w:rPr>
                <w:sz w:val="22"/>
              </w:rPr>
            </w:pPr>
            <w:r>
              <w:rPr>
                <w:sz w:val="22"/>
              </w:rPr>
              <w:t>Efecto</w:t>
            </w:r>
          </w:p>
        </w:tc>
      </w:tr>
      <w:tr>
        <w:trPr>
          <w:trHeight w:val="1644" w:hRule="exact"/>
        </w:trPr>
        <w:tc>
          <w:tcPr>
            <w:tcW w:w="2235" w:type="dxa"/>
          </w:tcPr>
          <w:p>
            <w:pPr>
              <w:pStyle w:val="TableParagraph"/>
              <w:rPr>
                <w:sz w:val="22"/>
              </w:rPr>
            </w:pPr>
          </w:p>
          <w:p>
            <w:pPr>
              <w:pStyle w:val="TableParagraph"/>
              <w:spacing w:before="9"/>
              <w:rPr>
                <w:sz w:val="21"/>
              </w:rPr>
            </w:pPr>
          </w:p>
          <w:p>
            <w:pPr>
              <w:pStyle w:val="TableParagraph"/>
              <w:ind w:left="323"/>
              <w:rPr>
                <w:sz w:val="22"/>
              </w:rPr>
            </w:pPr>
            <w:r>
              <w:rPr>
                <w:sz w:val="22"/>
              </w:rPr>
              <w:t>Recurso Hídrico</w:t>
            </w:r>
          </w:p>
        </w:tc>
        <w:tc>
          <w:tcPr>
            <w:tcW w:w="7312" w:type="dxa"/>
          </w:tcPr>
          <w:p>
            <w:pPr>
              <w:pStyle w:val="TableParagraph"/>
              <w:ind w:left="103" w:right="106"/>
              <w:jc w:val="both"/>
              <w:rPr>
                <w:sz w:val="24"/>
              </w:rPr>
            </w:pPr>
            <w:r>
              <w:rPr>
                <w:sz w:val="22"/>
              </w:rPr>
              <w:t>Provoca desvió de cauces naturales impidiendo la recarga de acuíferos (</w:t>
            </w:r>
            <w:r>
              <w:rPr>
                <w:sz w:val="24"/>
              </w:rPr>
              <w:t>Oyarzun </w:t>
            </w:r>
            <w:r>
              <w:rPr>
                <w:i/>
                <w:sz w:val="24"/>
              </w:rPr>
              <w:t>et al</w:t>
            </w:r>
            <w:r>
              <w:rPr>
                <w:sz w:val="24"/>
              </w:rPr>
              <w:t>., 2011), afectaciones superficiales por metales pesados o cianuros, generación de drenaje ácido de mina, procesos de erosión, lixiviación de metales pesados, descenso a niveles freáticos de hidrocarburos, reactivos, sales minerales (ELAW, 2010; </w:t>
            </w:r>
            <w:r>
              <w:rPr>
                <w:sz w:val="22"/>
              </w:rPr>
              <w:t>Miranda, 2014; Enciso, 2014</w:t>
            </w:r>
            <w:r>
              <w:rPr>
                <w:sz w:val="24"/>
              </w:rPr>
              <w:t>).</w:t>
            </w:r>
          </w:p>
        </w:tc>
      </w:tr>
      <w:tr>
        <w:trPr>
          <w:trHeight w:val="1620" w:hRule="exact"/>
        </w:trPr>
        <w:tc>
          <w:tcPr>
            <w:tcW w:w="2235" w:type="dxa"/>
          </w:tcPr>
          <w:p>
            <w:pPr>
              <w:pStyle w:val="TableParagraph"/>
              <w:rPr>
                <w:sz w:val="22"/>
              </w:rPr>
            </w:pPr>
          </w:p>
          <w:p>
            <w:pPr>
              <w:pStyle w:val="TableParagraph"/>
              <w:rPr>
                <w:sz w:val="22"/>
              </w:rPr>
            </w:pPr>
          </w:p>
          <w:p>
            <w:pPr>
              <w:pStyle w:val="TableParagraph"/>
              <w:spacing w:before="9"/>
              <w:rPr>
                <w:sz w:val="21"/>
              </w:rPr>
            </w:pPr>
          </w:p>
          <w:p>
            <w:pPr>
              <w:pStyle w:val="TableParagraph"/>
              <w:ind w:left="725" w:right="725"/>
              <w:jc w:val="center"/>
              <w:rPr>
                <w:sz w:val="22"/>
              </w:rPr>
            </w:pPr>
            <w:r>
              <w:rPr>
                <w:sz w:val="22"/>
              </w:rPr>
              <w:t>Edáfico</w:t>
            </w:r>
          </w:p>
        </w:tc>
        <w:tc>
          <w:tcPr>
            <w:tcW w:w="7312" w:type="dxa"/>
          </w:tcPr>
          <w:p>
            <w:pPr>
              <w:pStyle w:val="TableParagraph"/>
              <w:ind w:left="103" w:right="102"/>
              <w:jc w:val="both"/>
              <w:rPr>
                <w:sz w:val="24"/>
              </w:rPr>
            </w:pPr>
            <w:r>
              <w:rPr>
                <w:sz w:val="22"/>
              </w:rPr>
              <w:t>Apelmazamiento causado por depósitos de partículas trasportadas por la atmosfera o lluvia, degradación y oxidación de materia orgánica, movilización o inmovilización de metales, perdida de estructura (</w:t>
            </w:r>
            <w:r>
              <w:rPr>
                <w:sz w:val="24"/>
              </w:rPr>
              <w:t>Porta  </w:t>
            </w:r>
            <w:r>
              <w:rPr>
                <w:i/>
                <w:sz w:val="24"/>
              </w:rPr>
              <w:t>et al</w:t>
            </w:r>
            <w:r>
              <w:rPr>
                <w:sz w:val="24"/>
              </w:rPr>
              <w:t>., 1999), variación de la textura, procesos de  salinidad  (ELAW, 2010), acidifición por sulfuros y DAM, procesos de  erosión y lixiviación de metales (Oyarzun </w:t>
            </w:r>
            <w:r>
              <w:rPr>
                <w:i/>
                <w:sz w:val="24"/>
              </w:rPr>
              <w:t>et al</w:t>
            </w:r>
            <w:r>
              <w:rPr>
                <w:sz w:val="24"/>
              </w:rPr>
              <w:t>.,</w:t>
            </w:r>
            <w:r>
              <w:rPr>
                <w:spacing w:val="-12"/>
                <w:sz w:val="24"/>
              </w:rPr>
              <w:t> </w:t>
            </w:r>
            <w:r>
              <w:rPr>
                <w:sz w:val="24"/>
              </w:rPr>
              <w:t>2011).</w:t>
            </w:r>
          </w:p>
        </w:tc>
      </w:tr>
      <w:tr>
        <w:trPr>
          <w:trHeight w:val="1068" w:hRule="exact"/>
        </w:trPr>
        <w:tc>
          <w:tcPr>
            <w:tcW w:w="2235" w:type="dxa"/>
          </w:tcPr>
          <w:p>
            <w:pPr>
              <w:pStyle w:val="TableParagraph"/>
              <w:spacing w:before="8"/>
              <w:rPr>
                <w:sz w:val="21"/>
              </w:rPr>
            </w:pPr>
          </w:p>
          <w:p>
            <w:pPr>
              <w:pStyle w:val="TableParagraph"/>
              <w:ind w:left="472"/>
              <w:rPr>
                <w:sz w:val="22"/>
              </w:rPr>
            </w:pPr>
            <w:r>
              <w:rPr>
                <w:sz w:val="22"/>
              </w:rPr>
              <w:t>Calidad del Aire</w:t>
            </w:r>
          </w:p>
        </w:tc>
        <w:tc>
          <w:tcPr>
            <w:tcW w:w="7312" w:type="dxa"/>
          </w:tcPr>
          <w:p>
            <w:pPr>
              <w:pStyle w:val="TableParagraph"/>
              <w:ind w:left="103" w:right="101"/>
              <w:jc w:val="both"/>
              <w:rPr>
                <w:sz w:val="24"/>
              </w:rPr>
            </w:pPr>
            <w:r>
              <w:rPr>
                <w:sz w:val="22"/>
              </w:rPr>
              <w:t>Generación de partículas suspendidas (excavación, voladura,  transporte, erosión eólica), emisión de gases de fuentes móviles (vehículos), emisiones gaseosas por quema de combustibles (</w:t>
            </w:r>
            <w:r>
              <w:rPr>
                <w:sz w:val="24"/>
              </w:rPr>
              <w:t>ELAW, 2010).</w:t>
            </w:r>
          </w:p>
        </w:tc>
      </w:tr>
      <w:tr>
        <w:trPr>
          <w:trHeight w:val="1274" w:hRule="exact"/>
        </w:trPr>
        <w:tc>
          <w:tcPr>
            <w:tcW w:w="2235" w:type="dxa"/>
          </w:tcPr>
          <w:p>
            <w:pPr>
              <w:pStyle w:val="TableParagraph"/>
              <w:spacing w:before="8"/>
              <w:rPr>
                <w:sz w:val="21"/>
              </w:rPr>
            </w:pPr>
          </w:p>
          <w:p>
            <w:pPr>
              <w:pStyle w:val="TableParagraph"/>
              <w:ind w:left="439"/>
              <w:rPr>
                <w:sz w:val="22"/>
              </w:rPr>
            </w:pPr>
            <w:r>
              <w:rPr>
                <w:sz w:val="22"/>
              </w:rPr>
              <w:t>Vida Silvestre</w:t>
            </w:r>
          </w:p>
        </w:tc>
        <w:tc>
          <w:tcPr>
            <w:tcW w:w="7312" w:type="dxa"/>
          </w:tcPr>
          <w:p>
            <w:pPr>
              <w:pStyle w:val="TableParagraph"/>
              <w:ind w:left="103" w:right="104"/>
              <w:jc w:val="both"/>
              <w:rPr>
                <w:sz w:val="22"/>
              </w:rPr>
            </w:pPr>
            <w:r>
              <w:rPr>
                <w:sz w:val="22"/>
              </w:rPr>
              <w:t>Provoca migración de especies a causa del ruido, envenenamiento por reactivos residuales (cianuros) en cuerpos de agua, disminución de zonas verdes por tala para descapote del proyecto, contaminación del aire por polución y emisión de gases, mutaciones genéticas causadas por reactivos de minería  (BID, 2013)</w:t>
            </w:r>
          </w:p>
        </w:tc>
      </w:tr>
    </w:tbl>
    <w:p>
      <w:pPr>
        <w:spacing w:after="0"/>
        <w:jc w:val="both"/>
        <w:rPr>
          <w:sz w:val="22"/>
        </w:rPr>
        <w:sectPr>
          <w:pgSz w:w="12240" w:h="15840"/>
          <w:pgMar w:header="0" w:footer="1480" w:top="1360" w:bottom="1680" w:left="1200" w:right="1260"/>
        </w:sectPr>
      </w:pPr>
    </w:p>
    <w:p>
      <w:pPr>
        <w:pStyle w:val="Heading2"/>
        <w:numPr>
          <w:ilvl w:val="1"/>
          <w:numId w:val="4"/>
        </w:numPr>
        <w:tabs>
          <w:tab w:pos="664" w:val="left" w:leader="none"/>
        </w:tabs>
        <w:spacing w:line="240" w:lineRule="auto" w:before="35" w:after="0"/>
        <w:ind w:left="663" w:right="0" w:hanging="545"/>
        <w:jc w:val="both"/>
      </w:pPr>
      <w:r>
        <w:rPr/>
        <w:t>Métodos Electroquímicos y el</w:t>
      </w:r>
      <w:r>
        <w:rPr>
          <w:spacing w:val="-15"/>
        </w:rPr>
        <w:t> </w:t>
      </w:r>
      <w:r>
        <w:rPr/>
        <w:t>Ambiente</w:t>
      </w:r>
    </w:p>
    <w:p>
      <w:pPr>
        <w:pStyle w:val="BodyText"/>
        <w:spacing w:before="10"/>
        <w:rPr>
          <w:b/>
          <w:sz w:val="32"/>
        </w:rPr>
      </w:pPr>
    </w:p>
    <w:p>
      <w:pPr>
        <w:pStyle w:val="BodyText"/>
        <w:spacing w:line="276" w:lineRule="auto"/>
        <w:ind w:left="118" w:right="113"/>
        <w:jc w:val="both"/>
      </w:pPr>
      <w:r>
        <w:rPr/>
        <w:t>La electroquímica constituye un amplio campo de las ciencias químicas y aborda el estudio de los cambios químicos que produce la corriente eléctrica y la generación de electricidad mediante reacciones químicas (Vante, 2003; Barrera </w:t>
      </w:r>
      <w:r>
        <w:rPr>
          <w:i/>
        </w:rPr>
        <w:t>et al</w:t>
      </w:r>
      <w:r>
        <w:rPr/>
        <w:t>., 2011). Todas  las reacciones electroquímicas comprenden la transferencia de electrones y por lo tanto son reacciones de oxido-reducción. Los sitios de oxidación y reducción están separados físicamente, por ánodo y cátodo</w:t>
      </w:r>
      <w:r>
        <w:rPr>
          <w:spacing w:val="-16"/>
        </w:rPr>
        <w:t> </w:t>
      </w:r>
      <w:r>
        <w:rPr/>
        <w:t>respectivamente.</w:t>
      </w:r>
    </w:p>
    <w:p>
      <w:pPr>
        <w:pStyle w:val="BodyText"/>
        <w:spacing w:before="9"/>
        <w:rPr>
          <w:sz w:val="27"/>
        </w:rPr>
      </w:pPr>
    </w:p>
    <w:p>
      <w:pPr>
        <w:pStyle w:val="BodyText"/>
        <w:spacing w:line="276" w:lineRule="auto" w:after="5"/>
        <w:ind w:left="118" w:right="112"/>
        <w:jc w:val="both"/>
      </w:pPr>
      <w:r>
        <w:rPr/>
        <w:t>Cuando se aplica una corriente eléctrica (Fig.3), a una solución de ácido, bases, sales ó ciertas sustancias en estado de fusión, la conducción eléctrica se presenta  acompañada por cambio de naturaleza física y química. Tal conducción se llama electrolítica y esta reacción se conoce como “electrolisis” (destrucción por electricidad); esta reacción se distingue por el hecho de que los productos de la reacción aparecen separados uno del otro suspendidos en una sola masa o en los electrodos a través de los cuales la corriente eléctrica entra o sale del líquido o electrolito (Barrera </w:t>
      </w:r>
      <w:r>
        <w:rPr>
          <w:i/>
        </w:rPr>
        <w:t>et al</w:t>
      </w:r>
      <w:r>
        <w:rPr/>
        <w:t>., 2011; Cantera,</w:t>
      </w:r>
      <w:r>
        <w:rPr>
          <w:spacing w:val="-2"/>
        </w:rPr>
        <w:t> </w:t>
      </w:r>
      <w:r>
        <w:rPr/>
        <w:t>2013).</w:t>
      </w:r>
    </w:p>
    <w:p>
      <w:pPr>
        <w:pStyle w:val="BodyText"/>
        <w:ind w:left="2704"/>
        <w:rPr>
          <w:sz w:val="20"/>
        </w:rPr>
      </w:pPr>
      <w:r>
        <w:rPr>
          <w:sz w:val="20"/>
        </w:rPr>
        <w:drawing>
          <wp:inline distT="0" distB="0" distL="0" distR="0">
            <wp:extent cx="2675938" cy="2114550"/>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2675938" cy="2114550"/>
                    </a:xfrm>
                    <a:prstGeom prst="rect">
                      <a:avLst/>
                    </a:prstGeom>
                  </pic:spPr>
                </pic:pic>
              </a:graphicData>
            </a:graphic>
          </wp:inline>
        </w:drawing>
      </w:r>
      <w:r>
        <w:rPr>
          <w:sz w:val="20"/>
        </w:rPr>
      </w:r>
    </w:p>
    <w:p>
      <w:pPr>
        <w:pStyle w:val="BodyText"/>
        <w:spacing w:before="9"/>
        <w:rPr>
          <w:sz w:val="20"/>
        </w:rPr>
      </w:pPr>
    </w:p>
    <w:p>
      <w:pPr>
        <w:spacing w:before="0"/>
        <w:ind w:left="2922" w:right="0" w:firstLine="0"/>
        <w:jc w:val="left"/>
        <w:rPr>
          <w:b/>
          <w:sz w:val="20"/>
        </w:rPr>
      </w:pPr>
      <w:r>
        <w:rPr>
          <w:b/>
          <w:sz w:val="20"/>
        </w:rPr>
        <w:t>Fig.3.  Celda Electrolítica  (Hani, 2009)</w:t>
      </w:r>
    </w:p>
    <w:p>
      <w:pPr>
        <w:pStyle w:val="BodyText"/>
        <w:rPr>
          <w:b/>
          <w:sz w:val="20"/>
        </w:rPr>
      </w:pPr>
    </w:p>
    <w:p>
      <w:pPr>
        <w:pStyle w:val="BodyText"/>
        <w:spacing w:before="4"/>
        <w:rPr>
          <w:b/>
        </w:rPr>
      </w:pPr>
    </w:p>
    <w:p>
      <w:pPr>
        <w:pStyle w:val="BodyText"/>
        <w:spacing w:line="276" w:lineRule="auto"/>
        <w:ind w:left="118" w:right="112"/>
        <w:jc w:val="both"/>
      </w:pPr>
      <w:r>
        <w:rPr/>
        <w:t>Durante mucho tiempo se han conocido los métodos electroquímicos pero sólo recientemente se han empleado para el tratamiento de una gran variedad de aguas residuales en particular efluentes industriales (Abbas </w:t>
      </w:r>
      <w:r>
        <w:rPr>
          <w:i/>
        </w:rPr>
        <w:t>et al</w:t>
      </w:r>
      <w:r>
        <w:rPr/>
        <w:t>., 2013), estos métodos han atraído considerablemente la atención por su compatibilidad con el ambiente que han llegado a ser considerados “reactivos limpios” (Gu </w:t>
      </w:r>
      <w:r>
        <w:rPr>
          <w:i/>
        </w:rPr>
        <w:t>et al</w:t>
      </w:r>
      <w:r>
        <w:rPr/>
        <w:t>., 2009; Kabdas </w:t>
      </w:r>
      <w:r>
        <w:rPr>
          <w:i/>
        </w:rPr>
        <w:t>et al</w:t>
      </w:r>
      <w:r>
        <w:rPr/>
        <w:t>., 2009).</w:t>
      </w:r>
    </w:p>
    <w:p>
      <w:pPr>
        <w:pStyle w:val="BodyText"/>
        <w:spacing w:before="3"/>
        <w:ind w:left="118"/>
        <w:jc w:val="both"/>
      </w:pPr>
      <w:r>
        <w:rPr/>
        <w:t>El uso de técnicas electroquímicas presenta varias ventajas:</w:t>
      </w:r>
    </w:p>
    <w:p>
      <w:pPr>
        <w:spacing w:after="0"/>
        <w:jc w:val="both"/>
        <w:sectPr>
          <w:pgSz w:w="12240" w:h="15840"/>
          <w:pgMar w:header="0" w:footer="1480" w:top="1380" w:bottom="1680" w:left="1300" w:right="1300"/>
        </w:sectPr>
      </w:pPr>
    </w:p>
    <w:p>
      <w:pPr>
        <w:pStyle w:val="ListParagraph"/>
        <w:numPr>
          <w:ilvl w:val="0"/>
          <w:numId w:val="5"/>
        </w:numPr>
        <w:tabs>
          <w:tab w:pos="1199" w:val="left" w:leader="none"/>
        </w:tabs>
        <w:spacing w:line="240" w:lineRule="auto" w:before="56" w:after="0"/>
        <w:ind w:left="1198" w:right="0" w:hanging="360"/>
        <w:jc w:val="left"/>
        <w:rPr>
          <w:sz w:val="24"/>
        </w:rPr>
      </w:pPr>
      <w:r>
        <w:rPr>
          <w:sz w:val="24"/>
        </w:rPr>
        <w:t>El metal se recupera en su forma de mayor</w:t>
      </w:r>
      <w:r>
        <w:rPr>
          <w:spacing w:val="-10"/>
          <w:sz w:val="24"/>
        </w:rPr>
        <w:t> </w:t>
      </w:r>
      <w:r>
        <w:rPr>
          <w:sz w:val="24"/>
        </w:rPr>
        <w:t>valor</w:t>
      </w:r>
    </w:p>
    <w:p>
      <w:pPr>
        <w:pStyle w:val="ListParagraph"/>
        <w:numPr>
          <w:ilvl w:val="0"/>
          <w:numId w:val="5"/>
        </w:numPr>
        <w:tabs>
          <w:tab w:pos="1199" w:val="left" w:leader="none"/>
        </w:tabs>
        <w:spacing w:line="240" w:lineRule="auto" w:before="41" w:after="0"/>
        <w:ind w:left="1198" w:right="0" w:hanging="360"/>
        <w:jc w:val="left"/>
        <w:rPr>
          <w:sz w:val="24"/>
        </w:rPr>
      </w:pPr>
      <w:r>
        <w:rPr>
          <w:sz w:val="24"/>
        </w:rPr>
        <w:t>No se necesitan agentes extras, el agua se puede</w:t>
      </w:r>
      <w:r>
        <w:rPr>
          <w:spacing w:val="-19"/>
          <w:sz w:val="24"/>
        </w:rPr>
        <w:t> </w:t>
      </w:r>
      <w:r>
        <w:rPr>
          <w:sz w:val="24"/>
        </w:rPr>
        <w:t>reciclar</w:t>
      </w:r>
    </w:p>
    <w:p>
      <w:pPr>
        <w:pStyle w:val="ListParagraph"/>
        <w:numPr>
          <w:ilvl w:val="0"/>
          <w:numId w:val="5"/>
        </w:numPr>
        <w:tabs>
          <w:tab w:pos="1199" w:val="left" w:leader="none"/>
        </w:tabs>
        <w:spacing w:line="240" w:lineRule="auto" w:before="41" w:after="0"/>
        <w:ind w:left="1198" w:right="0" w:hanging="360"/>
        <w:jc w:val="left"/>
        <w:rPr>
          <w:sz w:val="24"/>
        </w:rPr>
      </w:pPr>
      <w:r>
        <w:rPr>
          <w:sz w:val="24"/>
        </w:rPr>
        <w:t>Se puede lograr un control electroquímico del pH de la</w:t>
      </w:r>
      <w:r>
        <w:rPr>
          <w:spacing w:val="-19"/>
          <w:sz w:val="24"/>
        </w:rPr>
        <w:t> </w:t>
      </w:r>
      <w:r>
        <w:rPr>
          <w:sz w:val="24"/>
        </w:rPr>
        <w:t>solución</w:t>
      </w:r>
    </w:p>
    <w:p>
      <w:pPr>
        <w:pStyle w:val="ListParagraph"/>
        <w:numPr>
          <w:ilvl w:val="0"/>
          <w:numId w:val="5"/>
        </w:numPr>
        <w:tabs>
          <w:tab w:pos="1199" w:val="left" w:leader="none"/>
        </w:tabs>
        <w:spacing w:line="240" w:lineRule="auto" w:before="43" w:after="0"/>
        <w:ind w:left="1198" w:right="0" w:hanging="360"/>
        <w:jc w:val="left"/>
        <w:rPr>
          <w:sz w:val="24"/>
        </w:rPr>
      </w:pPr>
      <w:r>
        <w:rPr>
          <w:sz w:val="24"/>
        </w:rPr>
        <w:t>Minimiza la producción de</w:t>
      </w:r>
      <w:r>
        <w:rPr>
          <w:spacing w:val="-7"/>
          <w:sz w:val="24"/>
        </w:rPr>
        <w:t> </w:t>
      </w:r>
      <w:r>
        <w:rPr>
          <w:sz w:val="24"/>
        </w:rPr>
        <w:t>lodos</w:t>
      </w:r>
    </w:p>
    <w:p>
      <w:pPr>
        <w:pStyle w:val="ListParagraph"/>
        <w:numPr>
          <w:ilvl w:val="0"/>
          <w:numId w:val="5"/>
        </w:numPr>
        <w:tabs>
          <w:tab w:pos="1199" w:val="left" w:leader="none"/>
        </w:tabs>
        <w:spacing w:line="240" w:lineRule="auto" w:before="41" w:after="0"/>
        <w:ind w:left="1198" w:right="0" w:hanging="360"/>
        <w:jc w:val="left"/>
        <w:rPr>
          <w:sz w:val="24"/>
        </w:rPr>
      </w:pPr>
      <w:r>
        <w:rPr>
          <w:sz w:val="24"/>
        </w:rPr>
        <w:t>Disposición selectiva de</w:t>
      </w:r>
      <w:r>
        <w:rPr>
          <w:spacing w:val="-6"/>
          <w:sz w:val="24"/>
        </w:rPr>
        <w:t> </w:t>
      </w:r>
      <w:r>
        <w:rPr>
          <w:sz w:val="24"/>
        </w:rPr>
        <w:t>metales</w:t>
      </w:r>
    </w:p>
    <w:p>
      <w:pPr>
        <w:pStyle w:val="ListParagraph"/>
        <w:numPr>
          <w:ilvl w:val="0"/>
          <w:numId w:val="5"/>
        </w:numPr>
        <w:tabs>
          <w:tab w:pos="1199" w:val="left" w:leader="none"/>
        </w:tabs>
        <w:spacing w:line="240" w:lineRule="auto" w:before="41" w:after="0"/>
        <w:ind w:left="1198" w:right="0" w:hanging="360"/>
        <w:jc w:val="left"/>
        <w:rPr>
          <w:sz w:val="24"/>
        </w:rPr>
      </w:pPr>
      <w:r>
        <w:rPr>
          <w:sz w:val="24"/>
        </w:rPr>
        <w:t>Costos de operación</w:t>
      </w:r>
      <w:r>
        <w:rPr>
          <w:spacing w:val="-6"/>
          <w:sz w:val="24"/>
        </w:rPr>
        <w:t> </w:t>
      </w:r>
      <w:r>
        <w:rPr>
          <w:sz w:val="24"/>
        </w:rPr>
        <w:t>bajos</w:t>
      </w:r>
    </w:p>
    <w:p>
      <w:pPr>
        <w:pStyle w:val="ListParagraph"/>
        <w:numPr>
          <w:ilvl w:val="0"/>
          <w:numId w:val="5"/>
        </w:numPr>
        <w:tabs>
          <w:tab w:pos="1199" w:val="left" w:leader="none"/>
        </w:tabs>
        <w:spacing w:line="240" w:lineRule="auto" w:before="41" w:after="0"/>
        <w:ind w:left="1198" w:right="0" w:hanging="360"/>
        <w:jc w:val="left"/>
        <w:rPr>
          <w:sz w:val="24"/>
        </w:rPr>
      </w:pPr>
      <w:r>
        <w:rPr>
          <w:sz w:val="24"/>
        </w:rPr>
        <w:t>Uso simple y</w:t>
      </w:r>
      <w:r>
        <w:rPr>
          <w:spacing w:val="-7"/>
          <w:sz w:val="24"/>
        </w:rPr>
        <w:t> </w:t>
      </w:r>
      <w:r>
        <w:rPr>
          <w:sz w:val="24"/>
        </w:rPr>
        <w:t>compacto</w:t>
      </w:r>
    </w:p>
    <w:p>
      <w:pPr>
        <w:pStyle w:val="BodyText"/>
      </w:pPr>
    </w:p>
    <w:p>
      <w:pPr>
        <w:pStyle w:val="BodyText"/>
        <w:spacing w:before="11"/>
        <w:rPr>
          <w:sz w:val="32"/>
        </w:rPr>
      </w:pPr>
    </w:p>
    <w:p>
      <w:pPr>
        <w:pStyle w:val="BodyText"/>
        <w:spacing w:line="360" w:lineRule="auto"/>
        <w:ind w:left="118"/>
      </w:pPr>
      <w:r>
        <w:rPr/>
        <w:t>Las técnicas de electroquímicas destinadas a la descontaminación electroquímica se clasifican en:</w:t>
      </w:r>
    </w:p>
    <w:p>
      <w:pPr>
        <w:pStyle w:val="BodyText"/>
      </w:pPr>
    </w:p>
    <w:p>
      <w:pPr>
        <w:pStyle w:val="ListParagraph"/>
        <w:numPr>
          <w:ilvl w:val="0"/>
          <w:numId w:val="6"/>
        </w:numPr>
        <w:tabs>
          <w:tab w:pos="539" w:val="left" w:leader="none"/>
        </w:tabs>
        <w:spacing w:line="240" w:lineRule="auto" w:before="166" w:after="0"/>
        <w:ind w:left="538" w:right="0" w:hanging="360"/>
        <w:jc w:val="both"/>
        <w:rPr>
          <w:sz w:val="24"/>
        </w:rPr>
      </w:pPr>
      <w:r>
        <w:rPr>
          <w:sz w:val="24"/>
        </w:rPr>
        <w:t>Electroreducción</w:t>
      </w:r>
    </w:p>
    <w:p>
      <w:pPr>
        <w:pStyle w:val="ListParagraph"/>
        <w:numPr>
          <w:ilvl w:val="0"/>
          <w:numId w:val="6"/>
        </w:numPr>
        <w:tabs>
          <w:tab w:pos="539" w:val="left" w:leader="none"/>
        </w:tabs>
        <w:spacing w:line="240" w:lineRule="auto" w:before="43" w:after="0"/>
        <w:ind w:left="538" w:right="0" w:hanging="360"/>
        <w:jc w:val="both"/>
        <w:rPr>
          <w:sz w:val="24"/>
        </w:rPr>
      </w:pPr>
      <w:r>
        <w:rPr>
          <w:sz w:val="24"/>
        </w:rPr>
        <w:t>Electrooxidación</w:t>
      </w:r>
    </w:p>
    <w:p>
      <w:pPr>
        <w:pStyle w:val="ListParagraph"/>
        <w:numPr>
          <w:ilvl w:val="0"/>
          <w:numId w:val="6"/>
        </w:numPr>
        <w:tabs>
          <w:tab w:pos="539" w:val="left" w:leader="none"/>
        </w:tabs>
        <w:spacing w:line="240" w:lineRule="auto" w:before="41" w:after="0"/>
        <w:ind w:left="538" w:right="0" w:hanging="360"/>
        <w:jc w:val="both"/>
        <w:rPr>
          <w:sz w:val="24"/>
        </w:rPr>
      </w:pPr>
      <w:r>
        <w:rPr>
          <w:sz w:val="24"/>
        </w:rPr>
        <w:t>Electrocoagulación</w:t>
      </w:r>
    </w:p>
    <w:p>
      <w:pPr>
        <w:pStyle w:val="ListParagraph"/>
        <w:numPr>
          <w:ilvl w:val="0"/>
          <w:numId w:val="6"/>
        </w:numPr>
        <w:tabs>
          <w:tab w:pos="539" w:val="left" w:leader="none"/>
        </w:tabs>
        <w:spacing w:line="240" w:lineRule="auto" w:before="41" w:after="0"/>
        <w:ind w:left="538" w:right="0" w:hanging="360"/>
        <w:jc w:val="both"/>
        <w:rPr>
          <w:sz w:val="24"/>
        </w:rPr>
      </w:pPr>
      <w:r>
        <w:rPr>
          <w:sz w:val="24"/>
        </w:rPr>
        <w:t>Electroflotación</w:t>
      </w:r>
    </w:p>
    <w:p>
      <w:pPr>
        <w:pStyle w:val="ListParagraph"/>
        <w:numPr>
          <w:ilvl w:val="0"/>
          <w:numId w:val="6"/>
        </w:numPr>
        <w:tabs>
          <w:tab w:pos="539" w:val="left" w:leader="none"/>
        </w:tabs>
        <w:spacing w:line="240" w:lineRule="auto" w:before="41" w:after="0"/>
        <w:ind w:left="538" w:right="0" w:hanging="360"/>
        <w:jc w:val="both"/>
        <w:rPr>
          <w:sz w:val="24"/>
        </w:rPr>
      </w:pPr>
      <w:r>
        <w:rPr>
          <w:sz w:val="24"/>
        </w:rPr>
        <w:t>Electrofloculación</w:t>
      </w:r>
    </w:p>
    <w:p>
      <w:pPr>
        <w:pStyle w:val="BodyText"/>
      </w:pPr>
    </w:p>
    <w:p>
      <w:pPr>
        <w:pStyle w:val="BodyText"/>
        <w:spacing w:before="9"/>
        <w:rPr>
          <w:sz w:val="27"/>
        </w:rPr>
      </w:pPr>
    </w:p>
    <w:p>
      <w:pPr>
        <w:pStyle w:val="Heading2"/>
        <w:numPr>
          <w:ilvl w:val="2"/>
          <w:numId w:val="7"/>
        </w:numPr>
        <w:tabs>
          <w:tab w:pos="822" w:val="left" w:leader="none"/>
        </w:tabs>
        <w:spacing w:line="240" w:lineRule="auto" w:before="0" w:after="0"/>
        <w:ind w:left="822" w:right="0" w:hanging="704"/>
        <w:jc w:val="both"/>
      </w:pPr>
      <w:r>
        <w:rPr/>
        <w:t>Electrocoagulación</w:t>
      </w:r>
    </w:p>
    <w:p>
      <w:pPr>
        <w:pStyle w:val="BodyText"/>
        <w:rPr>
          <w:b/>
          <w:sz w:val="28"/>
        </w:rPr>
      </w:pPr>
    </w:p>
    <w:p>
      <w:pPr>
        <w:pStyle w:val="BodyText"/>
        <w:spacing w:line="276" w:lineRule="auto" w:before="205"/>
        <w:ind w:left="118" w:right="117"/>
        <w:jc w:val="both"/>
      </w:pPr>
      <w:r>
        <w:rPr/>
        <w:t>La electrocoagulación “EC” (coagulación asistida electroquímicamente) utiliza como funcionamiento a la celda electrolítica y la reacción que se produce “electrólisis” (Cantera, 2013). Es un proceso de corrosión acelerada que utiliza la electricidad para eliminar contaminantes orgánicos e inorgánicos en el agua que se encuentran suspendidos, disuelto o emulsionados (Zodi </w:t>
      </w:r>
      <w:r>
        <w:rPr>
          <w:i/>
        </w:rPr>
        <w:t>et al</w:t>
      </w:r>
      <w:r>
        <w:rPr/>
        <w:t>., 2010).</w:t>
      </w:r>
    </w:p>
    <w:p>
      <w:pPr>
        <w:pStyle w:val="BodyText"/>
        <w:spacing w:before="9"/>
        <w:rPr>
          <w:sz w:val="27"/>
        </w:rPr>
      </w:pPr>
    </w:p>
    <w:p>
      <w:pPr>
        <w:pStyle w:val="BodyText"/>
        <w:spacing w:line="266" w:lineRule="auto"/>
        <w:ind w:left="118" w:right="113"/>
        <w:jc w:val="both"/>
      </w:pPr>
      <w:r>
        <w:rPr/>
        <w:t>Consiste en inducir corriente eléctrica al agua a través de placas metálicas paralelas de hierro y aluminio (Fig.4) generalmente son las más utilizadas (Morales y Acosta, 2010), la corriente eléctrica proporciona la fuerza motriz que provoca una serie de reacciones químicas: </w:t>
      </w:r>
      <w:r>
        <w:rPr>
          <w:b/>
        </w:rPr>
        <w:t>Ánodo </w:t>
      </w:r>
      <w:r>
        <w:rPr/>
        <w:t>(oxidación del metal (M) a su catión (M</w:t>
      </w:r>
      <w:r>
        <w:rPr>
          <w:position w:val="11"/>
          <w:sz w:val="16"/>
        </w:rPr>
        <w:t>n+</w:t>
      </w:r>
      <w:r>
        <w:rPr/>
        <w:t>)); simultáneamente en el </w:t>
      </w:r>
      <w:r>
        <w:rPr>
          <w:b/>
        </w:rPr>
        <w:t>Cátodo </w:t>
      </w:r>
      <w:r>
        <w:rPr/>
        <w:t>el agua es reducida a hidrógeno (H</w:t>
      </w:r>
      <w:r>
        <w:rPr>
          <w:position w:val="-2"/>
          <w:sz w:val="16"/>
        </w:rPr>
        <w:t>2</w:t>
      </w:r>
      <w:r>
        <w:rPr/>
        <w:t>) y ion hidroxilo (OH</w:t>
      </w:r>
      <w:r>
        <w:rPr>
          <w:position w:val="11"/>
          <w:sz w:val="16"/>
        </w:rPr>
        <w:t>-</w:t>
      </w:r>
      <w:r>
        <w:rPr/>
        <w:t>), este ultimo al unirse al catión metálico da forma a un coagulante de las impurezas, mientras el hidrogeno producido por esta reacción forma una espuma que contiene materia orgánica, estos agregados son los flóculos (Barrera </w:t>
      </w:r>
      <w:r>
        <w:rPr>
          <w:i/>
        </w:rPr>
        <w:t>et al</w:t>
      </w:r>
      <w:r>
        <w:rPr/>
        <w:t>., 2011; Hanay y Hasar, 2011; Jiménez y Rangel, 2011; Mercado </w:t>
      </w:r>
      <w:r>
        <w:rPr>
          <w:i/>
        </w:rPr>
        <w:t>et al</w:t>
      </w:r>
      <w:r>
        <w:rPr/>
        <w:t>., 2013).</w:t>
      </w:r>
    </w:p>
    <w:p>
      <w:pPr>
        <w:spacing w:after="0" w:line="266" w:lineRule="auto"/>
        <w:jc w:val="both"/>
        <w:sectPr>
          <w:pgSz w:w="12240" w:h="15840"/>
          <w:pgMar w:header="0" w:footer="1480" w:top="1360" w:bottom="1680" w:left="1300" w:right="1300"/>
        </w:sectPr>
      </w:pPr>
    </w:p>
    <w:p>
      <w:pPr>
        <w:pStyle w:val="BodyText"/>
        <w:spacing w:line="276" w:lineRule="auto" w:before="56"/>
        <w:ind w:left="118" w:right="113"/>
        <w:jc w:val="both"/>
      </w:pPr>
      <w:r>
        <w:rPr/>
        <w:t>Los flóculos de hidróxido metálico son menos coloidales y solubles, cuando esto ocurre los contaminantes forman componentes hidrofóbicos que se adhieren al flóculo, los cuales posteriormente precipitan o flotan, facilitando su remoción por algún método de separación secundaria (Zaroual </w:t>
      </w:r>
      <w:r>
        <w:rPr>
          <w:i/>
        </w:rPr>
        <w:t>et al</w:t>
      </w:r>
      <w:r>
        <w:rPr/>
        <w:t>., 2009; Meas </w:t>
      </w:r>
      <w:r>
        <w:rPr>
          <w:i/>
        </w:rPr>
        <w:t>et al</w:t>
      </w:r>
      <w:r>
        <w:rPr/>
        <w:t>., 2010). Los procesos de electrocoagulación se ven afectados por la naturaleza y concentración del contaminante, el pH del agua residual y la conductividad; estos factores determinan y controlan las reacciones ocurridas en el sistema y la formación del coagulante (Martínez, 2010; Zodi </w:t>
      </w:r>
      <w:r>
        <w:rPr>
          <w:i/>
        </w:rPr>
        <w:t>et al</w:t>
      </w:r>
      <w:r>
        <w:rPr/>
        <w:t>., 2010; Cantera,</w:t>
      </w:r>
      <w:r>
        <w:rPr>
          <w:spacing w:val="-21"/>
        </w:rPr>
        <w:t> </w:t>
      </w:r>
      <w:r>
        <w:rPr/>
        <w:t>2013).</w:t>
      </w:r>
    </w:p>
    <w:p>
      <w:pPr>
        <w:pStyle w:val="BodyText"/>
        <w:spacing w:before="3"/>
        <w:rPr>
          <w:sz w:val="35"/>
        </w:rPr>
      </w:pPr>
    </w:p>
    <w:p>
      <w:pPr>
        <w:pStyle w:val="BodyText"/>
        <w:spacing w:line="276" w:lineRule="auto"/>
        <w:ind w:left="118" w:right="124"/>
        <w:jc w:val="both"/>
      </w:pPr>
      <w:r>
        <w:rPr/>
        <w:t>A continuación se presentan las reacciones que se producen dentro de un reactor de electrocoagulación:</w:t>
      </w:r>
    </w:p>
    <w:p>
      <w:pPr>
        <w:pStyle w:val="BodyText"/>
        <w:spacing w:before="1"/>
        <w:rPr>
          <w:sz w:val="33"/>
        </w:rPr>
      </w:pPr>
    </w:p>
    <w:p>
      <w:pPr>
        <w:pStyle w:val="BodyText"/>
        <w:tabs>
          <w:tab w:pos="1414" w:val="left" w:leader="none"/>
          <w:tab w:pos="5099" w:val="left" w:leader="none"/>
          <w:tab w:pos="5174" w:val="left" w:leader="none"/>
        </w:tabs>
        <w:spacing w:line="328" w:lineRule="auto" w:before="1"/>
        <w:ind w:left="118" w:right="3011"/>
      </w:pPr>
      <w:r>
        <w:rPr/>
        <w:t>Ánodo:</w:t>
        <w:tab/>
        <w:t>M → M</w:t>
      </w:r>
      <w:r>
        <w:rPr>
          <w:position w:val="11"/>
          <w:sz w:val="16"/>
        </w:rPr>
        <w:t>n+</w:t>
      </w:r>
      <w:r>
        <w:rPr>
          <w:spacing w:val="19"/>
          <w:position w:val="11"/>
          <w:sz w:val="16"/>
        </w:rPr>
        <w:t> </w:t>
      </w:r>
      <w:r>
        <w:rPr/>
        <w:t>+</w:t>
      </w:r>
      <w:r>
        <w:rPr>
          <w:spacing w:val="-1"/>
        </w:rPr>
        <w:t> </w:t>
      </w:r>
      <w:r>
        <w:rPr/>
        <w:t>ne</w:t>
      </w:r>
      <w:r>
        <w:rPr>
          <w:position w:val="11"/>
          <w:sz w:val="16"/>
        </w:rPr>
        <w:t>-</w:t>
        <w:tab/>
      </w:r>
      <w:r>
        <w:rPr>
          <w:u w:val="single"/>
        </w:rPr>
        <w:t>OXIDACIÓN </w:t>
      </w:r>
      <w:r>
        <w:rPr/>
        <w:t>Cátodo:</w:t>
        <w:tab/>
        <w:t>nH</w:t>
      </w:r>
      <w:r>
        <w:rPr>
          <w:position w:val="-2"/>
          <w:sz w:val="16"/>
        </w:rPr>
        <w:t>2</w:t>
      </w:r>
      <w:r>
        <w:rPr/>
        <w:t>O + ne</w:t>
      </w:r>
      <w:r>
        <w:rPr>
          <w:position w:val="11"/>
          <w:sz w:val="16"/>
        </w:rPr>
        <w:t>- </w:t>
      </w:r>
      <w:r>
        <w:rPr/>
        <w:t>→ nOH</w:t>
      </w:r>
      <w:r>
        <w:rPr>
          <w:position w:val="11"/>
          <w:sz w:val="16"/>
        </w:rPr>
        <w:t>- </w:t>
      </w:r>
      <w:r>
        <w:rPr/>
        <w:t>+</w:t>
      </w:r>
      <w:r>
        <w:rPr>
          <w:spacing w:val="42"/>
        </w:rPr>
        <w:t> </w:t>
      </w:r>
      <w:r>
        <w:rPr/>
        <w:t>n/2</w:t>
      </w:r>
      <w:r>
        <w:rPr>
          <w:spacing w:val="-1"/>
        </w:rPr>
        <w:t> </w:t>
      </w:r>
      <w:r>
        <w:rPr/>
        <w:t>H</w:t>
      </w:r>
      <w:r>
        <w:rPr>
          <w:position w:val="-2"/>
          <w:sz w:val="16"/>
        </w:rPr>
        <w:t>2</w:t>
        <w:tab/>
        <w:tab/>
      </w:r>
      <w:r>
        <w:rPr>
          <w:u w:val="single"/>
        </w:rPr>
        <w:t>REDUCCIÓN</w:t>
      </w:r>
    </w:p>
    <w:p>
      <w:pPr>
        <w:pStyle w:val="BodyText"/>
        <w:rPr>
          <w:sz w:val="20"/>
        </w:rPr>
      </w:pPr>
    </w:p>
    <w:p>
      <w:pPr>
        <w:pStyle w:val="BodyText"/>
        <w:spacing w:before="191"/>
        <w:ind w:left="118"/>
      </w:pPr>
      <w:r>
        <w:rPr/>
        <w:t>Cuando el Aluminio actúa como ánodo:</w:t>
      </w:r>
    </w:p>
    <w:p>
      <w:pPr>
        <w:pStyle w:val="BodyText"/>
      </w:pPr>
    </w:p>
    <w:p>
      <w:pPr>
        <w:pStyle w:val="BodyText"/>
        <w:spacing w:before="11"/>
        <w:rPr>
          <w:sz w:val="20"/>
        </w:rPr>
      </w:pPr>
    </w:p>
    <w:p>
      <w:pPr>
        <w:spacing w:before="0"/>
        <w:ind w:left="118" w:right="0" w:firstLine="0"/>
        <w:jc w:val="left"/>
        <w:rPr>
          <w:sz w:val="16"/>
        </w:rPr>
      </w:pPr>
      <w:r>
        <w:rPr>
          <w:b/>
          <w:sz w:val="24"/>
        </w:rPr>
        <w:t>Ánodo de Al</w:t>
      </w:r>
      <w:r>
        <w:rPr>
          <w:sz w:val="24"/>
        </w:rPr>
        <w:t>: Al  →  Al</w:t>
      </w:r>
      <w:r>
        <w:rPr>
          <w:position w:val="11"/>
          <w:sz w:val="16"/>
        </w:rPr>
        <w:t>3+ </w:t>
      </w:r>
      <w:r>
        <w:rPr>
          <w:sz w:val="24"/>
        </w:rPr>
        <w:t>+ 3e</w:t>
      </w:r>
      <w:r>
        <w:rPr>
          <w:position w:val="11"/>
          <w:sz w:val="16"/>
        </w:rPr>
        <w:t>-</w:t>
      </w:r>
    </w:p>
    <w:p>
      <w:pPr>
        <w:spacing w:before="102"/>
        <w:ind w:left="118" w:right="0" w:firstLine="0"/>
        <w:jc w:val="left"/>
        <w:rPr>
          <w:sz w:val="16"/>
        </w:rPr>
      </w:pPr>
      <w:r>
        <w:rPr>
          <w:b/>
          <w:sz w:val="24"/>
        </w:rPr>
        <w:t>Cátodo</w:t>
      </w:r>
      <w:r>
        <w:rPr>
          <w:sz w:val="24"/>
        </w:rPr>
        <w:t>: 3 H</w:t>
      </w:r>
      <w:r>
        <w:rPr>
          <w:position w:val="-2"/>
          <w:sz w:val="16"/>
        </w:rPr>
        <w:t>2</w:t>
      </w:r>
      <w:r>
        <w:rPr>
          <w:sz w:val="24"/>
        </w:rPr>
        <w:t>O + 3e</w:t>
      </w:r>
      <w:r>
        <w:rPr>
          <w:position w:val="11"/>
          <w:sz w:val="16"/>
        </w:rPr>
        <w:t>- </w:t>
      </w:r>
      <w:r>
        <w:rPr>
          <w:sz w:val="24"/>
        </w:rPr>
        <w:t>→ 3 H</w:t>
      </w:r>
      <w:r>
        <w:rPr>
          <w:position w:val="-2"/>
          <w:sz w:val="16"/>
        </w:rPr>
        <w:t>2 </w:t>
      </w:r>
      <w:r>
        <w:rPr>
          <w:sz w:val="24"/>
        </w:rPr>
        <w:t>+ 3OH</w:t>
      </w:r>
      <w:r>
        <w:rPr>
          <w:position w:val="11"/>
          <w:sz w:val="16"/>
        </w:rPr>
        <w:t>-</w:t>
      </w:r>
    </w:p>
    <w:p>
      <w:pPr>
        <w:spacing w:before="91"/>
        <w:ind w:left="118" w:right="0" w:firstLine="0"/>
        <w:jc w:val="left"/>
        <w:rPr>
          <w:sz w:val="16"/>
        </w:rPr>
      </w:pPr>
      <w:r>
        <w:rPr>
          <w:b/>
          <w:sz w:val="24"/>
        </w:rPr>
        <w:t>Reacción global</w:t>
      </w:r>
      <w:r>
        <w:rPr>
          <w:sz w:val="24"/>
        </w:rPr>
        <w:t>: Al</w:t>
      </w:r>
      <w:r>
        <w:rPr>
          <w:position w:val="11"/>
          <w:sz w:val="16"/>
        </w:rPr>
        <w:t>+3 </w:t>
      </w:r>
      <w:r>
        <w:rPr>
          <w:position w:val="-2"/>
          <w:sz w:val="16"/>
        </w:rPr>
        <w:t>(ac) </w:t>
      </w:r>
      <w:r>
        <w:rPr>
          <w:sz w:val="24"/>
        </w:rPr>
        <w:t>+ 3H</w:t>
      </w:r>
      <w:r>
        <w:rPr>
          <w:position w:val="-2"/>
          <w:sz w:val="16"/>
        </w:rPr>
        <w:t>2</w:t>
      </w:r>
      <w:r>
        <w:rPr>
          <w:sz w:val="24"/>
        </w:rPr>
        <w:t>O → Al (OH)</w:t>
      </w:r>
      <w:r>
        <w:rPr>
          <w:position w:val="-2"/>
          <w:sz w:val="16"/>
        </w:rPr>
        <w:t>3 (s) </w:t>
      </w:r>
      <w:r>
        <w:rPr>
          <w:sz w:val="24"/>
        </w:rPr>
        <w:t>+3H</w:t>
      </w:r>
      <w:r>
        <w:rPr>
          <w:position w:val="11"/>
          <w:sz w:val="16"/>
        </w:rPr>
        <w:t>+   </w:t>
      </w:r>
      <w:r>
        <w:rPr>
          <w:position w:val="-2"/>
          <w:sz w:val="16"/>
        </w:rPr>
        <w:t>(ac)</w:t>
      </w:r>
    </w:p>
    <w:p>
      <w:pPr>
        <w:pStyle w:val="BodyText"/>
        <w:spacing w:before="9"/>
        <w:rPr>
          <w:sz w:val="43"/>
        </w:rPr>
      </w:pPr>
    </w:p>
    <w:p>
      <w:pPr>
        <w:pStyle w:val="BodyText"/>
        <w:spacing w:line="252" w:lineRule="auto"/>
        <w:ind w:left="118"/>
      </w:pPr>
      <w:r>
        <w:rPr/>
        <w:t>Los iones Al</w:t>
      </w:r>
      <w:r>
        <w:rPr>
          <w:position w:val="11"/>
          <w:sz w:val="16"/>
        </w:rPr>
        <w:t>+3 </w:t>
      </w:r>
      <w:r>
        <w:rPr/>
        <w:t>en combinación con los OH</w:t>
      </w:r>
      <w:r>
        <w:rPr>
          <w:position w:val="11"/>
          <w:sz w:val="16"/>
        </w:rPr>
        <w:t>– </w:t>
      </w:r>
      <w:r>
        <w:rPr/>
        <w:t>reaccionan para formar algunas especies monoméricas como Al(OH)</w:t>
      </w:r>
      <w:r>
        <w:rPr>
          <w:position w:val="11"/>
          <w:sz w:val="16"/>
        </w:rPr>
        <w:t>2+</w:t>
      </w:r>
      <w:r>
        <w:rPr/>
        <w:t>, Al</w:t>
      </w:r>
      <w:r>
        <w:rPr>
          <w:position w:val="-2"/>
          <w:sz w:val="16"/>
        </w:rPr>
        <w:t>2</w:t>
      </w:r>
      <w:r>
        <w:rPr/>
        <w:t>(OH)</w:t>
      </w:r>
      <w:r>
        <w:rPr>
          <w:position w:val="11"/>
          <w:sz w:val="16"/>
        </w:rPr>
        <w:t>2+</w:t>
      </w:r>
      <w:r>
        <w:rPr/>
        <w:t>, y otras poliméricas, tales como Al</w:t>
      </w:r>
      <w:r>
        <w:rPr>
          <w:position w:val="-2"/>
          <w:sz w:val="16"/>
        </w:rPr>
        <w:t>6</w:t>
      </w:r>
      <w:r>
        <w:rPr/>
        <w:t>(OH)</w:t>
      </w:r>
      <w:r>
        <w:rPr>
          <w:position w:val="11"/>
          <w:sz w:val="16"/>
        </w:rPr>
        <w:t>153+</w:t>
      </w:r>
      <w:r>
        <w:rPr/>
        <w:t>, Al</w:t>
      </w:r>
      <w:r>
        <w:rPr>
          <w:position w:val="-2"/>
          <w:sz w:val="16"/>
        </w:rPr>
        <w:t>7</w:t>
      </w:r>
      <w:r>
        <w:rPr/>
        <w:t>(OH)</w:t>
      </w:r>
      <w:r>
        <w:rPr>
          <w:position w:val="11"/>
          <w:sz w:val="16"/>
        </w:rPr>
        <w:t>174+</w:t>
      </w:r>
      <w:r>
        <w:rPr/>
        <w:t>, Al</w:t>
      </w:r>
      <w:r>
        <w:rPr>
          <w:position w:val="-2"/>
          <w:sz w:val="16"/>
        </w:rPr>
        <w:t>8</w:t>
      </w:r>
      <w:r>
        <w:rPr/>
        <w:t>(OH)</w:t>
      </w:r>
      <w:r>
        <w:rPr>
          <w:position w:val="11"/>
          <w:sz w:val="16"/>
        </w:rPr>
        <w:t>204+</w:t>
      </w:r>
      <w:r>
        <w:rPr/>
        <w:t>, Al</w:t>
      </w:r>
      <w:r>
        <w:rPr>
          <w:position w:val="-2"/>
          <w:sz w:val="16"/>
        </w:rPr>
        <w:t>13</w:t>
      </w:r>
      <w:r>
        <w:rPr/>
        <w:t>O</w:t>
      </w:r>
      <w:r>
        <w:rPr>
          <w:position w:val="-2"/>
          <w:sz w:val="16"/>
        </w:rPr>
        <w:t>4</w:t>
      </w:r>
      <w:r>
        <w:rPr/>
        <w:t>(OH)</w:t>
      </w:r>
      <w:r>
        <w:rPr>
          <w:position w:val="11"/>
          <w:sz w:val="16"/>
        </w:rPr>
        <w:t>247+ </w:t>
      </w:r>
      <w:r>
        <w:rPr/>
        <w:t>y Al</w:t>
      </w:r>
      <w:r>
        <w:rPr>
          <w:position w:val="-2"/>
          <w:sz w:val="16"/>
        </w:rPr>
        <w:t>13</w:t>
      </w:r>
      <w:r>
        <w:rPr/>
        <w:t>(OH)</w:t>
      </w:r>
      <w:r>
        <w:rPr>
          <w:position w:val="11"/>
          <w:sz w:val="16"/>
        </w:rPr>
        <w:t>345+ </w:t>
      </w:r>
      <w:r>
        <w:rPr/>
        <w:t>que por procesos de precipitación forman el Al(OH)</w:t>
      </w:r>
      <w:r>
        <w:rPr>
          <w:position w:val="-2"/>
          <w:sz w:val="16"/>
        </w:rPr>
        <w:t>3</w:t>
      </w:r>
      <w:r>
        <w:rPr/>
        <w:t>(s), como se muestra en la reacción de ánodo. El Al(OH)</w:t>
      </w:r>
      <w:r>
        <w:rPr>
          <w:position w:val="-2"/>
          <w:sz w:val="16"/>
        </w:rPr>
        <w:t>3 (s) </w:t>
      </w:r>
      <w:r>
        <w:rPr/>
        <w:t>es una sustancia</w:t>
      </w:r>
      <w:r>
        <w:rPr>
          <w:spacing w:val="51"/>
        </w:rPr>
        <w:t> </w:t>
      </w:r>
      <w:r>
        <w:rPr/>
        <w:t>amorfa</w:t>
      </w:r>
      <w:r>
        <w:rPr>
          <w:spacing w:val="51"/>
        </w:rPr>
        <w:t> </w:t>
      </w:r>
      <w:r>
        <w:rPr/>
        <w:t>de carácter gelatinoso,</w:t>
      </w:r>
      <w:r>
        <w:rPr>
          <w:spacing w:val="50"/>
        </w:rPr>
        <w:t> </w:t>
      </w:r>
      <w:r>
        <w:rPr/>
        <w:t>que</w:t>
      </w:r>
      <w:r>
        <w:rPr>
          <w:spacing w:val="51"/>
        </w:rPr>
        <w:t> </w:t>
      </w:r>
      <w:r>
        <w:rPr/>
        <w:t>expone</w:t>
      </w:r>
      <w:r>
        <w:rPr>
          <w:spacing w:val="51"/>
        </w:rPr>
        <w:t> </w:t>
      </w:r>
      <w:r>
        <w:rPr/>
        <w:t>una</w:t>
      </w:r>
      <w:r>
        <w:rPr>
          <w:spacing w:val="51"/>
        </w:rPr>
        <w:t> </w:t>
      </w:r>
      <w:r>
        <w:rPr/>
        <w:t>gran</w:t>
      </w:r>
      <w:r>
        <w:rPr>
          <w:spacing w:val="51"/>
        </w:rPr>
        <w:t> </w:t>
      </w:r>
      <w:r>
        <w:rPr/>
        <w:t>área</w:t>
      </w:r>
      <w:r>
        <w:rPr>
          <w:spacing w:val="51"/>
        </w:rPr>
        <w:t> </w:t>
      </w:r>
      <w:r>
        <w:rPr/>
        <w:t>superficial con</w:t>
      </w:r>
    </w:p>
    <w:p>
      <w:pPr>
        <w:pStyle w:val="BodyText"/>
        <w:spacing w:line="276" w:lineRule="auto" w:before="27"/>
        <w:ind w:left="118" w:right="115"/>
        <w:jc w:val="both"/>
      </w:pPr>
      <w:r>
        <w:rPr/>
        <w:t>propiedades absorbentes y que es propicia para los procesos de absorción y atracción de las partículas contaminantes (Holt </w:t>
      </w:r>
      <w:r>
        <w:rPr>
          <w:i/>
        </w:rPr>
        <w:t>et al</w:t>
      </w:r>
      <w:r>
        <w:rPr/>
        <w:t>., 2005; Martínez, 2010; Jiménez y Rangel, 2011).</w:t>
      </w:r>
    </w:p>
    <w:p>
      <w:pPr>
        <w:spacing w:after="0" w:line="276" w:lineRule="auto"/>
        <w:jc w:val="both"/>
        <w:sectPr>
          <w:footerReference w:type="default" r:id="rId12"/>
          <w:pgSz w:w="12240" w:h="15840"/>
          <w:pgMar w:footer="1480" w:header="0" w:top="1360" w:bottom="1680" w:left="1300" w:right="1300"/>
        </w:sectPr>
      </w:pPr>
    </w:p>
    <w:p>
      <w:pPr>
        <w:pStyle w:val="BodyText"/>
        <w:ind w:left="812"/>
        <w:rPr>
          <w:sz w:val="20"/>
        </w:rPr>
      </w:pPr>
      <w:r>
        <w:rPr>
          <w:sz w:val="20"/>
        </w:rPr>
        <w:drawing>
          <wp:inline distT="0" distB="0" distL="0" distR="0">
            <wp:extent cx="5259052" cy="2091689"/>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4" cstate="print"/>
                    <a:stretch>
                      <a:fillRect/>
                    </a:stretch>
                  </pic:blipFill>
                  <pic:spPr>
                    <a:xfrm>
                      <a:off x="0" y="0"/>
                      <a:ext cx="5259052" cy="2091689"/>
                    </a:xfrm>
                    <a:prstGeom prst="rect">
                      <a:avLst/>
                    </a:prstGeom>
                  </pic:spPr>
                </pic:pic>
              </a:graphicData>
            </a:graphic>
          </wp:inline>
        </w:drawing>
      </w:r>
      <w:r>
        <w:rPr>
          <w:sz w:val="20"/>
        </w:rPr>
      </w:r>
    </w:p>
    <w:p>
      <w:pPr>
        <w:pStyle w:val="BodyText"/>
        <w:spacing w:before="9"/>
        <w:rPr>
          <w:sz w:val="7"/>
        </w:rPr>
      </w:pPr>
    </w:p>
    <w:p>
      <w:pPr>
        <w:spacing w:before="74"/>
        <w:ind w:left="1891" w:right="0" w:firstLine="0"/>
        <w:jc w:val="left"/>
        <w:rPr>
          <w:b/>
          <w:sz w:val="20"/>
        </w:rPr>
      </w:pPr>
      <w:r>
        <w:rPr>
          <w:b/>
          <w:sz w:val="20"/>
        </w:rPr>
        <w:t>Fig. 4. Sistema de electrocoagulación  de Aluminio  (Holt  </w:t>
      </w:r>
      <w:r>
        <w:rPr>
          <w:b/>
          <w:i/>
          <w:sz w:val="20"/>
        </w:rPr>
        <w:t>et al</w:t>
      </w:r>
      <w:r>
        <w:rPr>
          <w:b/>
          <w:sz w:val="20"/>
        </w:rPr>
        <w:t>., 2002)</w:t>
      </w:r>
    </w:p>
    <w:p>
      <w:pPr>
        <w:pStyle w:val="BodyText"/>
        <w:rPr>
          <w:b/>
          <w:sz w:val="20"/>
        </w:rPr>
      </w:pPr>
    </w:p>
    <w:p>
      <w:pPr>
        <w:pStyle w:val="BodyText"/>
        <w:spacing w:before="7"/>
        <w:rPr>
          <w:b/>
          <w:sz w:val="16"/>
        </w:rPr>
      </w:pPr>
    </w:p>
    <w:p>
      <w:pPr>
        <w:pStyle w:val="BodyText"/>
        <w:spacing w:line="276" w:lineRule="auto" w:before="70"/>
        <w:ind w:left="278" w:right="716"/>
        <w:jc w:val="both"/>
      </w:pPr>
      <w:r>
        <w:rPr/>
        <w:t>Son muchas las ventajas y mínimas las desventajas de la utilización de la electrocoagulación entre las más relevantes están (Chou </w:t>
      </w:r>
      <w:r>
        <w:rPr>
          <w:i/>
        </w:rPr>
        <w:t>et al</w:t>
      </w:r>
      <w:r>
        <w:rPr/>
        <w:t>., 2010; Hanay y Hasar, 2011; Mercado </w:t>
      </w:r>
      <w:r>
        <w:rPr>
          <w:i/>
        </w:rPr>
        <w:t>et al</w:t>
      </w:r>
      <w:r>
        <w:rPr/>
        <w:t>., 2013):</w:t>
      </w:r>
    </w:p>
    <w:p>
      <w:pPr>
        <w:pStyle w:val="BodyText"/>
        <w:spacing w:before="8"/>
        <w:rPr>
          <w:sz w:val="2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8"/>
        <w:gridCol w:w="5156"/>
      </w:tblGrid>
      <w:tr>
        <w:trPr>
          <w:trHeight w:val="383" w:hRule="exact"/>
        </w:trPr>
        <w:tc>
          <w:tcPr>
            <w:tcW w:w="5018" w:type="dxa"/>
          </w:tcPr>
          <w:p>
            <w:pPr>
              <w:pStyle w:val="TableParagraph"/>
              <w:spacing w:line="245" w:lineRule="exact"/>
              <w:ind w:left="1799" w:right="2245"/>
              <w:jc w:val="center"/>
              <w:rPr>
                <w:sz w:val="24"/>
              </w:rPr>
            </w:pPr>
            <w:r>
              <w:rPr>
                <w:sz w:val="24"/>
              </w:rPr>
              <w:t>Ventajas</w:t>
            </w:r>
          </w:p>
        </w:tc>
        <w:tc>
          <w:tcPr>
            <w:tcW w:w="5156" w:type="dxa"/>
          </w:tcPr>
          <w:p>
            <w:pPr>
              <w:pStyle w:val="TableParagraph"/>
              <w:spacing w:line="245" w:lineRule="exact"/>
              <w:ind w:left="1761" w:right="2033"/>
              <w:jc w:val="center"/>
              <w:rPr>
                <w:sz w:val="24"/>
              </w:rPr>
            </w:pPr>
            <w:r>
              <w:rPr>
                <w:sz w:val="24"/>
              </w:rPr>
              <w:t>Desventajas</w:t>
            </w:r>
          </w:p>
        </w:tc>
      </w:tr>
      <w:tr>
        <w:trPr>
          <w:trHeight w:val="3259" w:hRule="exact"/>
        </w:trPr>
        <w:tc>
          <w:tcPr>
            <w:tcW w:w="5018" w:type="dxa"/>
          </w:tcPr>
          <w:p>
            <w:pPr>
              <w:pStyle w:val="TableParagraph"/>
              <w:numPr>
                <w:ilvl w:val="0"/>
                <w:numId w:val="8"/>
              </w:numPr>
              <w:tabs>
                <w:tab w:pos="547" w:val="left" w:leader="none"/>
                <w:tab w:pos="548" w:val="left" w:leader="none"/>
              </w:tabs>
              <w:spacing w:line="268" w:lineRule="exact" w:before="103" w:after="0"/>
              <w:ind w:left="560" w:right="0" w:hanging="360"/>
              <w:jc w:val="left"/>
              <w:rPr>
                <w:rFonts w:ascii="Symbol"/>
                <w:sz w:val="22"/>
              </w:rPr>
            </w:pPr>
            <w:r>
              <w:rPr>
                <w:sz w:val="22"/>
              </w:rPr>
              <w:t>Bajo</w:t>
            </w:r>
            <w:r>
              <w:rPr>
                <w:spacing w:val="-1"/>
                <w:sz w:val="22"/>
              </w:rPr>
              <w:t> </w:t>
            </w:r>
            <w:r>
              <w:rPr>
                <w:sz w:val="22"/>
              </w:rPr>
              <w:t>costo</w:t>
            </w:r>
          </w:p>
          <w:p>
            <w:pPr>
              <w:pStyle w:val="TableParagraph"/>
              <w:numPr>
                <w:ilvl w:val="0"/>
                <w:numId w:val="8"/>
              </w:numPr>
              <w:tabs>
                <w:tab w:pos="547" w:val="left" w:leader="none"/>
                <w:tab w:pos="548" w:val="left" w:leader="none"/>
              </w:tabs>
              <w:spacing w:line="268" w:lineRule="exact" w:before="0" w:after="0"/>
              <w:ind w:left="548" w:right="0" w:hanging="348"/>
              <w:jc w:val="left"/>
              <w:rPr>
                <w:rFonts w:ascii="Symbol" w:hAnsi="Symbol"/>
                <w:sz w:val="22"/>
              </w:rPr>
            </w:pPr>
            <w:r>
              <w:rPr>
                <w:sz w:val="22"/>
              </w:rPr>
              <w:t>Equipos simples y fácil</w:t>
            </w:r>
            <w:r>
              <w:rPr>
                <w:spacing w:val="-7"/>
                <w:sz w:val="22"/>
              </w:rPr>
              <w:t> </w:t>
            </w:r>
            <w:r>
              <w:rPr>
                <w:sz w:val="22"/>
              </w:rPr>
              <w:t>operación.</w:t>
            </w:r>
          </w:p>
          <w:p>
            <w:pPr>
              <w:pStyle w:val="TableParagraph"/>
              <w:numPr>
                <w:ilvl w:val="0"/>
                <w:numId w:val="8"/>
              </w:numPr>
              <w:tabs>
                <w:tab w:pos="547" w:val="left" w:leader="none"/>
                <w:tab w:pos="548" w:val="left" w:leader="none"/>
              </w:tabs>
              <w:spacing w:line="269" w:lineRule="exact" w:before="0" w:after="0"/>
              <w:ind w:left="548" w:right="0" w:hanging="348"/>
              <w:jc w:val="left"/>
              <w:rPr>
                <w:rFonts w:ascii="Symbol" w:hAnsi="Symbol"/>
                <w:sz w:val="22"/>
              </w:rPr>
            </w:pPr>
            <w:r>
              <w:rPr>
                <w:sz w:val="22"/>
              </w:rPr>
              <w:t>Generación de lodos más</w:t>
            </w:r>
            <w:r>
              <w:rPr>
                <w:spacing w:val="-6"/>
                <w:sz w:val="22"/>
              </w:rPr>
              <w:t> </w:t>
            </w:r>
            <w:r>
              <w:rPr>
                <w:sz w:val="22"/>
              </w:rPr>
              <w:t>compactos.</w:t>
            </w:r>
          </w:p>
          <w:p>
            <w:pPr>
              <w:pStyle w:val="TableParagraph"/>
              <w:numPr>
                <w:ilvl w:val="0"/>
                <w:numId w:val="8"/>
              </w:numPr>
              <w:tabs>
                <w:tab w:pos="547" w:val="left" w:leader="none"/>
                <w:tab w:pos="548" w:val="left" w:leader="none"/>
              </w:tabs>
              <w:spacing w:line="252" w:lineRule="exact" w:before="19" w:after="0"/>
              <w:ind w:left="560" w:right="288" w:hanging="360"/>
              <w:jc w:val="left"/>
              <w:rPr>
                <w:rFonts w:ascii="Symbol" w:hAnsi="Symbol"/>
                <w:sz w:val="22"/>
              </w:rPr>
            </w:pPr>
            <w:r>
              <w:rPr>
                <w:sz w:val="22"/>
              </w:rPr>
              <w:t>Flóculos más grandes en comparación  con coagulación</w:t>
            </w:r>
            <w:r>
              <w:rPr>
                <w:spacing w:val="-7"/>
                <w:sz w:val="22"/>
              </w:rPr>
              <w:t> </w:t>
            </w:r>
            <w:r>
              <w:rPr>
                <w:sz w:val="22"/>
              </w:rPr>
              <w:t>química.</w:t>
            </w:r>
          </w:p>
          <w:p>
            <w:pPr>
              <w:pStyle w:val="TableParagraph"/>
              <w:numPr>
                <w:ilvl w:val="0"/>
                <w:numId w:val="8"/>
              </w:numPr>
              <w:tabs>
                <w:tab w:pos="547" w:val="left" w:leader="none"/>
                <w:tab w:pos="548" w:val="left" w:leader="none"/>
              </w:tabs>
              <w:spacing w:line="252" w:lineRule="exact" w:before="17" w:after="0"/>
              <w:ind w:left="560" w:right="285" w:hanging="360"/>
              <w:jc w:val="left"/>
              <w:rPr>
                <w:rFonts w:ascii="Symbol" w:hAnsi="Symbol"/>
                <w:sz w:val="22"/>
              </w:rPr>
            </w:pPr>
            <w:r>
              <w:rPr>
                <w:sz w:val="22"/>
              </w:rPr>
              <w:t>Alta efectividad en la remoción de aceites, cianuro,</w:t>
            </w:r>
            <w:r>
              <w:rPr>
                <w:spacing w:val="-4"/>
                <w:sz w:val="22"/>
              </w:rPr>
              <w:t> </w:t>
            </w:r>
            <w:r>
              <w:rPr>
                <w:sz w:val="22"/>
              </w:rPr>
              <w:t>metales.</w:t>
            </w:r>
          </w:p>
          <w:p>
            <w:pPr>
              <w:pStyle w:val="TableParagraph"/>
              <w:numPr>
                <w:ilvl w:val="0"/>
                <w:numId w:val="8"/>
              </w:numPr>
              <w:tabs>
                <w:tab w:pos="548" w:val="left" w:leader="none"/>
              </w:tabs>
              <w:spacing w:line="240" w:lineRule="auto" w:before="0" w:after="0"/>
              <w:ind w:left="560" w:right="285" w:hanging="360"/>
              <w:jc w:val="both"/>
              <w:rPr>
                <w:rFonts w:ascii="Symbol" w:hAnsi="Symbol"/>
                <w:sz w:val="22"/>
              </w:rPr>
            </w:pPr>
            <w:r>
              <w:rPr>
                <w:sz w:val="22"/>
              </w:rPr>
              <w:t>La corriente eléctrica favorece movimiento de partículas contaminantes pequeñas he incorporándolas al</w:t>
            </w:r>
            <w:r>
              <w:rPr>
                <w:spacing w:val="-7"/>
                <w:sz w:val="22"/>
              </w:rPr>
              <w:t> </w:t>
            </w:r>
            <w:r>
              <w:rPr>
                <w:sz w:val="22"/>
              </w:rPr>
              <w:t>flóculo.</w:t>
            </w:r>
          </w:p>
          <w:p>
            <w:pPr>
              <w:pStyle w:val="TableParagraph"/>
              <w:numPr>
                <w:ilvl w:val="0"/>
                <w:numId w:val="8"/>
              </w:numPr>
              <w:tabs>
                <w:tab w:pos="547" w:val="left" w:leader="none"/>
                <w:tab w:pos="548" w:val="left" w:leader="none"/>
              </w:tabs>
              <w:spacing w:line="254" w:lineRule="exact" w:before="35" w:after="0"/>
              <w:ind w:left="560" w:right="287" w:hanging="360"/>
              <w:jc w:val="left"/>
              <w:rPr>
                <w:rFonts w:ascii="Symbol"/>
                <w:sz w:val="24"/>
              </w:rPr>
            </w:pPr>
            <w:r>
              <w:rPr>
                <w:sz w:val="22"/>
              </w:rPr>
              <w:t>Puede generar agua potable, incolora e inodora.</w:t>
            </w:r>
          </w:p>
        </w:tc>
        <w:tc>
          <w:tcPr>
            <w:tcW w:w="5156" w:type="dxa"/>
          </w:tcPr>
          <w:p>
            <w:pPr>
              <w:pStyle w:val="TableParagraph"/>
              <w:numPr>
                <w:ilvl w:val="0"/>
                <w:numId w:val="9"/>
              </w:numPr>
              <w:tabs>
                <w:tab w:pos="636" w:val="left" w:leader="none"/>
              </w:tabs>
              <w:spacing w:line="240" w:lineRule="auto" w:before="102" w:after="0"/>
              <w:ind w:left="647" w:right="201" w:hanging="360"/>
              <w:jc w:val="both"/>
              <w:rPr>
                <w:sz w:val="24"/>
              </w:rPr>
            </w:pPr>
            <w:r>
              <w:rPr>
                <w:sz w:val="24"/>
              </w:rPr>
              <w:t>Reposición periódica de electrodos de sacrificio.</w:t>
            </w:r>
          </w:p>
          <w:p>
            <w:pPr>
              <w:pStyle w:val="TableParagraph"/>
              <w:numPr>
                <w:ilvl w:val="0"/>
                <w:numId w:val="9"/>
              </w:numPr>
              <w:tabs>
                <w:tab w:pos="636" w:val="left" w:leader="none"/>
              </w:tabs>
              <w:spacing w:line="274" w:lineRule="exact" w:before="22" w:after="0"/>
              <w:ind w:left="647" w:right="198" w:hanging="360"/>
              <w:jc w:val="both"/>
              <w:rPr>
                <w:sz w:val="24"/>
              </w:rPr>
            </w:pPr>
            <w:r>
              <w:rPr>
                <w:sz w:val="24"/>
              </w:rPr>
              <w:t>Lodos con contenido de aluminio o hierro dependiendo del</w:t>
            </w:r>
            <w:r>
              <w:rPr>
                <w:spacing w:val="-12"/>
                <w:sz w:val="24"/>
              </w:rPr>
              <w:t> </w:t>
            </w:r>
            <w:r>
              <w:rPr>
                <w:sz w:val="24"/>
              </w:rPr>
              <w:t>electrodo.</w:t>
            </w:r>
          </w:p>
          <w:p>
            <w:pPr>
              <w:pStyle w:val="TableParagraph"/>
              <w:numPr>
                <w:ilvl w:val="0"/>
                <w:numId w:val="9"/>
              </w:numPr>
              <w:tabs>
                <w:tab w:pos="635" w:val="left" w:leader="none"/>
                <w:tab w:pos="636" w:val="left" w:leader="none"/>
              </w:tabs>
              <w:spacing w:line="290" w:lineRule="exact" w:before="0" w:after="0"/>
              <w:ind w:left="635" w:right="0" w:hanging="348"/>
              <w:jc w:val="left"/>
              <w:rPr>
                <w:sz w:val="24"/>
              </w:rPr>
            </w:pPr>
            <w:r>
              <w:rPr>
                <w:sz w:val="24"/>
              </w:rPr>
              <w:t>Costos de energía</w:t>
            </w:r>
            <w:r>
              <w:rPr>
                <w:spacing w:val="-10"/>
                <w:sz w:val="24"/>
              </w:rPr>
              <w:t> </w:t>
            </w:r>
            <w:r>
              <w:rPr>
                <w:sz w:val="24"/>
              </w:rPr>
              <w:t>eléctrica.</w:t>
            </w:r>
          </w:p>
          <w:p>
            <w:pPr>
              <w:pStyle w:val="TableParagraph"/>
              <w:numPr>
                <w:ilvl w:val="0"/>
                <w:numId w:val="9"/>
              </w:numPr>
              <w:tabs>
                <w:tab w:pos="636" w:val="left" w:leader="none"/>
              </w:tabs>
              <w:spacing w:line="240" w:lineRule="auto" w:before="0" w:after="0"/>
              <w:ind w:left="647" w:right="200" w:hanging="360"/>
              <w:jc w:val="both"/>
              <w:rPr>
                <w:sz w:val="24"/>
              </w:rPr>
            </w:pPr>
            <w:r>
              <w:rPr>
                <w:sz w:val="24"/>
              </w:rPr>
              <w:t>El óxido formado en ánodo forma una capa que impide el paso de corriente eléctrica, disminuyendo la eficiencia del proceso.</w:t>
            </w:r>
          </w:p>
        </w:tc>
      </w:tr>
    </w:tbl>
    <w:p>
      <w:pPr>
        <w:pStyle w:val="BodyText"/>
        <w:rPr>
          <w:sz w:val="20"/>
        </w:rPr>
      </w:pPr>
    </w:p>
    <w:p>
      <w:pPr>
        <w:pStyle w:val="BodyText"/>
        <w:rPr>
          <w:sz w:val="20"/>
        </w:rPr>
      </w:pPr>
    </w:p>
    <w:p>
      <w:pPr>
        <w:pStyle w:val="BodyText"/>
        <w:rPr>
          <w:sz w:val="20"/>
        </w:rPr>
      </w:pPr>
    </w:p>
    <w:p>
      <w:pPr>
        <w:pStyle w:val="Heading2"/>
        <w:numPr>
          <w:ilvl w:val="2"/>
          <w:numId w:val="7"/>
        </w:numPr>
        <w:tabs>
          <w:tab w:pos="982" w:val="left" w:leader="none"/>
        </w:tabs>
        <w:spacing w:line="240" w:lineRule="auto" w:before="193" w:after="0"/>
        <w:ind w:left="982" w:right="0" w:hanging="704"/>
        <w:jc w:val="both"/>
      </w:pPr>
      <w:r>
        <w:rPr/>
        <w:t>Variables que afectan la</w:t>
      </w:r>
      <w:r>
        <w:rPr>
          <w:spacing w:val="-20"/>
        </w:rPr>
        <w:t> </w:t>
      </w:r>
      <w:r>
        <w:rPr/>
        <w:t>Electrocoagulación</w:t>
      </w:r>
    </w:p>
    <w:p>
      <w:pPr>
        <w:pStyle w:val="BodyText"/>
        <w:spacing w:before="8"/>
        <w:rPr>
          <w:b/>
        </w:rPr>
      </w:pPr>
    </w:p>
    <w:p>
      <w:pPr>
        <w:pStyle w:val="BodyText"/>
        <w:spacing w:line="276" w:lineRule="auto" w:before="1"/>
        <w:ind w:left="278" w:right="712"/>
        <w:jc w:val="both"/>
      </w:pPr>
      <w:r>
        <w:rPr/>
        <w:t>Son muchos los factores que intervienen en el proceso de electrocoagulación y algunos de estos factores tienen mayor influencia sobre el proceso. En la Tabla 4., se discutirán las variables que se relacionan más directamente con la efectividad del mismo (Holt et al., 2005; Ping et al., 2005; Panizza y Cerisola, 2010; Piña et al., 2011; Pantoja, 2012).</w:t>
      </w:r>
    </w:p>
    <w:p>
      <w:pPr>
        <w:spacing w:after="0" w:line="276" w:lineRule="auto"/>
        <w:jc w:val="both"/>
        <w:sectPr>
          <w:footerReference w:type="default" r:id="rId13"/>
          <w:pgSz w:w="12240" w:h="15840"/>
          <w:pgMar w:footer="1480" w:header="0" w:top="1420" w:bottom="1680" w:left="1140" w:right="700"/>
          <w:pgNumType w:start="11"/>
        </w:sectPr>
      </w:pPr>
    </w:p>
    <w:p>
      <w:pPr>
        <w:spacing w:before="55"/>
        <w:ind w:left="2035" w:right="0" w:firstLine="0"/>
        <w:jc w:val="left"/>
        <w:rPr>
          <w:sz w:val="20"/>
        </w:rPr>
      </w:pPr>
      <w:r>
        <w:rPr>
          <w:b/>
          <w:sz w:val="20"/>
        </w:rPr>
        <w:t>Tabla 4</w:t>
      </w:r>
      <w:r>
        <w:rPr>
          <w:sz w:val="20"/>
        </w:rPr>
        <w:t>. Variables que afectan al proceso de electrocoagulación.</w:t>
      </w:r>
    </w:p>
    <w:p>
      <w:pPr>
        <w:pStyle w:val="BodyText"/>
        <w:spacing w:before="6"/>
        <w:rPr>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887"/>
      </w:tblGrid>
      <w:tr>
        <w:trPr>
          <w:trHeight w:val="264" w:hRule="exact"/>
        </w:trPr>
        <w:tc>
          <w:tcPr>
            <w:tcW w:w="2660" w:type="dxa"/>
          </w:tcPr>
          <w:p>
            <w:pPr>
              <w:pStyle w:val="TableParagraph"/>
              <w:ind w:left="228" w:right="228"/>
              <w:jc w:val="center"/>
              <w:rPr>
                <w:sz w:val="22"/>
              </w:rPr>
            </w:pPr>
            <w:r>
              <w:rPr>
                <w:sz w:val="22"/>
              </w:rPr>
              <w:t>Variable</w:t>
            </w:r>
          </w:p>
        </w:tc>
        <w:tc>
          <w:tcPr>
            <w:tcW w:w="6887" w:type="dxa"/>
          </w:tcPr>
          <w:p>
            <w:pPr>
              <w:pStyle w:val="TableParagraph"/>
              <w:ind w:left="3106" w:right="3106"/>
              <w:jc w:val="center"/>
              <w:rPr>
                <w:sz w:val="22"/>
              </w:rPr>
            </w:pPr>
            <w:r>
              <w:rPr>
                <w:sz w:val="22"/>
              </w:rPr>
              <w:t>Efecto</w:t>
            </w:r>
          </w:p>
        </w:tc>
      </w:tr>
      <w:tr>
        <w:trPr>
          <w:trHeight w:val="768" w:hRule="exact"/>
        </w:trPr>
        <w:tc>
          <w:tcPr>
            <w:tcW w:w="2660" w:type="dxa"/>
          </w:tcPr>
          <w:p>
            <w:pPr>
              <w:pStyle w:val="TableParagraph"/>
              <w:spacing w:before="10"/>
              <w:rPr>
                <w:sz w:val="21"/>
              </w:rPr>
            </w:pPr>
          </w:p>
          <w:p>
            <w:pPr>
              <w:pStyle w:val="TableParagraph"/>
              <w:ind w:left="228" w:right="228"/>
              <w:jc w:val="center"/>
              <w:rPr>
                <w:sz w:val="22"/>
              </w:rPr>
            </w:pPr>
            <w:r>
              <w:rPr>
                <w:sz w:val="22"/>
              </w:rPr>
              <w:t>Tiempo de reacción</w:t>
            </w:r>
          </w:p>
        </w:tc>
        <w:tc>
          <w:tcPr>
            <w:tcW w:w="6887" w:type="dxa"/>
          </w:tcPr>
          <w:p>
            <w:pPr>
              <w:pStyle w:val="TableParagraph"/>
              <w:ind w:left="103" w:right="101"/>
              <w:jc w:val="both"/>
              <w:rPr>
                <w:sz w:val="22"/>
              </w:rPr>
            </w:pPr>
            <w:r>
              <w:rPr>
                <w:sz w:val="22"/>
              </w:rPr>
              <w:t>Es proporcional a la cantidad de iones de aluminio o hierro disueltos en agua; cuanto mayor es el tiempo de proceso, mayor es la cantidad de aluminio o hierro disuelto en el sistema.</w:t>
            </w:r>
          </w:p>
        </w:tc>
      </w:tr>
      <w:tr>
        <w:trPr>
          <w:trHeight w:val="1022" w:hRule="exact"/>
        </w:trPr>
        <w:tc>
          <w:tcPr>
            <w:tcW w:w="2660" w:type="dxa"/>
          </w:tcPr>
          <w:p>
            <w:pPr>
              <w:pStyle w:val="TableParagraph"/>
              <w:spacing w:before="10"/>
              <w:rPr>
                <w:sz w:val="21"/>
              </w:rPr>
            </w:pPr>
          </w:p>
          <w:p>
            <w:pPr>
              <w:pStyle w:val="TableParagraph"/>
              <w:ind w:left="228" w:right="228"/>
              <w:jc w:val="center"/>
              <w:rPr>
                <w:sz w:val="22"/>
              </w:rPr>
            </w:pPr>
            <w:r>
              <w:rPr>
                <w:sz w:val="22"/>
              </w:rPr>
              <w:t>pH</w:t>
            </w:r>
          </w:p>
        </w:tc>
        <w:tc>
          <w:tcPr>
            <w:tcW w:w="6887" w:type="dxa"/>
          </w:tcPr>
          <w:p>
            <w:pPr>
              <w:pStyle w:val="TableParagraph"/>
              <w:ind w:left="103" w:right="106"/>
              <w:jc w:val="both"/>
              <w:rPr>
                <w:sz w:val="22"/>
              </w:rPr>
            </w:pPr>
            <w:r>
              <w:rPr>
                <w:sz w:val="22"/>
              </w:rPr>
              <w:t>Determina la especie iónica que actuara como coagulante, además de influir en la eficiencia de la corriente en el proceso de solubilidad del metal para formar hidróxido. Las mejores remociones se han obtenido en valores de pH cercanos a 7.</w:t>
            </w:r>
          </w:p>
        </w:tc>
      </w:tr>
      <w:tr>
        <w:trPr>
          <w:trHeight w:val="1022" w:hRule="exact"/>
        </w:trPr>
        <w:tc>
          <w:tcPr>
            <w:tcW w:w="2660" w:type="dxa"/>
          </w:tcPr>
          <w:p>
            <w:pPr>
              <w:pStyle w:val="TableParagraph"/>
              <w:spacing w:before="10"/>
              <w:rPr>
                <w:sz w:val="21"/>
              </w:rPr>
            </w:pPr>
          </w:p>
          <w:p>
            <w:pPr>
              <w:pStyle w:val="TableParagraph"/>
              <w:ind w:left="228" w:right="228"/>
              <w:jc w:val="center"/>
              <w:rPr>
                <w:sz w:val="22"/>
              </w:rPr>
            </w:pPr>
            <w:r>
              <w:rPr>
                <w:sz w:val="22"/>
              </w:rPr>
              <w:t>Densidad de corriente</w:t>
            </w:r>
          </w:p>
        </w:tc>
        <w:tc>
          <w:tcPr>
            <w:tcW w:w="6887" w:type="dxa"/>
          </w:tcPr>
          <w:p>
            <w:pPr>
              <w:pStyle w:val="TableParagraph"/>
              <w:spacing w:line="251" w:lineRule="exact"/>
              <w:ind w:left="103"/>
              <w:jc w:val="both"/>
              <w:rPr>
                <w:sz w:val="22"/>
              </w:rPr>
            </w:pPr>
            <w:r>
              <w:rPr>
                <w:sz w:val="22"/>
              </w:rPr>
              <w:t>Determina  la  cantidad  de  iones  Al</w:t>
            </w:r>
            <w:r>
              <w:rPr>
                <w:position w:val="10"/>
                <w:sz w:val="14"/>
              </w:rPr>
              <w:t>+3    </w:t>
            </w:r>
            <w:r>
              <w:rPr>
                <w:sz w:val="22"/>
              </w:rPr>
              <w:t>o  Fe</w:t>
            </w:r>
            <w:r>
              <w:rPr>
                <w:position w:val="10"/>
                <w:sz w:val="14"/>
              </w:rPr>
              <w:t>+2    </w:t>
            </w:r>
            <w:r>
              <w:rPr>
                <w:sz w:val="22"/>
              </w:rPr>
              <w:t>liberados  por     los</w:t>
            </w:r>
          </w:p>
          <w:p>
            <w:pPr>
              <w:pStyle w:val="TableParagraph"/>
              <w:spacing w:before="1"/>
              <w:ind w:left="103" w:right="105"/>
              <w:jc w:val="both"/>
              <w:rPr>
                <w:sz w:val="22"/>
              </w:rPr>
            </w:pPr>
            <w:r>
              <w:rPr>
                <w:sz w:val="22"/>
              </w:rPr>
              <w:t>electrodos. Cuando hay una corriente grande hay una transformación de energía eléctrica en calórica en el reactor, además de una disminución en la eficacia.</w:t>
            </w:r>
          </w:p>
        </w:tc>
      </w:tr>
      <w:tr>
        <w:trPr>
          <w:trHeight w:val="262" w:hRule="exact"/>
        </w:trPr>
        <w:tc>
          <w:tcPr>
            <w:tcW w:w="2660" w:type="dxa"/>
          </w:tcPr>
          <w:p>
            <w:pPr>
              <w:pStyle w:val="TableParagraph"/>
              <w:spacing w:line="251" w:lineRule="exact"/>
              <w:ind w:left="225" w:right="228"/>
              <w:jc w:val="center"/>
              <w:rPr>
                <w:sz w:val="22"/>
              </w:rPr>
            </w:pPr>
            <w:r>
              <w:rPr>
                <w:sz w:val="22"/>
              </w:rPr>
              <w:t>Conductividad</w:t>
            </w:r>
          </w:p>
        </w:tc>
        <w:tc>
          <w:tcPr>
            <w:tcW w:w="6887" w:type="dxa"/>
          </w:tcPr>
          <w:p>
            <w:pPr>
              <w:pStyle w:val="TableParagraph"/>
              <w:spacing w:line="251" w:lineRule="exact"/>
              <w:ind w:left="103"/>
              <w:rPr>
                <w:sz w:val="22"/>
              </w:rPr>
            </w:pPr>
            <w:r>
              <w:rPr>
                <w:sz w:val="22"/>
              </w:rPr>
              <w:t>Provoca incrementos en la densidad de corriente</w:t>
            </w:r>
          </w:p>
        </w:tc>
      </w:tr>
      <w:tr>
        <w:trPr>
          <w:trHeight w:val="1022" w:hRule="exact"/>
        </w:trPr>
        <w:tc>
          <w:tcPr>
            <w:tcW w:w="2660" w:type="dxa"/>
          </w:tcPr>
          <w:p>
            <w:pPr>
              <w:pStyle w:val="TableParagraph"/>
              <w:spacing w:before="10"/>
              <w:rPr>
                <w:sz w:val="21"/>
              </w:rPr>
            </w:pPr>
          </w:p>
          <w:p>
            <w:pPr>
              <w:pStyle w:val="TableParagraph"/>
              <w:ind w:left="227" w:right="228"/>
              <w:jc w:val="center"/>
              <w:rPr>
                <w:sz w:val="22"/>
              </w:rPr>
            </w:pPr>
            <w:r>
              <w:rPr>
                <w:sz w:val="22"/>
              </w:rPr>
              <w:t>Temperatura</w:t>
            </w:r>
          </w:p>
        </w:tc>
        <w:tc>
          <w:tcPr>
            <w:tcW w:w="6887" w:type="dxa"/>
          </w:tcPr>
          <w:p>
            <w:pPr>
              <w:pStyle w:val="TableParagraph"/>
              <w:ind w:left="103" w:right="105"/>
              <w:jc w:val="both"/>
              <w:rPr>
                <w:sz w:val="22"/>
              </w:rPr>
            </w:pPr>
            <w:r>
              <w:rPr>
                <w:sz w:val="22"/>
              </w:rPr>
              <w:t>No han sido muy investigados pero se ha encontrado que la eficiencia de corriente se incrementa inicialmente hasta los 60°C para después decrecer, esto se atribuye a la destrucción de la película de Al(OH)</w:t>
            </w:r>
            <w:r>
              <w:rPr>
                <w:position w:val="-2"/>
                <w:sz w:val="14"/>
              </w:rPr>
              <w:t>3  </w:t>
            </w:r>
            <w:r>
              <w:rPr>
                <w:sz w:val="22"/>
              </w:rPr>
              <w:t>en el electrodo.</w:t>
            </w:r>
          </w:p>
        </w:tc>
      </w:tr>
      <w:tr>
        <w:trPr>
          <w:trHeight w:val="1277" w:hRule="exact"/>
        </w:trPr>
        <w:tc>
          <w:tcPr>
            <w:tcW w:w="2660" w:type="dxa"/>
          </w:tcPr>
          <w:p>
            <w:pPr>
              <w:pStyle w:val="TableParagraph"/>
              <w:spacing w:line="251" w:lineRule="exact"/>
              <w:ind w:left="228" w:right="226"/>
              <w:jc w:val="center"/>
              <w:rPr>
                <w:sz w:val="22"/>
              </w:rPr>
            </w:pPr>
            <w:r>
              <w:rPr>
                <w:sz w:val="22"/>
              </w:rPr>
              <w:t>Presencia de NaCl</w:t>
            </w:r>
          </w:p>
        </w:tc>
        <w:tc>
          <w:tcPr>
            <w:tcW w:w="6887" w:type="dxa"/>
          </w:tcPr>
          <w:p>
            <w:pPr>
              <w:pStyle w:val="TableParagraph"/>
              <w:spacing w:line="223" w:lineRule="auto" w:before="12"/>
              <w:ind w:left="103" w:right="102"/>
              <w:jc w:val="both"/>
              <w:rPr>
                <w:sz w:val="22"/>
              </w:rPr>
            </w:pPr>
            <w:r>
              <w:rPr>
                <w:sz w:val="22"/>
              </w:rPr>
              <w:t>Aumenta la conductividad del agua, además de ion cloruro puede reducir los efectos adversos de HCO</w:t>
            </w:r>
            <w:r>
              <w:rPr>
                <w:position w:val="-2"/>
                <w:sz w:val="14"/>
              </w:rPr>
              <w:t>3 </w:t>
            </w:r>
            <w:r>
              <w:rPr>
                <w:sz w:val="22"/>
              </w:rPr>
              <w:t>y SO</w:t>
            </w:r>
            <w:r>
              <w:rPr>
                <w:position w:val="-2"/>
                <w:sz w:val="14"/>
              </w:rPr>
              <w:t>4 </w:t>
            </w:r>
            <w:r>
              <w:rPr>
                <w:sz w:val="22"/>
              </w:rPr>
              <w:t>que producen la precipitación de Ca</w:t>
            </w:r>
            <w:r>
              <w:rPr>
                <w:position w:val="10"/>
                <w:sz w:val="14"/>
              </w:rPr>
              <w:t>+2  </w:t>
            </w:r>
            <w:r>
              <w:rPr>
                <w:sz w:val="22"/>
              </w:rPr>
              <w:t>y Mg</w:t>
            </w:r>
            <w:r>
              <w:rPr>
                <w:position w:val="10"/>
                <w:sz w:val="14"/>
              </w:rPr>
              <w:t>+2  </w:t>
            </w:r>
            <w:r>
              <w:rPr>
                <w:sz w:val="22"/>
              </w:rPr>
              <w:t>produciendo una capa insoluble  sobre</w:t>
            </w:r>
          </w:p>
          <w:p>
            <w:pPr>
              <w:pStyle w:val="TableParagraph"/>
              <w:spacing w:before="4"/>
              <w:ind w:left="103" w:right="106"/>
              <w:jc w:val="both"/>
              <w:rPr>
                <w:sz w:val="22"/>
              </w:rPr>
            </w:pPr>
            <w:r>
              <w:rPr>
                <w:sz w:val="22"/>
              </w:rPr>
              <w:t>los electrodos, que aumentarían el potencial entre los electrodos decreciendo así la eficiencia de la corriente.</w:t>
            </w:r>
          </w:p>
        </w:tc>
      </w:tr>
    </w:tbl>
    <w:p>
      <w:pPr>
        <w:pStyle w:val="BodyText"/>
        <w:spacing w:before="9"/>
        <w:rPr>
          <w:sz w:val="17"/>
        </w:rPr>
      </w:pPr>
    </w:p>
    <w:p>
      <w:pPr>
        <w:pStyle w:val="BodyText"/>
        <w:spacing w:line="276" w:lineRule="auto" w:before="69"/>
        <w:ind w:left="218" w:right="156"/>
        <w:jc w:val="both"/>
      </w:pPr>
      <w:r>
        <w:rPr/>
        <w:t>El tratamiento de electrocoagulación </w:t>
      </w:r>
      <w:r>
        <w:rPr>
          <w:spacing w:val="2"/>
        </w:rPr>
        <w:t>es </w:t>
      </w:r>
      <w:r>
        <w:rPr/>
        <w:t>considerado una tecnología compatible con el ambiente, ha demostrado su eficiencia en la remoción de contaminantes orgánicos e inorgánicos (metales pesados), presentes en aguas. Actualmente existen un sin  número de trabajos de remoción de contaminantes, entre ellos tenemos los siguientes trabajos:</w:t>
      </w:r>
    </w:p>
    <w:p>
      <w:pPr>
        <w:pStyle w:val="BodyText"/>
        <w:spacing w:before="4"/>
        <w:rPr>
          <w:sz w:val="27"/>
        </w:rPr>
      </w:pPr>
    </w:p>
    <w:p>
      <w:pPr>
        <w:pStyle w:val="BodyText"/>
        <w:spacing w:line="271" w:lineRule="auto"/>
        <w:ind w:left="218" w:right="155"/>
        <w:jc w:val="both"/>
      </w:pPr>
      <w:r>
        <w:rPr/>
        <w:t>Prica </w:t>
      </w:r>
      <w:r>
        <w:rPr>
          <w:i/>
        </w:rPr>
        <w:t>et al</w:t>
      </w:r>
      <w:r>
        <w:rPr/>
        <w:t>. (2014), evaluaron la remoción de Cu, Zn y Ni presentes en cartuchos de imprenta offset disueltos en agua residual. Mediante una reactor monopolar con electrodos de hierro “Fe” y “Al”, corriente de 8 mA/cm</w:t>
      </w:r>
      <w:r>
        <w:rPr>
          <w:position w:val="11"/>
          <w:sz w:val="16"/>
        </w:rPr>
        <w:t>2 </w:t>
      </w:r>
      <w:r>
        <w:rPr/>
        <w:t>durante 60 minutos se obtuvo  una remoción del 85-95% de Cu, Zn y Ni, esta remoción se debió al a distancia que tuvieron los electrodos. La remoción del “Cu” a una distancia de placas de 1 cm y </w:t>
      </w:r>
      <w:r>
        <w:rPr>
          <w:spacing w:val="3"/>
        </w:rPr>
        <w:t>“Zn- </w:t>
      </w:r>
      <w:r>
        <w:rPr/>
        <w:t>Ni” a 1.5</w:t>
      </w:r>
      <w:r>
        <w:rPr>
          <w:spacing w:val="-1"/>
        </w:rPr>
        <w:t> </w:t>
      </w:r>
      <w:r>
        <w:rPr/>
        <w:t>cm.</w:t>
      </w:r>
    </w:p>
    <w:p>
      <w:pPr>
        <w:pStyle w:val="BodyText"/>
        <w:spacing w:before="1"/>
        <w:rPr>
          <w:sz w:val="28"/>
        </w:rPr>
      </w:pPr>
    </w:p>
    <w:p>
      <w:pPr>
        <w:pStyle w:val="BodyText"/>
        <w:spacing w:line="268" w:lineRule="auto"/>
        <w:ind w:left="218" w:right="158"/>
        <w:jc w:val="both"/>
      </w:pPr>
      <w:r>
        <w:rPr/>
        <w:t>Mercado </w:t>
      </w:r>
      <w:r>
        <w:rPr>
          <w:i/>
        </w:rPr>
        <w:t>et al</w:t>
      </w:r>
      <w:r>
        <w:rPr/>
        <w:t>. (2013), mediante un reactor batch de 2 L de capacidad se introdujeron seis electrodos de hierro (3 ánodos y 3 cátodos), al cual se colocó un efluente del sector automotor con altas concentraciones de Ni (níquel) y DQO (materia orgánica), a una corriente de 1.04 A/dm</w:t>
      </w:r>
      <w:r>
        <w:rPr>
          <w:position w:val="11"/>
          <w:sz w:val="16"/>
        </w:rPr>
        <w:t>2 </w:t>
      </w:r>
      <w:r>
        <w:rPr/>
        <w:t>durante 17 minutos, se obtuvo una remoción del simultanea del 80%.</w:t>
      </w:r>
    </w:p>
    <w:p>
      <w:pPr>
        <w:spacing w:after="0" w:line="268" w:lineRule="auto"/>
        <w:jc w:val="both"/>
        <w:sectPr>
          <w:pgSz w:w="12240" w:h="15840"/>
          <w:pgMar w:header="0" w:footer="1480" w:top="1360" w:bottom="1680" w:left="1200" w:right="1260"/>
        </w:sectPr>
      </w:pPr>
    </w:p>
    <w:p>
      <w:pPr>
        <w:pStyle w:val="BodyText"/>
        <w:spacing w:line="266" w:lineRule="auto" w:before="54"/>
        <w:ind w:left="118" w:right="115"/>
        <w:jc w:val="both"/>
      </w:pPr>
      <w:r>
        <w:rPr/>
        <w:t>Al Aji </w:t>
      </w:r>
      <w:r>
        <w:rPr>
          <w:i/>
        </w:rPr>
        <w:t>et al</w:t>
      </w:r>
      <w:r>
        <w:rPr/>
        <w:t>. (2012), mediante electrocoagulación con electrodos de hierro monopolar para la eliminación simultánea de Cu</w:t>
      </w:r>
      <w:r>
        <w:rPr>
          <w:position w:val="11"/>
          <w:sz w:val="16"/>
        </w:rPr>
        <w:t>2+</w:t>
      </w:r>
      <w:r>
        <w:rPr/>
        <w:t>, Zn</w:t>
      </w:r>
      <w:r>
        <w:rPr>
          <w:position w:val="11"/>
          <w:sz w:val="16"/>
        </w:rPr>
        <w:t>2+ </w:t>
      </w:r>
      <w:r>
        <w:rPr/>
        <w:t>y Mn</w:t>
      </w:r>
      <w:r>
        <w:rPr>
          <w:position w:val="11"/>
          <w:sz w:val="16"/>
        </w:rPr>
        <w:t>2+</w:t>
      </w:r>
      <w:r>
        <w:rPr/>
        <w:t>; presentes en un agua residual (muestra sintética) a una concentración de 250 mg/L. se utilizo una densidad de corriente de 25 mA/cm</w:t>
      </w:r>
      <w:r>
        <w:rPr>
          <w:position w:val="11"/>
          <w:sz w:val="16"/>
        </w:rPr>
        <w:t>2</w:t>
      </w:r>
      <w:r>
        <w:rPr/>
        <w:t>, 6 placas de hierro con una distancia entre placas de .3 cm, 10 minutos de tratamiento, valor de pH inicial 5.68 y final 8.95 (el incremento se origina durante la fase reactiva “electrolisis del agua”). Los resultados indicaron que le EC eliminó más del 96% del cobre, níquel y zinc; mientras el manganeso fue de</w:t>
      </w:r>
      <w:r>
        <w:rPr>
          <w:spacing w:val="-31"/>
        </w:rPr>
        <w:t> </w:t>
      </w:r>
      <w:r>
        <w:rPr/>
        <w:t>72.6%.</w:t>
      </w:r>
    </w:p>
    <w:p>
      <w:pPr>
        <w:pStyle w:val="BodyText"/>
        <w:spacing w:before="6"/>
        <w:rPr>
          <w:sz w:val="28"/>
        </w:rPr>
      </w:pPr>
    </w:p>
    <w:p>
      <w:pPr>
        <w:pStyle w:val="BodyText"/>
        <w:spacing w:line="276" w:lineRule="auto"/>
        <w:ind w:left="118" w:right="120"/>
        <w:jc w:val="both"/>
      </w:pPr>
      <w:r>
        <w:rPr/>
        <w:t>Chen </w:t>
      </w:r>
      <w:r>
        <w:rPr>
          <w:i/>
        </w:rPr>
        <w:t>et al</w:t>
      </w:r>
      <w:r>
        <w:rPr/>
        <w:t>. (2012), examinaron la viabilidad de aplicar un proceso de electrocoagulación de flujo continuo (Al y Fe), en el tratamiento de aguas residuales procedentes de plantas de fermentación (ricas en materia orgánica e inorgánica). Se obtuvo una remoción del 59 al 63 % de DQO (materia orgánica): además que, se redujo la masa  del electrodo de hierro, reducción de 15% de energía. Con estos datos se propone en un futuro el diseño de plantas de electrocoagulación a escala</w:t>
      </w:r>
      <w:r>
        <w:rPr>
          <w:spacing w:val="-29"/>
        </w:rPr>
        <w:t> </w:t>
      </w:r>
      <w:r>
        <w:rPr/>
        <w:t>industrial.</w:t>
      </w:r>
    </w:p>
    <w:p>
      <w:pPr>
        <w:pStyle w:val="BodyText"/>
        <w:spacing w:before="4"/>
        <w:rPr>
          <w:sz w:val="27"/>
        </w:rPr>
      </w:pPr>
    </w:p>
    <w:p>
      <w:pPr>
        <w:pStyle w:val="BodyText"/>
        <w:spacing w:line="266" w:lineRule="auto"/>
        <w:ind w:left="118" w:right="109"/>
        <w:jc w:val="both"/>
      </w:pPr>
      <w:r>
        <w:rPr/>
        <w:t>Barrera </w:t>
      </w:r>
      <w:r>
        <w:rPr>
          <w:i/>
        </w:rPr>
        <w:t>et al</w:t>
      </w:r>
      <w:r>
        <w:rPr/>
        <w:t>. (2011), utilizaron un reactor de 350 ml de capacidad, con placas de acero, ánodo de hierro y cátodos de aluminio y cobre. Se le colocó una solución sintética “preparada” de Cr(VI) a una concentración de 100 mg/L y corriente de 1.22 mA/cm</w:t>
      </w:r>
      <w:r>
        <w:rPr>
          <w:position w:val="11"/>
          <w:sz w:val="16"/>
        </w:rPr>
        <w:t>2</w:t>
      </w:r>
      <w:r>
        <w:rPr/>
        <w:t>, y encontro que el cátodo de Cu era buen removedor de Cr(VI).</w:t>
      </w:r>
    </w:p>
    <w:p>
      <w:pPr>
        <w:pStyle w:val="BodyText"/>
        <w:spacing w:before="8"/>
        <w:rPr>
          <w:sz w:val="25"/>
        </w:rPr>
      </w:pPr>
    </w:p>
    <w:p>
      <w:pPr>
        <w:pStyle w:val="BodyText"/>
        <w:spacing w:line="268" w:lineRule="auto"/>
        <w:ind w:left="118" w:right="113"/>
        <w:jc w:val="both"/>
      </w:pPr>
      <w:r>
        <w:rPr/>
        <w:t>Hanay y Hasar (2011), removieron de Cu</w:t>
      </w:r>
      <w:r>
        <w:rPr>
          <w:position w:val="11"/>
          <w:sz w:val="16"/>
        </w:rPr>
        <w:t>2+</w:t>
      </w:r>
      <w:r>
        <w:rPr/>
        <w:t>, Zn</w:t>
      </w:r>
      <w:r>
        <w:rPr>
          <w:position w:val="11"/>
          <w:sz w:val="16"/>
        </w:rPr>
        <w:t>2+ </w:t>
      </w:r>
      <w:r>
        <w:rPr/>
        <w:t>y Mn</w:t>
      </w:r>
      <w:r>
        <w:rPr>
          <w:position w:val="11"/>
          <w:sz w:val="16"/>
        </w:rPr>
        <w:t>2+ </w:t>
      </w:r>
      <w:r>
        <w:rPr/>
        <w:t>presentes en una muestra sintética preparada a partir de sales de sulfato ó cloruro de cada metal. La mezcla fue sometida a proceso de EC el cual tenía las siguientes características: 4 electrodos de aluminio espaciadas a 5mm, densidad de corriente de 15 mA/cm</w:t>
      </w:r>
      <w:r>
        <w:rPr>
          <w:position w:val="11"/>
          <w:sz w:val="16"/>
        </w:rPr>
        <w:t>2</w:t>
      </w:r>
      <w:r>
        <w:rPr/>
        <w:t>, 5 min de tratamiento, iniciando de un</w:t>
      </w:r>
      <w:r>
        <w:rPr>
          <w:spacing w:val="52"/>
        </w:rPr>
        <w:t> </w:t>
      </w:r>
      <w:r>
        <w:rPr/>
        <w:t>pH=3.</w:t>
      </w:r>
      <w:r>
        <w:rPr>
          <w:spacing w:val="51"/>
        </w:rPr>
        <w:t> </w:t>
      </w:r>
      <w:r>
        <w:rPr/>
        <w:t>Las extracciones de Cu</w:t>
      </w:r>
      <w:r>
        <w:rPr>
          <w:spacing w:val="51"/>
        </w:rPr>
        <w:t> </w:t>
      </w:r>
      <w:r>
        <w:rPr/>
        <w:t>y Zn fueron</w:t>
      </w:r>
      <w:r>
        <w:rPr>
          <w:spacing w:val="50"/>
        </w:rPr>
        <w:t> </w:t>
      </w:r>
      <w:r>
        <w:rPr/>
        <w:t>del 100%   a un pH&gt;7;</w:t>
      </w:r>
    </w:p>
    <w:p>
      <w:pPr>
        <w:pStyle w:val="BodyText"/>
        <w:spacing w:before="8"/>
        <w:ind w:left="118"/>
        <w:jc w:val="both"/>
      </w:pPr>
      <w:r>
        <w:rPr/>
        <w:t>mientras que, del Mn fueron del 80-85% en presencia de aniones sulfato y cloruro.</w:t>
      </w:r>
    </w:p>
    <w:p>
      <w:pPr>
        <w:pStyle w:val="BodyText"/>
        <w:spacing w:before="1"/>
        <w:rPr>
          <w:sz w:val="31"/>
        </w:rPr>
      </w:pPr>
    </w:p>
    <w:p>
      <w:pPr>
        <w:pStyle w:val="BodyText"/>
        <w:spacing w:line="266" w:lineRule="auto"/>
        <w:ind w:left="118" w:right="112"/>
        <w:jc w:val="both"/>
      </w:pPr>
      <w:r>
        <w:rPr/>
        <w:t>Pociecha y Lestan (2010), evaluaron la remoción de Pb, Zn y Cd en suelo contaminado con EDTA, para ello utilizaron un reactor con 2 placas de aluminio separadas por 10 mm, 1 L de solución (suelo), densidad de corriente de 16 a 128 mA/cm</w:t>
      </w:r>
      <w:r>
        <w:rPr>
          <w:position w:val="11"/>
          <w:sz w:val="16"/>
        </w:rPr>
        <w:t>2</w:t>
      </w:r>
      <w:r>
        <w:rPr/>
        <w:t>, 45 minutos de tratamiento. Bajo un pH de 7.52 se tuvo una eliminación del 53% de Pb, 26% Zn y  52%</w:t>
      </w:r>
    </w:p>
    <w:p>
      <w:pPr>
        <w:pStyle w:val="BodyText"/>
        <w:spacing w:line="276" w:lineRule="auto" w:before="11"/>
        <w:ind w:left="118" w:right="124"/>
        <w:jc w:val="both"/>
      </w:pPr>
      <w:r>
        <w:rPr/>
        <w:t>Cd desde el suelo; también hubo una degradación del 15.3% del EDTA absorbido por  el aluminio</w:t>
      </w:r>
      <w:r>
        <w:rPr>
          <w:spacing w:val="-7"/>
        </w:rPr>
        <w:t> </w:t>
      </w:r>
      <w:r>
        <w:rPr/>
        <w:t>coagulante.</w:t>
      </w:r>
    </w:p>
    <w:p>
      <w:pPr>
        <w:pStyle w:val="BodyText"/>
        <w:spacing w:before="6"/>
        <w:rPr>
          <w:sz w:val="27"/>
        </w:rPr>
      </w:pPr>
    </w:p>
    <w:p>
      <w:pPr>
        <w:pStyle w:val="BodyText"/>
        <w:spacing w:line="247" w:lineRule="auto" w:before="1"/>
        <w:ind w:left="118" w:right="112"/>
        <w:jc w:val="both"/>
      </w:pPr>
      <w:r>
        <w:rPr/>
        <w:t>Kabdash </w:t>
      </w:r>
      <w:r>
        <w:rPr>
          <w:i/>
        </w:rPr>
        <w:t>et al</w:t>
      </w:r>
      <w:r>
        <w:rPr/>
        <w:t>. (2009), removieron de Ni y Zn de aguas residuales procedentes del recubrimiento metálico, utilizaron un reactor densidad de corriente de 2.25 a 9  mA/cm</w:t>
      </w:r>
      <w:r>
        <w:rPr>
          <w:position w:val="11"/>
          <w:sz w:val="16"/>
        </w:rPr>
        <w:t>2</w:t>
      </w:r>
      <w:r>
        <w:rPr/>
        <w:t>,</w:t>
      </w:r>
    </w:p>
    <w:p>
      <w:pPr>
        <w:pStyle w:val="BodyText"/>
        <w:spacing w:line="276" w:lineRule="auto" w:before="31"/>
        <w:ind w:left="118" w:right="123"/>
        <w:jc w:val="both"/>
      </w:pPr>
      <w:r>
        <w:rPr/>
        <w:t>1.8 L de efluente industrial, 6 placas de acero monopolar distanciados por 3 mm, micro procesos de 2-4 minutos. La capacidad de eliminación del Ni se vio afectada por la disminución del pH inicial (6); eliminación del 20-66% de TOC.</w:t>
      </w:r>
    </w:p>
    <w:p>
      <w:pPr>
        <w:spacing w:after="0" w:line="276" w:lineRule="auto"/>
        <w:jc w:val="both"/>
        <w:sectPr>
          <w:pgSz w:w="12240" w:h="15840"/>
          <w:pgMar w:header="0" w:footer="1480" w:top="1360" w:bottom="1680" w:left="1300" w:right="1300"/>
        </w:sectPr>
      </w:pPr>
    </w:p>
    <w:p>
      <w:pPr>
        <w:pStyle w:val="BodyText"/>
        <w:spacing w:line="276" w:lineRule="auto" w:before="56"/>
        <w:ind w:left="118" w:right="123"/>
        <w:jc w:val="both"/>
      </w:pPr>
      <w:r>
        <w:rPr/>
        <w:t>Como se observa la electrocoagulación es un tratamiento eficiente para la remoción de contaminantes complejos de aguas residuales, mas sin embargo algunos de estos aun pueden permanecer, los cuales pueden ser sometidos a otros sistemas de mejoramiento, entre estos se encuentran los </w:t>
      </w:r>
      <w:r>
        <w:rPr>
          <w:b/>
          <w:u w:val="thick"/>
        </w:rPr>
        <w:t>biológicos</w:t>
      </w:r>
      <w:r>
        <w:rPr/>
        <w:t>.</w:t>
      </w:r>
    </w:p>
    <w:p>
      <w:pPr>
        <w:pStyle w:val="BodyText"/>
      </w:pPr>
    </w:p>
    <w:p>
      <w:pPr>
        <w:pStyle w:val="BodyText"/>
      </w:pPr>
    </w:p>
    <w:p>
      <w:pPr>
        <w:pStyle w:val="BodyText"/>
      </w:pPr>
    </w:p>
    <w:p>
      <w:pPr>
        <w:pStyle w:val="BodyText"/>
        <w:spacing w:before="9"/>
        <w:rPr>
          <w:sz w:val="20"/>
        </w:rPr>
      </w:pPr>
    </w:p>
    <w:p>
      <w:pPr>
        <w:pStyle w:val="Heading2"/>
        <w:numPr>
          <w:ilvl w:val="1"/>
          <w:numId w:val="10"/>
        </w:numPr>
        <w:tabs>
          <w:tab w:pos="590" w:val="left" w:leader="none"/>
        </w:tabs>
        <w:spacing w:line="240" w:lineRule="auto" w:before="0" w:after="0"/>
        <w:ind w:left="589" w:right="0" w:hanging="471"/>
        <w:jc w:val="both"/>
      </w:pPr>
      <w:r>
        <w:rPr/>
        <w:t>Tecnologías de remediación</w:t>
      </w:r>
      <w:r>
        <w:rPr>
          <w:spacing w:val="-19"/>
        </w:rPr>
        <w:t> </w:t>
      </w:r>
      <w:r>
        <w:rPr/>
        <w:t>ambiental</w:t>
      </w:r>
    </w:p>
    <w:p>
      <w:pPr>
        <w:pStyle w:val="BodyText"/>
        <w:spacing w:before="5"/>
        <w:rPr>
          <w:b/>
          <w:sz w:val="33"/>
        </w:rPr>
      </w:pPr>
    </w:p>
    <w:p>
      <w:pPr>
        <w:pStyle w:val="BodyText"/>
        <w:spacing w:line="276" w:lineRule="auto"/>
        <w:ind w:left="118" w:right="121"/>
        <w:jc w:val="both"/>
      </w:pPr>
      <w:r>
        <w:rPr/>
        <w:t>Implica cualquier operación unitaria o serie de operaciones que altera la composición de sustancias peligrosas o contaminantes a través de acciones químicas, físicas o biológicas de manera que reduzca la toxicidad, movilidad o volumen del material contaminado (EPA, 2001). Las tecnologías de remediación pueden clasificarse de diferentes maneras, con base en los siguientes principios (INE, 2002; Peñuela y Morató, 2008)</w:t>
      </w:r>
    </w:p>
    <w:p>
      <w:pPr>
        <w:pStyle w:val="BodyText"/>
        <w:spacing w:before="9"/>
        <w:rPr>
          <w:sz w:val="27"/>
        </w:rPr>
      </w:pPr>
    </w:p>
    <w:p>
      <w:pPr>
        <w:pStyle w:val="ListParagraph"/>
        <w:numPr>
          <w:ilvl w:val="2"/>
          <w:numId w:val="10"/>
        </w:numPr>
        <w:tabs>
          <w:tab w:pos="827" w:val="left" w:leader="none"/>
        </w:tabs>
        <w:spacing w:line="276" w:lineRule="auto" w:before="0" w:after="0"/>
        <w:ind w:left="838" w:right="112" w:hanging="360"/>
        <w:jc w:val="both"/>
        <w:rPr>
          <w:sz w:val="24"/>
        </w:rPr>
      </w:pPr>
      <w:r>
        <w:rPr>
          <w:sz w:val="24"/>
        </w:rPr>
        <w:t>Estrategias de remediación: son tres estrategias básicas que pueden ser utilizadas separadas o en conjunto. i) destrucción o modificación del contaminante, ii) extracción ó separación y iii) aislamiento o</w:t>
      </w:r>
      <w:r>
        <w:rPr>
          <w:spacing w:val="-16"/>
          <w:sz w:val="24"/>
        </w:rPr>
        <w:t> </w:t>
      </w:r>
      <w:r>
        <w:rPr>
          <w:sz w:val="24"/>
        </w:rPr>
        <w:t>inmovilización.</w:t>
      </w:r>
    </w:p>
    <w:p>
      <w:pPr>
        <w:pStyle w:val="BodyText"/>
        <w:spacing w:before="6"/>
        <w:rPr>
          <w:sz w:val="27"/>
        </w:rPr>
      </w:pPr>
    </w:p>
    <w:p>
      <w:pPr>
        <w:pStyle w:val="ListParagraph"/>
        <w:numPr>
          <w:ilvl w:val="2"/>
          <w:numId w:val="10"/>
        </w:numPr>
        <w:tabs>
          <w:tab w:pos="827" w:val="left" w:leader="none"/>
        </w:tabs>
        <w:spacing w:line="240" w:lineRule="auto" w:before="1" w:after="0"/>
        <w:ind w:left="826" w:right="0" w:hanging="348"/>
        <w:jc w:val="left"/>
        <w:rPr>
          <w:i/>
          <w:sz w:val="24"/>
        </w:rPr>
      </w:pPr>
      <w:r>
        <w:rPr>
          <w:sz w:val="24"/>
        </w:rPr>
        <w:t>Lugares a realizar la remediación: </w:t>
      </w:r>
      <w:r>
        <w:rPr>
          <w:i/>
          <w:sz w:val="24"/>
        </w:rPr>
        <w:t>in situ </w:t>
      </w:r>
      <w:r>
        <w:rPr>
          <w:sz w:val="24"/>
        </w:rPr>
        <w:t>o </w:t>
      </w:r>
      <w:r>
        <w:rPr>
          <w:i/>
          <w:sz w:val="24"/>
        </w:rPr>
        <w:t>ex</w:t>
      </w:r>
      <w:r>
        <w:rPr>
          <w:i/>
          <w:spacing w:val="-12"/>
          <w:sz w:val="24"/>
        </w:rPr>
        <w:t> </w:t>
      </w:r>
      <w:r>
        <w:rPr>
          <w:i/>
          <w:sz w:val="24"/>
        </w:rPr>
        <w:t>situ.</w:t>
      </w:r>
    </w:p>
    <w:p>
      <w:pPr>
        <w:pStyle w:val="BodyText"/>
        <w:spacing w:before="3"/>
        <w:rPr>
          <w:i/>
          <w:sz w:val="31"/>
        </w:rPr>
      </w:pPr>
    </w:p>
    <w:p>
      <w:pPr>
        <w:pStyle w:val="ListParagraph"/>
        <w:numPr>
          <w:ilvl w:val="2"/>
          <w:numId w:val="10"/>
        </w:numPr>
        <w:tabs>
          <w:tab w:pos="827" w:val="left" w:leader="none"/>
        </w:tabs>
        <w:spacing w:line="276" w:lineRule="auto" w:before="1" w:after="0"/>
        <w:ind w:left="838" w:right="113" w:hanging="360"/>
        <w:jc w:val="both"/>
        <w:rPr>
          <w:sz w:val="20"/>
        </w:rPr>
      </w:pPr>
      <w:r>
        <w:rPr>
          <w:sz w:val="24"/>
        </w:rPr>
        <w:t>Tipo de tratamiento: basada en los principios de las tecnologías de remediación y se divide en tres tipos. i) tratamientos biológicos (biorremediación) utilizan actividad metabólica de plantas, hongos y bacterias para degradar, transformar o remover contaminantes a productos metabólicos inocuos, ii) tratamientos fisicoquímicos utiliza las propiedades físicas-químicas del contaminante para ser destruidos-separados-contenidos y iii) tratamientos térmicos  utilizando  calor para incrementar la volatización (separación), quemar, descomponer o fundir (inmovilización)</w:t>
      </w:r>
      <w:r>
        <w:rPr>
          <w:sz w:val="20"/>
        </w:rPr>
        <w:t>.</w:t>
      </w:r>
    </w:p>
    <w:p>
      <w:pPr>
        <w:spacing w:after="0" w:line="276" w:lineRule="auto"/>
        <w:jc w:val="both"/>
        <w:rPr>
          <w:sz w:val="20"/>
        </w:rPr>
        <w:sectPr>
          <w:pgSz w:w="12240" w:h="15840"/>
          <w:pgMar w:header="0" w:footer="1480" w:top="1360" w:bottom="1680" w:left="1300" w:right="1300"/>
        </w:sectPr>
      </w:pPr>
    </w:p>
    <w:p>
      <w:pPr>
        <w:pStyle w:val="Heading2"/>
        <w:numPr>
          <w:ilvl w:val="2"/>
          <w:numId w:val="11"/>
        </w:numPr>
        <w:tabs>
          <w:tab w:pos="822" w:val="left" w:leader="none"/>
        </w:tabs>
        <w:spacing w:line="240" w:lineRule="auto" w:before="52" w:after="0"/>
        <w:ind w:left="118" w:right="257" w:firstLine="0"/>
        <w:jc w:val="left"/>
      </w:pPr>
      <w:r>
        <w:rPr/>
        <w:t>Biorremediación: solucionando grandes problemas ambientales con ayuda de pequeños</w:t>
      </w:r>
      <w:r>
        <w:rPr>
          <w:spacing w:val="-13"/>
        </w:rPr>
        <w:t> </w:t>
      </w:r>
      <w:r>
        <w:rPr/>
        <w:t>amigos</w:t>
      </w:r>
    </w:p>
    <w:p>
      <w:pPr>
        <w:pStyle w:val="BodyText"/>
        <w:spacing w:before="8"/>
        <w:rPr>
          <w:b/>
        </w:rPr>
      </w:pPr>
    </w:p>
    <w:p>
      <w:pPr>
        <w:pStyle w:val="BodyText"/>
        <w:spacing w:line="276" w:lineRule="auto"/>
        <w:ind w:left="118" w:right="112"/>
        <w:jc w:val="both"/>
      </w:pPr>
      <w:r>
        <w:rPr/>
        <w:t>El término “Biorremediación” acuñado a principios de la década de los 80´s (Nature Reviews Microbiology, 2010), puede definirse como la respuesta biológica al abuso ambiental (Martínez, et al., 2011), está es una opción que ofrece la posibilidad de disminuir o destruir contaminantes potencialmente tóxicos (metales pesados, hidrocarburos, compuestos xenobióticos, agentes radioactivos), esparcidos en  suelo  y/o cuerpos de agua superficial, usando para ello la actividad biológica natural de bacterias, hongos, levaduras y plantas(Cortón y Viale, 2006; Araujo </w:t>
      </w:r>
      <w:r>
        <w:rPr>
          <w:i/>
        </w:rPr>
        <w:t>et al</w:t>
      </w:r>
      <w:r>
        <w:rPr/>
        <w:t>., 2008). Como tal tiene un bajo costo, requiere de poca tecnología y generalmente tiene alta  aceptación pública (Araujo </w:t>
      </w:r>
      <w:r>
        <w:rPr>
          <w:i/>
        </w:rPr>
        <w:t>et al</w:t>
      </w:r>
      <w:r>
        <w:rPr/>
        <w:t>.,</w:t>
      </w:r>
      <w:r>
        <w:rPr>
          <w:spacing w:val="-10"/>
        </w:rPr>
        <w:t> </w:t>
      </w:r>
      <w:r>
        <w:rPr/>
        <w:t>2008).</w:t>
      </w:r>
    </w:p>
    <w:p>
      <w:pPr>
        <w:pStyle w:val="BodyText"/>
        <w:spacing w:before="6"/>
        <w:rPr>
          <w:sz w:val="27"/>
        </w:rPr>
      </w:pPr>
    </w:p>
    <w:p>
      <w:pPr>
        <w:pStyle w:val="BodyText"/>
        <w:spacing w:line="276" w:lineRule="auto" w:before="1"/>
        <w:ind w:left="118" w:right="112"/>
        <w:jc w:val="both"/>
      </w:pPr>
      <w:r>
        <w:rPr/>
        <w:t>La biorremediación se puede clasificar como </w:t>
      </w:r>
      <w:r>
        <w:rPr>
          <w:i/>
        </w:rPr>
        <w:t>in situ </w:t>
      </w:r>
      <w:r>
        <w:rPr/>
        <w:t>(tratamiento de material contaminado en el lugar en que se encuentra) o </w:t>
      </w:r>
      <w:r>
        <w:rPr>
          <w:i/>
        </w:rPr>
        <w:t>ex situ </w:t>
      </w:r>
      <w:r>
        <w:rPr/>
        <w:t>(material trasladado para realizar su descontaminación). La eficiencia de la biorremediación depende de las condiciones ambientales, que permiten esta actividad y al crecimiento de los organismos, su aplicación a menudo implica la manipulación de factores ambientales (Cotón y Viale, 2006;  Benítez,</w:t>
      </w:r>
      <w:r>
        <w:rPr>
          <w:spacing w:val="-12"/>
        </w:rPr>
        <w:t> </w:t>
      </w:r>
      <w:r>
        <w:rPr/>
        <w:t>2008).</w:t>
      </w:r>
    </w:p>
    <w:p>
      <w:pPr>
        <w:pStyle w:val="BodyText"/>
        <w:spacing w:before="9"/>
        <w:rPr>
          <w:sz w:val="27"/>
        </w:rPr>
      </w:pPr>
    </w:p>
    <w:p>
      <w:pPr>
        <w:pStyle w:val="BodyText"/>
        <w:ind w:left="118"/>
        <w:jc w:val="both"/>
      </w:pPr>
      <w:r>
        <w:rPr/>
        <w:t>Los procesos de biorremediación se pueden clasificar en tres tipos:</w:t>
      </w:r>
    </w:p>
    <w:p>
      <w:pPr>
        <w:pStyle w:val="BodyText"/>
        <w:spacing w:before="1"/>
        <w:rPr>
          <w:sz w:val="31"/>
        </w:rPr>
      </w:pPr>
    </w:p>
    <w:p>
      <w:pPr>
        <w:pStyle w:val="ListParagraph"/>
        <w:numPr>
          <w:ilvl w:val="3"/>
          <w:numId w:val="11"/>
        </w:numPr>
        <w:tabs>
          <w:tab w:pos="827" w:val="left" w:leader="none"/>
        </w:tabs>
        <w:spacing w:line="276" w:lineRule="auto" w:before="0" w:after="0"/>
        <w:ind w:left="838" w:right="112" w:hanging="360"/>
        <w:jc w:val="both"/>
        <w:rPr>
          <w:sz w:val="24"/>
        </w:rPr>
      </w:pPr>
      <w:r>
        <w:rPr>
          <w:b/>
          <w:sz w:val="24"/>
        </w:rPr>
        <w:t>Remediación microbiana</w:t>
      </w:r>
      <w:r>
        <w:rPr>
          <w:sz w:val="24"/>
        </w:rPr>
        <w:t>: mediante uso de microorganismos (bacterias y hongos) directamente en el foco de contaminación (derivados de petróleo, pesticidas, herbicidas, compuestos aromáticos, metales pesados), estos microorganismos pueden ya existir en el sitio o provenir de otros</w:t>
      </w:r>
      <w:r>
        <w:rPr>
          <w:spacing w:val="-24"/>
          <w:sz w:val="24"/>
        </w:rPr>
        <w:t> </w:t>
      </w:r>
      <w:r>
        <w:rPr>
          <w:sz w:val="24"/>
        </w:rPr>
        <w:t>ecosistemas.</w:t>
      </w:r>
    </w:p>
    <w:p>
      <w:pPr>
        <w:pStyle w:val="BodyText"/>
        <w:spacing w:before="9"/>
        <w:rPr>
          <w:sz w:val="27"/>
        </w:rPr>
      </w:pPr>
    </w:p>
    <w:p>
      <w:pPr>
        <w:pStyle w:val="ListParagraph"/>
        <w:numPr>
          <w:ilvl w:val="3"/>
          <w:numId w:val="11"/>
        </w:numPr>
        <w:tabs>
          <w:tab w:pos="827" w:val="left" w:leader="none"/>
        </w:tabs>
        <w:spacing w:line="276" w:lineRule="auto" w:before="0" w:after="0"/>
        <w:ind w:left="838" w:right="117" w:hanging="360"/>
        <w:jc w:val="both"/>
        <w:rPr>
          <w:sz w:val="24"/>
        </w:rPr>
      </w:pPr>
      <w:r>
        <w:rPr>
          <w:b/>
          <w:sz w:val="24"/>
        </w:rPr>
        <w:t>Degradación enzimática</w:t>
      </w:r>
      <w:r>
        <w:rPr>
          <w:sz w:val="24"/>
        </w:rPr>
        <w:t>: cosiste en el empleo de enzimas (bacterias modificadas genéticamente), en el lugar contaminado con el fin de degradar las sustancias</w:t>
      </w:r>
      <w:r>
        <w:rPr>
          <w:spacing w:val="-5"/>
          <w:sz w:val="24"/>
        </w:rPr>
        <w:t> </w:t>
      </w:r>
      <w:r>
        <w:rPr>
          <w:sz w:val="24"/>
        </w:rPr>
        <w:t>nocivas.</w:t>
      </w:r>
    </w:p>
    <w:p>
      <w:pPr>
        <w:pStyle w:val="BodyText"/>
        <w:spacing w:before="6"/>
        <w:rPr>
          <w:sz w:val="27"/>
        </w:rPr>
      </w:pPr>
    </w:p>
    <w:p>
      <w:pPr>
        <w:pStyle w:val="ListParagraph"/>
        <w:numPr>
          <w:ilvl w:val="3"/>
          <w:numId w:val="11"/>
        </w:numPr>
        <w:tabs>
          <w:tab w:pos="827" w:val="left" w:leader="none"/>
        </w:tabs>
        <w:spacing w:line="278" w:lineRule="auto" w:before="1" w:after="0"/>
        <w:ind w:left="838" w:right="117" w:hanging="360"/>
        <w:jc w:val="both"/>
        <w:rPr>
          <w:sz w:val="24"/>
        </w:rPr>
      </w:pPr>
      <w:r>
        <w:rPr>
          <w:b/>
          <w:sz w:val="24"/>
        </w:rPr>
        <w:t>Fitorremediación</w:t>
      </w:r>
      <w:r>
        <w:rPr>
          <w:sz w:val="24"/>
        </w:rPr>
        <w:t>: uso de plantas con la capacidad de absorber, acumular o tolerar altas concentraciones de</w:t>
      </w:r>
      <w:r>
        <w:rPr>
          <w:spacing w:val="-15"/>
          <w:sz w:val="24"/>
        </w:rPr>
        <w:t> </w:t>
      </w:r>
      <w:r>
        <w:rPr>
          <w:sz w:val="24"/>
        </w:rPr>
        <w:t>contaminantes.</w:t>
      </w:r>
    </w:p>
    <w:p>
      <w:pPr>
        <w:spacing w:after="0" w:line="278" w:lineRule="auto"/>
        <w:jc w:val="both"/>
        <w:rPr>
          <w:sz w:val="24"/>
        </w:rPr>
        <w:sectPr>
          <w:pgSz w:w="12240" w:h="15840"/>
          <w:pgMar w:header="0" w:footer="1480" w:top="1360" w:bottom="1680" w:left="1300" w:right="1300"/>
        </w:sectPr>
      </w:pPr>
    </w:p>
    <w:p>
      <w:pPr>
        <w:pStyle w:val="Heading2"/>
        <w:numPr>
          <w:ilvl w:val="3"/>
          <w:numId w:val="12"/>
        </w:numPr>
        <w:tabs>
          <w:tab w:pos="1055" w:val="left" w:leader="none"/>
        </w:tabs>
        <w:spacing w:line="240" w:lineRule="auto" w:before="35" w:after="0"/>
        <w:ind w:left="1054" w:right="0" w:hanging="936"/>
        <w:jc w:val="both"/>
      </w:pPr>
      <w:r>
        <w:rPr/>
        <w:t>Fitorremediación</w:t>
      </w:r>
    </w:p>
    <w:p>
      <w:pPr>
        <w:pStyle w:val="BodyText"/>
        <w:spacing w:before="6"/>
        <w:rPr>
          <w:b/>
          <w:sz w:val="33"/>
        </w:rPr>
      </w:pPr>
    </w:p>
    <w:p>
      <w:pPr>
        <w:pStyle w:val="BodyText"/>
        <w:spacing w:line="276" w:lineRule="auto"/>
        <w:ind w:left="118" w:right="115"/>
        <w:jc w:val="both"/>
      </w:pPr>
      <w:r>
        <w:rPr/>
        <w:t>La fitorremediación es una tecnología emergente basada en plantas superiores y microorganismos asociados al a rizosfera, que constituye una opción para la remoción </w:t>
      </w:r>
      <w:r>
        <w:rPr>
          <w:i/>
        </w:rPr>
        <w:t>in situ </w:t>
      </w:r>
      <w:r>
        <w:rPr/>
        <w:t>o </w:t>
      </w:r>
      <w:r>
        <w:rPr>
          <w:i/>
        </w:rPr>
        <w:t>ex situ </w:t>
      </w:r>
      <w:r>
        <w:rPr/>
        <w:t>de contaminantes. En ecosistemas naturales las plantas actúan como filtros que buscan remover, reducir, transformar, mineralizar, degradar, volatilizar, concentrar o estabilizar contaminantes (orgánicos e inorgánicos) en suelo, lodos, agua  y sedimentos (Machado, 2007; Cho </w:t>
      </w:r>
      <w:r>
        <w:rPr>
          <w:i/>
        </w:rPr>
        <w:t>et al</w:t>
      </w:r>
      <w:r>
        <w:rPr/>
        <w:t>., 2008; Alarcón y Ferrara,</w:t>
      </w:r>
      <w:r>
        <w:rPr>
          <w:spacing w:val="-27"/>
        </w:rPr>
        <w:t> </w:t>
      </w:r>
      <w:r>
        <w:rPr/>
        <w:t>2013).</w:t>
      </w:r>
    </w:p>
    <w:p>
      <w:pPr>
        <w:pStyle w:val="BodyText"/>
        <w:rPr>
          <w:sz w:val="28"/>
        </w:rPr>
      </w:pPr>
    </w:p>
    <w:p>
      <w:pPr>
        <w:pStyle w:val="BodyText"/>
        <w:spacing w:line="276" w:lineRule="auto"/>
        <w:ind w:left="118" w:right="112"/>
        <w:jc w:val="both"/>
      </w:pPr>
      <w:r>
        <w:rPr/>
        <w:t>El proceso de remediación por plantas comienza con </w:t>
      </w:r>
      <w:r>
        <w:rPr>
          <w:spacing w:val="3"/>
        </w:rPr>
        <w:t>la </w:t>
      </w:r>
      <w:r>
        <w:rPr/>
        <w:t>absorción del contaminante en las raíces con apoyo de bacterias y microorganismos asociados (Delgadillo  </w:t>
      </w:r>
      <w:r>
        <w:rPr>
          <w:i/>
        </w:rPr>
        <w:t>et  al</w:t>
      </w:r>
      <w:r>
        <w:rPr/>
        <w:t>., 2011). Dicha absorción puede ser reversible o irreversible al someter al contaminante a reacciones químicas o biologías en la superficie de </w:t>
      </w:r>
      <w:r>
        <w:rPr>
          <w:spacing w:val="3"/>
        </w:rPr>
        <w:t>la </w:t>
      </w:r>
      <w:r>
        <w:rPr/>
        <w:t>raíz, posteriormente son transformados metabólicamente por medio de oxidación enzimática, conjugación, reducción o hidrólisis (Reeves, 2006; Cho </w:t>
      </w:r>
      <w:r>
        <w:rPr>
          <w:i/>
        </w:rPr>
        <w:t>et al</w:t>
      </w:r>
      <w:r>
        <w:rPr/>
        <w:t>., 2008), una vez dentro de planta las especies metálicas son secuestradas o acomplejadas mediante ligandos específicos, entre los quelantes generados se encuentran ácidos orgánicos (ácido cítrico, oxálico y malico), aminoácidos (histidina y cisteína) y dos clases de péptidos : fitoquelatinas y metaloteína (Tabla 5); los productos de estas reacciones son secuestrados en  vacuolas, difundidos dentro de la planta o retenidos en estructuras celulares (Alarcón y Ferrara, 2013), donde son</w:t>
      </w:r>
      <w:r>
        <w:rPr>
          <w:spacing w:val="-15"/>
        </w:rPr>
        <w:t> </w:t>
      </w:r>
      <w:r>
        <w:rPr/>
        <w:t>compartimentalizados.</w:t>
      </w:r>
    </w:p>
    <w:p>
      <w:pPr>
        <w:pStyle w:val="BodyText"/>
        <w:spacing w:before="10"/>
        <w:rPr>
          <w:sz w:val="21"/>
        </w:rPr>
      </w:pPr>
    </w:p>
    <w:p>
      <w:pPr>
        <w:spacing w:before="0" w:after="6"/>
        <w:ind w:left="1741" w:right="0" w:firstLine="0"/>
        <w:jc w:val="left"/>
        <w:rPr>
          <w:sz w:val="20"/>
        </w:rPr>
      </w:pPr>
      <w:r>
        <w:rPr>
          <w:b/>
          <w:sz w:val="20"/>
        </w:rPr>
        <w:t>Tabla 5.  </w:t>
      </w:r>
      <w:r>
        <w:rPr>
          <w:sz w:val="20"/>
        </w:rPr>
        <w:t>Compuestos orgánicos capaces de quelar metales pesados</w:t>
      </w: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4"/>
        <w:gridCol w:w="5377"/>
      </w:tblGrid>
      <w:tr>
        <w:trPr>
          <w:trHeight w:val="262" w:hRule="exact"/>
        </w:trPr>
        <w:tc>
          <w:tcPr>
            <w:tcW w:w="2664" w:type="dxa"/>
            <w:tcBorders>
              <w:left w:val="nil"/>
              <w:right w:val="nil"/>
            </w:tcBorders>
          </w:tcPr>
          <w:p>
            <w:pPr>
              <w:pStyle w:val="TableParagraph"/>
              <w:spacing w:line="251" w:lineRule="exact"/>
              <w:ind w:left="386"/>
              <w:rPr>
                <w:sz w:val="22"/>
              </w:rPr>
            </w:pPr>
            <w:r>
              <w:rPr>
                <w:sz w:val="22"/>
              </w:rPr>
              <w:t>Compuesto orgánico</w:t>
            </w:r>
          </w:p>
        </w:tc>
        <w:tc>
          <w:tcPr>
            <w:tcW w:w="5377" w:type="dxa"/>
            <w:tcBorders>
              <w:left w:val="nil"/>
              <w:right w:val="nil"/>
            </w:tcBorders>
          </w:tcPr>
          <w:p>
            <w:pPr>
              <w:pStyle w:val="TableParagraph"/>
              <w:spacing w:line="251" w:lineRule="exact"/>
              <w:ind w:left="2044" w:right="1910"/>
              <w:jc w:val="center"/>
              <w:rPr>
                <w:sz w:val="22"/>
              </w:rPr>
            </w:pPr>
            <w:r>
              <w:rPr>
                <w:sz w:val="22"/>
              </w:rPr>
              <w:t>Metal quelado</w:t>
            </w:r>
          </w:p>
        </w:tc>
      </w:tr>
      <w:tr>
        <w:trPr>
          <w:trHeight w:val="2724" w:hRule="exact"/>
        </w:trPr>
        <w:tc>
          <w:tcPr>
            <w:tcW w:w="2664" w:type="dxa"/>
            <w:tcBorders>
              <w:left w:val="nil"/>
              <w:right w:val="nil"/>
            </w:tcBorders>
          </w:tcPr>
          <w:p>
            <w:pPr>
              <w:pStyle w:val="TableParagraph"/>
              <w:spacing w:before="10"/>
              <w:rPr>
                <w:sz w:val="21"/>
              </w:rPr>
            </w:pPr>
          </w:p>
          <w:p>
            <w:pPr>
              <w:pStyle w:val="TableParagraph"/>
              <w:ind w:left="108" w:right="946"/>
              <w:rPr>
                <w:sz w:val="22"/>
              </w:rPr>
            </w:pPr>
            <w:r>
              <w:rPr>
                <w:sz w:val="22"/>
              </w:rPr>
              <w:t>Acido cítrico Aminoácidos Ácido málico Ácidos fenólicos</w:t>
            </w:r>
          </w:p>
          <w:p>
            <w:pPr>
              <w:pStyle w:val="TableParagraph"/>
              <w:spacing w:before="1"/>
              <w:ind w:left="108" w:right="249"/>
              <w:rPr>
                <w:sz w:val="22"/>
              </w:rPr>
            </w:pPr>
            <w:r>
              <w:rPr>
                <w:sz w:val="22"/>
              </w:rPr>
              <w:t>Ácidos húmico y fúlvico Ácido láctico Flavonoides</w:t>
            </w:r>
          </w:p>
          <w:p>
            <w:pPr>
              <w:pStyle w:val="TableParagraph"/>
              <w:spacing w:before="1"/>
              <w:ind w:left="108" w:right="1117"/>
              <w:rPr>
                <w:sz w:val="22"/>
              </w:rPr>
            </w:pPr>
            <w:r>
              <w:rPr>
                <w:sz w:val="22"/>
              </w:rPr>
              <w:t>Taninos Antraquinonas</w:t>
            </w:r>
          </w:p>
        </w:tc>
        <w:tc>
          <w:tcPr>
            <w:tcW w:w="5377" w:type="dxa"/>
            <w:tcBorders>
              <w:left w:val="nil"/>
              <w:right w:val="nil"/>
            </w:tcBorders>
          </w:tcPr>
          <w:p>
            <w:pPr>
              <w:pStyle w:val="TableParagraph"/>
              <w:spacing w:before="10"/>
              <w:rPr>
                <w:sz w:val="21"/>
              </w:rPr>
            </w:pPr>
          </w:p>
          <w:p>
            <w:pPr>
              <w:pStyle w:val="TableParagraph"/>
              <w:ind w:left="245" w:right="1982"/>
              <w:rPr>
                <w:sz w:val="22"/>
              </w:rPr>
            </w:pPr>
            <w:r>
              <w:rPr>
                <w:sz w:val="22"/>
              </w:rPr>
              <w:t>Fe, Zn, Mn, Cu, Ca, Mg, Mo, Co Cu</w:t>
            </w:r>
          </w:p>
          <w:p>
            <w:pPr>
              <w:pStyle w:val="TableParagraph"/>
              <w:spacing w:line="252" w:lineRule="exact" w:before="1"/>
              <w:ind w:left="245" w:right="1982"/>
              <w:rPr>
                <w:sz w:val="22"/>
              </w:rPr>
            </w:pPr>
            <w:r>
              <w:rPr>
                <w:sz w:val="22"/>
              </w:rPr>
              <w:t>Mn, Al</w:t>
            </w:r>
          </w:p>
          <w:p>
            <w:pPr>
              <w:pStyle w:val="TableParagraph"/>
              <w:ind w:left="245" w:right="4024"/>
              <w:rPr>
                <w:sz w:val="22"/>
              </w:rPr>
            </w:pPr>
            <w:r>
              <w:rPr>
                <w:sz w:val="22"/>
              </w:rPr>
              <w:t>Mn, Cu, As Cu</w:t>
            </w:r>
          </w:p>
          <w:p>
            <w:pPr>
              <w:pStyle w:val="TableParagraph"/>
              <w:spacing w:line="252" w:lineRule="exact"/>
              <w:ind w:left="245" w:right="1982"/>
              <w:rPr>
                <w:sz w:val="22"/>
              </w:rPr>
            </w:pPr>
            <w:r>
              <w:rPr>
                <w:sz w:val="22"/>
              </w:rPr>
              <w:t>Fe, Zn, Al, Cu</w:t>
            </w:r>
          </w:p>
          <w:p>
            <w:pPr>
              <w:pStyle w:val="TableParagraph"/>
              <w:spacing w:line="252" w:lineRule="exact"/>
              <w:ind w:left="245" w:right="1982"/>
              <w:rPr>
                <w:sz w:val="22"/>
              </w:rPr>
            </w:pPr>
            <w:r>
              <w:rPr>
                <w:sz w:val="22"/>
              </w:rPr>
              <w:t>Mn, Fe, Ag, Au, Pd, Pt, Hg</w:t>
            </w:r>
          </w:p>
          <w:p>
            <w:pPr>
              <w:pStyle w:val="TableParagraph"/>
              <w:spacing w:before="1"/>
              <w:ind w:left="245" w:right="221"/>
              <w:rPr>
                <w:sz w:val="22"/>
              </w:rPr>
            </w:pPr>
            <w:r>
              <w:rPr>
                <w:sz w:val="22"/>
              </w:rPr>
              <w:t>Al, Ba, Cu, Cr, Fe, Mg, Mn, Hg, Pb, Sn, Co, Ni, Ag Cr, Cu, Ni, Pb, Cd, Zn</w:t>
            </w:r>
          </w:p>
        </w:tc>
      </w:tr>
    </w:tbl>
    <w:p>
      <w:pPr>
        <w:pStyle w:val="BodyText"/>
        <w:spacing w:before="8"/>
        <w:rPr>
          <w:sz w:val="15"/>
        </w:rPr>
      </w:pPr>
    </w:p>
    <w:p>
      <w:pPr>
        <w:pStyle w:val="BodyText"/>
        <w:spacing w:line="259" w:lineRule="auto" w:before="70"/>
        <w:ind w:left="118" w:right="112"/>
        <w:jc w:val="both"/>
      </w:pPr>
      <w:r>
        <w:rPr/>
        <w:t>En el caso de los metales pesados una vez absorbidos causan múltiples  efectos directos e indirectos sobre su crecimiento y metabolismo; los efectos biológicos relevante de los metales para las plantas está basada en la química del enlace de coordinación e incluye tres categorías: i) afinidad por ligando que contienen oxigeno, ii) afinidad por ligados que contienen nitrógeno o sulfuro y iii) iones tóxicos Al</w:t>
      </w:r>
      <w:r>
        <w:rPr>
          <w:position w:val="11"/>
          <w:sz w:val="16"/>
        </w:rPr>
        <w:t>3+</w:t>
      </w:r>
      <w:r>
        <w:rPr/>
        <w:t>, AsO</w:t>
      </w:r>
      <w:r>
        <w:rPr>
          <w:position w:val="11"/>
          <w:sz w:val="16"/>
        </w:rPr>
        <w:t>-2 </w:t>
      </w:r>
      <w:r>
        <w:rPr/>
        <w:t>, AsO3</w:t>
      </w:r>
      <w:r>
        <w:rPr>
          <w:position w:val="11"/>
          <w:sz w:val="16"/>
        </w:rPr>
        <w:t>-4 </w:t>
      </w:r>
      <w:r>
        <w:rPr/>
        <w:t>, Au</w:t>
      </w:r>
      <w:r>
        <w:rPr>
          <w:position w:val="11"/>
          <w:sz w:val="16"/>
        </w:rPr>
        <w:t>+</w:t>
      </w:r>
      <w:r>
        <w:rPr/>
        <w:t>, Cd</w:t>
      </w:r>
      <w:r>
        <w:rPr>
          <w:position w:val="11"/>
          <w:sz w:val="16"/>
        </w:rPr>
        <w:t>2+</w:t>
      </w:r>
      <w:r>
        <w:rPr/>
        <w:t>, Cu</w:t>
      </w:r>
      <w:r>
        <w:rPr>
          <w:position w:val="11"/>
          <w:sz w:val="16"/>
        </w:rPr>
        <w:t>+</w:t>
      </w:r>
      <w:r>
        <w:rPr/>
        <w:t>, Cu</w:t>
      </w:r>
      <w:r>
        <w:rPr>
          <w:position w:val="11"/>
          <w:sz w:val="16"/>
        </w:rPr>
        <w:t>2+</w:t>
      </w:r>
      <w:r>
        <w:rPr/>
        <w:t>, Co</w:t>
      </w:r>
      <w:r>
        <w:rPr>
          <w:position w:val="11"/>
          <w:sz w:val="16"/>
        </w:rPr>
        <w:t>2+</w:t>
      </w:r>
      <w:r>
        <w:rPr/>
        <w:t>, Cr</w:t>
      </w:r>
      <w:r>
        <w:rPr>
          <w:position w:val="11"/>
          <w:sz w:val="16"/>
        </w:rPr>
        <w:t>3+</w:t>
      </w:r>
      <w:r>
        <w:rPr/>
        <w:t>, CrO</w:t>
      </w:r>
      <w:r>
        <w:rPr>
          <w:position w:val="-2"/>
          <w:sz w:val="16"/>
        </w:rPr>
        <w:t>2</w:t>
      </w:r>
      <w:r>
        <w:rPr>
          <w:position w:val="11"/>
          <w:sz w:val="16"/>
        </w:rPr>
        <w:t>-4 </w:t>
      </w:r>
      <w:r>
        <w:rPr/>
        <w:t>, Fe</w:t>
      </w:r>
      <w:r>
        <w:rPr>
          <w:position w:val="11"/>
          <w:sz w:val="16"/>
        </w:rPr>
        <w:t>2+</w:t>
      </w:r>
      <w:r>
        <w:rPr/>
        <w:t>, Fe</w:t>
      </w:r>
      <w:r>
        <w:rPr>
          <w:position w:val="11"/>
          <w:sz w:val="16"/>
        </w:rPr>
        <w:t>3+</w:t>
      </w:r>
      <w:r>
        <w:rPr/>
        <w:t>,Hg</w:t>
      </w:r>
      <w:r>
        <w:rPr>
          <w:position w:val="11"/>
          <w:sz w:val="16"/>
        </w:rPr>
        <w:t>2+</w:t>
      </w:r>
      <w:r>
        <w:rPr/>
        <w:t>, Mn</w:t>
      </w:r>
      <w:r>
        <w:rPr>
          <w:position w:val="11"/>
          <w:sz w:val="16"/>
        </w:rPr>
        <w:t>2+</w:t>
      </w:r>
      <w:r>
        <w:rPr/>
        <w:t>, Ni</w:t>
      </w:r>
      <w:r>
        <w:rPr>
          <w:position w:val="11"/>
          <w:sz w:val="16"/>
        </w:rPr>
        <w:t>2+</w:t>
      </w:r>
      <w:r>
        <w:rPr/>
        <w:t>, Pb</w:t>
      </w:r>
      <w:r>
        <w:rPr>
          <w:position w:val="11"/>
          <w:sz w:val="16"/>
        </w:rPr>
        <w:t>2+</w:t>
      </w:r>
      <w:r>
        <w:rPr/>
        <w:t>, SeO</w:t>
      </w:r>
      <w:r>
        <w:rPr>
          <w:position w:val="-2"/>
          <w:sz w:val="16"/>
        </w:rPr>
        <w:t>2</w:t>
      </w:r>
      <w:r>
        <w:rPr>
          <w:position w:val="11"/>
          <w:sz w:val="16"/>
        </w:rPr>
        <w:t>-3 </w:t>
      </w:r>
      <w:r>
        <w:rPr/>
        <w:t>, SeO</w:t>
      </w:r>
      <w:r>
        <w:rPr>
          <w:position w:val="-2"/>
          <w:sz w:val="16"/>
        </w:rPr>
        <w:t>2</w:t>
      </w:r>
      <w:r>
        <w:rPr>
          <w:position w:val="11"/>
          <w:sz w:val="16"/>
        </w:rPr>
        <w:t>-4 </w:t>
      </w:r>
      <w:r>
        <w:rPr/>
        <w:t>, Sn</w:t>
      </w:r>
      <w:r>
        <w:rPr>
          <w:position w:val="11"/>
          <w:sz w:val="16"/>
        </w:rPr>
        <w:t>2+</w:t>
      </w:r>
      <w:r>
        <w:rPr/>
        <w:t>, W</w:t>
      </w:r>
      <w:r>
        <w:rPr>
          <w:position w:val="11"/>
          <w:sz w:val="16"/>
        </w:rPr>
        <w:t>6+ </w:t>
      </w:r>
      <w:r>
        <w:rPr/>
        <w:t>y Zn</w:t>
      </w:r>
      <w:r>
        <w:rPr>
          <w:position w:val="11"/>
          <w:sz w:val="16"/>
        </w:rPr>
        <w:t>2+ </w:t>
      </w:r>
      <w:r>
        <w:rPr/>
        <w:t>(Machado, 2007).</w:t>
      </w:r>
    </w:p>
    <w:p>
      <w:pPr>
        <w:spacing w:after="0" w:line="259" w:lineRule="auto"/>
        <w:jc w:val="both"/>
        <w:sectPr>
          <w:pgSz w:w="12240" w:h="15840"/>
          <w:pgMar w:header="0" w:footer="1480" w:top="1380" w:bottom="1680" w:left="1300" w:right="1300"/>
        </w:sectPr>
      </w:pPr>
    </w:p>
    <w:p>
      <w:pPr>
        <w:pStyle w:val="BodyText"/>
        <w:spacing w:line="276" w:lineRule="auto" w:before="56"/>
        <w:ind w:left="118" w:right="112"/>
        <w:jc w:val="both"/>
      </w:pPr>
      <w:r>
        <w:rPr/>
        <w:t>Thangavel y Subhuram (2004) catalogan las técnicas de la fitorremediación, dependiendo del tipo de contaminante, las condiciones del sitio y el nivel de limpieza requeridos, las tecnologías de la fitorremediación se pueden utilizar como medio de contención (rizofiltración, rizodegradación, fitoestabilización) o eliminación (fitoextracción, fitodegradación, fitovolatilización, fitoinmovilización) (Fig. 5).</w:t>
      </w:r>
    </w:p>
    <w:p>
      <w:pPr>
        <w:pStyle w:val="BodyText"/>
        <w:spacing w:before="6"/>
        <w:rPr>
          <w:sz w:val="27"/>
        </w:rPr>
      </w:pPr>
    </w:p>
    <w:p>
      <w:pPr>
        <w:pStyle w:val="BodyText"/>
        <w:spacing w:line="276" w:lineRule="auto" w:before="1"/>
        <w:ind w:left="118" w:right="112"/>
        <w:jc w:val="both"/>
      </w:pPr>
      <w:r>
        <w:rPr>
          <w:b/>
        </w:rPr>
        <w:t>Fitoextración o fitoacumulación </w:t>
      </w:r>
      <w:r>
        <w:rPr/>
        <w:t>consiste en la absorción de metales o contaminantes mediante las raíces y su acumulación en tallos, brotes y hojas (Ghosh y Singh, 2005), una vez completado el desarrollo vegetativo el siguiente paso es cortarla e incinerarla,  la fitoacumulación se puede repetir ilimitadamente hasta que la concentración del contaminante este dentro de los límites aceptables (Chandra </w:t>
      </w:r>
      <w:r>
        <w:rPr>
          <w:i/>
        </w:rPr>
        <w:t>et al</w:t>
      </w:r>
      <w:r>
        <w:rPr/>
        <w:t>., 2005; Zhuang </w:t>
      </w:r>
      <w:r>
        <w:rPr>
          <w:i/>
        </w:rPr>
        <w:t>et al</w:t>
      </w:r>
      <w:r>
        <w:rPr/>
        <w:t>., 2005; Zhuang </w:t>
      </w:r>
      <w:r>
        <w:rPr>
          <w:i/>
        </w:rPr>
        <w:t>et al</w:t>
      </w:r>
      <w:r>
        <w:rPr/>
        <w:t>., 2007; </w:t>
      </w:r>
      <w:r>
        <w:rPr>
          <w:spacing w:val="3"/>
        </w:rPr>
        <w:t>Wu </w:t>
      </w:r>
      <w:r>
        <w:rPr>
          <w:i/>
        </w:rPr>
        <w:t>et al</w:t>
      </w:r>
      <w:r>
        <w:rPr/>
        <w:t>., 2007; Rafati </w:t>
      </w:r>
      <w:r>
        <w:rPr>
          <w:i/>
        </w:rPr>
        <w:t>et al</w:t>
      </w:r>
      <w:r>
        <w:rPr/>
        <w:t>.,</w:t>
      </w:r>
      <w:r>
        <w:rPr>
          <w:spacing w:val="-32"/>
        </w:rPr>
        <w:t> </w:t>
      </w:r>
      <w:r>
        <w:rPr/>
        <w:t>2011)</w:t>
      </w:r>
    </w:p>
    <w:p>
      <w:pPr>
        <w:pStyle w:val="BodyText"/>
        <w:rPr>
          <w:sz w:val="28"/>
        </w:rPr>
      </w:pPr>
    </w:p>
    <w:p>
      <w:pPr>
        <w:pStyle w:val="BodyText"/>
        <w:spacing w:line="276" w:lineRule="auto"/>
        <w:ind w:left="118" w:right="112"/>
        <w:jc w:val="both"/>
      </w:pPr>
      <w:r>
        <w:rPr>
          <w:b/>
        </w:rPr>
        <w:t>Rizofiltración </w:t>
      </w:r>
      <w:r>
        <w:rPr/>
        <w:t>se utiliza para eliminar del medio hídrico contaminantes a través de la raíz (Vidali, 2001), para ello las plantas se cultivan de manera hidropónica y cuando el sistema radicular está bien desarrollado son introducidas en agua contaminada y las raíces los van absorbiendo y acumulando. A medida que las raíces se van saturando, las plantas se cosechan y se disponen para su uso final (Cherian y Oliveira, 2005; Lie </w:t>
      </w:r>
      <w:r>
        <w:rPr>
          <w:i/>
        </w:rPr>
        <w:t>et </w:t>
      </w:r>
      <w:r>
        <w:rPr>
          <w:i/>
        </w:rPr>
        <w:t>al</w:t>
      </w:r>
      <w:r>
        <w:rPr/>
        <w:t>.,</w:t>
      </w:r>
      <w:r>
        <w:rPr>
          <w:spacing w:val="-3"/>
        </w:rPr>
        <w:t> </w:t>
      </w:r>
      <w:r>
        <w:rPr/>
        <w:t>2007).</w:t>
      </w:r>
    </w:p>
    <w:p>
      <w:pPr>
        <w:pStyle w:val="BodyText"/>
        <w:rPr>
          <w:sz w:val="28"/>
        </w:rPr>
      </w:pPr>
    </w:p>
    <w:p>
      <w:pPr>
        <w:pStyle w:val="BodyText"/>
        <w:spacing w:line="276" w:lineRule="auto"/>
        <w:ind w:left="118" w:right="121"/>
        <w:jc w:val="both"/>
      </w:pPr>
      <w:r>
        <w:rPr>
          <w:b/>
        </w:rPr>
        <w:t>Fitoestabilización </w:t>
      </w:r>
      <w:r>
        <w:rPr/>
        <w:t>permite inmovilizar contaminantes en el suelo a través de su absorción y acumulación en las raíces ó bien, por precipitación en la rizosfera. Este proceso reduce la movilidad de los contaminantes y evita su migración a las aguas subterráneas ó al aire (Mendez y Maier, 2008; Wu </w:t>
      </w:r>
      <w:r>
        <w:rPr>
          <w:i/>
        </w:rPr>
        <w:t>et al</w:t>
      </w:r>
      <w:r>
        <w:rPr/>
        <w:t>., 2010; Singh, 2012).</w:t>
      </w:r>
    </w:p>
    <w:p>
      <w:pPr>
        <w:pStyle w:val="BodyText"/>
        <w:rPr>
          <w:sz w:val="28"/>
        </w:rPr>
      </w:pPr>
    </w:p>
    <w:p>
      <w:pPr>
        <w:pStyle w:val="BodyText"/>
        <w:spacing w:line="276" w:lineRule="auto"/>
        <w:ind w:left="118" w:right="112"/>
        <w:jc w:val="both"/>
      </w:pPr>
      <w:r>
        <w:rPr>
          <w:b/>
        </w:rPr>
        <w:t>Fitovolatilización </w:t>
      </w:r>
      <w:r>
        <w:rPr/>
        <w:t>se produce a medida que los árboles y otras plantas en crecimiento absorben agua junto a los contaminantes orgánicos e inorgánicos. Algunos pueden llegar hasta las hojas y evaporarse o volatilizarse en la atmósfera (Prasad y Freitas, 2003), mediante este proceso se han eliminado contaminantes como: compuestos volátiles (tolueno, etilbenceno, benceno, nitrobenceno y m-xileno); metales (As, Se y Hg) (Burken y Ma, 2006; Padmavathiamma y Li,</w:t>
      </w:r>
      <w:r>
        <w:rPr>
          <w:spacing w:val="-14"/>
        </w:rPr>
        <w:t> </w:t>
      </w:r>
      <w:r>
        <w:rPr/>
        <w:t>2007).</w:t>
      </w:r>
    </w:p>
    <w:p>
      <w:pPr>
        <w:pStyle w:val="BodyText"/>
        <w:spacing w:before="7"/>
        <w:rPr>
          <w:sz w:val="27"/>
        </w:rPr>
      </w:pPr>
    </w:p>
    <w:p>
      <w:pPr>
        <w:pStyle w:val="BodyText"/>
        <w:spacing w:line="273" w:lineRule="auto"/>
        <w:ind w:left="118" w:right="114"/>
        <w:jc w:val="both"/>
      </w:pPr>
      <w:r>
        <w:rPr>
          <w:b/>
        </w:rPr>
        <w:t>Fitodegradación </w:t>
      </w:r>
      <w:r>
        <w:rPr/>
        <w:t>las plantas y los microorganismos asociados a ellas degradan los contaminantes orgánicos en productos inofensivos o bien mineralizar hasta CO</w:t>
      </w:r>
      <w:r>
        <w:rPr>
          <w:position w:val="-2"/>
          <w:sz w:val="16"/>
        </w:rPr>
        <w:t>2 </w:t>
      </w:r>
      <w:r>
        <w:rPr/>
        <w:t>y H</w:t>
      </w:r>
      <w:r>
        <w:rPr>
          <w:position w:val="-2"/>
          <w:sz w:val="16"/>
        </w:rPr>
        <w:t>2</w:t>
      </w:r>
      <w:r>
        <w:rPr/>
        <w:t>O, en este proceso los contaminantes son metabolizados dentro de los tejidos vegetales y las plantas producen enzimas como dehalogenasa y oxigenasa, que ayudan a catalizar la degradación (Denys </w:t>
      </w:r>
      <w:r>
        <w:rPr>
          <w:i/>
        </w:rPr>
        <w:t>et al</w:t>
      </w:r>
      <w:r>
        <w:rPr/>
        <w:t>., 2006; Zhang </w:t>
      </w:r>
      <w:r>
        <w:rPr>
          <w:i/>
        </w:rPr>
        <w:t>et al</w:t>
      </w:r>
      <w:r>
        <w:rPr/>
        <w:t>., 2007; Mukhopadhyay y Maiti, 2010; Yadav </w:t>
      </w:r>
      <w:r>
        <w:rPr>
          <w:i/>
        </w:rPr>
        <w:t>et al</w:t>
      </w:r>
      <w:r>
        <w:rPr/>
        <w:t>., 2010).</w:t>
      </w:r>
    </w:p>
    <w:p>
      <w:pPr>
        <w:spacing w:after="0" w:line="273" w:lineRule="auto"/>
        <w:jc w:val="both"/>
        <w:sectPr>
          <w:pgSz w:w="12240" w:h="15840"/>
          <w:pgMar w:header="0" w:footer="1480" w:top="1360" w:bottom="1680" w:left="1300" w:right="1300"/>
        </w:sectPr>
      </w:pPr>
    </w:p>
    <w:p>
      <w:pPr>
        <w:pStyle w:val="BodyText"/>
        <w:spacing w:before="11"/>
        <w:rPr>
          <w:sz w:val="16"/>
        </w:rPr>
      </w:pPr>
    </w:p>
    <w:p>
      <w:pPr>
        <w:pStyle w:val="BodyText"/>
        <w:ind w:left="1645"/>
        <w:rPr>
          <w:sz w:val="20"/>
        </w:rPr>
      </w:pPr>
      <w:r>
        <w:rPr>
          <w:sz w:val="20"/>
        </w:rPr>
        <w:pict>
          <v:group style="width:327.6pt;height:224.4pt;mso-position-horizontal-relative:char;mso-position-vertical-relative:line" coordorigin="0,0" coordsize="6552,4488">
            <v:shape style="position:absolute;left:0;top:0;width:6552;height:4275" type="#_x0000_t75" stroked="false">
              <v:imagedata r:id="rId15" o:title=""/>
            </v:shape>
            <v:rect style="position:absolute;left:239;top:4083;width:5872;height:405" filled="true" fillcolor="#ffffff" stroked="false">
              <v:fill type="solid"/>
            </v:rect>
            <v:shape style="position:absolute;left:558;top:4180;width:5231;height:200" type="#_x0000_t202" filled="false" stroked="false">
              <v:textbox inset="0,0,0,0">
                <w:txbxContent>
                  <w:p>
                    <w:pPr>
                      <w:spacing w:line="199" w:lineRule="exact" w:before="0"/>
                      <w:ind w:left="0" w:right="-8" w:firstLine="0"/>
                      <w:jc w:val="left"/>
                      <w:rPr>
                        <w:b/>
                        <w:sz w:val="20"/>
                      </w:rPr>
                    </w:pPr>
                    <w:r>
                      <w:rPr>
                        <w:b/>
                        <w:sz w:val="20"/>
                      </w:rPr>
                      <w:t>Fig. 5.  Mecanismos  de fitorremediación (Fuente</w:t>
                    </w:r>
                    <w:r>
                      <w:rPr>
                        <w:b/>
                        <w:spacing w:val="-16"/>
                        <w:sz w:val="20"/>
                      </w:rPr>
                      <w:t> </w:t>
                    </w:r>
                    <w:r>
                      <w:rPr>
                        <w:b/>
                        <w:sz w:val="20"/>
                      </w:rPr>
                      <w:t>CSIC)</w:t>
                    </w:r>
                  </w:p>
                </w:txbxContent>
              </v:textbox>
              <w10:wrap type="none"/>
            </v:shape>
          </v:group>
        </w:pict>
      </w:r>
      <w:r>
        <w:rPr>
          <w:sz w:val="20"/>
        </w:rPr>
      </w:r>
    </w:p>
    <w:p>
      <w:pPr>
        <w:pStyle w:val="BodyText"/>
        <w:rPr>
          <w:sz w:val="20"/>
        </w:rPr>
      </w:pPr>
    </w:p>
    <w:p>
      <w:pPr>
        <w:pStyle w:val="BodyText"/>
        <w:spacing w:line="276" w:lineRule="auto" w:before="69"/>
        <w:ind w:left="218" w:right="158"/>
        <w:jc w:val="both"/>
      </w:pPr>
      <w:r>
        <w:rPr/>
        <w:t>En los últimos años la fitorremediación de cuerpos de agua ha tenido una creciente aceptación basada en amplias ventajas (Tabla 6), entre ellas tenemos el relativo bajo costo en comparación a tecnologías convencionales debido a que se hace uso de energía solar para la actividad remediadora (Padmavathiamma y Li, 2007; Gadd, 2009; Delgadillo </w:t>
      </w:r>
      <w:r>
        <w:rPr>
          <w:i/>
        </w:rPr>
        <w:t>et al</w:t>
      </w:r>
      <w:r>
        <w:rPr/>
        <w:t>, 2011).</w:t>
      </w:r>
    </w:p>
    <w:p>
      <w:pPr>
        <w:pStyle w:val="BodyText"/>
      </w:pPr>
    </w:p>
    <w:p>
      <w:pPr>
        <w:spacing w:before="0"/>
        <w:ind w:left="2485" w:right="0" w:firstLine="0"/>
        <w:jc w:val="left"/>
        <w:rPr>
          <w:sz w:val="20"/>
        </w:rPr>
      </w:pPr>
      <w:r>
        <w:rPr>
          <w:b/>
          <w:sz w:val="20"/>
        </w:rPr>
        <w:t>Tabla 6.  </w:t>
      </w:r>
      <w:r>
        <w:rPr>
          <w:sz w:val="20"/>
        </w:rPr>
        <w:t>Ventajas y desventajas de las Fitotecnología.</w:t>
      </w:r>
    </w:p>
    <w:p>
      <w:pPr>
        <w:pStyle w:val="BodyText"/>
        <w:spacing w:before="6"/>
        <w:rPr>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72"/>
        <w:gridCol w:w="4775"/>
      </w:tblGrid>
      <w:tr>
        <w:trPr>
          <w:trHeight w:val="286" w:hRule="exact"/>
        </w:trPr>
        <w:tc>
          <w:tcPr>
            <w:tcW w:w="4772" w:type="dxa"/>
          </w:tcPr>
          <w:p>
            <w:pPr>
              <w:pStyle w:val="TableParagraph"/>
              <w:spacing w:line="272" w:lineRule="exact"/>
              <w:ind w:left="1866" w:right="1868"/>
              <w:jc w:val="center"/>
              <w:rPr>
                <w:b/>
                <w:sz w:val="24"/>
              </w:rPr>
            </w:pPr>
            <w:r>
              <w:rPr>
                <w:b/>
                <w:sz w:val="24"/>
              </w:rPr>
              <w:t>Ventajas</w:t>
            </w:r>
          </w:p>
        </w:tc>
        <w:tc>
          <w:tcPr>
            <w:tcW w:w="4775" w:type="dxa"/>
          </w:tcPr>
          <w:p>
            <w:pPr>
              <w:pStyle w:val="TableParagraph"/>
              <w:spacing w:line="272" w:lineRule="exact"/>
              <w:ind w:left="1659" w:right="1664"/>
              <w:jc w:val="center"/>
              <w:rPr>
                <w:b/>
                <w:sz w:val="24"/>
              </w:rPr>
            </w:pPr>
            <w:r>
              <w:rPr>
                <w:b/>
                <w:sz w:val="24"/>
              </w:rPr>
              <w:t>Desventajas</w:t>
            </w:r>
          </w:p>
        </w:tc>
      </w:tr>
      <w:tr>
        <w:trPr>
          <w:trHeight w:val="4330" w:hRule="exact"/>
        </w:trPr>
        <w:tc>
          <w:tcPr>
            <w:tcW w:w="4772" w:type="dxa"/>
          </w:tcPr>
          <w:p>
            <w:pPr>
              <w:pStyle w:val="TableParagraph"/>
              <w:spacing w:before="10"/>
              <w:rPr>
                <w:sz w:val="21"/>
              </w:rPr>
            </w:pPr>
          </w:p>
          <w:p>
            <w:pPr>
              <w:pStyle w:val="TableParagraph"/>
              <w:numPr>
                <w:ilvl w:val="0"/>
                <w:numId w:val="13"/>
              </w:numPr>
              <w:tabs>
                <w:tab w:pos="812" w:val="left" w:leader="none"/>
              </w:tabs>
              <w:spacing w:line="252" w:lineRule="exact" w:before="0" w:after="0"/>
              <w:ind w:left="823" w:right="0" w:hanging="372"/>
              <w:jc w:val="left"/>
              <w:rPr>
                <w:i/>
                <w:sz w:val="22"/>
              </w:rPr>
            </w:pPr>
            <w:r>
              <w:rPr>
                <w:sz w:val="22"/>
              </w:rPr>
              <w:t>Aplicación </w:t>
            </w:r>
            <w:r>
              <w:rPr>
                <w:i/>
                <w:sz w:val="22"/>
              </w:rPr>
              <w:t>in situ </w:t>
            </w:r>
            <w:r>
              <w:rPr>
                <w:sz w:val="22"/>
              </w:rPr>
              <w:t>o </w:t>
            </w:r>
            <w:r>
              <w:rPr>
                <w:i/>
                <w:sz w:val="22"/>
              </w:rPr>
              <w:t>ex</w:t>
            </w:r>
            <w:r>
              <w:rPr>
                <w:i/>
                <w:spacing w:val="-6"/>
                <w:sz w:val="22"/>
              </w:rPr>
              <w:t> </w:t>
            </w:r>
            <w:r>
              <w:rPr>
                <w:i/>
                <w:sz w:val="22"/>
              </w:rPr>
              <w:t>situ.</w:t>
            </w:r>
          </w:p>
          <w:p>
            <w:pPr>
              <w:pStyle w:val="TableParagraph"/>
              <w:numPr>
                <w:ilvl w:val="0"/>
                <w:numId w:val="13"/>
              </w:numPr>
              <w:tabs>
                <w:tab w:pos="812" w:val="left" w:leader="none"/>
              </w:tabs>
              <w:spacing w:line="252" w:lineRule="exact" w:before="0" w:after="0"/>
              <w:ind w:left="811" w:right="0" w:hanging="348"/>
              <w:jc w:val="left"/>
              <w:rPr>
                <w:sz w:val="22"/>
              </w:rPr>
            </w:pPr>
            <w:r>
              <w:rPr>
                <w:sz w:val="22"/>
              </w:rPr>
              <w:t>Sustentable.</w:t>
            </w:r>
          </w:p>
          <w:p>
            <w:pPr>
              <w:pStyle w:val="TableParagraph"/>
              <w:numPr>
                <w:ilvl w:val="0"/>
                <w:numId w:val="13"/>
              </w:numPr>
              <w:tabs>
                <w:tab w:pos="812" w:val="left" w:leader="none"/>
              </w:tabs>
              <w:spacing w:line="252" w:lineRule="exact" w:before="0" w:after="0"/>
              <w:ind w:left="811" w:right="0" w:hanging="348"/>
              <w:jc w:val="left"/>
              <w:rPr>
                <w:sz w:val="22"/>
              </w:rPr>
            </w:pPr>
            <w:r>
              <w:rPr>
                <w:sz w:val="22"/>
              </w:rPr>
              <w:t>No requiere consumo de</w:t>
            </w:r>
            <w:r>
              <w:rPr>
                <w:spacing w:val="-9"/>
                <w:sz w:val="22"/>
              </w:rPr>
              <w:t> </w:t>
            </w:r>
            <w:r>
              <w:rPr>
                <w:sz w:val="22"/>
              </w:rPr>
              <w:t>energía.</w:t>
            </w:r>
          </w:p>
          <w:p>
            <w:pPr>
              <w:pStyle w:val="TableParagraph"/>
              <w:numPr>
                <w:ilvl w:val="0"/>
                <w:numId w:val="13"/>
              </w:numPr>
              <w:tabs>
                <w:tab w:pos="812" w:val="left" w:leader="none"/>
              </w:tabs>
              <w:spacing w:line="240" w:lineRule="auto" w:before="1" w:after="0"/>
              <w:ind w:left="823" w:right="101" w:hanging="360"/>
              <w:jc w:val="both"/>
              <w:rPr>
                <w:sz w:val="22"/>
              </w:rPr>
            </w:pPr>
            <w:r>
              <w:rPr>
                <w:sz w:val="22"/>
              </w:rPr>
              <w:t>Eficiente tanto para contaminantes orgánicos e</w:t>
            </w:r>
            <w:r>
              <w:rPr>
                <w:spacing w:val="-6"/>
                <w:sz w:val="22"/>
              </w:rPr>
              <w:t> </w:t>
            </w:r>
            <w:r>
              <w:rPr>
                <w:sz w:val="22"/>
              </w:rPr>
              <w:t>inorgánicos.</w:t>
            </w:r>
          </w:p>
          <w:p>
            <w:pPr>
              <w:pStyle w:val="TableParagraph"/>
              <w:numPr>
                <w:ilvl w:val="0"/>
                <w:numId w:val="13"/>
              </w:numPr>
              <w:tabs>
                <w:tab w:pos="812" w:val="left" w:leader="none"/>
              </w:tabs>
              <w:spacing w:line="240" w:lineRule="auto" w:before="1" w:after="0"/>
              <w:ind w:left="823" w:right="99" w:hanging="360"/>
              <w:jc w:val="both"/>
              <w:rPr>
                <w:sz w:val="22"/>
              </w:rPr>
            </w:pPr>
            <w:r>
              <w:rPr>
                <w:sz w:val="22"/>
              </w:rPr>
              <w:t>Se pude emplear en agua, suelo, aire y sedimentos.</w:t>
            </w:r>
          </w:p>
          <w:p>
            <w:pPr>
              <w:pStyle w:val="TableParagraph"/>
              <w:numPr>
                <w:ilvl w:val="0"/>
                <w:numId w:val="13"/>
              </w:numPr>
              <w:tabs>
                <w:tab w:pos="812" w:val="left" w:leader="none"/>
              </w:tabs>
              <w:spacing w:line="240" w:lineRule="auto" w:before="0" w:after="0"/>
              <w:ind w:left="823" w:right="104" w:hanging="360"/>
              <w:jc w:val="both"/>
              <w:rPr>
                <w:sz w:val="22"/>
              </w:rPr>
            </w:pPr>
            <w:r>
              <w:rPr>
                <w:sz w:val="22"/>
              </w:rPr>
              <w:t>Permite el reciclado de recursos (agua, biomasa,</w:t>
            </w:r>
            <w:r>
              <w:rPr>
                <w:spacing w:val="-2"/>
                <w:sz w:val="22"/>
              </w:rPr>
              <w:t> </w:t>
            </w:r>
            <w:r>
              <w:rPr>
                <w:sz w:val="22"/>
              </w:rPr>
              <w:t>metales)</w:t>
            </w:r>
          </w:p>
          <w:p>
            <w:pPr>
              <w:pStyle w:val="TableParagraph"/>
              <w:numPr>
                <w:ilvl w:val="0"/>
                <w:numId w:val="13"/>
              </w:numPr>
              <w:tabs>
                <w:tab w:pos="812" w:val="left" w:leader="none"/>
              </w:tabs>
              <w:spacing w:line="240" w:lineRule="auto" w:before="0" w:after="0"/>
              <w:ind w:left="823" w:right="100" w:hanging="360"/>
              <w:jc w:val="both"/>
              <w:rPr>
                <w:sz w:val="22"/>
              </w:rPr>
            </w:pPr>
            <w:r>
              <w:rPr>
                <w:sz w:val="22"/>
              </w:rPr>
              <w:t>Puede tratar una gama de materiales tóxicos en concentraciones de bajas a moderadas.</w:t>
            </w:r>
          </w:p>
          <w:p>
            <w:pPr>
              <w:pStyle w:val="TableParagraph"/>
              <w:numPr>
                <w:ilvl w:val="0"/>
                <w:numId w:val="13"/>
              </w:numPr>
              <w:tabs>
                <w:tab w:pos="812" w:val="left" w:leader="none"/>
              </w:tabs>
              <w:spacing w:line="237" w:lineRule="auto" w:before="1" w:after="0"/>
              <w:ind w:left="823" w:right="102" w:hanging="360"/>
              <w:jc w:val="both"/>
              <w:rPr>
                <w:sz w:val="24"/>
              </w:rPr>
            </w:pPr>
            <w:r>
              <w:rPr>
                <w:sz w:val="22"/>
              </w:rPr>
              <w:t>Buena aceptación de la sociedad por ser estéticamente placentera, ya que es una alternativa de limpieza verde en comparación a tratamientos</w:t>
            </w:r>
            <w:r>
              <w:rPr>
                <w:spacing w:val="-8"/>
                <w:sz w:val="22"/>
              </w:rPr>
              <w:t> </w:t>
            </w:r>
            <w:r>
              <w:rPr>
                <w:sz w:val="22"/>
              </w:rPr>
              <w:t>químicos.</w:t>
            </w:r>
          </w:p>
        </w:tc>
        <w:tc>
          <w:tcPr>
            <w:tcW w:w="4775" w:type="dxa"/>
          </w:tcPr>
          <w:p>
            <w:pPr>
              <w:pStyle w:val="TableParagraph"/>
              <w:spacing w:before="9"/>
              <w:rPr>
                <w:sz w:val="23"/>
              </w:rPr>
            </w:pPr>
          </w:p>
          <w:p>
            <w:pPr>
              <w:pStyle w:val="TableParagraph"/>
              <w:numPr>
                <w:ilvl w:val="0"/>
                <w:numId w:val="14"/>
              </w:numPr>
              <w:tabs>
                <w:tab w:pos="812" w:val="left" w:leader="none"/>
              </w:tabs>
              <w:spacing w:line="240" w:lineRule="auto" w:before="0" w:after="0"/>
              <w:ind w:left="823" w:right="0" w:hanging="360"/>
              <w:jc w:val="left"/>
              <w:rPr>
                <w:sz w:val="22"/>
              </w:rPr>
            </w:pPr>
            <w:r>
              <w:rPr>
                <w:sz w:val="22"/>
              </w:rPr>
              <w:t>Requiere de periodos</w:t>
            </w:r>
            <w:r>
              <w:rPr>
                <w:spacing w:val="-8"/>
                <w:sz w:val="22"/>
              </w:rPr>
              <w:t> </w:t>
            </w:r>
            <w:r>
              <w:rPr>
                <w:sz w:val="22"/>
              </w:rPr>
              <w:t>largos.</w:t>
            </w:r>
          </w:p>
          <w:p>
            <w:pPr>
              <w:pStyle w:val="TableParagraph"/>
              <w:numPr>
                <w:ilvl w:val="0"/>
                <w:numId w:val="14"/>
              </w:numPr>
              <w:tabs>
                <w:tab w:pos="812" w:val="left" w:leader="none"/>
              </w:tabs>
              <w:spacing w:line="240" w:lineRule="auto" w:before="1" w:after="0"/>
              <w:ind w:left="823" w:right="103" w:hanging="360"/>
              <w:jc w:val="left"/>
              <w:rPr>
                <w:sz w:val="22"/>
              </w:rPr>
            </w:pPr>
            <w:r>
              <w:rPr>
                <w:sz w:val="22"/>
              </w:rPr>
              <w:t>Especies como árboles o arbustos es lenta.</w:t>
            </w:r>
          </w:p>
          <w:p>
            <w:pPr>
              <w:pStyle w:val="TableParagraph"/>
              <w:numPr>
                <w:ilvl w:val="0"/>
                <w:numId w:val="14"/>
              </w:numPr>
              <w:tabs>
                <w:tab w:pos="812" w:val="left" w:leader="none"/>
              </w:tabs>
              <w:spacing w:line="252" w:lineRule="exact" w:before="0" w:after="0"/>
              <w:ind w:left="811" w:right="0" w:hanging="348"/>
              <w:jc w:val="left"/>
              <w:rPr>
                <w:sz w:val="22"/>
              </w:rPr>
            </w:pPr>
            <w:r>
              <w:rPr>
                <w:sz w:val="22"/>
              </w:rPr>
              <w:t>Tolerancia de tóxicos a</w:t>
            </w:r>
            <w:r>
              <w:rPr>
                <w:spacing w:val="-6"/>
                <w:sz w:val="22"/>
              </w:rPr>
              <w:t> </w:t>
            </w:r>
            <w:r>
              <w:rPr>
                <w:sz w:val="22"/>
              </w:rPr>
              <w:t>remover.</w:t>
            </w:r>
          </w:p>
          <w:p>
            <w:pPr>
              <w:pStyle w:val="TableParagraph"/>
              <w:numPr>
                <w:ilvl w:val="0"/>
                <w:numId w:val="14"/>
              </w:numPr>
              <w:tabs>
                <w:tab w:pos="812" w:val="left" w:leader="none"/>
              </w:tabs>
              <w:spacing w:line="240" w:lineRule="auto" w:before="1" w:after="0"/>
              <w:ind w:left="823" w:right="104" w:hanging="360"/>
              <w:jc w:val="left"/>
              <w:rPr>
                <w:sz w:val="22"/>
              </w:rPr>
            </w:pPr>
            <w:r>
              <w:rPr>
                <w:sz w:val="22"/>
              </w:rPr>
              <w:t>La biomasa contaminada requiere ser tratada o</w:t>
            </w:r>
            <w:r>
              <w:rPr>
                <w:spacing w:val="-8"/>
                <w:sz w:val="22"/>
              </w:rPr>
              <w:t> </w:t>
            </w:r>
            <w:r>
              <w:rPr>
                <w:sz w:val="22"/>
              </w:rPr>
              <w:t>confinada.</w:t>
            </w:r>
          </w:p>
          <w:p>
            <w:pPr>
              <w:pStyle w:val="TableParagraph"/>
              <w:numPr>
                <w:ilvl w:val="0"/>
                <w:numId w:val="14"/>
              </w:numPr>
              <w:tabs>
                <w:tab w:pos="812" w:val="left" w:leader="none"/>
              </w:tabs>
              <w:spacing w:line="240" w:lineRule="auto" w:before="1" w:after="0"/>
              <w:ind w:left="823" w:right="103" w:hanging="360"/>
              <w:jc w:val="both"/>
              <w:rPr>
                <w:sz w:val="22"/>
              </w:rPr>
            </w:pPr>
            <w:r>
              <w:rPr>
                <w:sz w:val="22"/>
              </w:rPr>
              <w:t>En caso de fitovolatilización los contaminantes acumulados son liberados</w:t>
            </w:r>
            <w:r>
              <w:rPr>
                <w:spacing w:val="-2"/>
                <w:sz w:val="22"/>
              </w:rPr>
              <w:t> </w:t>
            </w:r>
            <w:r>
              <w:rPr>
                <w:sz w:val="22"/>
              </w:rPr>
              <w:t>nuevamente.</w:t>
            </w:r>
          </w:p>
          <w:p>
            <w:pPr>
              <w:pStyle w:val="TableParagraph"/>
              <w:numPr>
                <w:ilvl w:val="0"/>
                <w:numId w:val="14"/>
              </w:numPr>
              <w:tabs>
                <w:tab w:pos="812" w:val="left" w:leader="none"/>
              </w:tabs>
              <w:spacing w:line="253" w:lineRule="exact" w:before="2" w:after="0"/>
              <w:ind w:left="811" w:right="0" w:hanging="348"/>
              <w:jc w:val="left"/>
              <w:rPr>
                <w:sz w:val="22"/>
              </w:rPr>
            </w:pPr>
            <w:r>
              <w:rPr>
                <w:sz w:val="22"/>
              </w:rPr>
              <w:t>Requiere áreas</w:t>
            </w:r>
            <w:r>
              <w:rPr>
                <w:spacing w:val="-3"/>
                <w:sz w:val="22"/>
              </w:rPr>
              <w:t> </w:t>
            </w:r>
            <w:r>
              <w:rPr>
                <w:sz w:val="22"/>
              </w:rPr>
              <w:t>amplias.</w:t>
            </w:r>
          </w:p>
          <w:p>
            <w:pPr>
              <w:pStyle w:val="TableParagraph"/>
              <w:numPr>
                <w:ilvl w:val="0"/>
                <w:numId w:val="14"/>
              </w:numPr>
              <w:tabs>
                <w:tab w:pos="812" w:val="left" w:leader="none"/>
              </w:tabs>
              <w:spacing w:line="252" w:lineRule="exact" w:before="23" w:after="0"/>
              <w:ind w:left="823" w:right="104" w:hanging="360"/>
              <w:jc w:val="left"/>
              <w:rPr>
                <w:sz w:val="24"/>
              </w:rPr>
            </w:pPr>
            <w:r>
              <w:rPr>
                <w:sz w:val="22"/>
              </w:rPr>
              <w:t>En sistemas acuáticos puede favorecer la diseminación de</w:t>
            </w:r>
            <w:r>
              <w:rPr>
                <w:spacing w:val="-5"/>
                <w:sz w:val="22"/>
              </w:rPr>
              <w:t> </w:t>
            </w:r>
            <w:r>
              <w:rPr>
                <w:sz w:val="22"/>
              </w:rPr>
              <w:t>plagas.</w:t>
            </w:r>
          </w:p>
        </w:tc>
      </w:tr>
    </w:tbl>
    <w:p>
      <w:pPr>
        <w:spacing w:after="0" w:line="252" w:lineRule="exact"/>
        <w:jc w:val="left"/>
        <w:rPr>
          <w:sz w:val="24"/>
        </w:rPr>
        <w:sectPr>
          <w:pgSz w:w="12240" w:h="15840"/>
          <w:pgMar w:header="0" w:footer="1480" w:top="1500" w:bottom="1680" w:left="1200" w:right="1260"/>
        </w:sectPr>
      </w:pPr>
    </w:p>
    <w:p>
      <w:pPr>
        <w:pStyle w:val="Heading2"/>
        <w:numPr>
          <w:ilvl w:val="3"/>
          <w:numId w:val="12"/>
        </w:numPr>
        <w:tabs>
          <w:tab w:pos="1055" w:val="left" w:leader="none"/>
        </w:tabs>
        <w:spacing w:line="240" w:lineRule="auto" w:before="35" w:after="0"/>
        <w:ind w:left="1054" w:right="0" w:hanging="936"/>
        <w:jc w:val="both"/>
      </w:pPr>
      <w:r>
        <w:rPr/>
        <w:t>Fitorremediación</w:t>
      </w:r>
      <w:r>
        <w:rPr>
          <w:spacing w:val="-11"/>
        </w:rPr>
        <w:t> </w:t>
      </w:r>
      <w:r>
        <w:rPr/>
        <w:t>acuática.</w:t>
      </w:r>
    </w:p>
    <w:p>
      <w:pPr>
        <w:pStyle w:val="BodyText"/>
        <w:spacing w:before="6"/>
        <w:rPr>
          <w:b/>
          <w:sz w:val="33"/>
        </w:rPr>
      </w:pPr>
    </w:p>
    <w:p>
      <w:pPr>
        <w:pStyle w:val="BodyText"/>
        <w:spacing w:line="276" w:lineRule="auto"/>
        <w:ind w:left="118" w:right="117"/>
        <w:jc w:val="both"/>
      </w:pPr>
      <w:r>
        <w:rPr/>
        <w:t>Tradicionalmente las plantas acuáticas han sido consideradas una plaga por su rápida proliferación y desequilibrio de la biota en ecosistemas acuáticos. Sin embargo en la actualidad se considera que estas plantas pueden ser útiles en la remoción y acumulación de fosfatos, nitratos, metales pesados, elementos radioactivos entre otros contaminantes (Alarcón y Ferrara, 2013). Los sistemas de fitorremediación acuática pueden ser en: humedales construidos, sistemas de tratamiento con plantas flotantes, sistema de tratamiento integral y sistemas de rizofiltración.</w:t>
      </w:r>
    </w:p>
    <w:p>
      <w:pPr>
        <w:pStyle w:val="BodyText"/>
        <w:spacing w:before="6"/>
        <w:rPr>
          <w:sz w:val="27"/>
        </w:rPr>
      </w:pPr>
    </w:p>
    <w:p>
      <w:pPr>
        <w:pStyle w:val="BodyText"/>
        <w:spacing w:line="276" w:lineRule="auto" w:before="1"/>
        <w:ind w:left="118" w:right="117"/>
        <w:jc w:val="both"/>
      </w:pPr>
      <w:r>
        <w:rPr/>
        <w:t>En base en su forma de vida, las macrófitas (Fig. 6) utilizadas en los sistemas de fitorremediación acuática se clasifican en tres grupos:</w:t>
      </w:r>
    </w:p>
    <w:p>
      <w:pPr>
        <w:pStyle w:val="BodyText"/>
        <w:spacing w:before="9"/>
        <w:rPr>
          <w:sz w:val="27"/>
        </w:rPr>
      </w:pPr>
    </w:p>
    <w:p>
      <w:pPr>
        <w:pStyle w:val="ListParagraph"/>
        <w:numPr>
          <w:ilvl w:val="4"/>
          <w:numId w:val="12"/>
        </w:numPr>
        <w:tabs>
          <w:tab w:pos="827" w:val="left" w:leader="none"/>
        </w:tabs>
        <w:spacing w:line="276" w:lineRule="auto" w:before="0" w:after="0"/>
        <w:ind w:left="838" w:right="114" w:hanging="360"/>
        <w:jc w:val="both"/>
        <w:rPr>
          <w:sz w:val="24"/>
        </w:rPr>
      </w:pPr>
      <w:r>
        <w:rPr>
          <w:sz w:val="24"/>
        </w:rPr>
        <w:t>Emergentes: raíz enterrada y parte superior extendida hacia la superficie del agua, ejemplo: </w:t>
      </w:r>
      <w:r>
        <w:rPr>
          <w:i/>
          <w:sz w:val="24"/>
        </w:rPr>
        <w:t>Phragmites </w:t>
      </w:r>
      <w:r>
        <w:rPr>
          <w:sz w:val="24"/>
        </w:rPr>
        <w:t>(Fig. 6a), </w:t>
      </w:r>
      <w:r>
        <w:rPr>
          <w:i/>
          <w:sz w:val="24"/>
        </w:rPr>
        <w:t>Schoenoplectus, Sagittaria </w:t>
      </w:r>
      <w:r>
        <w:rPr>
          <w:sz w:val="24"/>
        </w:rPr>
        <w:t>y </w:t>
      </w:r>
      <w:r>
        <w:rPr>
          <w:i/>
          <w:sz w:val="24"/>
        </w:rPr>
        <w:t>Typha </w:t>
      </w:r>
      <w:r>
        <w:rPr>
          <w:sz w:val="24"/>
        </w:rPr>
        <w:t>(Fig. 6b).</w:t>
      </w:r>
    </w:p>
    <w:p>
      <w:pPr>
        <w:pStyle w:val="BodyText"/>
        <w:spacing w:before="9"/>
        <w:rPr>
          <w:sz w:val="27"/>
        </w:rPr>
      </w:pPr>
    </w:p>
    <w:p>
      <w:pPr>
        <w:pStyle w:val="ListParagraph"/>
        <w:numPr>
          <w:ilvl w:val="4"/>
          <w:numId w:val="12"/>
        </w:numPr>
        <w:tabs>
          <w:tab w:pos="827" w:val="left" w:leader="none"/>
        </w:tabs>
        <w:spacing w:line="276" w:lineRule="auto" w:before="0" w:after="0"/>
        <w:ind w:left="838" w:right="115" w:hanging="360"/>
        <w:jc w:val="both"/>
        <w:rPr>
          <w:sz w:val="24"/>
        </w:rPr>
      </w:pPr>
      <w:r>
        <w:rPr>
          <w:sz w:val="24"/>
        </w:rPr>
        <w:t>Flotantes: subdividida en dos grupos i) plantas libre flotadoras (tallo y agua con desarrollo sobre agua), ejemplo: </w:t>
      </w:r>
      <w:r>
        <w:rPr>
          <w:i/>
          <w:sz w:val="24"/>
        </w:rPr>
        <w:t>Eichhomia </w:t>
      </w:r>
      <w:r>
        <w:rPr>
          <w:sz w:val="24"/>
        </w:rPr>
        <w:t>(Fig. 6c) y </w:t>
      </w:r>
      <w:r>
        <w:rPr>
          <w:i/>
          <w:sz w:val="24"/>
        </w:rPr>
        <w:t>Lemna</w:t>
      </w:r>
      <w:r>
        <w:rPr>
          <w:sz w:val="24"/>
        </w:rPr>
        <w:t>. ii) plantas de hoja flotante (hojas flotando sobre el agua pero raíz en sedimentos), ejemplo: </w:t>
      </w:r>
      <w:r>
        <w:rPr>
          <w:i/>
          <w:sz w:val="24"/>
        </w:rPr>
        <w:t>Nymphaea </w:t>
      </w:r>
      <w:r>
        <w:rPr>
          <w:sz w:val="24"/>
        </w:rPr>
        <w:t>(Fig.</w:t>
      </w:r>
      <w:r>
        <w:rPr>
          <w:spacing w:val="-6"/>
          <w:sz w:val="24"/>
        </w:rPr>
        <w:t> </w:t>
      </w:r>
      <w:r>
        <w:rPr>
          <w:sz w:val="24"/>
        </w:rPr>
        <w:t>6d).</w:t>
      </w:r>
    </w:p>
    <w:p>
      <w:pPr>
        <w:pStyle w:val="BodyText"/>
        <w:spacing w:before="9"/>
        <w:rPr>
          <w:sz w:val="27"/>
        </w:rPr>
      </w:pPr>
    </w:p>
    <w:p>
      <w:pPr>
        <w:pStyle w:val="ListParagraph"/>
        <w:numPr>
          <w:ilvl w:val="4"/>
          <w:numId w:val="12"/>
        </w:numPr>
        <w:tabs>
          <w:tab w:pos="827" w:val="left" w:leader="none"/>
        </w:tabs>
        <w:spacing w:line="240" w:lineRule="auto" w:before="0" w:after="0"/>
        <w:ind w:left="826" w:right="0" w:hanging="348"/>
        <w:jc w:val="left"/>
        <w:rPr>
          <w:i/>
          <w:sz w:val="24"/>
        </w:rPr>
      </w:pPr>
      <w:r>
        <w:rPr>
          <w:sz w:val="24"/>
        </w:rPr>
        <w:t>Sumergidas: desarrollo debajo de la superficie del agua, ejemplo: </w:t>
      </w:r>
      <w:r>
        <w:rPr>
          <w:spacing w:val="24"/>
          <w:sz w:val="24"/>
        </w:rPr>
        <w:t> </w:t>
      </w:r>
      <w:r>
        <w:rPr>
          <w:i/>
          <w:sz w:val="24"/>
        </w:rPr>
        <w:t>Ceratophyllum</w:t>
      </w:r>
    </w:p>
    <w:p>
      <w:pPr>
        <w:spacing w:before="41"/>
        <w:ind w:left="838" w:right="0" w:firstLine="0"/>
        <w:jc w:val="left"/>
        <w:rPr>
          <w:sz w:val="24"/>
        </w:rPr>
      </w:pPr>
      <w:r>
        <w:rPr>
          <w:sz w:val="24"/>
        </w:rPr>
        <w:t>(Fig. 6e), </w:t>
      </w:r>
      <w:r>
        <w:rPr>
          <w:i/>
          <w:sz w:val="24"/>
        </w:rPr>
        <w:t>Phyllospadix </w:t>
      </w:r>
      <w:r>
        <w:rPr>
          <w:sz w:val="24"/>
        </w:rPr>
        <w:t>y </w:t>
      </w:r>
      <w:r>
        <w:rPr>
          <w:i/>
          <w:sz w:val="24"/>
        </w:rPr>
        <w:t>Hydrilla </w:t>
      </w:r>
      <w:r>
        <w:rPr>
          <w:sz w:val="24"/>
        </w:rPr>
        <w:t>(Fig. 6f).</w:t>
      </w:r>
    </w:p>
    <w:p>
      <w:pPr>
        <w:pStyle w:val="BodyText"/>
        <w:spacing w:before="5"/>
        <w:rPr>
          <w:sz w:val="31"/>
        </w:rPr>
      </w:pPr>
    </w:p>
    <w:p>
      <w:pPr>
        <w:pStyle w:val="BodyText"/>
        <w:spacing w:line="276" w:lineRule="auto" w:before="1"/>
        <w:ind w:left="118" w:right="114"/>
        <w:jc w:val="both"/>
      </w:pPr>
      <w:r>
        <w:rPr/>
        <w:t>La selección de plantas para la fitorremediación se basan en: i) potencial para evapotranspirar  agua  del  subsuelo,  ii)   altos  índices  de  crecimiento  y     desarrollo,</w:t>
      </w:r>
    </w:p>
    <w:p>
      <w:pPr>
        <w:spacing w:line="276" w:lineRule="auto" w:before="0"/>
        <w:ind w:left="118" w:right="113" w:firstLine="0"/>
        <w:jc w:val="both"/>
        <w:rPr>
          <w:rFonts w:ascii="Calibri" w:hAnsi="Calibri"/>
          <w:sz w:val="20"/>
        </w:rPr>
      </w:pPr>
      <w:r>
        <w:rPr>
          <w:sz w:val="24"/>
        </w:rPr>
        <w:t>iii) profundidad de su zona radicular y iv) pero sobre todo en su habilidad para bioacumular contaminantes del medio (Olguín y Sánchez </w:t>
      </w:r>
      <w:r>
        <w:rPr>
          <w:i/>
          <w:sz w:val="24"/>
        </w:rPr>
        <w:t>et al</w:t>
      </w:r>
      <w:r>
        <w:rPr>
          <w:sz w:val="24"/>
        </w:rPr>
        <w:t>., 2010; Ali </w:t>
      </w:r>
      <w:r>
        <w:rPr>
          <w:i/>
          <w:sz w:val="24"/>
        </w:rPr>
        <w:t>et al</w:t>
      </w:r>
      <w:r>
        <w:rPr>
          <w:sz w:val="24"/>
        </w:rPr>
        <w:t>., 2013). Estas plantas tienen potenciales de acumulación diferente que van desde moderadas hasta hiperacumuladoras, estas últimas </w:t>
      </w:r>
      <w:r>
        <w:rPr>
          <w:sz w:val="22"/>
        </w:rPr>
        <w:t>deben acumular al menos 100 µg/g (0.01% peso seco) de Cd y As; 1000 µg/g (0.1 % peso seco) de Co, Cu, Cr, Ni y Pb; y 10 000 µg/g (1.0 % peso seco) de Mn (Padmavathiamma, 2007; Delgadillo </w:t>
      </w:r>
      <w:r>
        <w:rPr>
          <w:i/>
          <w:sz w:val="22"/>
        </w:rPr>
        <w:t>et al</w:t>
      </w:r>
      <w:r>
        <w:rPr>
          <w:sz w:val="22"/>
        </w:rPr>
        <w:t>, 2011</w:t>
      </w:r>
      <w:r>
        <w:rPr>
          <w:rFonts w:ascii="Calibri" w:hAnsi="Calibri"/>
          <w:sz w:val="20"/>
        </w:rPr>
        <w:t>).</w:t>
      </w:r>
    </w:p>
    <w:p>
      <w:pPr>
        <w:spacing w:after="0" w:line="276" w:lineRule="auto"/>
        <w:jc w:val="both"/>
        <w:rPr>
          <w:rFonts w:ascii="Calibri" w:hAnsi="Calibri"/>
          <w:sz w:val="20"/>
        </w:rPr>
        <w:sectPr>
          <w:pgSz w:w="12240" w:h="15840"/>
          <w:pgMar w:header="0" w:footer="1480" w:top="1380" w:bottom="1680" w:left="1300" w:right="1300"/>
        </w:sectPr>
      </w:pPr>
    </w:p>
    <w:p>
      <w:pPr>
        <w:pStyle w:val="BodyText"/>
        <w:spacing w:before="8"/>
        <w:rPr>
          <w:rFonts w:ascii="Calibri"/>
          <w:sz w:val="1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64"/>
        <w:gridCol w:w="5029"/>
      </w:tblGrid>
      <w:tr>
        <w:trPr>
          <w:trHeight w:val="2645" w:hRule="exact"/>
        </w:trPr>
        <w:tc>
          <w:tcPr>
            <w:tcW w:w="4964" w:type="dxa"/>
          </w:tcPr>
          <w:p>
            <w:pPr>
              <w:pStyle w:val="TableParagraph"/>
              <w:ind w:left="200"/>
              <w:rPr>
                <w:rFonts w:ascii="Calibri"/>
                <w:sz w:val="20"/>
              </w:rPr>
            </w:pPr>
            <w:r>
              <w:rPr>
                <w:rFonts w:ascii="Calibri"/>
                <w:sz w:val="20"/>
              </w:rPr>
              <w:drawing>
                <wp:inline distT="0" distB="0" distL="0" distR="0">
                  <wp:extent cx="2800829" cy="1405699"/>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7" cstate="print"/>
                          <a:stretch>
                            <a:fillRect/>
                          </a:stretch>
                        </pic:blipFill>
                        <pic:spPr>
                          <a:xfrm>
                            <a:off x="0" y="0"/>
                            <a:ext cx="2800829" cy="1405699"/>
                          </a:xfrm>
                          <a:prstGeom prst="rect">
                            <a:avLst/>
                          </a:prstGeom>
                        </pic:spPr>
                      </pic:pic>
                    </a:graphicData>
                  </a:graphic>
                </wp:inline>
              </w:drawing>
            </w:r>
            <w:r>
              <w:rPr>
                <w:rFonts w:ascii="Calibri"/>
                <w:sz w:val="20"/>
              </w:rPr>
            </w:r>
          </w:p>
          <w:p>
            <w:pPr>
              <w:pStyle w:val="TableParagraph"/>
              <w:spacing w:before="45"/>
              <w:ind w:left="693" w:right="648"/>
              <w:jc w:val="center"/>
              <w:rPr>
                <w:b/>
                <w:i/>
                <w:sz w:val="22"/>
              </w:rPr>
            </w:pPr>
            <w:r>
              <w:rPr>
                <w:sz w:val="20"/>
              </w:rPr>
              <w:t>Fig. 6a.  </w:t>
            </w:r>
            <w:r>
              <w:rPr>
                <w:b/>
                <w:i/>
                <w:sz w:val="22"/>
              </w:rPr>
              <w:t>Phragmites australis</w:t>
            </w:r>
          </w:p>
        </w:tc>
        <w:tc>
          <w:tcPr>
            <w:tcW w:w="5029" w:type="dxa"/>
          </w:tcPr>
          <w:p>
            <w:pPr>
              <w:pStyle w:val="TableParagraph"/>
              <w:ind w:left="404"/>
              <w:rPr>
                <w:rFonts w:ascii="Calibri"/>
                <w:sz w:val="20"/>
              </w:rPr>
            </w:pPr>
            <w:r>
              <w:rPr>
                <w:rFonts w:ascii="Calibri"/>
                <w:sz w:val="20"/>
              </w:rPr>
              <w:drawing>
                <wp:inline distT="0" distB="0" distL="0" distR="0">
                  <wp:extent cx="2692660" cy="1408176"/>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8" cstate="print"/>
                          <a:stretch>
                            <a:fillRect/>
                          </a:stretch>
                        </pic:blipFill>
                        <pic:spPr>
                          <a:xfrm>
                            <a:off x="0" y="0"/>
                            <a:ext cx="2692660" cy="1408176"/>
                          </a:xfrm>
                          <a:prstGeom prst="rect">
                            <a:avLst/>
                          </a:prstGeom>
                        </pic:spPr>
                      </pic:pic>
                    </a:graphicData>
                  </a:graphic>
                </wp:inline>
              </w:drawing>
            </w:r>
            <w:r>
              <w:rPr>
                <w:rFonts w:ascii="Calibri"/>
                <w:sz w:val="20"/>
              </w:rPr>
            </w:r>
          </w:p>
          <w:p>
            <w:pPr>
              <w:pStyle w:val="TableParagraph"/>
              <w:ind w:left="1151" w:right="1122"/>
              <w:jc w:val="center"/>
              <w:rPr>
                <w:b/>
                <w:i/>
                <w:sz w:val="22"/>
              </w:rPr>
            </w:pPr>
            <w:r>
              <w:rPr>
                <w:sz w:val="20"/>
              </w:rPr>
              <w:t>Fig. 6b</w:t>
            </w:r>
            <w:r>
              <w:rPr>
                <w:sz w:val="22"/>
              </w:rPr>
              <w:t>. </w:t>
            </w:r>
            <w:r>
              <w:rPr>
                <w:b/>
                <w:i/>
                <w:sz w:val="22"/>
              </w:rPr>
              <w:t>Typha latifolia L.</w:t>
            </w:r>
          </w:p>
        </w:tc>
      </w:tr>
      <w:tr>
        <w:trPr>
          <w:trHeight w:val="2782" w:hRule="exact"/>
        </w:trPr>
        <w:tc>
          <w:tcPr>
            <w:tcW w:w="4964" w:type="dxa"/>
          </w:tcPr>
          <w:p>
            <w:pPr>
              <w:pStyle w:val="TableParagraph"/>
              <w:spacing w:before="3"/>
              <w:rPr>
                <w:rFonts w:ascii="Calibri"/>
                <w:sz w:val="11"/>
              </w:rPr>
            </w:pPr>
          </w:p>
          <w:p>
            <w:pPr>
              <w:pStyle w:val="TableParagraph"/>
              <w:ind w:left="268"/>
              <w:rPr>
                <w:rFonts w:ascii="Calibri"/>
                <w:sz w:val="20"/>
              </w:rPr>
            </w:pPr>
            <w:r>
              <w:rPr>
                <w:rFonts w:ascii="Calibri"/>
                <w:sz w:val="20"/>
              </w:rPr>
              <w:drawing>
                <wp:inline distT="0" distB="0" distL="0" distR="0">
                  <wp:extent cx="2852041" cy="1446752"/>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9" cstate="print"/>
                          <a:stretch>
                            <a:fillRect/>
                          </a:stretch>
                        </pic:blipFill>
                        <pic:spPr>
                          <a:xfrm>
                            <a:off x="0" y="0"/>
                            <a:ext cx="2852041" cy="1446752"/>
                          </a:xfrm>
                          <a:prstGeom prst="rect">
                            <a:avLst/>
                          </a:prstGeom>
                        </pic:spPr>
                      </pic:pic>
                    </a:graphicData>
                  </a:graphic>
                </wp:inline>
              </w:drawing>
            </w:r>
            <w:r>
              <w:rPr>
                <w:rFonts w:ascii="Calibri"/>
                <w:sz w:val="20"/>
              </w:rPr>
            </w:r>
          </w:p>
          <w:p>
            <w:pPr>
              <w:pStyle w:val="TableParagraph"/>
              <w:ind w:left="685" w:right="648"/>
              <w:jc w:val="center"/>
              <w:rPr>
                <w:b/>
                <w:i/>
                <w:sz w:val="20"/>
              </w:rPr>
            </w:pPr>
            <w:r>
              <w:rPr>
                <w:sz w:val="20"/>
              </w:rPr>
              <w:t>Fig. 6c.  </w:t>
            </w:r>
            <w:r>
              <w:rPr>
                <w:b/>
                <w:i/>
                <w:sz w:val="20"/>
              </w:rPr>
              <w:t>Eichhornia crassipes</w:t>
            </w:r>
          </w:p>
        </w:tc>
        <w:tc>
          <w:tcPr>
            <w:tcW w:w="5029" w:type="dxa"/>
          </w:tcPr>
          <w:p>
            <w:pPr>
              <w:pStyle w:val="TableParagraph"/>
              <w:spacing w:before="3"/>
              <w:rPr>
                <w:rFonts w:ascii="Calibri"/>
                <w:sz w:val="11"/>
              </w:rPr>
            </w:pPr>
          </w:p>
          <w:p>
            <w:pPr>
              <w:pStyle w:val="TableParagraph"/>
              <w:ind w:left="308"/>
              <w:rPr>
                <w:rFonts w:ascii="Calibri"/>
                <w:sz w:val="20"/>
              </w:rPr>
            </w:pPr>
            <w:r>
              <w:rPr>
                <w:rFonts w:ascii="Calibri"/>
                <w:sz w:val="20"/>
              </w:rPr>
              <w:drawing>
                <wp:inline distT="0" distB="0" distL="0" distR="0">
                  <wp:extent cx="2813127" cy="1431607"/>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0" cstate="print"/>
                          <a:stretch>
                            <a:fillRect/>
                          </a:stretch>
                        </pic:blipFill>
                        <pic:spPr>
                          <a:xfrm>
                            <a:off x="0" y="0"/>
                            <a:ext cx="2813127" cy="1431607"/>
                          </a:xfrm>
                          <a:prstGeom prst="rect">
                            <a:avLst/>
                          </a:prstGeom>
                        </pic:spPr>
                      </pic:pic>
                    </a:graphicData>
                  </a:graphic>
                </wp:inline>
              </w:drawing>
            </w:r>
            <w:r>
              <w:rPr>
                <w:rFonts w:ascii="Calibri"/>
                <w:sz w:val="20"/>
              </w:rPr>
            </w:r>
          </w:p>
          <w:p>
            <w:pPr>
              <w:pStyle w:val="TableParagraph"/>
              <w:spacing w:before="4"/>
              <w:ind w:left="1151" w:right="1122"/>
              <w:jc w:val="center"/>
              <w:rPr>
                <w:b/>
                <w:i/>
                <w:sz w:val="22"/>
              </w:rPr>
            </w:pPr>
            <w:r>
              <w:rPr>
                <w:sz w:val="20"/>
              </w:rPr>
              <w:t>Fig. 6d. </w:t>
            </w:r>
            <w:r>
              <w:rPr>
                <w:b/>
                <w:i/>
                <w:sz w:val="22"/>
              </w:rPr>
              <w:t>Nymphaea elegans</w:t>
            </w:r>
          </w:p>
        </w:tc>
      </w:tr>
      <w:tr>
        <w:trPr>
          <w:trHeight w:val="2765" w:hRule="exact"/>
        </w:trPr>
        <w:tc>
          <w:tcPr>
            <w:tcW w:w="4964" w:type="dxa"/>
          </w:tcPr>
          <w:p>
            <w:pPr>
              <w:pStyle w:val="TableParagraph"/>
              <w:spacing w:before="2"/>
              <w:rPr>
                <w:rFonts w:ascii="Calibri"/>
                <w:sz w:val="11"/>
              </w:rPr>
            </w:pPr>
          </w:p>
          <w:p>
            <w:pPr>
              <w:pStyle w:val="TableParagraph"/>
              <w:ind w:left="299"/>
              <w:rPr>
                <w:rFonts w:ascii="Calibri"/>
                <w:sz w:val="20"/>
              </w:rPr>
            </w:pPr>
            <w:r>
              <w:rPr>
                <w:rFonts w:ascii="Calibri"/>
                <w:sz w:val="20"/>
              </w:rPr>
              <w:drawing>
                <wp:inline distT="0" distB="0" distL="0" distR="0">
                  <wp:extent cx="2800030" cy="1441323"/>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1" cstate="print"/>
                          <a:stretch>
                            <a:fillRect/>
                          </a:stretch>
                        </pic:blipFill>
                        <pic:spPr>
                          <a:xfrm>
                            <a:off x="0" y="0"/>
                            <a:ext cx="2800030" cy="1441323"/>
                          </a:xfrm>
                          <a:prstGeom prst="rect">
                            <a:avLst/>
                          </a:prstGeom>
                        </pic:spPr>
                      </pic:pic>
                    </a:graphicData>
                  </a:graphic>
                </wp:inline>
              </w:drawing>
            </w:r>
            <w:r>
              <w:rPr>
                <w:rFonts w:ascii="Calibri"/>
                <w:sz w:val="20"/>
              </w:rPr>
            </w:r>
          </w:p>
          <w:p>
            <w:pPr>
              <w:pStyle w:val="TableParagraph"/>
              <w:ind w:left="693" w:right="648"/>
              <w:jc w:val="center"/>
              <w:rPr>
                <w:b/>
                <w:i/>
                <w:sz w:val="22"/>
              </w:rPr>
            </w:pPr>
            <w:r>
              <w:rPr>
                <w:sz w:val="20"/>
              </w:rPr>
              <w:t>Fig. 6e</w:t>
            </w:r>
            <w:r>
              <w:rPr>
                <w:sz w:val="22"/>
              </w:rPr>
              <w:t>. </w:t>
            </w:r>
            <w:r>
              <w:rPr>
                <w:b/>
                <w:i/>
                <w:sz w:val="22"/>
              </w:rPr>
              <w:t>Cerathophyllum demersum</w:t>
            </w:r>
          </w:p>
        </w:tc>
        <w:tc>
          <w:tcPr>
            <w:tcW w:w="5029" w:type="dxa"/>
          </w:tcPr>
          <w:p>
            <w:pPr>
              <w:pStyle w:val="TableParagraph"/>
              <w:spacing w:before="6"/>
              <w:rPr>
                <w:rFonts w:ascii="Calibri"/>
                <w:sz w:val="15"/>
              </w:rPr>
            </w:pPr>
          </w:p>
          <w:p>
            <w:pPr>
              <w:pStyle w:val="TableParagraph"/>
              <w:ind w:left="224"/>
              <w:rPr>
                <w:rFonts w:ascii="Calibri"/>
                <w:sz w:val="20"/>
              </w:rPr>
            </w:pPr>
            <w:r>
              <w:rPr>
                <w:rFonts w:ascii="Calibri"/>
                <w:sz w:val="20"/>
              </w:rPr>
              <w:drawing>
                <wp:inline distT="0" distB="0" distL="0" distR="0">
                  <wp:extent cx="2916638" cy="1474470"/>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22" cstate="print"/>
                          <a:stretch>
                            <a:fillRect/>
                          </a:stretch>
                        </pic:blipFill>
                        <pic:spPr>
                          <a:xfrm>
                            <a:off x="0" y="0"/>
                            <a:ext cx="2916638" cy="1474470"/>
                          </a:xfrm>
                          <a:prstGeom prst="rect">
                            <a:avLst/>
                          </a:prstGeom>
                        </pic:spPr>
                      </pic:pic>
                    </a:graphicData>
                  </a:graphic>
                </wp:inline>
              </w:drawing>
            </w:r>
            <w:r>
              <w:rPr>
                <w:rFonts w:ascii="Calibri"/>
                <w:sz w:val="20"/>
              </w:rPr>
            </w:r>
          </w:p>
          <w:p>
            <w:pPr>
              <w:pStyle w:val="TableParagraph"/>
              <w:spacing w:before="5"/>
              <w:ind w:left="1150" w:right="1122"/>
              <w:jc w:val="center"/>
              <w:rPr>
                <w:b/>
                <w:i/>
                <w:sz w:val="22"/>
              </w:rPr>
            </w:pPr>
            <w:r>
              <w:rPr>
                <w:sz w:val="20"/>
              </w:rPr>
              <w:t>Fig. 6f. </w:t>
            </w:r>
            <w:r>
              <w:rPr>
                <w:b/>
                <w:i/>
                <w:sz w:val="22"/>
              </w:rPr>
              <w:t>Hydrilla verticillata</w:t>
            </w:r>
          </w:p>
        </w:tc>
      </w:tr>
    </w:tbl>
    <w:p>
      <w:pPr>
        <w:pStyle w:val="BodyText"/>
        <w:spacing w:before="5"/>
        <w:rPr>
          <w:rFonts w:ascii="Calibri"/>
          <w:sz w:val="6"/>
        </w:rPr>
      </w:pPr>
    </w:p>
    <w:p>
      <w:pPr>
        <w:spacing w:before="74"/>
        <w:ind w:left="3213" w:right="0" w:firstLine="0"/>
        <w:jc w:val="left"/>
        <w:rPr>
          <w:b/>
          <w:sz w:val="20"/>
        </w:rPr>
      </w:pPr>
      <w:r>
        <w:rPr>
          <w:b/>
          <w:sz w:val="20"/>
        </w:rPr>
        <w:t>Fig. 6.  Macrófitas utilizadas en fitorremediación.</w:t>
      </w:r>
    </w:p>
    <w:p>
      <w:pPr>
        <w:pStyle w:val="BodyText"/>
        <w:rPr>
          <w:b/>
          <w:sz w:val="20"/>
        </w:rPr>
      </w:pPr>
    </w:p>
    <w:p>
      <w:pPr>
        <w:pStyle w:val="ListParagraph"/>
        <w:numPr>
          <w:ilvl w:val="3"/>
          <w:numId w:val="12"/>
        </w:numPr>
        <w:tabs>
          <w:tab w:pos="1435" w:val="left" w:leader="none"/>
        </w:tabs>
        <w:spacing w:line="240" w:lineRule="auto" w:before="185" w:after="0"/>
        <w:ind w:left="1434" w:right="0" w:hanging="936"/>
        <w:jc w:val="both"/>
        <w:rPr>
          <w:b/>
          <w:i/>
          <w:sz w:val="28"/>
        </w:rPr>
      </w:pPr>
      <w:r>
        <w:rPr>
          <w:b/>
          <w:sz w:val="28"/>
        </w:rPr>
        <w:t>Características de la </w:t>
      </w:r>
      <w:r>
        <w:rPr>
          <w:b/>
          <w:i/>
          <w:sz w:val="28"/>
        </w:rPr>
        <w:t>Typha latifolia</w:t>
      </w:r>
      <w:r>
        <w:rPr>
          <w:b/>
          <w:i/>
          <w:spacing w:val="-18"/>
          <w:sz w:val="28"/>
        </w:rPr>
        <w:t> </w:t>
      </w:r>
      <w:r>
        <w:rPr>
          <w:b/>
          <w:i/>
          <w:sz w:val="28"/>
        </w:rPr>
        <w:t>L.</w:t>
      </w:r>
    </w:p>
    <w:p>
      <w:pPr>
        <w:pStyle w:val="BodyText"/>
        <w:spacing w:before="3"/>
        <w:rPr>
          <w:b/>
          <w:i/>
          <w:sz w:val="33"/>
        </w:rPr>
      </w:pPr>
    </w:p>
    <w:p>
      <w:pPr>
        <w:pStyle w:val="BodyText"/>
        <w:spacing w:line="276" w:lineRule="auto"/>
        <w:ind w:left="498" w:right="314"/>
        <w:jc w:val="both"/>
      </w:pPr>
      <w:r>
        <w:rPr>
          <w:i/>
        </w:rPr>
        <w:t>Typha latifolia L</w:t>
      </w:r>
      <w:r>
        <w:rPr/>
        <w:t>., (Fig. 7a) comúnmente conocida como totora, espadaña, junco, bayón, tule ó bayuco; pertenece a la familia de las </w:t>
      </w:r>
      <w:r>
        <w:rPr>
          <w:i/>
        </w:rPr>
        <w:t>Typhaceae </w:t>
      </w:r>
      <w:r>
        <w:rPr/>
        <w:t>(UNAM, 2010), son plantas cosmopolitas en áreas templadas subtropicales y tropicales del Hemisferio Norte, se distribuyen desde niveles el nivel del mar hasta los 4000 msnm (Smith, 2009),  presentan amplio rango de tolerancia de temperatura, es una de las plantas acuáticas más resistentes y menos exigentes (Forcada, 2011), siempre se encuentran en ó cerca de cuerpos de agua (lagunas, pantanos, esteros, cunetas de caminos, etc.), no necesitan suelos especialmente</w:t>
      </w:r>
      <w:r>
        <w:rPr>
          <w:spacing w:val="-9"/>
        </w:rPr>
        <w:t> </w:t>
      </w:r>
      <w:r>
        <w:rPr/>
        <w:t>ricos.</w:t>
      </w:r>
    </w:p>
    <w:p>
      <w:pPr>
        <w:spacing w:after="0" w:line="276" w:lineRule="auto"/>
        <w:jc w:val="both"/>
        <w:sectPr>
          <w:footerReference w:type="default" r:id="rId16"/>
          <w:pgSz w:w="12240" w:h="15840"/>
          <w:pgMar w:footer="1480" w:header="0" w:top="1500" w:bottom="1680" w:left="920" w:right="1100"/>
        </w:sectPr>
      </w:pPr>
    </w:p>
    <w:p>
      <w:pPr>
        <w:pStyle w:val="BodyText"/>
        <w:spacing w:before="8"/>
        <w:rPr>
          <w:sz w:val="10"/>
        </w:rPr>
      </w:pPr>
    </w:p>
    <w:p>
      <w:pPr>
        <w:pStyle w:val="BodyText"/>
        <w:spacing w:line="276" w:lineRule="auto" w:before="70"/>
        <w:ind w:left="118" w:right="112"/>
        <w:jc w:val="both"/>
      </w:pPr>
      <w:r>
        <w:rPr/>
        <w:t>Son plantas herbáceas perennes (viven de más de 3 años) que alcanzan alturas entre 1.5–3.0 m de altura (Fig. 7b), rizomatosas (tallo subterráneo de varias yemas, que  crece de manera horizontal emitiendo raíces y nuevos brotes), con largas hojas verdes cuyo ancho es de 2 -4 cm que generalmente igualan la altura de la espiga, parte superior de las vainas auriculadas simétricas, epidermis ventral superficial que contienen glándulas mucilaginosas incoloras, tallo cilíndrico de 15 mm de anchura, inflorescencia color obscuro u negro, </w:t>
      </w:r>
      <w:r>
        <w:rPr>
          <w:spacing w:val="2"/>
        </w:rPr>
        <w:t>de </w:t>
      </w:r>
      <w:r>
        <w:rPr/>
        <w:t>la raíz se despliega el rizoma constituido por  un cilindro vertical con muchos haces semi-leñosos que se extienden horizontalmente bajo el agua y que rebrotan cada cierta distancia. De allí brotan las yemas que posteriormente se convierten en tallos, el rizomas y las yemas se encuentran protegidos por unas hojas modificadas de color marrón claro amarillo, a manera de escamas (catáfilas), flores unisexuales (Fig. 7c) de forma de salchicha en su  parte  apical, espigas masculinas 10-30 cm de largo y 0.9-1.5 cm de ancho de diámetro contiguas a las femeninas cuyas espigas miden 9-34 cm de largo y 0.6-2.4 cm de diámetro, polen arreglado en tétrada, fruto fusiforme (alargado de parte media que se va angostando hacia los extremos y termina en punta). Cuando madura la flor (junio-julio) forma semillas “vellosas” (Fig. 7d) que son dispersadas por el viento (anemocoria) que se reparten sobre las aguas dando lugar a una regeneración natural (Smith, 1967; Smith, 2009).</w:t>
      </w:r>
    </w:p>
    <w:p>
      <w:pPr>
        <w:pStyle w:val="BodyText"/>
        <w:spacing w:before="6"/>
        <w:rPr>
          <w:sz w:val="27"/>
        </w:rPr>
      </w:pPr>
    </w:p>
    <w:p>
      <w:pPr>
        <w:pStyle w:val="BodyText"/>
        <w:spacing w:line="276" w:lineRule="auto" w:before="1"/>
        <w:ind w:left="118" w:right="113"/>
        <w:jc w:val="both"/>
      </w:pPr>
      <w:r>
        <w:rPr>
          <w:i/>
        </w:rPr>
        <w:t>Typha latifolia </w:t>
      </w:r>
      <w:r>
        <w:rPr/>
        <w:t>se ha utilizado en la preservación de hábitats y en la restauración de humedales. Sin embargo, el uso </w:t>
      </w:r>
      <w:r>
        <w:rPr>
          <w:spacing w:val="2"/>
        </w:rPr>
        <w:t>de </w:t>
      </w:r>
      <w:r>
        <w:rPr/>
        <w:t>esta planta en sistemas acuáticos preservados puede favorecer la invasión de canales, reservorios, campos de cultivos, etc. La planta puede producir efectos nocivos en lagos con fines de recreación, reducir la  biodiversidad y desplazar especies deseables en ciertos hábitats, ya que pueden alcanzar una densidad de 300 y hasta 400 plantas por metro cuadrado (Smith, 2009; Tejeda, 2010; Forcada,</w:t>
      </w:r>
      <w:r>
        <w:rPr>
          <w:spacing w:val="-13"/>
        </w:rPr>
        <w:t> </w:t>
      </w:r>
      <w:r>
        <w:rPr/>
        <w:t>2011).</w:t>
      </w:r>
    </w:p>
    <w:p>
      <w:pPr>
        <w:spacing w:after="0" w:line="276" w:lineRule="auto"/>
        <w:jc w:val="both"/>
        <w:sectPr>
          <w:footerReference w:type="default" r:id="rId23"/>
          <w:pgSz w:w="12240" w:h="15840"/>
          <w:pgMar w:footer="1480" w:header="0" w:top="1500" w:bottom="1680" w:left="1300" w:right="1300"/>
          <w:pgNumType w:start="21"/>
        </w:sectPr>
      </w:pPr>
    </w:p>
    <w:p>
      <w:pPr>
        <w:pStyle w:val="BodyText"/>
        <w:spacing w:before="8"/>
        <w:rPr>
          <w:sz w:val="12"/>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41"/>
        <w:gridCol w:w="5264"/>
      </w:tblGrid>
      <w:tr>
        <w:trPr>
          <w:trHeight w:val="3290" w:hRule="exact"/>
        </w:trPr>
        <w:tc>
          <w:tcPr>
            <w:tcW w:w="5041" w:type="dxa"/>
          </w:tcPr>
          <w:p>
            <w:pPr>
              <w:pStyle w:val="TableParagraph"/>
              <w:ind w:left="292"/>
              <w:rPr>
                <w:sz w:val="20"/>
              </w:rPr>
            </w:pPr>
            <w:r>
              <w:rPr>
                <w:sz w:val="20"/>
              </w:rPr>
              <w:drawing>
                <wp:inline distT="0" distB="0" distL="0" distR="0">
                  <wp:extent cx="2765227" cy="1796796"/>
                  <wp:effectExtent l="0" t="0" r="0" b="0"/>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4" cstate="print"/>
                          <a:stretch>
                            <a:fillRect/>
                          </a:stretch>
                        </pic:blipFill>
                        <pic:spPr>
                          <a:xfrm>
                            <a:off x="0" y="0"/>
                            <a:ext cx="2765227" cy="1796796"/>
                          </a:xfrm>
                          <a:prstGeom prst="rect">
                            <a:avLst/>
                          </a:prstGeom>
                        </pic:spPr>
                      </pic:pic>
                    </a:graphicData>
                  </a:graphic>
                </wp:inline>
              </w:drawing>
            </w:r>
            <w:r>
              <w:rPr>
                <w:sz w:val="20"/>
              </w:rPr>
            </w:r>
          </w:p>
          <w:p>
            <w:pPr>
              <w:pStyle w:val="TableParagraph"/>
              <w:spacing w:before="2"/>
              <w:ind w:left="2168"/>
              <w:rPr>
                <w:sz w:val="20"/>
              </w:rPr>
            </w:pPr>
            <w:r>
              <w:rPr>
                <w:sz w:val="20"/>
              </w:rPr>
              <w:t>Fig. 7a</w:t>
            </w:r>
          </w:p>
        </w:tc>
        <w:tc>
          <w:tcPr>
            <w:tcW w:w="5264" w:type="dxa"/>
          </w:tcPr>
          <w:p>
            <w:pPr>
              <w:pStyle w:val="TableParagraph"/>
              <w:spacing w:before="2"/>
              <w:rPr>
                <w:sz w:val="8"/>
              </w:rPr>
            </w:pPr>
          </w:p>
          <w:p>
            <w:pPr>
              <w:pStyle w:val="TableParagraph"/>
              <w:ind w:left="295"/>
              <w:rPr>
                <w:sz w:val="20"/>
              </w:rPr>
            </w:pPr>
            <w:r>
              <w:rPr>
                <w:sz w:val="20"/>
              </w:rPr>
              <w:drawing>
                <wp:inline distT="0" distB="0" distL="0" distR="0">
                  <wp:extent cx="3021209" cy="1795367"/>
                  <wp:effectExtent l="0" t="0" r="0" b="0"/>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5" cstate="print"/>
                          <a:stretch>
                            <a:fillRect/>
                          </a:stretch>
                        </pic:blipFill>
                        <pic:spPr>
                          <a:xfrm>
                            <a:off x="0" y="0"/>
                            <a:ext cx="3021209" cy="1795367"/>
                          </a:xfrm>
                          <a:prstGeom prst="rect">
                            <a:avLst/>
                          </a:prstGeom>
                        </pic:spPr>
                      </pic:pic>
                    </a:graphicData>
                  </a:graphic>
                </wp:inline>
              </w:drawing>
            </w:r>
            <w:r>
              <w:rPr>
                <w:sz w:val="20"/>
              </w:rPr>
            </w:r>
          </w:p>
          <w:p>
            <w:pPr>
              <w:pStyle w:val="TableParagraph"/>
              <w:spacing w:before="4"/>
              <w:ind w:right="2276"/>
              <w:jc w:val="right"/>
              <w:rPr>
                <w:sz w:val="20"/>
              </w:rPr>
            </w:pPr>
            <w:r>
              <w:rPr>
                <w:sz w:val="20"/>
              </w:rPr>
              <w:t>Fig. 7b</w:t>
            </w:r>
          </w:p>
        </w:tc>
      </w:tr>
      <w:tr>
        <w:trPr>
          <w:trHeight w:val="2697" w:hRule="exact"/>
        </w:trPr>
        <w:tc>
          <w:tcPr>
            <w:tcW w:w="5041" w:type="dxa"/>
          </w:tcPr>
          <w:p>
            <w:pPr>
              <w:pStyle w:val="TableParagraph"/>
              <w:spacing w:before="6"/>
              <w:rPr>
                <w:sz w:val="16"/>
              </w:rPr>
            </w:pPr>
          </w:p>
          <w:p>
            <w:pPr>
              <w:pStyle w:val="TableParagraph"/>
              <w:ind w:left="200"/>
              <w:rPr>
                <w:sz w:val="20"/>
              </w:rPr>
            </w:pPr>
            <w:r>
              <w:rPr>
                <w:sz w:val="20"/>
              </w:rPr>
              <w:drawing>
                <wp:inline distT="0" distB="0" distL="0" distR="0">
                  <wp:extent cx="2880632" cy="1444752"/>
                  <wp:effectExtent l="0" t="0" r="0" b="0"/>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6" cstate="print"/>
                          <a:stretch>
                            <a:fillRect/>
                          </a:stretch>
                        </pic:blipFill>
                        <pic:spPr>
                          <a:xfrm>
                            <a:off x="0" y="0"/>
                            <a:ext cx="2880632" cy="1444752"/>
                          </a:xfrm>
                          <a:prstGeom prst="rect">
                            <a:avLst/>
                          </a:prstGeom>
                        </pic:spPr>
                      </pic:pic>
                    </a:graphicData>
                  </a:graphic>
                </wp:inline>
              </w:drawing>
            </w:r>
            <w:r>
              <w:rPr>
                <w:sz w:val="20"/>
              </w:rPr>
            </w:r>
          </w:p>
          <w:p>
            <w:pPr>
              <w:pStyle w:val="TableParagraph"/>
              <w:spacing w:before="5"/>
              <w:ind w:left="2173"/>
              <w:rPr>
                <w:sz w:val="20"/>
              </w:rPr>
            </w:pPr>
            <w:r>
              <w:rPr>
                <w:sz w:val="20"/>
              </w:rPr>
              <w:t>Fig. 7c</w:t>
            </w:r>
          </w:p>
        </w:tc>
        <w:tc>
          <w:tcPr>
            <w:tcW w:w="5264" w:type="dxa"/>
          </w:tcPr>
          <w:p>
            <w:pPr>
              <w:pStyle w:val="TableParagraph"/>
              <w:rPr>
                <w:sz w:val="12"/>
              </w:rPr>
            </w:pPr>
          </w:p>
          <w:p>
            <w:pPr>
              <w:pStyle w:val="TableParagraph"/>
              <w:ind w:left="382"/>
              <w:rPr>
                <w:sz w:val="20"/>
              </w:rPr>
            </w:pPr>
            <w:r>
              <w:rPr>
                <w:sz w:val="20"/>
              </w:rPr>
              <w:drawing>
                <wp:inline distT="0" distB="0" distL="0" distR="0">
                  <wp:extent cx="2912411" cy="1467612"/>
                  <wp:effectExtent l="0" t="0" r="0" b="0"/>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7" cstate="print"/>
                          <a:stretch>
                            <a:fillRect/>
                          </a:stretch>
                        </pic:blipFill>
                        <pic:spPr>
                          <a:xfrm>
                            <a:off x="0" y="0"/>
                            <a:ext cx="2912411" cy="1467612"/>
                          </a:xfrm>
                          <a:prstGeom prst="rect">
                            <a:avLst/>
                          </a:prstGeom>
                        </pic:spPr>
                      </pic:pic>
                    </a:graphicData>
                  </a:graphic>
                </wp:inline>
              </w:drawing>
            </w:r>
            <w:r>
              <w:rPr>
                <w:sz w:val="20"/>
              </w:rPr>
            </w:r>
          </w:p>
          <w:p>
            <w:pPr>
              <w:pStyle w:val="TableParagraph"/>
              <w:spacing w:before="2"/>
              <w:ind w:right="2276"/>
              <w:jc w:val="right"/>
              <w:rPr>
                <w:sz w:val="20"/>
              </w:rPr>
            </w:pPr>
            <w:r>
              <w:rPr>
                <w:sz w:val="20"/>
              </w:rPr>
              <w:t>Fig. 7d</w:t>
            </w:r>
          </w:p>
        </w:tc>
      </w:tr>
    </w:tbl>
    <w:p>
      <w:pPr>
        <w:pStyle w:val="BodyText"/>
        <w:spacing w:before="9"/>
        <w:rPr>
          <w:sz w:val="13"/>
        </w:rPr>
      </w:pPr>
    </w:p>
    <w:p>
      <w:pPr>
        <w:spacing w:before="74"/>
        <w:ind w:left="2236" w:right="0" w:firstLine="0"/>
        <w:jc w:val="left"/>
        <w:rPr>
          <w:b/>
          <w:sz w:val="20"/>
        </w:rPr>
      </w:pPr>
      <w:r>
        <w:rPr>
          <w:b/>
          <w:sz w:val="20"/>
        </w:rPr>
        <w:t>Fig. 7. Características de Typha latifolia L. (Fuente: propia)</w:t>
      </w:r>
    </w:p>
    <w:p>
      <w:pPr>
        <w:pStyle w:val="BodyText"/>
        <w:rPr>
          <w:b/>
          <w:sz w:val="20"/>
        </w:rPr>
      </w:pPr>
    </w:p>
    <w:p>
      <w:pPr>
        <w:pStyle w:val="BodyText"/>
        <w:spacing w:before="10"/>
        <w:rPr>
          <w:b/>
          <w:sz w:val="20"/>
        </w:rPr>
      </w:pPr>
    </w:p>
    <w:p>
      <w:pPr>
        <w:pStyle w:val="ListParagraph"/>
        <w:numPr>
          <w:ilvl w:val="3"/>
          <w:numId w:val="12"/>
        </w:numPr>
        <w:tabs>
          <w:tab w:pos="1255" w:val="left" w:leader="none"/>
        </w:tabs>
        <w:spacing w:line="240" w:lineRule="auto" w:before="0" w:after="0"/>
        <w:ind w:left="1254" w:right="0" w:hanging="936"/>
        <w:jc w:val="both"/>
        <w:rPr>
          <w:b/>
          <w:i/>
          <w:sz w:val="28"/>
        </w:rPr>
      </w:pPr>
      <w:r>
        <w:rPr>
          <w:b/>
          <w:sz w:val="28"/>
        </w:rPr>
        <w:t>Capacidad fitorremediadora de la </w:t>
      </w:r>
      <w:r>
        <w:rPr>
          <w:b/>
          <w:i/>
          <w:sz w:val="28"/>
        </w:rPr>
        <w:t>Typha latifolia</w:t>
      </w:r>
      <w:r>
        <w:rPr>
          <w:b/>
          <w:i/>
          <w:spacing w:val="-20"/>
          <w:sz w:val="28"/>
        </w:rPr>
        <w:t> </w:t>
      </w:r>
      <w:r>
        <w:rPr>
          <w:b/>
          <w:i/>
          <w:sz w:val="28"/>
        </w:rPr>
        <w:t>L.</w:t>
      </w:r>
    </w:p>
    <w:p>
      <w:pPr>
        <w:pStyle w:val="BodyText"/>
        <w:spacing w:before="3"/>
        <w:rPr>
          <w:b/>
          <w:i/>
          <w:sz w:val="33"/>
        </w:rPr>
      </w:pPr>
    </w:p>
    <w:p>
      <w:pPr>
        <w:pStyle w:val="BodyText"/>
        <w:spacing w:line="278" w:lineRule="auto"/>
        <w:ind w:left="318" w:right="812"/>
        <w:jc w:val="both"/>
      </w:pPr>
      <w:r>
        <w:rPr/>
        <w:t>Varios estudios se han realizado para evaluar la capacidad remediadora de </w:t>
      </w:r>
      <w:r>
        <w:rPr>
          <w:i/>
        </w:rPr>
        <w:t>Typha </w:t>
      </w:r>
      <w:r>
        <w:rPr>
          <w:i/>
        </w:rPr>
        <w:t>latifolia L, </w:t>
      </w:r>
      <w:r>
        <w:rPr/>
        <w:t>algunos de ellos se mencionan a continuación:</w:t>
      </w:r>
    </w:p>
    <w:p>
      <w:pPr>
        <w:pStyle w:val="BodyText"/>
        <w:spacing w:before="4"/>
        <w:rPr>
          <w:sz w:val="27"/>
        </w:rPr>
      </w:pPr>
    </w:p>
    <w:p>
      <w:pPr>
        <w:pStyle w:val="BodyText"/>
        <w:spacing w:line="276" w:lineRule="auto"/>
        <w:ind w:left="318" w:right="815"/>
        <w:jc w:val="both"/>
      </w:pPr>
      <w:r>
        <w:rPr/>
        <w:t>Chandra </w:t>
      </w:r>
      <w:r>
        <w:rPr>
          <w:i/>
        </w:rPr>
        <w:t>et al. </w:t>
      </w:r>
      <w:r>
        <w:rPr/>
        <w:t>(2014), calcularon el potencial de remoción que tiene la planta para Zn, Mn, Pb, Cd, Cr y Ni; en zonas inundadas. La evaluación se hizo a partir de clorofilas, los resultados arrojaron que el factor de bioconcentración (BCF) en toda la estructura vegetativa para Zn, Mn y Ni es superior a 1; Cr era mayor en raíz y rizoma y para Pb solamente en raíz. Con estos datos se demostró que </w:t>
      </w:r>
      <w:r>
        <w:rPr>
          <w:i/>
        </w:rPr>
        <w:t>Typha latifolia L</w:t>
      </w:r>
      <w:r>
        <w:rPr/>
        <w:t>., tiene un gran potencial de acumulación y translocación de metales pesados.</w:t>
      </w:r>
    </w:p>
    <w:p>
      <w:pPr>
        <w:pStyle w:val="BodyText"/>
        <w:spacing w:before="6"/>
        <w:rPr>
          <w:sz w:val="27"/>
        </w:rPr>
      </w:pPr>
    </w:p>
    <w:p>
      <w:pPr>
        <w:pStyle w:val="BodyText"/>
        <w:spacing w:line="276" w:lineRule="auto" w:before="1"/>
        <w:ind w:left="318" w:right="812"/>
        <w:jc w:val="both"/>
      </w:pPr>
      <w:r>
        <w:rPr/>
        <w:t>Zohra </w:t>
      </w:r>
      <w:r>
        <w:rPr>
          <w:i/>
        </w:rPr>
        <w:t>et al</w:t>
      </w:r>
      <w:r>
        <w:rPr/>
        <w:t>. (2014), evaluaron mediante la técnica de ICP-OES la capacidad acumulación y distribución de Ag, Al, As, B, Cd, Cr, Cu, Fe, Ni, Se y  Zn, en la  estructura de </w:t>
      </w:r>
      <w:r>
        <w:rPr>
          <w:i/>
        </w:rPr>
        <w:t>Typha latifolia L</w:t>
      </w:r>
      <w:r>
        <w:rPr/>
        <w:t>., dentro de un humedal artificial de tratamiento encontrando    acumulaciones  de  metales  pesados  (Cr,  Cu,  Ni,  Zn)  en  las  raíces</w:t>
      </w:r>
      <w:r>
        <w:rPr>
          <w:spacing w:val="-5"/>
        </w:rPr>
        <w:t> </w:t>
      </w:r>
      <w:r>
        <w:rPr/>
        <w:t>y</w:t>
      </w:r>
    </w:p>
    <w:p>
      <w:pPr>
        <w:spacing w:after="0" w:line="276" w:lineRule="auto"/>
        <w:jc w:val="both"/>
        <w:sectPr>
          <w:pgSz w:w="12240" w:h="15840"/>
          <w:pgMar w:header="0" w:footer="1480" w:top="1500" w:bottom="1680" w:left="1100" w:right="600"/>
        </w:sectPr>
      </w:pPr>
    </w:p>
    <w:p>
      <w:pPr>
        <w:pStyle w:val="BodyText"/>
        <w:spacing w:line="276" w:lineRule="auto" w:before="56"/>
        <w:ind w:left="118" w:right="124"/>
        <w:jc w:val="both"/>
      </w:pPr>
      <w:r>
        <w:rPr/>
        <w:t>rizomas; el Cd y Se tuvieron una acumulación en rizoma, tallo y flor; As y Ni en tallo, hoja y flor pero estas concentraciones mostraron variaciones estacionales.</w:t>
      </w:r>
    </w:p>
    <w:p>
      <w:pPr>
        <w:pStyle w:val="BodyText"/>
        <w:spacing w:before="9"/>
        <w:rPr>
          <w:sz w:val="23"/>
        </w:rPr>
      </w:pPr>
    </w:p>
    <w:p>
      <w:pPr>
        <w:pStyle w:val="BodyText"/>
        <w:spacing w:line="276" w:lineRule="auto"/>
        <w:ind w:left="118" w:right="112"/>
        <w:jc w:val="both"/>
      </w:pPr>
      <w:r>
        <w:rPr/>
        <w:t>Klinka </w:t>
      </w:r>
      <w:r>
        <w:rPr>
          <w:i/>
        </w:rPr>
        <w:t>et al. </w:t>
      </w:r>
      <w:r>
        <w:rPr/>
        <w:t>(2013), mediante la técnica de espectrofotometría de absorción atómica observaron la acumulación y distribución de Fe, Mn, Zn, Cu, Cd, Pb, Ni, Co y Cr, dentro de la estructura vegetativa de </w:t>
      </w:r>
      <w:r>
        <w:rPr>
          <w:i/>
        </w:rPr>
        <w:t>Typha latifolia L</w:t>
      </w:r>
      <w:r>
        <w:rPr/>
        <w:t>. Encontrando concentraciones de Pb,  Cu, Co, Ni, Fe, Cr y Zn menos movibles dentro de la estructura (raíz, rizoma y parte inferior), mientras que el Mn se transporta fácilmente dentro de la planta (raíces, parte superior e inferior, rizomas y tallo);  y para el Cd este se acumuló en raíz, rizoma y</w:t>
      </w:r>
      <w:r>
        <w:rPr>
          <w:spacing w:val="-28"/>
        </w:rPr>
        <w:t> </w:t>
      </w:r>
      <w:r>
        <w:rPr/>
        <w:t>tallo.</w:t>
      </w:r>
    </w:p>
    <w:p>
      <w:pPr>
        <w:pStyle w:val="BodyText"/>
        <w:spacing w:before="9"/>
        <w:rPr>
          <w:sz w:val="27"/>
        </w:rPr>
      </w:pPr>
    </w:p>
    <w:p>
      <w:pPr>
        <w:pStyle w:val="BodyText"/>
        <w:spacing w:line="276" w:lineRule="auto"/>
        <w:ind w:left="118" w:right="112"/>
        <w:jc w:val="both"/>
      </w:pPr>
      <w:r>
        <w:rPr/>
        <w:t>Lyubenova y Schröder (2011), remoción de Pb, Cd y As presente en aguas residuales, donde encontraron una reducción de clorofilas A y B (estrés oxidativo) que originaría una inhibición de catalasa y reductasa en el rizoma conforme la concentración de Cd y As se aumenta. Recomendaron la selección de sp con alta actividad enzimática antioxidante y un patrón de GST de</w:t>
      </w:r>
      <w:r>
        <w:rPr>
          <w:spacing w:val="-19"/>
        </w:rPr>
        <w:t> </w:t>
      </w:r>
      <w:r>
        <w:rPr/>
        <w:t>xenobióticos.</w:t>
      </w:r>
    </w:p>
    <w:p>
      <w:pPr>
        <w:pStyle w:val="BodyText"/>
        <w:spacing w:before="4"/>
        <w:rPr>
          <w:sz w:val="27"/>
        </w:rPr>
      </w:pPr>
    </w:p>
    <w:p>
      <w:pPr>
        <w:pStyle w:val="BodyText"/>
        <w:spacing w:line="276" w:lineRule="auto"/>
        <w:ind w:left="118" w:right="121"/>
        <w:jc w:val="both"/>
      </w:pPr>
      <w:r>
        <w:rPr/>
        <w:t>Sasmar </w:t>
      </w:r>
      <w:r>
        <w:rPr>
          <w:i/>
        </w:rPr>
        <w:t>et al. </w:t>
      </w:r>
      <w:r>
        <w:rPr/>
        <w:t>(2008), examinaron la absorción de Zn, Mn, Co y Cd, y su transferencia  de las raíces a otras partes de la planta. Los resultados indicaron que las raíces eran las más aptas para la acumulación de metales, la acumulación de Mn puede ser debido la tolerancia</w:t>
      </w:r>
      <w:r>
        <w:rPr>
          <w:spacing w:val="-7"/>
        </w:rPr>
        <w:t> </w:t>
      </w:r>
      <w:r>
        <w:rPr/>
        <w:t>estratégica.</w:t>
      </w:r>
    </w:p>
    <w:p>
      <w:pPr>
        <w:spacing w:after="0" w:line="276" w:lineRule="auto"/>
        <w:jc w:val="both"/>
        <w:sectPr>
          <w:pgSz w:w="12240" w:h="15840"/>
          <w:pgMar w:header="0" w:footer="1480" w:top="1360" w:bottom="16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2"/>
        <w:numPr>
          <w:ilvl w:val="0"/>
          <w:numId w:val="15"/>
        </w:numPr>
        <w:tabs>
          <w:tab w:pos="827" w:val="left" w:leader="none"/>
        </w:tabs>
        <w:spacing w:line="240" w:lineRule="auto" w:before="65" w:after="0"/>
        <w:ind w:left="826" w:right="0" w:hanging="348"/>
        <w:jc w:val="left"/>
      </w:pPr>
      <w:r>
        <w:rPr/>
        <w:t>JUSTIFICACIÓN</w:t>
      </w:r>
    </w:p>
    <w:p>
      <w:pPr>
        <w:pStyle w:val="BodyText"/>
        <w:spacing w:before="5"/>
        <w:rPr>
          <w:b/>
          <w:sz w:val="37"/>
        </w:rPr>
      </w:pPr>
    </w:p>
    <w:p>
      <w:pPr>
        <w:pStyle w:val="BodyText"/>
        <w:spacing w:line="276" w:lineRule="auto"/>
        <w:ind w:left="118" w:right="112"/>
        <w:jc w:val="both"/>
      </w:pPr>
      <w:r>
        <w:rPr/>
        <w:t>La actividad minera en el Estado de México ha tenido un repunte originado por los nuevos proyectos autorizados, estos generaran ingresos de divisas hacia las poblaciones donde se asienten los complejos mineros, pero a la vez impactaran al ambiente de las zonas con la emisión de contaminantes hacia agua, suelo y aire. Sobre todo a sistemas superficiales de agua al cual irán a parar altas concentraciones de sales, metales pesados, etc., haciendo que estos cuerpos de agua pierdan su calidad para consumo humano.</w:t>
      </w:r>
    </w:p>
    <w:p>
      <w:pPr>
        <w:pStyle w:val="BodyText"/>
        <w:spacing w:before="6"/>
        <w:rPr>
          <w:sz w:val="27"/>
        </w:rPr>
      </w:pPr>
    </w:p>
    <w:p>
      <w:pPr>
        <w:pStyle w:val="BodyText"/>
        <w:spacing w:line="276" w:lineRule="auto" w:before="1"/>
        <w:ind w:left="118" w:right="121"/>
        <w:jc w:val="both"/>
      </w:pPr>
      <w:r>
        <w:rPr/>
        <w:t>Ante este panorama surge la necesidad de tratamientos eficientes para la remoción de metales pesados que genera esta industria extractiva, siendo una alternativa el uso de técnicas electroquímicas “electrocoagulación” y de biorremediación “fitorremediación” las cuales a partir del flujo de corriente eléctrica y de plantas asociadas a microorganismos se puedan eliminar estos</w:t>
      </w:r>
      <w:r>
        <w:rPr>
          <w:spacing w:val="-18"/>
        </w:rPr>
        <w:t> </w:t>
      </w:r>
      <w:r>
        <w:rPr/>
        <w:t>contaminantes.</w:t>
      </w:r>
    </w:p>
    <w:p>
      <w:pPr>
        <w:pStyle w:val="BodyText"/>
        <w:spacing w:before="9"/>
        <w:rPr>
          <w:sz w:val="27"/>
        </w:rPr>
      </w:pPr>
    </w:p>
    <w:p>
      <w:pPr>
        <w:pStyle w:val="BodyText"/>
        <w:spacing w:line="276" w:lineRule="auto"/>
        <w:ind w:left="118" w:right="113"/>
        <w:jc w:val="both"/>
        <w:rPr>
          <w:rFonts w:ascii="Calibri" w:hAnsi="Calibri"/>
          <w:sz w:val="22"/>
        </w:rPr>
      </w:pPr>
      <w:r>
        <w:rPr/>
        <w:t>Mediante la utilización de un sistema acoplado de Electrocoagulación-Fitorremediación sobre un efluente minero se hará la remoción de metales pesados (Pb, Cu, Cd y Zn) ahí disueltos, dando como resultado un efluente libre de estos metales, evitando con ello la contaminación de los cuerpos de agua que sirvan de abastecimiento para comunidades adyacentes a la zona minera, además de salvaguardar la salud de la población ahí presente</w:t>
      </w:r>
      <w:r>
        <w:rPr>
          <w:rFonts w:ascii="Calibri" w:hAnsi="Calibri"/>
          <w:sz w:val="22"/>
        </w:rPr>
        <w:t>.</w:t>
      </w:r>
    </w:p>
    <w:p>
      <w:pPr>
        <w:spacing w:after="0" w:line="276" w:lineRule="auto"/>
        <w:jc w:val="both"/>
        <w:rPr>
          <w:rFonts w:ascii="Calibri" w:hAnsi="Calibri"/>
          <w:sz w:val="22"/>
        </w:rPr>
        <w:sectPr>
          <w:pgSz w:w="12240" w:h="15840"/>
          <w:pgMar w:header="0" w:footer="1480" w:top="1500" w:bottom="1680" w:left="1300" w:right="1300"/>
        </w:sectPr>
      </w:pPr>
    </w:p>
    <w:p>
      <w:pPr>
        <w:pStyle w:val="BodyText"/>
        <w:spacing w:before="1"/>
        <w:rPr>
          <w:rFonts w:ascii="Calibri"/>
          <w:sz w:val="14"/>
        </w:rPr>
      </w:pPr>
    </w:p>
    <w:p>
      <w:pPr>
        <w:pStyle w:val="Heading2"/>
        <w:numPr>
          <w:ilvl w:val="0"/>
          <w:numId w:val="15"/>
        </w:numPr>
        <w:tabs>
          <w:tab w:pos="827" w:val="left" w:leader="none"/>
        </w:tabs>
        <w:spacing w:line="240" w:lineRule="auto" w:before="65" w:after="0"/>
        <w:ind w:left="826" w:right="0" w:hanging="348"/>
        <w:jc w:val="left"/>
      </w:pPr>
      <w:r>
        <w:rPr/>
        <w:t>HIPÓTESIS</w:t>
      </w:r>
    </w:p>
    <w:p>
      <w:pPr>
        <w:pStyle w:val="BodyText"/>
        <w:rPr>
          <w:b/>
          <w:sz w:val="28"/>
        </w:rPr>
      </w:pPr>
    </w:p>
    <w:p>
      <w:pPr>
        <w:pStyle w:val="BodyText"/>
        <w:spacing w:line="266" w:lineRule="auto"/>
        <w:ind w:left="118" w:right="112"/>
        <w:jc w:val="both"/>
      </w:pPr>
      <w:r>
        <w:rPr/>
        <w:t>La implementación en laboratorio de un sistema acoplado de Electrocoagulación con electrodos de aluminio y Fitorremediación con </w:t>
      </w:r>
      <w:r>
        <w:rPr>
          <w:i/>
        </w:rPr>
        <w:t>Typha latifolia L</w:t>
      </w:r>
      <w:r>
        <w:rPr/>
        <w:t>., para la remoción aproximada del 90% de metales pesados (Pb</w:t>
      </w:r>
      <w:r>
        <w:rPr>
          <w:position w:val="11"/>
          <w:sz w:val="16"/>
        </w:rPr>
        <w:t>+2</w:t>
      </w:r>
      <w:r>
        <w:rPr/>
        <w:t>, Cd</w:t>
      </w:r>
      <w:r>
        <w:rPr>
          <w:position w:val="11"/>
          <w:sz w:val="16"/>
        </w:rPr>
        <w:t>+2</w:t>
      </w:r>
      <w:r>
        <w:rPr/>
        <w:t>, Cu</w:t>
      </w:r>
      <w:r>
        <w:rPr>
          <w:position w:val="11"/>
          <w:sz w:val="16"/>
        </w:rPr>
        <w:t>+2</w:t>
      </w:r>
      <w:r>
        <w:rPr/>
        <w:t>, Zn</w:t>
      </w:r>
      <w:r>
        <w:rPr>
          <w:position w:val="11"/>
          <w:sz w:val="16"/>
        </w:rPr>
        <w:t>+2</w:t>
      </w:r>
      <w:r>
        <w:rPr/>
        <w:t>), presentes en una muestra sintética minera.</w:t>
      </w:r>
    </w:p>
    <w:p>
      <w:pPr>
        <w:pStyle w:val="BodyText"/>
      </w:pPr>
    </w:p>
    <w:p>
      <w:pPr>
        <w:pStyle w:val="BodyText"/>
        <w:spacing w:before="9"/>
      </w:pPr>
    </w:p>
    <w:p>
      <w:pPr>
        <w:pStyle w:val="Heading2"/>
        <w:numPr>
          <w:ilvl w:val="0"/>
          <w:numId w:val="15"/>
        </w:numPr>
        <w:tabs>
          <w:tab w:pos="827" w:val="left" w:leader="none"/>
        </w:tabs>
        <w:spacing w:line="240" w:lineRule="auto" w:before="1" w:after="0"/>
        <w:ind w:left="826" w:right="0" w:hanging="348"/>
        <w:jc w:val="left"/>
      </w:pPr>
      <w:r>
        <w:rPr/>
        <w:t>OBJETIVOS</w:t>
      </w:r>
    </w:p>
    <w:p>
      <w:pPr>
        <w:pStyle w:val="BodyText"/>
        <w:rPr>
          <w:b/>
          <w:sz w:val="28"/>
        </w:rPr>
      </w:pPr>
    </w:p>
    <w:p>
      <w:pPr>
        <w:pStyle w:val="Heading3"/>
        <w:numPr>
          <w:ilvl w:val="1"/>
          <w:numId w:val="15"/>
        </w:numPr>
        <w:tabs>
          <w:tab w:pos="827" w:val="left" w:leader="none"/>
        </w:tabs>
        <w:spacing w:line="240" w:lineRule="auto" w:before="229" w:after="0"/>
        <w:ind w:left="826" w:right="0" w:hanging="348"/>
        <w:jc w:val="left"/>
      </w:pPr>
      <w:r>
        <w:rPr/>
        <w:t>General</w:t>
      </w:r>
    </w:p>
    <w:p>
      <w:pPr>
        <w:pStyle w:val="BodyText"/>
        <w:spacing w:before="2"/>
        <w:rPr>
          <w:b/>
        </w:rPr>
      </w:pPr>
    </w:p>
    <w:p>
      <w:pPr>
        <w:pStyle w:val="BodyText"/>
        <w:spacing w:line="276" w:lineRule="auto"/>
        <w:ind w:left="118" w:right="110"/>
        <w:jc w:val="both"/>
      </w:pPr>
      <w:r>
        <w:rPr/>
        <w:t>Implementar y evaluar la eficiencia de un sistema acoplado de Electrocoagulación- Fitorremediación, para la remoción de metales pesados presentes en  efluentes  mineros del Estado de México, con el fin de contribuir en la disminución del impacto ambiental y de la salud de la población aledaña al</w:t>
      </w:r>
      <w:r>
        <w:rPr>
          <w:spacing w:val="-20"/>
        </w:rPr>
        <w:t> </w:t>
      </w:r>
      <w:r>
        <w:rPr/>
        <w:t>sitio.</w:t>
      </w:r>
    </w:p>
    <w:p>
      <w:pPr>
        <w:pStyle w:val="BodyText"/>
      </w:pPr>
    </w:p>
    <w:p>
      <w:pPr>
        <w:pStyle w:val="BodyText"/>
      </w:pPr>
    </w:p>
    <w:p>
      <w:pPr>
        <w:pStyle w:val="BodyText"/>
        <w:spacing w:before="9"/>
        <w:rPr>
          <w:sz w:val="23"/>
        </w:rPr>
      </w:pPr>
    </w:p>
    <w:p>
      <w:pPr>
        <w:pStyle w:val="Heading3"/>
        <w:numPr>
          <w:ilvl w:val="1"/>
          <w:numId w:val="15"/>
        </w:numPr>
        <w:tabs>
          <w:tab w:pos="827" w:val="left" w:leader="none"/>
        </w:tabs>
        <w:spacing w:line="240" w:lineRule="auto" w:before="0" w:after="0"/>
        <w:ind w:left="826" w:right="0" w:hanging="348"/>
        <w:jc w:val="left"/>
      </w:pPr>
      <w:r>
        <w:rPr/>
        <w:t>Particulares</w:t>
      </w:r>
    </w:p>
    <w:p>
      <w:pPr>
        <w:pStyle w:val="BodyText"/>
        <w:spacing w:before="1"/>
        <w:rPr>
          <w:b/>
        </w:rPr>
      </w:pPr>
    </w:p>
    <w:p>
      <w:pPr>
        <w:pStyle w:val="ListParagraph"/>
        <w:numPr>
          <w:ilvl w:val="0"/>
          <w:numId w:val="16"/>
        </w:numPr>
        <w:tabs>
          <w:tab w:pos="826" w:val="left" w:leader="none"/>
          <w:tab w:pos="827" w:val="left" w:leader="none"/>
        </w:tabs>
        <w:spacing w:line="240" w:lineRule="auto" w:before="0" w:after="0"/>
        <w:ind w:left="838" w:right="0" w:hanging="360"/>
        <w:jc w:val="left"/>
        <w:rPr>
          <w:sz w:val="24"/>
        </w:rPr>
      </w:pPr>
      <w:r>
        <w:rPr>
          <w:sz w:val="24"/>
        </w:rPr>
        <w:t>Identificar de zona de impacto minero dentro del Estado de</w:t>
      </w:r>
      <w:r>
        <w:rPr>
          <w:spacing w:val="-26"/>
          <w:sz w:val="24"/>
        </w:rPr>
        <w:t> </w:t>
      </w:r>
      <w:r>
        <w:rPr>
          <w:sz w:val="24"/>
        </w:rPr>
        <w:t>México.</w:t>
      </w:r>
    </w:p>
    <w:p>
      <w:pPr>
        <w:pStyle w:val="BodyText"/>
        <w:spacing w:before="10"/>
        <w:rPr>
          <w:sz w:val="23"/>
        </w:rPr>
      </w:pPr>
    </w:p>
    <w:p>
      <w:pPr>
        <w:pStyle w:val="ListParagraph"/>
        <w:numPr>
          <w:ilvl w:val="0"/>
          <w:numId w:val="16"/>
        </w:numPr>
        <w:tabs>
          <w:tab w:pos="826" w:val="left" w:leader="none"/>
          <w:tab w:pos="827" w:val="left" w:leader="none"/>
        </w:tabs>
        <w:spacing w:line="240" w:lineRule="auto" w:before="0" w:after="0"/>
        <w:ind w:left="838" w:right="124" w:hanging="360"/>
        <w:jc w:val="left"/>
        <w:rPr>
          <w:sz w:val="24"/>
        </w:rPr>
      </w:pPr>
      <w:r>
        <w:rPr>
          <w:sz w:val="24"/>
        </w:rPr>
        <w:t>Obtención de las concentraciones de metales pesados presentes en un efluente minero.</w:t>
      </w:r>
    </w:p>
    <w:p>
      <w:pPr>
        <w:pStyle w:val="BodyText"/>
        <w:spacing w:before="9"/>
        <w:rPr>
          <w:sz w:val="23"/>
        </w:rPr>
      </w:pPr>
    </w:p>
    <w:p>
      <w:pPr>
        <w:pStyle w:val="ListParagraph"/>
        <w:numPr>
          <w:ilvl w:val="0"/>
          <w:numId w:val="16"/>
        </w:numPr>
        <w:tabs>
          <w:tab w:pos="826" w:val="left" w:leader="none"/>
          <w:tab w:pos="827" w:val="left" w:leader="none"/>
        </w:tabs>
        <w:spacing w:line="240" w:lineRule="auto" w:before="0" w:after="0"/>
        <w:ind w:left="826" w:right="0" w:hanging="348"/>
        <w:jc w:val="left"/>
        <w:rPr>
          <w:sz w:val="24"/>
        </w:rPr>
      </w:pPr>
      <w:r>
        <w:rPr>
          <w:sz w:val="24"/>
        </w:rPr>
        <w:t>Colecta, identificación y aclimatación de </w:t>
      </w:r>
      <w:r>
        <w:rPr>
          <w:i/>
          <w:sz w:val="24"/>
        </w:rPr>
        <w:t>Typha latifolia</w:t>
      </w:r>
      <w:r>
        <w:rPr>
          <w:i/>
          <w:spacing w:val="-9"/>
          <w:sz w:val="24"/>
        </w:rPr>
        <w:t> </w:t>
      </w:r>
      <w:r>
        <w:rPr>
          <w:i/>
          <w:sz w:val="24"/>
        </w:rPr>
        <w:t>L</w:t>
      </w:r>
      <w:r>
        <w:rPr>
          <w:sz w:val="24"/>
        </w:rPr>
        <w:t>.</w:t>
      </w:r>
    </w:p>
    <w:p>
      <w:pPr>
        <w:pStyle w:val="BodyText"/>
        <w:rPr>
          <w:sz w:val="26"/>
        </w:rPr>
      </w:pPr>
    </w:p>
    <w:p>
      <w:pPr>
        <w:pStyle w:val="ListParagraph"/>
        <w:numPr>
          <w:ilvl w:val="0"/>
          <w:numId w:val="16"/>
        </w:numPr>
        <w:tabs>
          <w:tab w:pos="826" w:val="left" w:leader="none"/>
          <w:tab w:pos="827" w:val="left" w:leader="none"/>
        </w:tabs>
        <w:spacing w:line="244" w:lineRule="auto" w:before="0" w:after="0"/>
        <w:ind w:left="838" w:right="357" w:hanging="360"/>
        <w:jc w:val="left"/>
        <w:rPr>
          <w:sz w:val="24"/>
        </w:rPr>
      </w:pPr>
      <w:r>
        <w:rPr>
          <w:sz w:val="24"/>
        </w:rPr>
        <w:t>Preparación de muestra sintética con las concentración de metales (Pb</w:t>
      </w:r>
      <w:r>
        <w:rPr>
          <w:position w:val="11"/>
          <w:sz w:val="16"/>
        </w:rPr>
        <w:t>2+</w:t>
      </w:r>
      <w:r>
        <w:rPr>
          <w:sz w:val="24"/>
        </w:rPr>
        <w:t>, Cd</w:t>
      </w:r>
      <w:r>
        <w:rPr>
          <w:position w:val="11"/>
          <w:sz w:val="16"/>
        </w:rPr>
        <w:t>2+</w:t>
      </w:r>
      <w:r>
        <w:rPr>
          <w:sz w:val="24"/>
        </w:rPr>
        <w:t>, Cu</w:t>
      </w:r>
      <w:r>
        <w:rPr>
          <w:position w:val="11"/>
          <w:sz w:val="16"/>
        </w:rPr>
        <w:t>2+</w:t>
      </w:r>
      <w:r>
        <w:rPr>
          <w:sz w:val="24"/>
        </w:rPr>
        <w:t>, y Zn</w:t>
      </w:r>
      <w:r>
        <w:rPr>
          <w:position w:val="11"/>
          <w:sz w:val="16"/>
        </w:rPr>
        <w:t>2+</w:t>
      </w:r>
      <w:r>
        <w:rPr>
          <w:sz w:val="24"/>
        </w:rPr>
        <w:t>) presentes en el efluente</w:t>
      </w:r>
      <w:r>
        <w:rPr>
          <w:spacing w:val="48"/>
          <w:sz w:val="24"/>
        </w:rPr>
        <w:t> </w:t>
      </w:r>
      <w:r>
        <w:rPr>
          <w:sz w:val="24"/>
        </w:rPr>
        <w:t>minero.</w:t>
      </w:r>
    </w:p>
    <w:p>
      <w:pPr>
        <w:pStyle w:val="BodyText"/>
        <w:spacing w:before="4"/>
        <w:rPr>
          <w:sz w:val="30"/>
        </w:rPr>
      </w:pPr>
    </w:p>
    <w:p>
      <w:pPr>
        <w:pStyle w:val="ListParagraph"/>
        <w:numPr>
          <w:ilvl w:val="0"/>
          <w:numId w:val="16"/>
        </w:numPr>
        <w:tabs>
          <w:tab w:pos="826" w:val="left" w:leader="none"/>
          <w:tab w:pos="827" w:val="left" w:leader="none"/>
        </w:tabs>
        <w:spacing w:line="240" w:lineRule="auto" w:before="0" w:after="0"/>
        <w:ind w:left="826" w:right="0" w:hanging="348"/>
        <w:jc w:val="left"/>
        <w:rPr>
          <w:sz w:val="24"/>
        </w:rPr>
      </w:pPr>
      <w:r>
        <w:rPr>
          <w:sz w:val="24"/>
        </w:rPr>
        <w:t>Optimización del sistema de</w:t>
      </w:r>
      <w:r>
        <w:rPr>
          <w:spacing w:val="-13"/>
          <w:sz w:val="24"/>
        </w:rPr>
        <w:t> </w:t>
      </w:r>
      <w:r>
        <w:rPr>
          <w:sz w:val="24"/>
        </w:rPr>
        <w:t>Electrocoagulación,</w:t>
      </w:r>
    </w:p>
    <w:p>
      <w:pPr>
        <w:pStyle w:val="BodyText"/>
        <w:spacing w:before="2"/>
        <w:rPr>
          <w:sz w:val="31"/>
        </w:rPr>
      </w:pPr>
    </w:p>
    <w:p>
      <w:pPr>
        <w:pStyle w:val="ListParagraph"/>
        <w:numPr>
          <w:ilvl w:val="0"/>
          <w:numId w:val="16"/>
        </w:numPr>
        <w:tabs>
          <w:tab w:pos="826" w:val="left" w:leader="none"/>
          <w:tab w:pos="827" w:val="left" w:leader="none"/>
        </w:tabs>
        <w:spacing w:line="240" w:lineRule="auto" w:before="1" w:after="0"/>
        <w:ind w:left="826" w:right="0" w:hanging="348"/>
        <w:jc w:val="left"/>
        <w:rPr>
          <w:sz w:val="24"/>
        </w:rPr>
      </w:pPr>
      <w:r>
        <w:rPr>
          <w:sz w:val="24"/>
        </w:rPr>
        <w:t>Optimización del sistema de</w:t>
      </w:r>
      <w:r>
        <w:rPr>
          <w:spacing w:val="-10"/>
          <w:sz w:val="24"/>
        </w:rPr>
        <w:t> </w:t>
      </w:r>
      <w:r>
        <w:rPr>
          <w:sz w:val="24"/>
        </w:rPr>
        <w:t>Fitorremediación.</w:t>
      </w:r>
    </w:p>
    <w:p>
      <w:pPr>
        <w:pStyle w:val="BodyText"/>
        <w:spacing w:before="8"/>
        <w:rPr>
          <w:sz w:val="20"/>
        </w:rPr>
      </w:pPr>
    </w:p>
    <w:p>
      <w:pPr>
        <w:pStyle w:val="ListParagraph"/>
        <w:numPr>
          <w:ilvl w:val="0"/>
          <w:numId w:val="16"/>
        </w:numPr>
        <w:tabs>
          <w:tab w:pos="826" w:val="left" w:leader="none"/>
          <w:tab w:pos="827" w:val="left" w:leader="none"/>
        </w:tabs>
        <w:spacing w:line="240" w:lineRule="auto" w:before="0" w:after="0"/>
        <w:ind w:left="826" w:right="0" w:hanging="348"/>
        <w:jc w:val="left"/>
        <w:rPr>
          <w:sz w:val="24"/>
        </w:rPr>
      </w:pPr>
      <w:r>
        <w:rPr>
          <w:sz w:val="24"/>
        </w:rPr>
        <w:t>Implementación del sistema en continuo de</w:t>
      </w:r>
      <w:r>
        <w:rPr>
          <w:spacing w:val="-21"/>
          <w:sz w:val="24"/>
        </w:rPr>
        <w:t> </w:t>
      </w:r>
      <w:r>
        <w:rPr>
          <w:sz w:val="24"/>
        </w:rPr>
        <w:t>Electrocoagulación-Fitorremediación.</w:t>
      </w:r>
    </w:p>
    <w:p>
      <w:pPr>
        <w:pStyle w:val="BodyText"/>
        <w:spacing w:before="7"/>
        <w:rPr>
          <w:sz w:val="23"/>
        </w:rPr>
      </w:pPr>
    </w:p>
    <w:p>
      <w:pPr>
        <w:pStyle w:val="ListParagraph"/>
        <w:numPr>
          <w:ilvl w:val="0"/>
          <w:numId w:val="16"/>
        </w:numPr>
        <w:tabs>
          <w:tab w:pos="826" w:val="left" w:leader="none"/>
          <w:tab w:pos="827" w:val="left" w:leader="none"/>
          <w:tab w:pos="2219" w:val="left" w:leader="none"/>
          <w:tab w:pos="2704" w:val="left" w:leader="none"/>
          <w:tab w:pos="3109" w:val="left" w:leader="none"/>
          <w:tab w:pos="4138" w:val="left" w:leader="none"/>
          <w:tab w:pos="4624" w:val="left" w:leader="none"/>
          <w:tab w:pos="5826" w:val="left" w:leader="none"/>
          <w:tab w:pos="6365" w:val="left" w:leader="none"/>
          <w:tab w:pos="7408" w:val="left" w:leader="none"/>
        </w:tabs>
        <w:spacing w:line="240" w:lineRule="auto" w:before="1" w:after="0"/>
        <w:ind w:left="838" w:right="113" w:hanging="360"/>
        <w:jc w:val="left"/>
        <w:rPr>
          <w:sz w:val="24"/>
        </w:rPr>
      </w:pPr>
      <w:r>
        <w:rPr>
          <w:sz w:val="24"/>
        </w:rPr>
        <w:t>Evaluación</w:t>
        <w:tab/>
        <w:t>de</w:t>
        <w:tab/>
        <w:t>la</w:t>
        <w:tab/>
        <w:t>cinética</w:t>
        <w:tab/>
        <w:t>de</w:t>
        <w:tab/>
        <w:t>remoción</w:t>
        <w:tab/>
        <w:t>del</w:t>
        <w:tab/>
        <w:t>sistema</w:t>
        <w:tab/>
        <w:t>Electrocoagulación- Fitorremediación.</w:t>
      </w:r>
    </w:p>
    <w:p>
      <w:pPr>
        <w:spacing w:after="0" w:line="240" w:lineRule="auto"/>
        <w:jc w:val="left"/>
        <w:rPr>
          <w:sz w:val="24"/>
        </w:rPr>
        <w:sectPr>
          <w:pgSz w:w="12240" w:h="15840"/>
          <w:pgMar w:header="0" w:footer="1480" w:top="1500" w:bottom="1680" w:left="1300" w:right="1300"/>
        </w:sectPr>
      </w:pPr>
    </w:p>
    <w:p>
      <w:pPr>
        <w:pStyle w:val="BodyText"/>
        <w:rPr>
          <w:sz w:val="20"/>
        </w:rPr>
      </w:pPr>
      <w:r>
        <w:rPr/>
        <w:pict>
          <v:group style="position:absolute;margin-left:102.050003pt;margin-top:306.899994pt;width:180.6pt;height:90.85pt;mso-position-horizontal-relative:page;mso-position-vertical-relative:page;z-index:1456" coordorigin="2041,6138" coordsize="3612,1817">
            <v:rect style="position:absolute;left:2178;top:7286;width:3450;height:644" filled="false" stroked="true" strokeweight="2.5pt" strokecolor="#4f81bc"/>
            <v:shape style="position:absolute;left:3630;top:6828;width:120;height:565" coordorigin="3630,6828" coordsize="120,565" path="m3680,7273l3630,7273,3690,7393,3735,7303,3684,7303,3680,7299,3680,7273xm3696,6828l3684,6828,3680,6832,3680,7299,3684,7303,3696,7303,3700,7299,3700,6832,3696,6828xm3750,7273l3700,7273,3700,7299,3696,7303,3735,7303,3750,7273xe" filled="true" fillcolor="#000000" stroked="false">
              <v:path arrowok="t"/>
              <v:fill type="solid"/>
            </v:shape>
            <v:shape style="position:absolute;left:2153;top:6828;width:3500;height:1127" type="#_x0000_t202" filled="false" stroked="false">
              <v:textbox inset="0,0,0,0">
                <w:txbxContent>
                  <w:p>
                    <w:pPr>
                      <w:spacing w:line="240" w:lineRule="auto" w:before="0"/>
                      <w:rPr>
                        <w:b/>
                        <w:sz w:val="22"/>
                      </w:rPr>
                    </w:pPr>
                  </w:p>
                  <w:p>
                    <w:pPr>
                      <w:spacing w:line="240" w:lineRule="auto" w:before="1"/>
                      <w:rPr>
                        <w:b/>
                        <w:sz w:val="26"/>
                      </w:rPr>
                    </w:pPr>
                  </w:p>
                  <w:p>
                    <w:pPr>
                      <w:spacing w:before="0"/>
                      <w:ind w:left="1346" w:right="384" w:hanging="941"/>
                      <w:jc w:val="left"/>
                      <w:rPr>
                        <w:sz w:val="22"/>
                      </w:rPr>
                    </w:pPr>
                    <w:r>
                      <w:rPr>
                        <w:sz w:val="22"/>
                      </w:rPr>
                      <w:t>Caracterización de muestra sintética</w:t>
                    </w:r>
                  </w:p>
                </w:txbxContent>
              </v:textbox>
              <w10:wrap type="none"/>
            </v:shape>
            <v:shape style="position:absolute;left:2066;top:6163;width:3450;height:675" type="#_x0000_t202" filled="false" stroked="true" strokeweight="2.5pt" strokecolor="#4f81bc">
              <v:textbox inset="0,0,0,0">
                <w:txbxContent>
                  <w:p>
                    <w:pPr>
                      <w:spacing w:before="70"/>
                      <w:ind w:left="355" w:right="0" w:firstLine="170"/>
                      <w:jc w:val="left"/>
                      <w:rPr>
                        <w:sz w:val="22"/>
                      </w:rPr>
                    </w:pPr>
                    <w:r>
                      <w:rPr>
                        <w:sz w:val="22"/>
                      </w:rPr>
                      <w:t>Preparación de muestra sintética de efluente minero</w:t>
                    </w:r>
                  </w:p>
                </w:txbxContent>
              </v:textbox>
              <w10:wrap type="none"/>
            </v:shape>
            <w10:wrap type="none"/>
          </v:group>
        </w:pict>
      </w:r>
      <w:r>
        <w:rPr/>
        <w:pict>
          <v:shape style="position:absolute;margin-left:181.5pt;margin-top:272.25pt;width:6pt;height:32.1pt;mso-position-horizontal-relative:page;mso-position-vertical-relative:page;z-index:1480" coordorigin="3630,5445" coordsize="120,642" path="m3680,5967l3630,5967,3690,6087,3735,5997,3684,5997,3680,5993,3680,5967xm3696,5445l3684,5445,3680,5449,3680,5993,3684,5997,3696,5997,3700,5993,3700,5449,3696,5445xm3750,5967l3700,5967,3700,5993,3696,5997,3735,5997,3750,5967xe" filled="true" fillcolor="#000000" stroked="false">
            <v:path arrowok="t"/>
            <v:fill type="solid"/>
            <w10:wrap type="none"/>
          </v:shape>
        </w:pict>
      </w:r>
      <w:r>
        <w:rPr/>
        <w:pict>
          <v:shape style="position:absolute;margin-left:446.200012pt;margin-top:258.100006pt;width:6pt;height:41.75pt;mso-position-horizontal-relative:page;mso-position-vertical-relative:page;z-index:1504" coordorigin="8924,5162" coordsize="120,835" path="m8974,5877l8924,5877,8984,5997,9029,5907,8978,5907,8974,5903,8974,5877xm8990,5162l8978,5162,8974,5166,8974,5903,8978,5907,8990,5907,8994,5903,8994,5166,8990,5162xm9044,5877l8994,5877,8994,5903,8990,5907,9029,5907,9044,5877xe" filled="true" fillcolor="#000000" stroked="false">
            <v:path arrowok="t"/>
            <v:fill type="solid"/>
            <w10:wrap type="none"/>
          </v:shape>
        </w:pict>
      </w:r>
      <w:r>
        <w:rPr/>
        <w:pict>
          <v:shape style="position:absolute;margin-left:446.200012pt;margin-top:336.049988pt;width:6pt;height:28.25pt;mso-position-horizontal-relative:page;mso-position-vertical-relative:page;z-index:1528" coordorigin="8924,6721" coordsize="120,565" path="m8974,7166l8924,7166,8984,7286,9029,7196,8978,7196,8974,7192,8974,7166xm8990,6721l8978,6721,8974,6725,8974,7192,8978,7196,8990,7196,8994,7192,8994,6725,8990,6721xm9044,7166l8994,7166,8994,7192,8990,7196,9029,7196,9044,7166xe" filled="true" fillcolor="#000000" stroked="false">
            <v:path arrowok="t"/>
            <v:fill type="solid"/>
            <w10:wrap type="none"/>
          </v:shape>
        </w:pict>
      </w:r>
      <w:r>
        <w:rPr/>
        <w:pict>
          <v:shape style="position:absolute;margin-left:187pt;margin-top:407.299988pt;width:6pt;height:50.85pt;mso-position-horizontal-relative:page;mso-position-vertical-relative:page;z-index:1552" coordorigin="3740,8146" coordsize="120,1017" path="m3790,9043l3740,9043,3800,9163,3845,9073,3794,9073,3790,9069,3790,9043xm3806,8146l3794,8146,3790,8150,3790,9069,3794,9073,3806,9073,3810,9069,3810,8150,3806,8146xm3860,9043l3810,9043,3810,9069,3806,9073,3845,9073,3860,9043xe" filled="true" fillcolor="#000000" stroked="false">
            <v:path arrowok="t"/>
            <v:fill type="solid"/>
            <w10:wrap type="none"/>
          </v:shape>
        </w:pict>
      </w:r>
      <w:r>
        <w:rPr/>
        <w:pict>
          <v:shape style="position:absolute;margin-left:446.200012pt;margin-top:399.799988pt;width:6pt;height:58.35pt;mso-position-horizontal-relative:page;mso-position-vertical-relative:page;z-index:1576" coordorigin="8924,7996" coordsize="120,1167" path="m8974,9043l8924,9043,8984,9163,9029,9073,8978,9073,8974,9069,8974,9043xm8990,7996l8978,7996,8974,8000,8974,9069,8978,9073,8990,9073,8994,9069,8994,8000,8990,7996xm9044,9043l8994,9043,8994,9069,8990,9073,9029,9073,9044,9043xe" filled="true" fillcolor="#000000" stroked="false">
            <v:path arrowok="t"/>
            <v:fill type="solid"/>
            <w10:wrap type="none"/>
          </v:shape>
        </w:pict>
      </w:r>
      <w:r>
        <w:rPr/>
        <w:pict>
          <v:group style="position:absolute;margin-left:102.050003pt;margin-top:462.850006pt;width:237.55pt;height:98.6pt;mso-position-horizontal-relative:page;mso-position-vertical-relative:page;z-index:1624" coordorigin="2041,9257" coordsize="4751,1972">
            <v:shape style="position:absolute;left:3789;top:9991;width:3004;height:1238" coordorigin="3789,9991" coordsize="3004,1238" path="m6677,11182l6658,11228,6792,11218,6769,11192,6701,11192,6696,11190,6677,11182xm6685,11163l6677,11182,6696,11190,6701,11192,6707,11189,6709,11184,6711,11179,6708,11173,6703,11171,6685,11163xm6703,11117l6685,11163,6703,11171,6708,11173,6711,11179,6709,11184,6707,11189,6701,11192,6769,11192,6703,11117xm3799,9991l3793,9993,3791,9998,3789,10003,3791,10009,6677,11182,6685,11163,3804,9993,3799,9991xe" filled="true" fillcolor="#000000" stroked="false">
              <v:path arrowok="t"/>
              <v:fill type="solid"/>
            </v:shape>
            <v:shape style="position:absolute;left:2066;top:9282;width:3570;height:720" type="#_x0000_t202" filled="false" stroked="true" strokeweight="2.5pt" strokecolor="#4f81bc">
              <v:textbox inset="0,0,0,0">
                <w:txbxContent>
                  <w:p>
                    <w:pPr>
                      <w:spacing w:before="71"/>
                      <w:ind w:left="842" w:right="0" w:firstLine="122"/>
                      <w:jc w:val="left"/>
                      <w:rPr>
                        <w:sz w:val="22"/>
                      </w:rPr>
                    </w:pPr>
                    <w:r>
                      <w:rPr>
                        <w:sz w:val="22"/>
                      </w:rPr>
                      <w:t>Tratamiento con electrocoagulación</w:t>
                    </w:r>
                  </w:p>
                </w:txbxContent>
              </v:textbox>
              <w10:wrap type="none"/>
            </v:shape>
            <w10:wrap type="none"/>
          </v:group>
        </w:pict>
      </w:r>
      <w:r>
        <w:rPr/>
        <w:pict>
          <v:shape style="position:absolute;margin-left:345.700012pt;margin-top:503.329987pt;width:104.1pt;height:57.6pt;mso-position-horizontal-relative:page;mso-position-vertical-relative:page;z-index:1648" coordorigin="6914,10067" coordsize="2082,1152" path="m6990,11108l6914,11218,7048,11213,7031,11181,7002,11181,6995,11179,6990,11170,6992,11164,7014,11151,6990,11108xm7014,11151l6992,11164,6990,11170,6995,11179,7002,11181,7024,11169,7014,11151xm7024,11169l7002,11181,7031,11181,7024,11169xm8984,10067l7014,11151,7024,11169,8989,10087,8994,10084,8995,10078,8993,10073,8990,10068,8984,10067xe" filled="true" fillcolor="#000000" stroked="false">
            <v:path arrowok="t"/>
            <v:fill type="solid"/>
            <w10:wrap type="none"/>
          </v:shape>
        </w:pict>
      </w:r>
      <w:r>
        <w:rPr/>
        <w:pict>
          <v:shape style="position:absolute;margin-left:76.300003pt;margin-top:373.299988pt;width:27.5pt;height:6pt;mso-position-horizontal-relative:page;mso-position-vertical-relative:page;z-index:1672" coordorigin="1526,7466" coordsize="550,120" path="m1646,7466l1526,7526,1646,7586,1646,7536,1620,7536,1616,7532,1616,7520,1620,7516,1646,7516,1646,7466xm1646,7516l1620,7516,1616,7520,1616,7532,1620,7536,1646,7536,1646,7516xm2072,7516l1646,7516,1646,7536,2072,7536,2076,7532,2076,7520,2072,7516xe" filled="true" fillcolor="#000000" stroked="false">
            <v:path arrowok="t"/>
            <v:fill type="solid"/>
            <w10:wrap type="none"/>
          </v:shape>
        </w:pict>
      </w:r>
      <w:r>
        <w:rPr/>
        <w:pict>
          <v:shape style="position:absolute;margin-left:504.049988pt;margin-top:373.390015pt;width:21.05pt;height:6pt;mso-position-horizontal-relative:page;mso-position-vertical-relative:page;z-index:1696" coordorigin="10081,7468" coordsize="421,120" path="m10382,7538l10382,7588,10482,7538,10407,7538,10382,7538xm10382,7518l10382,7538,10407,7538,10412,7533,10412,7522,10408,7518,10382,7518xm10382,7468l10382,7518,10402,7518,10408,7518,10412,7522,10412,7533,10407,7538,10482,7538,10502,7528,10382,7468xm10091,7517l10085,7517,10081,7521,10081,7532,10085,7537,10382,7538,10382,7518,10091,7517xe" filled="true" fillcolor="#000000" stroked="false">
            <v:path arrowok="t"/>
            <v:fill type="solid"/>
            <w10:wrap type="none"/>
          </v:shape>
        </w:pict>
      </w:r>
      <w:r>
        <w:rPr/>
        <w:pict>
          <v:shape style="position:absolute;margin-left:70.349998pt;margin-top:222.649994pt;width:269.25pt;height:49.2pt;mso-position-horizontal-relative:page;mso-position-vertical-relative:page;z-index:-71248" type="#_x0000_t202" filled="false" stroked="true" strokeweight="2.5pt" strokecolor="#4f81bc">
            <v:textbox inset="0,0,0,0">
              <w:txbxContent>
                <w:p>
                  <w:pPr>
                    <w:spacing w:line="240" w:lineRule="auto" w:before="70"/>
                    <w:ind w:left="171" w:right="170" w:firstLine="0"/>
                    <w:jc w:val="center"/>
                    <w:rPr>
                      <w:sz w:val="22"/>
                    </w:rPr>
                  </w:pPr>
                  <w:r>
                    <w:rPr>
                      <w:sz w:val="22"/>
                    </w:rPr>
                    <w:t>Obtención de concentraciones de metales pesados (Pb, Cu, Cd y Zn), presentes en efluente minero (vía</w:t>
                  </w:r>
                  <w:r>
                    <w:rPr>
                      <w:spacing w:val="-6"/>
                      <w:sz w:val="22"/>
                    </w:rPr>
                    <w:t> </w:t>
                  </w:r>
                  <w:r>
                    <w:rPr>
                      <w:sz w:val="22"/>
                    </w:rPr>
                    <w:t>registros)</w:t>
                  </w:r>
                </w:p>
              </w:txbxContent>
            </v:textbox>
            <w10:wrap type="none"/>
          </v:shape>
        </w:pict>
      </w:r>
      <w:r>
        <w:rPr/>
        <w:pict>
          <v:shape style="position:absolute;margin-left:368.950012pt;margin-top:224.850006pt;width:174.75pt;height:33.75pt;mso-position-horizontal-relative:page;mso-position-vertical-relative:page;z-index:1744" type="#_x0000_t202" filled="false" stroked="true" strokeweight="2.5pt" strokecolor="#4f81bc">
            <v:textbox inset="0,0,0,0">
              <w:txbxContent>
                <w:p>
                  <w:pPr>
                    <w:spacing w:before="69"/>
                    <w:ind w:left="150" w:right="0" w:firstLine="417"/>
                    <w:jc w:val="left"/>
                    <w:rPr>
                      <w:rFonts w:ascii="Calibri" w:hAnsi="Calibri"/>
                      <w:i/>
                      <w:sz w:val="22"/>
                    </w:rPr>
                  </w:pPr>
                  <w:r>
                    <w:rPr>
                      <w:sz w:val="22"/>
                    </w:rPr>
                    <w:t>Colecta, identificación y aclimatación de </w:t>
                  </w:r>
                  <w:r>
                    <w:rPr>
                      <w:i/>
                      <w:sz w:val="22"/>
                    </w:rPr>
                    <w:t>Typha latifolia </w:t>
                  </w:r>
                  <w:r>
                    <w:rPr>
                      <w:rFonts w:ascii="Calibri" w:hAnsi="Calibri"/>
                      <w:i/>
                      <w:sz w:val="22"/>
                    </w:rPr>
                    <w:t>L.</w:t>
                  </w:r>
                </w:p>
              </w:txbxContent>
            </v:textbox>
            <w10:wrap type="none"/>
          </v:shape>
        </w:pict>
      </w:r>
      <w:r>
        <w:rPr/>
        <w:pict>
          <v:shape style="position:absolute;margin-left:357.700012pt;margin-top:299.850006pt;width:180pt;height:33.75pt;mso-position-horizontal-relative:page;mso-position-vertical-relative:page;z-index:1768" type="#_x0000_t202" filled="false" stroked="true" strokeweight="2.5pt" strokecolor="#4f81bc">
            <v:textbox inset="0,0,0,0">
              <w:txbxContent>
                <w:p>
                  <w:pPr>
                    <w:spacing w:before="70"/>
                    <w:ind w:left="478" w:right="0" w:hanging="324"/>
                    <w:jc w:val="left"/>
                    <w:rPr>
                      <w:sz w:val="22"/>
                    </w:rPr>
                  </w:pPr>
                  <w:r>
                    <w:rPr>
                      <w:sz w:val="22"/>
                    </w:rPr>
                    <w:t>Optimización de </w:t>
                  </w:r>
                  <w:r>
                    <w:rPr>
                      <w:i/>
                      <w:sz w:val="22"/>
                    </w:rPr>
                    <w:t>Typha latifolia L</w:t>
                  </w:r>
                  <w:r>
                    <w:rPr>
                      <w:sz w:val="22"/>
                    </w:rPr>
                    <w:t>. (hidroponía en laboratorio)</w:t>
                  </w:r>
                </w:p>
              </w:txbxContent>
            </v:textbox>
            <w10:wrap type="none"/>
          </v:shape>
        </w:pict>
      </w:r>
      <w:r>
        <w:rPr/>
        <w:pict>
          <v:shape style="position:absolute;margin-left:17.150pt;margin-top:330.399994pt;width:59.15pt;height:77.4pt;mso-position-horizontal-relative:page;mso-position-vertical-relative:page;z-index:1792" type="#_x0000_t202" filled="false" stroked="true" strokeweight=".75pt" strokecolor="#000000">
            <v:textbox inset="0,0,0,0">
              <w:txbxContent>
                <w:p>
                  <w:pPr>
                    <w:spacing w:line="216" w:lineRule="auto" w:before="90"/>
                    <w:ind w:left="321" w:right="323" w:firstLine="1"/>
                    <w:jc w:val="center"/>
                    <w:rPr>
                      <w:sz w:val="13"/>
                    </w:rPr>
                  </w:pPr>
                  <w:r>
                    <w:rPr>
                      <w:sz w:val="20"/>
                    </w:rPr>
                    <w:t>pH Conc: </w:t>
                  </w:r>
                  <w:r>
                    <w:rPr>
                      <w:position w:val="-9"/>
                      <w:sz w:val="20"/>
                    </w:rPr>
                    <w:t>Pb</w:t>
                  </w:r>
                  <w:r>
                    <w:rPr>
                      <w:sz w:val="13"/>
                    </w:rPr>
                    <w:t>2+ </w:t>
                  </w:r>
                  <w:r>
                    <w:rPr>
                      <w:position w:val="-9"/>
                      <w:sz w:val="20"/>
                    </w:rPr>
                    <w:t>Cu</w:t>
                  </w:r>
                  <w:r>
                    <w:rPr>
                      <w:sz w:val="13"/>
                    </w:rPr>
                    <w:t>2+</w:t>
                  </w:r>
                </w:p>
                <w:p>
                  <w:pPr>
                    <w:spacing w:line="204" w:lineRule="auto" w:before="0"/>
                    <w:ind w:left="381" w:right="382" w:firstLine="0"/>
                    <w:jc w:val="center"/>
                    <w:rPr>
                      <w:sz w:val="13"/>
                    </w:rPr>
                  </w:pPr>
                  <w:r>
                    <w:rPr>
                      <w:position w:val="-9"/>
                      <w:sz w:val="20"/>
                    </w:rPr>
                    <w:t>Cd</w:t>
                  </w:r>
                  <w:r>
                    <w:rPr>
                      <w:sz w:val="13"/>
                    </w:rPr>
                    <w:t>2+ </w:t>
                  </w:r>
                  <w:r>
                    <w:rPr>
                      <w:position w:val="-9"/>
                      <w:sz w:val="20"/>
                    </w:rPr>
                    <w:t>Zn</w:t>
                  </w:r>
                  <w:r>
                    <w:rPr>
                      <w:sz w:val="13"/>
                    </w:rPr>
                    <w:t>2+</w:t>
                  </w:r>
                </w:p>
              </w:txbxContent>
            </v:textbox>
            <w10:wrap type="none"/>
          </v:shape>
        </w:pict>
      </w:r>
      <w:r>
        <w:rPr/>
        <w:pict>
          <v:shape style="position:absolute;margin-left:525.099976pt;margin-top:349.399994pt;width:75.05pt;height:69.75pt;mso-position-horizontal-relative:page;mso-position-vertical-relative:page;z-index:1816" type="#_x0000_t202" filled="false" stroked="true" strokeweight=".75pt" strokecolor="#000000">
            <v:textbox inset="0,0,0,0">
              <w:txbxContent>
                <w:p>
                  <w:pPr>
                    <w:spacing w:before="70"/>
                    <w:ind w:left="160" w:right="153" w:firstLine="355"/>
                    <w:jc w:val="left"/>
                    <w:rPr>
                      <w:sz w:val="20"/>
                    </w:rPr>
                  </w:pPr>
                  <w:r>
                    <w:rPr>
                      <w:sz w:val="20"/>
                    </w:rPr>
                    <w:t>Peso Long. de raíz</w:t>
                  </w:r>
                </w:p>
                <w:p>
                  <w:pPr>
                    <w:spacing w:line="229" w:lineRule="exact" w:before="0"/>
                    <w:ind w:left="328" w:right="153" w:firstLine="0"/>
                    <w:jc w:val="left"/>
                    <w:rPr>
                      <w:sz w:val="20"/>
                    </w:rPr>
                  </w:pPr>
                  <w:r>
                    <w:rPr>
                      <w:sz w:val="20"/>
                    </w:rPr>
                    <w:t>Clorofilas</w:t>
                  </w:r>
                </w:p>
                <w:p>
                  <w:pPr>
                    <w:spacing w:line="252" w:lineRule="exact" w:before="0"/>
                    <w:ind w:left="237" w:right="153" w:firstLine="0"/>
                    <w:jc w:val="left"/>
                    <w:rPr>
                      <w:sz w:val="22"/>
                    </w:rPr>
                  </w:pPr>
                  <w:r>
                    <w:rPr>
                      <w:sz w:val="22"/>
                    </w:rPr>
                    <w:t>Carotenos</w:t>
                  </w:r>
                </w:p>
              </w:txbxContent>
            </v:textbox>
            <w10:wrap type="none"/>
          </v:shape>
        </w:pict>
      </w:r>
      <w:r>
        <w:rPr/>
        <w:pict>
          <v:shape style="position:absolute;margin-left:385.100006pt;margin-top:364.299988pt;width:114.55pt;height:36pt;mso-position-horizontal-relative:page;mso-position-vertical-relative:page;z-index:1840" type="#_x0000_t202" filled="false" stroked="true" strokeweight="2.5pt" strokecolor="#4f81bc">
            <v:textbox inset="0,0,0,0">
              <w:txbxContent>
                <w:p>
                  <w:pPr>
                    <w:spacing w:line="244" w:lineRule="auto" w:before="70"/>
                    <w:ind w:left="345" w:right="0" w:firstLine="62"/>
                    <w:jc w:val="left"/>
                    <w:rPr>
                      <w:sz w:val="22"/>
                    </w:rPr>
                  </w:pPr>
                  <w:r>
                    <w:rPr>
                      <w:sz w:val="22"/>
                    </w:rPr>
                    <w:t>Evaluación del estado de salud</w:t>
                  </w:r>
                </w:p>
              </w:txbxContent>
            </v:textbox>
            <w10:wrap type="none"/>
          </v:shape>
        </w:pict>
      </w:r>
      <w:r>
        <w:rPr/>
        <w:pict>
          <v:shape style="position:absolute;margin-left:349.450012pt;margin-top:464.100006pt;width:188.25pt;height:36pt;mso-position-horizontal-relative:page;mso-position-vertical-relative:page;z-index:1864" type="#_x0000_t202" filled="false" stroked="true" strokeweight="2.5pt" strokecolor="#4f81bc">
            <v:textbox inset="0,0,0,0">
              <w:txbxContent>
                <w:p>
                  <w:pPr>
                    <w:spacing w:before="71"/>
                    <w:ind w:left="293" w:right="0" w:hanging="125"/>
                    <w:jc w:val="left"/>
                    <w:rPr>
                      <w:sz w:val="22"/>
                    </w:rPr>
                  </w:pPr>
                  <w:r>
                    <w:rPr>
                      <w:sz w:val="22"/>
                    </w:rPr>
                    <w:t>Evaluación de tolerancia de </w:t>
                  </w:r>
                  <w:r>
                    <w:rPr>
                      <w:i/>
                      <w:sz w:val="22"/>
                    </w:rPr>
                    <w:t>Typha </w:t>
                  </w:r>
                  <w:r>
                    <w:rPr>
                      <w:i/>
                      <w:sz w:val="22"/>
                    </w:rPr>
                    <w:t>latifolia L</w:t>
                  </w:r>
                  <w:r>
                    <w:rPr>
                      <w:sz w:val="22"/>
                    </w:rPr>
                    <w:t>., a la muestra sintética</w:t>
                  </w:r>
                </w:p>
              </w:txbxContent>
            </v:textbox>
            <w10:wrap type="none"/>
          </v:shape>
        </w:pict>
      </w:r>
    </w:p>
    <w:p>
      <w:pPr>
        <w:pStyle w:val="BodyText"/>
        <w:spacing w:before="10"/>
        <w:rPr>
          <w:sz w:val="22"/>
        </w:rPr>
      </w:pPr>
    </w:p>
    <w:p>
      <w:pPr>
        <w:pStyle w:val="Heading2"/>
        <w:numPr>
          <w:ilvl w:val="0"/>
          <w:numId w:val="15"/>
        </w:numPr>
        <w:tabs>
          <w:tab w:pos="5176" w:val="left" w:leader="none"/>
        </w:tabs>
        <w:spacing w:line="240" w:lineRule="auto" w:before="65" w:after="0"/>
        <w:ind w:left="5175" w:right="0" w:hanging="348"/>
        <w:jc w:val="left"/>
      </w:pPr>
      <w:r>
        <w:rPr/>
        <w:t>METODOLOGÍA</w:t>
      </w:r>
    </w:p>
    <w:p>
      <w:pPr>
        <w:pStyle w:val="BodyText"/>
        <w:rPr>
          <w:b/>
          <w:sz w:val="20"/>
        </w:rPr>
      </w:pPr>
    </w:p>
    <w:p>
      <w:pPr>
        <w:pStyle w:val="BodyText"/>
        <w:rPr>
          <w:b/>
          <w:sz w:val="20"/>
        </w:rPr>
      </w:pPr>
    </w:p>
    <w:p>
      <w:pPr>
        <w:pStyle w:val="BodyText"/>
        <w:spacing w:before="9"/>
        <w:rPr>
          <w:b/>
          <w:sz w:val="28"/>
        </w:rPr>
      </w:pPr>
      <w:r>
        <w:rPr/>
        <w:pict>
          <v:shape style="position:absolute;margin-left:152.350006pt;margin-top:19.775158pt;width:328.35pt;height:24.75pt;mso-position-horizontal-relative:page;mso-position-vertical-relative:paragraph;z-index:1264;mso-wrap-distance-left:0;mso-wrap-distance-right:0" type="#_x0000_t202" filled="false" stroked="true" strokeweight="2.5pt" strokecolor="#4f81bc">
            <v:textbox inset="0,0,0,0">
              <w:txbxContent>
                <w:p>
                  <w:pPr>
                    <w:spacing w:before="70"/>
                    <w:ind w:left="144" w:right="0" w:firstLine="0"/>
                    <w:jc w:val="left"/>
                    <w:rPr>
                      <w:sz w:val="22"/>
                    </w:rPr>
                  </w:pPr>
                  <w:r>
                    <w:rPr>
                      <w:sz w:val="22"/>
                    </w:rPr>
                    <w:t>Identificación de zona con impacto minero en Estado de México</w:t>
                  </w:r>
                </w:p>
              </w:txbxContent>
            </v:textbox>
            <w10:wrap type="topAndBottom"/>
          </v:shape>
        </w:pict>
      </w:r>
    </w:p>
    <w:p>
      <w:pPr>
        <w:pStyle w:val="BodyText"/>
        <w:spacing w:before="1"/>
        <w:rPr>
          <w:b/>
          <w:sz w:val="2"/>
        </w:rPr>
      </w:pPr>
    </w:p>
    <w:p>
      <w:pPr>
        <w:tabs>
          <w:tab w:pos="8343" w:val="left" w:leader="none"/>
        </w:tabs>
        <w:spacing w:line="240" w:lineRule="auto"/>
        <w:ind w:left="3416" w:right="0" w:firstLine="0"/>
        <w:rPr>
          <w:sz w:val="20"/>
        </w:rPr>
      </w:pPr>
      <w:r>
        <w:rPr>
          <w:position w:val="12"/>
          <w:sz w:val="20"/>
        </w:rPr>
        <w:pict>
          <v:group style="width:34.5pt;height:26.25pt;mso-position-horizontal-relative:char;mso-position-vertical-relative:line" coordorigin="0,0" coordsize="690,525">
            <v:shape style="position:absolute;left:0;top:0;width:690;height:525" coordorigin="0,0" coordsize="690,525" path="m59,404l0,524,132,500,113,475,81,475,75,474,68,466,69,459,74,456,90,444,59,404xm90,444l74,456,69,459,68,466,75,474,81,475,86,472,102,460,90,444xm102,460l86,472,81,475,113,475,102,460xm676,0l672,3,90,444,102,460,684,19,688,16,689,10,683,1,676,0xe" filled="true" fillcolor="#000000" stroked="false">
              <v:path arrowok="t"/>
              <v:fill type="solid"/>
            </v:shape>
          </v:group>
        </w:pict>
      </w:r>
      <w:r>
        <w:rPr>
          <w:position w:val="12"/>
          <w:sz w:val="20"/>
        </w:rPr>
      </w:r>
      <w:r>
        <w:rPr>
          <w:position w:val="12"/>
          <w:sz w:val="20"/>
        </w:rPr>
        <w:tab/>
      </w:r>
      <w:r>
        <w:rPr>
          <w:sz w:val="20"/>
        </w:rPr>
        <w:pict>
          <v:group style="width:29.25pt;height:29.5pt;mso-position-horizontal-relative:char;mso-position-vertical-relative:line" coordorigin="0,0" coordsize="585,590">
            <v:shape style="position:absolute;left:0;top:0;width:585;height:590" coordorigin="0,0" coordsize="585,590" path="m493,512l458,547,585,590,565,530,511,530,493,512xm508,498l493,512,511,530,518,530,522,526,526,522,526,516,522,512,508,498xm543,463l508,498,522,512,526,516,526,522,522,526,518,530,565,530,543,463xm14,0l8,0,0,8,0,14,493,512,508,498,14,0xe" filled="true" fillcolor="#000000" stroked="false">
              <v:path arrowok="t"/>
              <v:fill type="solid"/>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3"/>
        </w:rPr>
      </w:pPr>
      <w:r>
        <w:rPr/>
        <w:pict>
          <v:group style="position:absolute;margin-left:206.699997pt;margin-top:9.578418pt;width:277.350pt;height:113.35pt;mso-position-horizontal-relative:page;mso-position-vertical-relative:paragraph;z-index:1384;mso-wrap-distance-left:0;mso-wrap-distance-right:0" coordorigin="4134,192" coordsize="5547,2267">
            <v:rect style="position:absolute;left:4739;top:217;width:4245;height:780" filled="false" stroked="true" strokeweight="2.5pt" strokecolor="#4f81bc"/>
            <v:shape style="position:absolute;left:6854;top:928;width:120;height:822" coordorigin="6854,928" coordsize="120,822" path="m6904,1630l6854,1630,6914,1750,6959,1660,6908,1660,6904,1655,6904,1630xm6920,928l6908,928,6904,932,6904,1655,6908,1660,6920,1660,6924,1655,6924,932,6920,928xm6974,1630l6924,1630,6924,1655,6920,1660,6959,1660,6974,1630xe" filled="true" fillcolor="#000000" stroked="false">
              <v:path arrowok="t"/>
              <v:fill type="solid"/>
            </v:shape>
            <v:shape style="position:absolute;left:4714;top:192;width:4295;height:1558" type="#_x0000_t202" filled="false" stroked="false">
              <v:textbox inset="0,0,0,0">
                <w:txbxContent>
                  <w:p>
                    <w:pPr>
                      <w:spacing w:before="121"/>
                      <w:ind w:left="363" w:right="300" w:hanging="56"/>
                      <w:jc w:val="left"/>
                      <w:rPr>
                        <w:sz w:val="22"/>
                      </w:rPr>
                    </w:pPr>
                    <w:r>
                      <w:rPr>
                        <w:sz w:val="22"/>
                      </w:rPr>
                      <w:t>Implementación del sistema acoplado Electrocoagulación-Fitorremediación</w:t>
                    </w:r>
                  </w:p>
                </w:txbxContent>
              </v:textbox>
              <w10:wrap type="none"/>
            </v:shape>
            <v:shape style="position:absolute;left:4159;top:1750;width:5497;height:684" type="#_x0000_t202" filled="false" stroked="true" strokeweight="2.5pt" strokecolor="#4f81bc">
              <v:textbox inset="0,0,0,0">
                <w:txbxContent>
                  <w:p>
                    <w:pPr>
                      <w:spacing w:before="72"/>
                      <w:ind w:left="461" w:right="0" w:hanging="171"/>
                      <w:jc w:val="left"/>
                      <w:rPr>
                        <w:sz w:val="22"/>
                      </w:rPr>
                    </w:pPr>
                    <w:r>
                      <w:rPr>
                        <w:sz w:val="22"/>
                      </w:rPr>
                      <w:t>Evaluación de la cinética de remoción del sistema acoplado Electrocoagulación-Fitorremediación</w:t>
                    </w:r>
                  </w:p>
                </w:txbxContent>
              </v:textbox>
              <w10:wrap type="none"/>
            </v:shape>
            <w10:wrap type="topAndBottom"/>
          </v:group>
        </w:pict>
      </w:r>
    </w:p>
    <w:p>
      <w:pPr>
        <w:spacing w:after="0"/>
        <w:rPr>
          <w:sz w:val="13"/>
        </w:rPr>
        <w:sectPr>
          <w:pgSz w:w="12240" w:h="15840"/>
          <w:pgMar w:header="0" w:footer="1480" w:top="1500" w:bottom="1680" w:left="240" w:right="120"/>
        </w:sectPr>
      </w:pPr>
    </w:p>
    <w:p>
      <w:pPr>
        <w:pStyle w:val="Heading2"/>
        <w:numPr>
          <w:ilvl w:val="1"/>
          <w:numId w:val="17"/>
        </w:numPr>
        <w:tabs>
          <w:tab w:pos="587" w:val="left" w:leader="none"/>
        </w:tabs>
        <w:spacing w:line="240" w:lineRule="auto" w:before="35" w:after="0"/>
        <w:ind w:left="586" w:right="0" w:hanging="468"/>
        <w:jc w:val="both"/>
      </w:pPr>
      <w:r>
        <w:rPr/>
        <w:t>Identificación de zona de impacto minero en Estado de</w:t>
      </w:r>
      <w:r>
        <w:rPr>
          <w:spacing w:val="-22"/>
        </w:rPr>
        <w:t> </w:t>
      </w:r>
      <w:r>
        <w:rPr/>
        <w:t>México</w:t>
      </w:r>
    </w:p>
    <w:p>
      <w:pPr>
        <w:pStyle w:val="BodyText"/>
        <w:spacing w:before="7"/>
        <w:rPr>
          <w:b/>
          <w:sz w:val="41"/>
        </w:rPr>
      </w:pPr>
    </w:p>
    <w:p>
      <w:pPr>
        <w:pStyle w:val="BodyText"/>
        <w:spacing w:line="276" w:lineRule="auto"/>
        <w:ind w:left="118" w:right="111"/>
        <w:jc w:val="both"/>
      </w:pPr>
      <w:r>
        <w:rPr/>
        <w:t>El municipio de Zacazonapan se ubica entre los paralelos 19° 00’ y 19° </w:t>
      </w:r>
      <w:r>
        <w:rPr>
          <w:spacing w:val="3"/>
        </w:rPr>
        <w:t>07’ </w:t>
      </w:r>
      <w:r>
        <w:rPr/>
        <w:t>latitud norte y 100° 12’ y 100° 18’ longitud oeste; a una altitud entre 900 y 2 400 m (Fig. 8), dentro  de la Sierra de Valle de Bravo que forma parte del sistema montañoso del Xinantécatl. Colinda al norte con los municipios de Otzoloapan y Valle de Bravo; al este con los municipios de Valle de Bravo y Temascaltepec; al sur con los municipios de Temascaltepec, Tejupilco y Luvianos, al oeste con los municipios de Luvianos y Otzoloapan (INEGI,</w:t>
      </w:r>
      <w:r>
        <w:rPr>
          <w:spacing w:val="-6"/>
        </w:rPr>
        <w:t> </w:t>
      </w:r>
      <w:r>
        <w:rPr/>
        <w:t>2009).</w:t>
      </w:r>
    </w:p>
    <w:p>
      <w:pPr>
        <w:pStyle w:val="BodyText"/>
        <w:spacing w:before="6"/>
        <w:rPr>
          <w:sz w:val="27"/>
        </w:rPr>
      </w:pPr>
    </w:p>
    <w:p>
      <w:pPr>
        <w:pStyle w:val="BodyText"/>
        <w:spacing w:line="276" w:lineRule="auto" w:before="1"/>
        <w:ind w:left="118" w:right="115"/>
        <w:jc w:val="both"/>
      </w:pPr>
      <w:r>
        <w:rPr/>
        <w:t>El clima reportado por Sistema de Información Meteorológica de San Pedro Tenayac es semicálido-subhúmedo con lluvias en verano que van de finales de junio a agosto con una precipitación promedio de 1000 a 1500 mm y una temperatura promedio de 16.72º C (Gobierno del Estado de México, 2003). La vegetación presente está conformada por: Bosque de galería, Bosque tropical, Bosque espinoso, Bosque de encino y Bosque de pino-encino (Rzedowski, 1987).</w:t>
      </w:r>
    </w:p>
    <w:p>
      <w:pPr>
        <w:pStyle w:val="BodyText"/>
        <w:rPr>
          <w:sz w:val="20"/>
        </w:rPr>
      </w:pPr>
    </w:p>
    <w:p>
      <w:pPr>
        <w:pStyle w:val="BodyText"/>
        <w:spacing w:before="10"/>
        <w:rPr>
          <w:sz w:val="28"/>
        </w:rPr>
      </w:pPr>
      <w:r>
        <w:rPr/>
        <w:drawing>
          <wp:anchor distT="0" distB="0" distL="0" distR="0" allowOverlap="1" layoutInCell="1" locked="0" behindDoc="0" simplePos="0" relativeHeight="1888">
            <wp:simplePos x="0" y="0"/>
            <wp:positionH relativeFrom="page">
              <wp:posOffset>1246505</wp:posOffset>
            </wp:positionH>
            <wp:positionV relativeFrom="paragraph">
              <wp:posOffset>235928</wp:posOffset>
            </wp:positionV>
            <wp:extent cx="5311876" cy="3040380"/>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28" cstate="print"/>
                    <a:stretch>
                      <a:fillRect/>
                    </a:stretch>
                  </pic:blipFill>
                  <pic:spPr>
                    <a:xfrm>
                      <a:off x="0" y="0"/>
                      <a:ext cx="5311876" cy="3040380"/>
                    </a:xfrm>
                    <a:prstGeom prst="rect">
                      <a:avLst/>
                    </a:prstGeom>
                  </pic:spPr>
                </pic:pic>
              </a:graphicData>
            </a:graphic>
          </wp:anchor>
        </w:drawing>
      </w:r>
    </w:p>
    <w:p>
      <w:pPr>
        <w:pStyle w:val="BodyText"/>
        <w:spacing w:before="9"/>
        <w:rPr>
          <w:sz w:val="14"/>
        </w:rPr>
      </w:pPr>
    </w:p>
    <w:p>
      <w:pPr>
        <w:spacing w:before="74"/>
        <w:ind w:left="2185" w:right="0" w:firstLine="0"/>
        <w:jc w:val="left"/>
        <w:rPr>
          <w:b/>
          <w:sz w:val="20"/>
        </w:rPr>
      </w:pPr>
      <w:r>
        <w:rPr>
          <w:b/>
          <w:sz w:val="20"/>
        </w:rPr>
        <w:t>Fig. 8.  Localización geográfica de Zacazonapan (INGI, 2009)</w:t>
      </w:r>
    </w:p>
    <w:p>
      <w:pPr>
        <w:spacing w:after="0"/>
        <w:jc w:val="left"/>
        <w:rPr>
          <w:sz w:val="20"/>
        </w:rPr>
        <w:sectPr>
          <w:pgSz w:w="12240" w:h="15840"/>
          <w:pgMar w:header="0" w:footer="1480" w:top="1380" w:bottom="1680" w:left="1300" w:right="1300"/>
        </w:sectPr>
      </w:pPr>
    </w:p>
    <w:p>
      <w:pPr>
        <w:pStyle w:val="BodyText"/>
        <w:rPr>
          <w:b/>
          <w:sz w:val="20"/>
        </w:rPr>
      </w:pPr>
    </w:p>
    <w:p>
      <w:pPr>
        <w:pStyle w:val="BodyText"/>
        <w:spacing w:before="5"/>
        <w:rPr>
          <w:b/>
          <w:sz w:val="25"/>
        </w:rPr>
      </w:pPr>
    </w:p>
    <w:p>
      <w:pPr>
        <w:pStyle w:val="Heading2"/>
        <w:numPr>
          <w:ilvl w:val="1"/>
          <w:numId w:val="17"/>
        </w:numPr>
        <w:tabs>
          <w:tab w:pos="667" w:val="left" w:leader="none"/>
        </w:tabs>
        <w:spacing w:line="240" w:lineRule="auto" w:before="65" w:after="0"/>
        <w:ind w:left="666" w:right="0" w:hanging="468"/>
        <w:jc w:val="both"/>
      </w:pPr>
      <w:r>
        <w:rPr/>
        <w:t>Obtención de las  concentraciones de metales</w:t>
      </w:r>
      <w:r>
        <w:rPr>
          <w:spacing w:val="-26"/>
        </w:rPr>
        <w:t> </w:t>
      </w:r>
      <w:r>
        <w:rPr/>
        <w:t>pesados</w:t>
      </w:r>
    </w:p>
    <w:p>
      <w:pPr>
        <w:pStyle w:val="BodyText"/>
        <w:rPr>
          <w:b/>
          <w:sz w:val="28"/>
        </w:rPr>
      </w:pPr>
    </w:p>
    <w:p>
      <w:pPr>
        <w:pStyle w:val="BodyText"/>
        <w:spacing w:before="5"/>
        <w:rPr>
          <w:b/>
          <w:sz w:val="22"/>
        </w:rPr>
      </w:pPr>
    </w:p>
    <w:p>
      <w:pPr>
        <w:pStyle w:val="BodyText"/>
        <w:ind w:left="118" w:right="108"/>
        <w:jc w:val="both"/>
      </w:pPr>
      <w:r>
        <w:rPr/>
        <w:t>Las concentraciones de los metales pesados (Pb</w:t>
      </w:r>
      <w:r>
        <w:rPr>
          <w:position w:val="11"/>
          <w:sz w:val="16"/>
        </w:rPr>
        <w:t>2+</w:t>
      </w:r>
      <w:r>
        <w:rPr/>
        <w:t>, Cd</w:t>
      </w:r>
      <w:r>
        <w:rPr>
          <w:position w:val="11"/>
          <w:sz w:val="16"/>
        </w:rPr>
        <w:t>2+</w:t>
      </w:r>
      <w:r>
        <w:rPr/>
        <w:t>, Cu</w:t>
      </w:r>
      <w:r>
        <w:rPr>
          <w:position w:val="11"/>
          <w:sz w:val="16"/>
        </w:rPr>
        <w:t>2+</w:t>
      </w:r>
      <w:r>
        <w:rPr/>
        <w:t>, y Zn</w:t>
      </w:r>
      <w:r>
        <w:rPr>
          <w:position w:val="11"/>
          <w:sz w:val="16"/>
        </w:rPr>
        <w:t>2+</w:t>
      </w:r>
      <w:r>
        <w:rPr/>
        <w:t>) presentes dentro del efluente minero, fueron obtenidas a través de los registros internos de mina referentes a los niveles de concentración durante el periodo comprendido entre 2012- 2013. Una vez conocidos dichos niveles de concentración, sirvieron como base para la elaboración de una “muestra sintética”, la cual se ocupo primeramente en un pre tratamiento de electrocoagulación y posteriormente en uno de fitorremediación con </w:t>
      </w:r>
      <w:r>
        <w:rPr>
          <w:i/>
        </w:rPr>
        <w:t>Typha latifolia L</w:t>
      </w:r>
      <w:r>
        <w:rPr/>
        <w:t>.</w:t>
      </w:r>
    </w:p>
    <w:p>
      <w:pPr>
        <w:pStyle w:val="BodyText"/>
      </w:pPr>
    </w:p>
    <w:p>
      <w:pPr>
        <w:pStyle w:val="BodyText"/>
      </w:pPr>
    </w:p>
    <w:p>
      <w:pPr>
        <w:pStyle w:val="BodyText"/>
        <w:spacing w:before="2"/>
        <w:rPr>
          <w:sz w:val="21"/>
        </w:rPr>
      </w:pPr>
    </w:p>
    <w:p>
      <w:pPr>
        <w:pStyle w:val="Heading2"/>
        <w:numPr>
          <w:ilvl w:val="1"/>
          <w:numId w:val="17"/>
        </w:numPr>
        <w:tabs>
          <w:tab w:pos="587" w:val="left" w:leader="none"/>
        </w:tabs>
        <w:spacing w:line="240" w:lineRule="auto" w:before="0" w:after="0"/>
        <w:ind w:left="586" w:right="0" w:hanging="468"/>
        <w:jc w:val="both"/>
      </w:pPr>
      <w:r>
        <w:rPr/>
        <w:t>Preparación de solución acuosa</w:t>
      </w:r>
      <w:r>
        <w:rPr>
          <w:spacing w:val="-15"/>
        </w:rPr>
        <w:t> </w:t>
      </w:r>
      <w:r>
        <w:rPr/>
        <w:t>minera</w:t>
      </w:r>
    </w:p>
    <w:p>
      <w:pPr>
        <w:pStyle w:val="BodyText"/>
        <w:rPr>
          <w:b/>
          <w:sz w:val="28"/>
        </w:rPr>
      </w:pPr>
    </w:p>
    <w:p>
      <w:pPr>
        <w:pStyle w:val="BodyText"/>
        <w:spacing w:before="4"/>
        <w:rPr>
          <w:b/>
          <w:sz w:val="26"/>
        </w:rPr>
      </w:pPr>
    </w:p>
    <w:p>
      <w:pPr>
        <w:pStyle w:val="BodyText"/>
        <w:spacing w:line="276" w:lineRule="auto"/>
        <w:ind w:left="118" w:right="112"/>
        <w:jc w:val="both"/>
      </w:pPr>
      <w:r>
        <w:rPr/>
        <w:t>Se prepararon 2 litros de solución acuosa minera (Barrera </w:t>
      </w:r>
      <w:r>
        <w:rPr>
          <w:i/>
        </w:rPr>
        <w:t>et al</w:t>
      </w:r>
      <w:r>
        <w:rPr/>
        <w:t>., 2011; Teles </w:t>
      </w:r>
      <w:r>
        <w:rPr>
          <w:i/>
        </w:rPr>
        <w:t>et al</w:t>
      </w:r>
      <w:r>
        <w:rPr/>
        <w:t>., 2014; Zhang </w:t>
      </w:r>
      <w:r>
        <w:rPr>
          <w:i/>
        </w:rPr>
        <w:t>et al</w:t>
      </w:r>
      <w:r>
        <w:rPr/>
        <w:t>., 2014) por tratamiento a partir de las concentraciones previamente reportadas por la mina de cuerpos de agua aledaños a presa de jales: Pb (16 ppm), Cu (119 ppm),</w:t>
      </w:r>
      <w:r>
        <w:rPr>
          <w:spacing w:val="-3"/>
        </w:rPr>
        <w:t> </w:t>
      </w:r>
      <w:r>
        <w:rPr/>
        <w:t>Cd</w:t>
      </w:r>
    </w:p>
    <w:p>
      <w:pPr>
        <w:pStyle w:val="BodyText"/>
        <w:spacing w:line="276" w:lineRule="auto" w:before="202"/>
        <w:ind w:left="118" w:right="114"/>
        <w:jc w:val="both"/>
      </w:pPr>
      <w:r>
        <w:rPr/>
        <w:t>(75 ppm) y Zn (156 ppm), para ello se utilizaron sales de sulfuro de la marca “Fermont”, las cuales se disolvieron en agua destilada. El pH de la solución fue de “5.06”. Ruíz </w:t>
      </w:r>
      <w:r>
        <w:rPr>
          <w:i/>
        </w:rPr>
        <w:t>et </w:t>
      </w:r>
      <w:r>
        <w:rPr>
          <w:i/>
        </w:rPr>
        <w:t>al</w:t>
      </w:r>
      <w:r>
        <w:rPr/>
        <w:t>., 2010 encontró un intervalo de pH de 4 a 5.5 y menciona que esta acides es característico de jale minero.</w:t>
      </w:r>
    </w:p>
    <w:p>
      <w:pPr>
        <w:pStyle w:val="BodyText"/>
      </w:pPr>
    </w:p>
    <w:p>
      <w:pPr>
        <w:pStyle w:val="BodyText"/>
      </w:pPr>
    </w:p>
    <w:p>
      <w:pPr>
        <w:pStyle w:val="Heading2"/>
        <w:numPr>
          <w:ilvl w:val="1"/>
          <w:numId w:val="17"/>
        </w:numPr>
        <w:tabs>
          <w:tab w:pos="590" w:val="left" w:leader="none"/>
        </w:tabs>
        <w:spacing w:line="240" w:lineRule="auto" w:before="162" w:after="0"/>
        <w:ind w:left="589" w:right="0" w:hanging="471"/>
        <w:jc w:val="both"/>
      </w:pPr>
      <w:r>
        <w:rPr/>
        <w:t>Tratamiento de</w:t>
      </w:r>
      <w:r>
        <w:rPr>
          <w:spacing w:val="-18"/>
        </w:rPr>
        <w:t> </w:t>
      </w:r>
      <w:r>
        <w:rPr/>
        <w:t>electrocoagulación</w:t>
      </w:r>
    </w:p>
    <w:p>
      <w:pPr>
        <w:pStyle w:val="BodyText"/>
        <w:rPr>
          <w:b/>
          <w:sz w:val="25"/>
        </w:rPr>
      </w:pPr>
    </w:p>
    <w:p>
      <w:pPr>
        <w:pStyle w:val="ListParagraph"/>
        <w:numPr>
          <w:ilvl w:val="2"/>
          <w:numId w:val="17"/>
        </w:numPr>
        <w:tabs>
          <w:tab w:pos="822" w:val="left" w:leader="none"/>
        </w:tabs>
        <w:spacing w:line="240" w:lineRule="auto" w:before="0" w:after="0"/>
        <w:ind w:left="822" w:right="0" w:hanging="704"/>
        <w:jc w:val="both"/>
        <w:rPr>
          <w:b/>
          <w:sz w:val="28"/>
        </w:rPr>
      </w:pPr>
      <w:r>
        <w:rPr>
          <w:b/>
          <w:sz w:val="28"/>
        </w:rPr>
        <w:t>Reactor</w:t>
      </w:r>
      <w:r>
        <w:rPr>
          <w:b/>
          <w:spacing w:val="-9"/>
          <w:sz w:val="28"/>
        </w:rPr>
        <w:t> </w:t>
      </w:r>
      <w:r>
        <w:rPr>
          <w:b/>
          <w:sz w:val="28"/>
        </w:rPr>
        <w:t>electroquímico</w:t>
      </w:r>
    </w:p>
    <w:p>
      <w:pPr>
        <w:pStyle w:val="BodyText"/>
        <w:spacing w:before="8"/>
        <w:rPr>
          <w:b/>
          <w:sz w:val="33"/>
        </w:rPr>
      </w:pPr>
    </w:p>
    <w:p>
      <w:pPr>
        <w:pStyle w:val="BodyText"/>
        <w:spacing w:line="266" w:lineRule="auto"/>
        <w:ind w:left="118" w:right="111"/>
        <w:jc w:val="both"/>
      </w:pPr>
      <w:r>
        <w:rPr/>
        <w:t>Se construyó un reactor del tipo “Batch” (Fig. 9a) con las siguientes dimensiones: 30 cm de largo, 15 cm de ancho y 10 cm de altura con una capacidad de 2L; se utilizaron 5 pares de electrodos, que se ordenaron en forma intercalada dentro del reactor; una funcionó como cátodo y otra como ánodo. Las dimensiones de cada electrodo de Al</w:t>
      </w:r>
      <w:r>
        <w:rPr>
          <w:position w:val="11"/>
          <w:sz w:val="16"/>
        </w:rPr>
        <w:t>3+ </w:t>
      </w:r>
      <w:r>
        <w:rPr/>
        <w:t>son: 10 cm de largo y 5 cm de ancho resultando en un área total activa de 500 cm</w:t>
      </w:r>
      <w:r>
        <w:rPr>
          <w:position w:val="11"/>
          <w:sz w:val="16"/>
        </w:rPr>
        <w:t>2</w:t>
      </w:r>
      <w:r>
        <w:rPr/>
        <w:t>, de acuerdo con Holt (2002); tomando en cuenta las condiciones optimas de operación de (Cano, 2014; Mercado </w:t>
      </w:r>
      <w:r>
        <w:rPr>
          <w:i/>
        </w:rPr>
        <w:t>et al</w:t>
      </w:r>
      <w:r>
        <w:rPr/>
        <w:t>., 2013).</w:t>
      </w:r>
    </w:p>
    <w:p>
      <w:pPr>
        <w:spacing w:after="0" w:line="266" w:lineRule="auto"/>
        <w:jc w:val="both"/>
        <w:sectPr>
          <w:pgSz w:w="12240" w:h="15840"/>
          <w:pgMar w:header="0" w:footer="1480" w:top="1500" w:bottom="1680" w:left="1300" w:right="1300"/>
        </w:sectPr>
      </w:pPr>
    </w:p>
    <w:p>
      <w:pPr>
        <w:pStyle w:val="BodyText"/>
        <w:spacing w:line="276" w:lineRule="auto" w:before="56"/>
        <w:ind w:left="318" w:right="174" w:firstLine="67"/>
        <w:jc w:val="both"/>
      </w:pPr>
      <w:r>
        <w:rPr/>
        <w:t>Los electrodos estuvieron conectados (Fig. 9b) a una fuente de poder que le suministro una corriente directa de 4 A y 8 V (Linares </w:t>
      </w:r>
      <w:r>
        <w:rPr>
          <w:i/>
        </w:rPr>
        <w:t>et al</w:t>
      </w:r>
      <w:r>
        <w:rPr/>
        <w:t>., 2008), durante 180 minutos, intervalos de temperatura de 24 - 28° C (Heidmann y Calmano, 2008; Mouedhen </w:t>
      </w:r>
      <w:r>
        <w:rPr>
          <w:i/>
        </w:rPr>
        <w:t>et al</w:t>
      </w:r>
      <w:r>
        <w:rPr/>
        <w:t>., 2008). Se procesaron 2L de solución acuosa minera con un intervalo de pH de 5.4 a 7 (Merzouka </w:t>
      </w:r>
      <w:r>
        <w:rPr>
          <w:i/>
        </w:rPr>
        <w:t>et al</w:t>
      </w:r>
      <w:r>
        <w:rPr/>
        <w:t>., 2009). Durante el periodo de tratamiento se tomaron muestras a diferentes tiempos para cuantificar las concentraciones de los metales pesados mediante espectrofotometría de absorción atómica (Heidmann y Calmano, 2008).</w:t>
      </w:r>
    </w:p>
    <w:p>
      <w:pPr>
        <w:pStyle w:val="BodyText"/>
        <w:spacing w:before="2"/>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51"/>
        <w:gridCol w:w="4814"/>
      </w:tblGrid>
      <w:tr>
        <w:trPr>
          <w:trHeight w:val="3854" w:hRule="exact"/>
        </w:trPr>
        <w:tc>
          <w:tcPr>
            <w:tcW w:w="4851" w:type="dxa"/>
          </w:tcPr>
          <w:p>
            <w:pPr>
              <w:pStyle w:val="TableParagraph"/>
              <w:ind w:left="200"/>
              <w:rPr>
                <w:sz w:val="20"/>
              </w:rPr>
            </w:pPr>
            <w:r>
              <w:rPr>
                <w:sz w:val="20"/>
              </w:rPr>
              <w:drawing>
                <wp:inline distT="0" distB="0" distL="0" distR="0">
                  <wp:extent cx="2872277" cy="2156269"/>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29" cstate="print"/>
                          <a:stretch>
                            <a:fillRect/>
                          </a:stretch>
                        </pic:blipFill>
                        <pic:spPr>
                          <a:xfrm>
                            <a:off x="0" y="0"/>
                            <a:ext cx="2872277" cy="2156269"/>
                          </a:xfrm>
                          <a:prstGeom prst="rect">
                            <a:avLst/>
                          </a:prstGeom>
                        </pic:spPr>
                      </pic:pic>
                    </a:graphicData>
                  </a:graphic>
                </wp:inline>
              </w:drawing>
            </w:r>
            <w:r>
              <w:rPr>
                <w:sz w:val="20"/>
              </w:rPr>
            </w:r>
          </w:p>
          <w:p>
            <w:pPr>
              <w:pStyle w:val="TableParagraph"/>
              <w:spacing w:before="2"/>
              <w:rPr>
                <w:sz w:val="20"/>
              </w:rPr>
            </w:pPr>
          </w:p>
          <w:p>
            <w:pPr>
              <w:pStyle w:val="TableParagraph"/>
              <w:spacing w:before="1"/>
              <w:ind w:left="1415"/>
              <w:rPr>
                <w:sz w:val="20"/>
              </w:rPr>
            </w:pPr>
            <w:r>
              <w:rPr>
                <w:sz w:val="20"/>
              </w:rPr>
              <w:t>Fig. 9a  Reactor “Batch”</w:t>
            </w:r>
          </w:p>
        </w:tc>
        <w:tc>
          <w:tcPr>
            <w:tcW w:w="4814" w:type="dxa"/>
          </w:tcPr>
          <w:p>
            <w:pPr>
              <w:pStyle w:val="TableParagraph"/>
              <w:ind w:left="122"/>
              <w:rPr>
                <w:sz w:val="20"/>
              </w:rPr>
            </w:pPr>
            <w:r>
              <w:rPr>
                <w:sz w:val="20"/>
              </w:rPr>
              <w:drawing>
                <wp:inline distT="0" distB="0" distL="0" distR="0">
                  <wp:extent cx="2830928" cy="2108835"/>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30" cstate="print"/>
                          <a:stretch>
                            <a:fillRect/>
                          </a:stretch>
                        </pic:blipFill>
                        <pic:spPr>
                          <a:xfrm>
                            <a:off x="0" y="0"/>
                            <a:ext cx="2830928" cy="2108835"/>
                          </a:xfrm>
                          <a:prstGeom prst="rect">
                            <a:avLst/>
                          </a:prstGeom>
                        </pic:spPr>
                      </pic:pic>
                    </a:graphicData>
                  </a:graphic>
                </wp:inline>
              </w:drawing>
            </w:r>
            <w:r>
              <w:rPr>
                <w:sz w:val="20"/>
              </w:rPr>
            </w:r>
          </w:p>
          <w:p>
            <w:pPr>
              <w:pStyle w:val="TableParagraph"/>
              <w:spacing w:before="8"/>
              <w:rPr>
                <w:sz w:val="25"/>
              </w:rPr>
            </w:pPr>
          </w:p>
          <w:p>
            <w:pPr>
              <w:pStyle w:val="TableParagraph"/>
              <w:ind w:left="565"/>
              <w:rPr>
                <w:b/>
                <w:sz w:val="20"/>
              </w:rPr>
            </w:pPr>
            <w:r>
              <w:rPr>
                <w:b/>
                <w:sz w:val="20"/>
              </w:rPr>
              <w:t>Fig. 9b. Coneccion del reactor “Batch”</w:t>
            </w:r>
          </w:p>
        </w:tc>
      </w:tr>
    </w:tbl>
    <w:p>
      <w:pPr>
        <w:pStyle w:val="BodyText"/>
        <w:spacing w:before="3"/>
        <w:rPr>
          <w:sz w:val="20"/>
        </w:rPr>
      </w:pPr>
    </w:p>
    <w:p>
      <w:pPr>
        <w:spacing w:before="0"/>
        <w:ind w:left="3597" w:right="3461" w:firstLine="0"/>
        <w:jc w:val="center"/>
        <w:rPr>
          <w:b/>
          <w:sz w:val="20"/>
        </w:rPr>
      </w:pPr>
      <w:r>
        <w:rPr>
          <w:b/>
          <w:sz w:val="20"/>
        </w:rPr>
        <w:t>Fig. 9 Reactor electroquímico</w:t>
      </w:r>
    </w:p>
    <w:p>
      <w:pPr>
        <w:pStyle w:val="BodyText"/>
        <w:rPr>
          <w:b/>
          <w:sz w:val="20"/>
        </w:rPr>
      </w:pPr>
    </w:p>
    <w:p>
      <w:pPr>
        <w:pStyle w:val="BodyText"/>
        <w:spacing w:before="5"/>
        <w:rPr>
          <w:b/>
          <w:sz w:val="28"/>
        </w:rPr>
      </w:pPr>
    </w:p>
    <w:p>
      <w:pPr>
        <w:pStyle w:val="Heading2"/>
        <w:numPr>
          <w:ilvl w:val="2"/>
          <w:numId w:val="17"/>
        </w:numPr>
        <w:tabs>
          <w:tab w:pos="1022" w:val="left" w:leader="none"/>
        </w:tabs>
        <w:spacing w:line="240" w:lineRule="auto" w:before="0" w:after="0"/>
        <w:ind w:left="1022" w:right="0" w:hanging="704"/>
        <w:jc w:val="both"/>
      </w:pPr>
      <w:r>
        <w:rPr/>
        <w:t>Electrocoagulación de la solución acuosa</w:t>
      </w:r>
      <w:r>
        <w:rPr>
          <w:spacing w:val="-26"/>
        </w:rPr>
        <w:t> </w:t>
      </w:r>
      <w:r>
        <w:rPr/>
        <w:t>minera</w:t>
      </w:r>
    </w:p>
    <w:p>
      <w:pPr>
        <w:pStyle w:val="BodyText"/>
        <w:rPr>
          <w:b/>
          <w:sz w:val="28"/>
        </w:rPr>
      </w:pPr>
    </w:p>
    <w:p>
      <w:pPr>
        <w:pStyle w:val="BodyText"/>
        <w:spacing w:line="276" w:lineRule="auto" w:before="212"/>
        <w:ind w:left="318" w:right="173"/>
        <w:jc w:val="both"/>
      </w:pPr>
      <w:r>
        <w:rPr/>
        <w:t>Al inicio del proceso de electrocoagulación fue medido el pH con la finalidad de conocer el valor inicial y durante el tratamiento, posteriormente se conectaron los electrodos (ánodo y cátodo) a una fuente de poder para pasar corriente eléctrica de 4 A durante 180 min; la celda electroquímica se mantuvo en agitación constante empleando una parrilla agitadora, que sirvió para la formación de burbujas y estimular la producción de flóculos. Una vez finalizada el tratamiento de electrocoagulación el agua fue filtrada al vacio y se cuantificaron las concentraciones de los metales pesados mediante espectrofotometría de absorción atómica (Heidmann y Calmano, 2010; Panizza y Cerisola, 2010; Hanay y Hasar, 2011).</w:t>
      </w:r>
    </w:p>
    <w:p>
      <w:pPr>
        <w:pStyle w:val="BodyText"/>
        <w:spacing w:before="9"/>
        <w:rPr>
          <w:sz w:val="27"/>
        </w:rPr>
      </w:pPr>
    </w:p>
    <w:p>
      <w:pPr>
        <w:pStyle w:val="BodyText"/>
        <w:spacing w:line="276" w:lineRule="auto"/>
        <w:ind w:left="318" w:right="173"/>
        <w:jc w:val="both"/>
      </w:pPr>
      <w:r>
        <w:rPr/>
        <w:t>Entre cada experimento los electrodos fueron desmontados pulidos y lavados para retirar el exceso de residuos.</w:t>
      </w:r>
    </w:p>
    <w:p>
      <w:pPr>
        <w:spacing w:after="0" w:line="276" w:lineRule="auto"/>
        <w:jc w:val="both"/>
        <w:sectPr>
          <w:pgSz w:w="12240" w:h="15840"/>
          <w:pgMar w:header="0" w:footer="1480" w:top="1360" w:bottom="1680" w:left="1100" w:right="1240"/>
        </w:sectPr>
      </w:pPr>
    </w:p>
    <w:p>
      <w:pPr>
        <w:pStyle w:val="Heading2"/>
        <w:spacing w:before="35"/>
        <w:ind w:left="318" w:firstLine="0"/>
      </w:pPr>
      <w:r>
        <w:rPr/>
        <w:t>6.5 Tratamiento de Fitorremediación</w:t>
      </w:r>
    </w:p>
    <w:p>
      <w:pPr>
        <w:pStyle w:val="BodyText"/>
        <w:rPr>
          <w:b/>
          <w:sz w:val="28"/>
        </w:rPr>
      </w:pPr>
    </w:p>
    <w:p>
      <w:pPr>
        <w:pStyle w:val="BodyText"/>
        <w:spacing w:before="7"/>
        <w:rPr>
          <w:b/>
          <w:sz w:val="29"/>
        </w:rPr>
      </w:pPr>
    </w:p>
    <w:p>
      <w:pPr>
        <w:spacing w:before="0"/>
        <w:ind w:left="318" w:right="0" w:firstLine="0"/>
        <w:jc w:val="both"/>
        <w:rPr>
          <w:b/>
          <w:i/>
          <w:sz w:val="28"/>
        </w:rPr>
      </w:pPr>
      <w:r>
        <w:rPr>
          <w:b/>
          <w:sz w:val="28"/>
        </w:rPr>
        <w:t>6.5.1 Colecta, identificación y aclimatación de </w:t>
      </w:r>
      <w:r>
        <w:rPr>
          <w:b/>
          <w:i/>
          <w:sz w:val="28"/>
        </w:rPr>
        <w:t>Typha latifolia L.</w:t>
      </w:r>
    </w:p>
    <w:p>
      <w:pPr>
        <w:pStyle w:val="BodyText"/>
        <w:spacing w:before="5"/>
        <w:rPr>
          <w:b/>
          <w:i/>
        </w:rPr>
      </w:pPr>
    </w:p>
    <w:p>
      <w:pPr>
        <w:pStyle w:val="BodyText"/>
        <w:spacing w:line="276" w:lineRule="auto" w:before="1"/>
        <w:ind w:left="318" w:right="104"/>
        <w:jc w:val="both"/>
      </w:pPr>
      <w:r>
        <w:rPr/>
        <w:t>La macrófita </w:t>
      </w:r>
      <w:r>
        <w:rPr>
          <w:i/>
        </w:rPr>
        <w:t>Typha latifolia L</w:t>
      </w:r>
      <w:r>
        <w:rPr/>
        <w:t>., fue colectada en el Parque Alameda 2000 (19° 16’  04.1’’N 99° 41’ 14.7’’W) del municipio de Toluca, Estado de México (SEANPEM, 2014); las colectas se realizaron manualmente utilizando recipientes plásticos para mantenerlas con agua y ser transportadas al laboratorio. Posteriormente fue identificada taxonómicamente con el apoyo de los trabajos de Rzendowski (2001), Tejada (2010) y Forcada (2011); una vez identificada esta se aclimataron en medio artificial en recipientes de plástico obscuras para evitar la formación de algas, con agua de llave y solución nutritiva Murashige y Skoog (MS, 1962), esta última se cambio semanalmente. Las plantas se mantuvieron a una temperatura ambiente de 20± 5°C,  valor de pH  6.5</w:t>
      </w:r>
      <w:r>
        <w:rPr>
          <w:spacing w:val="10"/>
        </w:rPr>
        <w:t> </w:t>
      </w:r>
      <w:r>
        <w:rPr/>
        <w:t>±</w:t>
      </w:r>
    </w:p>
    <w:p>
      <w:pPr>
        <w:pStyle w:val="BodyText"/>
        <w:spacing w:line="276" w:lineRule="auto"/>
        <w:ind w:left="318" w:right="120"/>
        <w:jc w:val="both"/>
      </w:pPr>
      <w:r>
        <w:rPr/>
        <w:t>0.5 y fotoperiodo de luz diurna/oscuridad natural (13/11 hrs). El periodo total de aclimatación tuvo una duración de 14 días, posterior a ello fueron utilizadas en los sistemas de fitorremediación (Fig. 10).</w:t>
      </w:r>
    </w:p>
    <w:p>
      <w:pPr>
        <w:pStyle w:val="BodyText"/>
        <w:spacing w:before="2" w:after="1"/>
        <w:rPr>
          <w:sz w:val="2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99"/>
      </w:tblGrid>
      <w:tr>
        <w:trPr>
          <w:trHeight w:val="3032" w:hRule="exact"/>
        </w:trPr>
        <w:tc>
          <w:tcPr>
            <w:tcW w:w="9499" w:type="dxa"/>
          </w:tcPr>
          <w:p>
            <w:pPr>
              <w:pStyle w:val="TableParagraph"/>
              <w:ind w:left="200"/>
              <w:rPr>
                <w:sz w:val="20"/>
              </w:rPr>
            </w:pPr>
            <w:r>
              <w:rPr>
                <w:sz w:val="20"/>
              </w:rPr>
              <w:drawing>
                <wp:inline distT="0" distB="0" distL="0" distR="0">
                  <wp:extent cx="5771102" cy="1842516"/>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32" cstate="print"/>
                          <a:stretch>
                            <a:fillRect/>
                          </a:stretch>
                        </pic:blipFill>
                        <pic:spPr>
                          <a:xfrm>
                            <a:off x="0" y="0"/>
                            <a:ext cx="5771102" cy="1842516"/>
                          </a:xfrm>
                          <a:prstGeom prst="rect">
                            <a:avLst/>
                          </a:prstGeom>
                        </pic:spPr>
                      </pic:pic>
                    </a:graphicData>
                  </a:graphic>
                </wp:inline>
              </w:drawing>
            </w:r>
            <w:r>
              <w:rPr>
                <w:sz w:val="20"/>
              </w:rPr>
            </w:r>
          </w:p>
        </w:tc>
      </w:tr>
      <w:tr>
        <w:trPr>
          <w:trHeight w:val="326" w:hRule="exact"/>
        </w:trPr>
        <w:tc>
          <w:tcPr>
            <w:tcW w:w="9499" w:type="dxa"/>
          </w:tcPr>
          <w:p>
            <w:pPr>
              <w:pStyle w:val="TableParagraph"/>
              <w:spacing w:before="100"/>
              <w:ind w:left="3259"/>
              <w:rPr>
                <w:sz w:val="20"/>
              </w:rPr>
            </w:pPr>
            <w:r>
              <w:rPr>
                <w:b/>
                <w:sz w:val="20"/>
              </w:rPr>
              <w:t>Fig. 10  </w:t>
            </w:r>
            <w:r>
              <w:rPr>
                <w:sz w:val="20"/>
              </w:rPr>
              <w:t>Colecta de </w:t>
            </w:r>
            <w:r>
              <w:rPr>
                <w:i/>
                <w:sz w:val="20"/>
              </w:rPr>
              <w:t>Typha latifolia L</w:t>
            </w:r>
            <w:r>
              <w:rPr>
                <w:sz w:val="20"/>
              </w:rPr>
              <w:t>.</w:t>
            </w:r>
          </w:p>
        </w:tc>
      </w:tr>
    </w:tbl>
    <w:p>
      <w:pPr>
        <w:pStyle w:val="BodyText"/>
      </w:pPr>
    </w:p>
    <w:p>
      <w:pPr>
        <w:pStyle w:val="BodyText"/>
        <w:spacing w:before="6"/>
      </w:pPr>
    </w:p>
    <w:p>
      <w:pPr>
        <w:pStyle w:val="Heading2"/>
        <w:numPr>
          <w:ilvl w:val="2"/>
          <w:numId w:val="18"/>
        </w:numPr>
        <w:tabs>
          <w:tab w:pos="1022" w:val="left" w:leader="none"/>
        </w:tabs>
        <w:spacing w:line="240" w:lineRule="auto" w:before="1" w:after="0"/>
        <w:ind w:left="118" w:right="0" w:firstLine="200"/>
        <w:jc w:val="both"/>
      </w:pPr>
      <w:r>
        <w:rPr/>
        <w:t>Sistemas  de</w:t>
      </w:r>
      <w:r>
        <w:rPr>
          <w:spacing w:val="-15"/>
        </w:rPr>
        <w:t> </w:t>
      </w:r>
      <w:r>
        <w:rPr/>
        <w:t>fitorremediación</w:t>
      </w:r>
    </w:p>
    <w:p>
      <w:pPr>
        <w:pStyle w:val="BodyText"/>
        <w:rPr>
          <w:b/>
          <w:sz w:val="28"/>
        </w:rPr>
      </w:pPr>
    </w:p>
    <w:p>
      <w:pPr>
        <w:pStyle w:val="BodyText"/>
        <w:spacing w:line="276" w:lineRule="auto" w:before="239"/>
        <w:ind w:left="318" w:right="115"/>
        <w:jc w:val="both"/>
      </w:pPr>
      <w:r>
        <w:rPr/>
        <w:t>Se emplearon recipientes plásticos con una capacidad de 2 litros de agua electrocoagulada, repartidos en siete tratamientos (Tabla 7): 2 control (agua electrocoagulada y Typha latifolia + solución nutritiva “MS” en agua potable), los tratamientos restantes presentaron una dilución del 12.5% de agua electrocoagulada, tres plantas con una biomasa de </w:t>
      </w:r>
      <w:r>
        <w:rPr>
          <w:spacing w:val="-3"/>
        </w:rPr>
        <w:t>90±10g, </w:t>
      </w:r>
      <w:r>
        <w:rPr/>
        <w:t>valor de pH 6.4±2, rangos de temperatura de </w:t>
      </w:r>
      <w:r>
        <w:rPr>
          <w:spacing w:val="-3"/>
        </w:rPr>
        <w:t>23±3 </w:t>
      </w:r>
      <w:r>
        <w:rPr/>
        <w:t>°C, solución nutritiva MS. El sistema de fitorremediación tuvo una duración de siete días, en los cuales fueron recuperadas el agua perdida por</w:t>
      </w:r>
      <w:r>
        <w:rPr>
          <w:spacing w:val="-36"/>
        </w:rPr>
        <w:t> </w:t>
      </w:r>
      <w:r>
        <w:rPr/>
        <w:t>evapotranspiración.</w:t>
      </w:r>
    </w:p>
    <w:p>
      <w:pPr>
        <w:spacing w:after="0" w:line="276" w:lineRule="auto"/>
        <w:jc w:val="both"/>
        <w:sectPr>
          <w:footerReference w:type="default" r:id="rId31"/>
          <w:pgSz w:w="12240" w:h="15840"/>
          <w:pgMar w:footer="1480" w:header="0" w:top="1380" w:bottom="1680" w:left="1100" w:right="1300"/>
        </w:sectPr>
      </w:pPr>
    </w:p>
    <w:p>
      <w:pPr>
        <w:spacing w:before="55"/>
        <w:ind w:left="2528" w:right="0" w:firstLine="0"/>
        <w:jc w:val="left"/>
        <w:rPr>
          <w:sz w:val="20"/>
        </w:rPr>
      </w:pPr>
      <w:r>
        <w:rPr>
          <w:sz w:val="20"/>
        </w:rPr>
        <w:t>Tabla 7. Distribución de sistemas de fitorremediación</w:t>
      </w:r>
    </w:p>
    <w:p>
      <w:pPr>
        <w:pStyle w:val="BodyText"/>
        <w:spacing w:before="1"/>
        <w:rPr>
          <w:sz w:val="2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3"/>
        <w:gridCol w:w="1364"/>
        <w:gridCol w:w="1363"/>
        <w:gridCol w:w="1364"/>
        <w:gridCol w:w="1363"/>
        <w:gridCol w:w="1364"/>
        <w:gridCol w:w="1366"/>
      </w:tblGrid>
      <w:tr>
        <w:trPr>
          <w:trHeight w:val="564" w:hRule="exact"/>
        </w:trPr>
        <w:tc>
          <w:tcPr>
            <w:tcW w:w="1363" w:type="dxa"/>
          </w:tcPr>
          <w:p>
            <w:pPr>
              <w:pStyle w:val="TableParagraph"/>
              <w:ind w:left="235" w:right="125" w:hanging="94"/>
              <w:rPr>
                <w:sz w:val="24"/>
              </w:rPr>
            </w:pPr>
            <w:r>
              <w:rPr>
                <w:sz w:val="24"/>
              </w:rPr>
              <w:t>Sistema 1 (control)</w:t>
            </w:r>
          </w:p>
        </w:tc>
        <w:tc>
          <w:tcPr>
            <w:tcW w:w="1364" w:type="dxa"/>
          </w:tcPr>
          <w:p>
            <w:pPr>
              <w:pStyle w:val="TableParagraph"/>
              <w:ind w:left="235" w:right="126" w:hanging="94"/>
              <w:rPr>
                <w:sz w:val="24"/>
              </w:rPr>
            </w:pPr>
            <w:r>
              <w:rPr>
                <w:sz w:val="24"/>
              </w:rPr>
              <w:t>Sistema 2 (control)</w:t>
            </w:r>
          </w:p>
        </w:tc>
        <w:tc>
          <w:tcPr>
            <w:tcW w:w="1363" w:type="dxa"/>
          </w:tcPr>
          <w:p>
            <w:pPr>
              <w:pStyle w:val="TableParagraph"/>
              <w:spacing w:line="274" w:lineRule="exact"/>
              <w:ind w:left="121" w:right="125"/>
              <w:jc w:val="center"/>
              <w:rPr>
                <w:sz w:val="24"/>
              </w:rPr>
            </w:pPr>
            <w:r>
              <w:rPr>
                <w:sz w:val="24"/>
              </w:rPr>
              <w:t>Sistema 3</w:t>
            </w:r>
          </w:p>
          <w:p>
            <w:pPr>
              <w:pStyle w:val="TableParagraph"/>
              <w:ind w:left="121" w:right="125"/>
              <w:jc w:val="center"/>
              <w:rPr>
                <w:sz w:val="24"/>
              </w:rPr>
            </w:pPr>
            <w:r>
              <w:rPr>
                <w:sz w:val="24"/>
              </w:rPr>
              <w:t>(Día 0)</w:t>
            </w:r>
          </w:p>
        </w:tc>
        <w:tc>
          <w:tcPr>
            <w:tcW w:w="1364" w:type="dxa"/>
          </w:tcPr>
          <w:p>
            <w:pPr>
              <w:pStyle w:val="TableParagraph"/>
              <w:spacing w:line="274" w:lineRule="exact"/>
              <w:ind w:left="120" w:right="125"/>
              <w:jc w:val="center"/>
              <w:rPr>
                <w:sz w:val="24"/>
              </w:rPr>
            </w:pPr>
            <w:r>
              <w:rPr>
                <w:sz w:val="24"/>
              </w:rPr>
              <w:t>Sistema 4</w:t>
            </w:r>
          </w:p>
          <w:p>
            <w:pPr>
              <w:pStyle w:val="TableParagraph"/>
              <w:ind w:left="120" w:right="125"/>
              <w:jc w:val="center"/>
              <w:rPr>
                <w:sz w:val="24"/>
              </w:rPr>
            </w:pPr>
            <w:r>
              <w:rPr>
                <w:sz w:val="24"/>
              </w:rPr>
              <w:t>(Día 1)</w:t>
            </w:r>
          </w:p>
        </w:tc>
        <w:tc>
          <w:tcPr>
            <w:tcW w:w="1363" w:type="dxa"/>
          </w:tcPr>
          <w:p>
            <w:pPr>
              <w:pStyle w:val="TableParagraph"/>
              <w:spacing w:line="274" w:lineRule="exact"/>
              <w:ind w:left="121" w:right="125"/>
              <w:jc w:val="center"/>
              <w:rPr>
                <w:sz w:val="24"/>
              </w:rPr>
            </w:pPr>
            <w:r>
              <w:rPr>
                <w:sz w:val="24"/>
              </w:rPr>
              <w:t>Sistema 5</w:t>
            </w:r>
          </w:p>
          <w:p>
            <w:pPr>
              <w:pStyle w:val="TableParagraph"/>
              <w:ind w:left="121" w:right="125"/>
              <w:jc w:val="center"/>
              <w:rPr>
                <w:sz w:val="24"/>
              </w:rPr>
            </w:pPr>
            <w:r>
              <w:rPr>
                <w:sz w:val="24"/>
              </w:rPr>
              <w:t>(día 3)</w:t>
            </w:r>
          </w:p>
        </w:tc>
        <w:tc>
          <w:tcPr>
            <w:tcW w:w="1364" w:type="dxa"/>
          </w:tcPr>
          <w:p>
            <w:pPr>
              <w:pStyle w:val="TableParagraph"/>
              <w:spacing w:line="274" w:lineRule="exact"/>
              <w:ind w:left="123" w:right="124"/>
              <w:jc w:val="center"/>
              <w:rPr>
                <w:sz w:val="24"/>
              </w:rPr>
            </w:pPr>
            <w:r>
              <w:rPr>
                <w:sz w:val="24"/>
              </w:rPr>
              <w:t>Sistema 6</w:t>
            </w:r>
          </w:p>
          <w:p>
            <w:pPr>
              <w:pStyle w:val="TableParagraph"/>
              <w:ind w:left="123" w:right="124"/>
              <w:jc w:val="center"/>
              <w:rPr>
                <w:sz w:val="24"/>
              </w:rPr>
            </w:pPr>
            <w:r>
              <w:rPr>
                <w:sz w:val="24"/>
              </w:rPr>
              <w:t>(día 5)</w:t>
            </w:r>
          </w:p>
        </w:tc>
        <w:tc>
          <w:tcPr>
            <w:tcW w:w="1366" w:type="dxa"/>
          </w:tcPr>
          <w:p>
            <w:pPr>
              <w:pStyle w:val="TableParagraph"/>
              <w:spacing w:line="274" w:lineRule="exact"/>
              <w:ind w:left="123" w:right="125"/>
              <w:jc w:val="center"/>
              <w:rPr>
                <w:sz w:val="24"/>
              </w:rPr>
            </w:pPr>
            <w:r>
              <w:rPr>
                <w:sz w:val="24"/>
              </w:rPr>
              <w:t>Sistema 7</w:t>
            </w:r>
          </w:p>
          <w:p>
            <w:pPr>
              <w:pStyle w:val="TableParagraph"/>
              <w:ind w:left="123" w:right="125"/>
              <w:jc w:val="center"/>
              <w:rPr>
                <w:sz w:val="24"/>
              </w:rPr>
            </w:pPr>
            <w:r>
              <w:rPr>
                <w:sz w:val="24"/>
              </w:rPr>
              <w:t>(día 7)</w:t>
            </w:r>
          </w:p>
        </w:tc>
      </w:tr>
      <w:tr>
        <w:trPr>
          <w:trHeight w:val="1666" w:hRule="exact"/>
        </w:trPr>
        <w:tc>
          <w:tcPr>
            <w:tcW w:w="1363" w:type="dxa"/>
          </w:tcPr>
          <w:p>
            <w:pPr>
              <w:pStyle w:val="TableParagraph"/>
              <w:rPr>
                <w:sz w:val="24"/>
              </w:rPr>
            </w:pPr>
          </w:p>
          <w:p>
            <w:pPr>
              <w:pStyle w:val="TableParagraph"/>
              <w:rPr>
                <w:sz w:val="24"/>
              </w:rPr>
            </w:pPr>
          </w:p>
          <w:p>
            <w:pPr>
              <w:pStyle w:val="TableParagraph"/>
              <w:spacing w:before="7"/>
              <w:rPr>
                <w:sz w:val="23"/>
              </w:rPr>
            </w:pPr>
          </w:p>
          <w:p>
            <w:pPr>
              <w:pStyle w:val="TableParagraph"/>
              <w:ind w:left="496" w:right="496"/>
              <w:jc w:val="center"/>
              <w:rPr>
                <w:sz w:val="24"/>
              </w:rPr>
            </w:pPr>
            <w:r>
              <w:rPr>
                <w:sz w:val="24"/>
              </w:rPr>
              <w:t>AE</w:t>
            </w:r>
          </w:p>
        </w:tc>
        <w:tc>
          <w:tcPr>
            <w:tcW w:w="1364" w:type="dxa"/>
          </w:tcPr>
          <w:p>
            <w:pPr>
              <w:pStyle w:val="TableParagraph"/>
              <w:spacing w:before="7"/>
              <w:rPr>
                <w:sz w:val="23"/>
              </w:rPr>
            </w:pPr>
          </w:p>
          <w:p>
            <w:pPr>
              <w:pStyle w:val="TableParagraph"/>
              <w:ind w:left="283" w:right="280" w:hanging="3"/>
              <w:jc w:val="center"/>
              <w:rPr>
                <w:sz w:val="24"/>
              </w:rPr>
            </w:pPr>
            <w:r>
              <w:rPr>
                <w:sz w:val="24"/>
              </w:rPr>
              <w:t>Agua potable</w:t>
            </w:r>
          </w:p>
          <w:p>
            <w:pPr>
              <w:pStyle w:val="TableParagraph"/>
              <w:jc w:val="center"/>
              <w:rPr>
                <w:sz w:val="24"/>
              </w:rPr>
            </w:pPr>
            <w:r>
              <w:rPr>
                <w:w w:val="100"/>
                <w:sz w:val="24"/>
              </w:rPr>
              <w:t>+</w:t>
            </w:r>
          </w:p>
          <w:p>
            <w:pPr>
              <w:pStyle w:val="TableParagraph"/>
              <w:ind w:left="170" w:right="167" w:hanging="6"/>
              <w:jc w:val="center"/>
              <w:rPr>
                <w:sz w:val="24"/>
              </w:rPr>
            </w:pPr>
            <w:r>
              <w:rPr>
                <w:sz w:val="24"/>
              </w:rPr>
              <w:t>Typha latifolia L.</w:t>
            </w:r>
          </w:p>
        </w:tc>
        <w:tc>
          <w:tcPr>
            <w:tcW w:w="1363" w:type="dxa"/>
          </w:tcPr>
          <w:p>
            <w:pPr>
              <w:pStyle w:val="TableParagraph"/>
              <w:spacing w:before="7"/>
              <w:rPr>
                <w:sz w:val="23"/>
              </w:rPr>
            </w:pPr>
          </w:p>
          <w:p>
            <w:pPr>
              <w:pStyle w:val="TableParagraph"/>
              <w:ind w:left="333" w:right="334" w:hanging="2"/>
              <w:jc w:val="center"/>
              <w:rPr>
                <w:sz w:val="24"/>
              </w:rPr>
            </w:pPr>
            <w:r>
              <w:rPr>
                <w:sz w:val="24"/>
              </w:rPr>
              <w:t>AE al 12.5%</w:t>
            </w:r>
          </w:p>
          <w:p>
            <w:pPr>
              <w:pStyle w:val="TableParagraph"/>
              <w:ind w:right="1"/>
              <w:jc w:val="center"/>
              <w:rPr>
                <w:sz w:val="24"/>
              </w:rPr>
            </w:pPr>
            <w:r>
              <w:rPr>
                <w:w w:val="100"/>
                <w:sz w:val="24"/>
              </w:rPr>
              <w:t>+</w:t>
            </w:r>
          </w:p>
          <w:p>
            <w:pPr>
              <w:pStyle w:val="TableParagraph"/>
              <w:ind w:left="167" w:right="169" w:hanging="6"/>
              <w:jc w:val="center"/>
              <w:rPr>
                <w:sz w:val="24"/>
              </w:rPr>
            </w:pPr>
            <w:r>
              <w:rPr>
                <w:sz w:val="24"/>
              </w:rPr>
              <w:t>Typha latifolia L.</w:t>
            </w:r>
          </w:p>
        </w:tc>
        <w:tc>
          <w:tcPr>
            <w:tcW w:w="1364" w:type="dxa"/>
          </w:tcPr>
          <w:p>
            <w:pPr>
              <w:pStyle w:val="TableParagraph"/>
              <w:spacing w:before="7"/>
              <w:rPr>
                <w:sz w:val="23"/>
              </w:rPr>
            </w:pPr>
          </w:p>
          <w:p>
            <w:pPr>
              <w:pStyle w:val="TableParagraph"/>
              <w:ind w:left="333" w:right="334" w:hanging="3"/>
              <w:jc w:val="center"/>
              <w:rPr>
                <w:sz w:val="24"/>
              </w:rPr>
            </w:pPr>
            <w:r>
              <w:rPr>
                <w:sz w:val="24"/>
              </w:rPr>
              <w:t>AE al 12.5%</w:t>
            </w:r>
          </w:p>
          <w:p>
            <w:pPr>
              <w:pStyle w:val="TableParagraph"/>
              <w:ind w:right="1"/>
              <w:jc w:val="center"/>
              <w:rPr>
                <w:sz w:val="24"/>
              </w:rPr>
            </w:pPr>
            <w:r>
              <w:rPr>
                <w:w w:val="100"/>
                <w:sz w:val="24"/>
              </w:rPr>
              <w:t>+</w:t>
            </w:r>
          </w:p>
          <w:p>
            <w:pPr>
              <w:pStyle w:val="TableParagraph"/>
              <w:ind w:left="167" w:right="171" w:hanging="6"/>
              <w:jc w:val="center"/>
              <w:rPr>
                <w:sz w:val="24"/>
              </w:rPr>
            </w:pPr>
            <w:r>
              <w:rPr>
                <w:sz w:val="24"/>
              </w:rPr>
              <w:t>Typha latifolia L.</w:t>
            </w:r>
          </w:p>
        </w:tc>
        <w:tc>
          <w:tcPr>
            <w:tcW w:w="1363" w:type="dxa"/>
          </w:tcPr>
          <w:p>
            <w:pPr>
              <w:pStyle w:val="TableParagraph"/>
              <w:spacing w:before="7"/>
              <w:rPr>
                <w:sz w:val="23"/>
              </w:rPr>
            </w:pPr>
          </w:p>
          <w:p>
            <w:pPr>
              <w:pStyle w:val="TableParagraph"/>
              <w:ind w:left="333" w:right="334" w:hanging="2"/>
              <w:jc w:val="center"/>
              <w:rPr>
                <w:sz w:val="24"/>
              </w:rPr>
            </w:pPr>
            <w:r>
              <w:rPr>
                <w:sz w:val="24"/>
              </w:rPr>
              <w:t>AE al 12.5%</w:t>
            </w:r>
          </w:p>
          <w:p>
            <w:pPr>
              <w:pStyle w:val="TableParagraph"/>
              <w:ind w:right="1"/>
              <w:jc w:val="center"/>
              <w:rPr>
                <w:sz w:val="24"/>
              </w:rPr>
            </w:pPr>
            <w:r>
              <w:rPr>
                <w:w w:val="100"/>
                <w:sz w:val="24"/>
              </w:rPr>
              <w:t>+</w:t>
            </w:r>
          </w:p>
          <w:p>
            <w:pPr>
              <w:pStyle w:val="TableParagraph"/>
              <w:ind w:left="168" w:right="169" w:hanging="6"/>
              <w:jc w:val="center"/>
              <w:rPr>
                <w:sz w:val="24"/>
              </w:rPr>
            </w:pPr>
            <w:r>
              <w:rPr>
                <w:sz w:val="24"/>
              </w:rPr>
              <w:t>Typha latifolia L.</w:t>
            </w:r>
          </w:p>
        </w:tc>
        <w:tc>
          <w:tcPr>
            <w:tcW w:w="1364" w:type="dxa"/>
          </w:tcPr>
          <w:p>
            <w:pPr>
              <w:pStyle w:val="TableParagraph"/>
              <w:spacing w:before="7"/>
              <w:rPr>
                <w:sz w:val="23"/>
              </w:rPr>
            </w:pPr>
          </w:p>
          <w:p>
            <w:pPr>
              <w:pStyle w:val="TableParagraph"/>
              <w:ind w:left="336" w:right="332" w:hanging="2"/>
              <w:jc w:val="center"/>
              <w:rPr>
                <w:sz w:val="24"/>
              </w:rPr>
            </w:pPr>
            <w:r>
              <w:rPr>
                <w:sz w:val="24"/>
              </w:rPr>
              <w:t>AE al 12.5%</w:t>
            </w:r>
          </w:p>
          <w:p>
            <w:pPr>
              <w:pStyle w:val="TableParagraph"/>
              <w:ind w:left="1"/>
              <w:jc w:val="center"/>
              <w:rPr>
                <w:sz w:val="24"/>
              </w:rPr>
            </w:pPr>
            <w:r>
              <w:rPr>
                <w:w w:val="100"/>
                <w:sz w:val="24"/>
              </w:rPr>
              <w:t>+</w:t>
            </w:r>
          </w:p>
          <w:p>
            <w:pPr>
              <w:pStyle w:val="TableParagraph"/>
              <w:ind w:left="170" w:right="167" w:hanging="6"/>
              <w:jc w:val="center"/>
              <w:rPr>
                <w:sz w:val="24"/>
              </w:rPr>
            </w:pPr>
            <w:r>
              <w:rPr>
                <w:sz w:val="24"/>
              </w:rPr>
              <w:t>Typha latifolia L.</w:t>
            </w:r>
          </w:p>
        </w:tc>
        <w:tc>
          <w:tcPr>
            <w:tcW w:w="1366" w:type="dxa"/>
          </w:tcPr>
          <w:p>
            <w:pPr>
              <w:pStyle w:val="TableParagraph"/>
              <w:spacing w:before="7"/>
              <w:rPr>
                <w:sz w:val="23"/>
              </w:rPr>
            </w:pPr>
          </w:p>
          <w:p>
            <w:pPr>
              <w:pStyle w:val="TableParagraph"/>
              <w:ind w:left="336" w:right="335" w:hanging="2"/>
              <w:jc w:val="center"/>
              <w:rPr>
                <w:sz w:val="24"/>
              </w:rPr>
            </w:pPr>
            <w:r>
              <w:rPr>
                <w:sz w:val="24"/>
              </w:rPr>
              <w:t>AE al 12.5%</w:t>
            </w:r>
          </w:p>
          <w:p>
            <w:pPr>
              <w:pStyle w:val="TableParagraph"/>
              <w:ind w:right="1"/>
              <w:jc w:val="center"/>
              <w:rPr>
                <w:sz w:val="24"/>
              </w:rPr>
            </w:pPr>
            <w:r>
              <w:rPr>
                <w:w w:val="100"/>
                <w:sz w:val="24"/>
              </w:rPr>
              <w:t>+</w:t>
            </w:r>
          </w:p>
          <w:p>
            <w:pPr>
              <w:pStyle w:val="TableParagraph"/>
              <w:ind w:left="170" w:right="171" w:hanging="6"/>
              <w:jc w:val="center"/>
              <w:rPr>
                <w:sz w:val="24"/>
              </w:rPr>
            </w:pPr>
            <w:r>
              <w:rPr>
                <w:sz w:val="24"/>
              </w:rPr>
              <w:t>Typha latifolia L.</w:t>
            </w:r>
          </w:p>
        </w:tc>
      </w:tr>
    </w:tbl>
    <w:p>
      <w:pPr>
        <w:pStyle w:val="BodyText"/>
        <w:rPr>
          <w:sz w:val="20"/>
        </w:rPr>
      </w:pPr>
    </w:p>
    <w:p>
      <w:pPr>
        <w:pStyle w:val="BodyText"/>
        <w:spacing w:before="3"/>
        <w:rPr>
          <w:sz w:val="22"/>
        </w:rPr>
      </w:pPr>
    </w:p>
    <w:p>
      <w:pPr>
        <w:pStyle w:val="Heading2"/>
        <w:numPr>
          <w:ilvl w:val="2"/>
          <w:numId w:val="18"/>
        </w:numPr>
        <w:tabs>
          <w:tab w:pos="882" w:val="left" w:leader="none"/>
        </w:tabs>
        <w:spacing w:line="240" w:lineRule="auto" w:before="65" w:after="0"/>
        <w:ind w:left="882" w:right="0" w:hanging="704"/>
        <w:jc w:val="both"/>
      </w:pPr>
      <w:r>
        <w:rPr/>
        <w:t>Determinación de pigmentos en</w:t>
      </w:r>
      <w:r>
        <w:rPr>
          <w:spacing w:val="-17"/>
        </w:rPr>
        <w:t> </w:t>
      </w:r>
      <w:r>
        <w:rPr/>
        <w:t>planta</w:t>
      </w:r>
    </w:p>
    <w:p>
      <w:pPr>
        <w:pStyle w:val="BodyText"/>
        <w:rPr>
          <w:b/>
          <w:sz w:val="28"/>
        </w:rPr>
      </w:pPr>
    </w:p>
    <w:p>
      <w:pPr>
        <w:pStyle w:val="BodyText"/>
        <w:spacing w:line="276" w:lineRule="auto" w:before="236"/>
        <w:ind w:left="178" w:right="192"/>
        <w:jc w:val="both"/>
      </w:pPr>
      <w:r>
        <w:rPr/>
        <w:t>Para conocer el estado de salud de las plantas debido a la manipulación y exposición a la mezcla de metales, se realizo utilizando el método de la Agencia de Protección Ambiental de Estados Unidos (USEPA, 1997). Que establecen el pesaje de 0.344 g de hojas de planta, las cuales se maceraron con solución para extracción de clorofilas y se colocaron en tubo de cristal forrado da papel aluminio con la finalidad de que no se degraden las clorofilas posteriormente fue llevado a refrigeración por 2 hrs. Durante  este periodo en otros tubos son colocados 8 mL acetona al 80%, en los cuales se les añadirá una alícuota de 2 mL de los tubos en refrigeración esta mezcla debe ser homogenizada, para finalizar es leída mediante espectrofotometría ultravioleta/visible “UV-Vis” utilizando un Genesys Model 10S Thermo spectrephometer a 663 nm (clorofila A), 645 nm (clorofila B) y 470 nm (carotenos), con los datos obtenidos fueron  calculadas las concentraciones de clorofilas y carotenos utilizando las ecuaciones (1, 2 y</w:t>
      </w:r>
      <w:r>
        <w:rPr>
          <w:spacing w:val="-3"/>
        </w:rPr>
        <w:t> </w:t>
      </w:r>
      <w:r>
        <w:rPr/>
        <w:t>3):</w:t>
      </w:r>
    </w:p>
    <w:p>
      <w:pPr>
        <w:pStyle w:val="BodyText"/>
      </w:pPr>
    </w:p>
    <w:p>
      <w:pPr>
        <w:pStyle w:val="BodyText"/>
        <w:spacing w:before="9"/>
        <w:rPr>
          <w:sz w:val="23"/>
        </w:rPr>
      </w:pPr>
    </w:p>
    <w:p>
      <w:pPr>
        <w:pStyle w:val="BodyText"/>
        <w:ind w:left="538" w:right="3399"/>
      </w:pPr>
      <w:r>
        <w:rPr/>
        <w:t>1) mg/mL (clorofila a)= (12.7*Abs 663)-(2.69*Abs 645) 2)  mg/mL (clorofila b)= (22.9*Abs 645)-(4.68*Abs 663)</w:t>
      </w:r>
    </w:p>
    <w:p>
      <w:pPr>
        <w:pStyle w:val="BodyText"/>
        <w:ind w:left="538" w:right="3047"/>
      </w:pPr>
      <w:r>
        <w:rPr/>
        <w:t>3) µg/mL (carotenes)= (3.775*Abs 470)-(0.21*clorofila b) 4)</w:t>
      </w:r>
    </w:p>
    <w:p>
      <w:pPr>
        <w:pStyle w:val="BodyText"/>
      </w:pPr>
    </w:p>
    <w:p>
      <w:pPr>
        <w:pStyle w:val="BodyText"/>
        <w:spacing w:line="278" w:lineRule="auto"/>
        <w:ind w:left="178" w:right="197"/>
        <w:jc w:val="both"/>
      </w:pPr>
      <w:r>
        <w:rPr/>
        <w:t>Para conocer la concentración tolerante para </w:t>
      </w:r>
      <w:r>
        <w:rPr>
          <w:i/>
        </w:rPr>
        <w:t>Typha latifolia L</w:t>
      </w:r>
      <w:r>
        <w:rPr/>
        <w:t>., se realizo un análisis de varianza (ANOVA) al 95% con la finalidad de identificar la existencia o no de diferencias significativas del biomarcador con respecto al control.</w:t>
      </w:r>
    </w:p>
    <w:p>
      <w:pPr>
        <w:spacing w:after="0" w:line="278" w:lineRule="auto"/>
        <w:jc w:val="both"/>
        <w:sectPr>
          <w:footerReference w:type="default" r:id="rId33"/>
          <w:pgSz w:w="12240" w:h="15840"/>
          <w:pgMar w:footer="1480" w:header="0" w:top="1360" w:bottom="1680" w:left="1240" w:right="1220"/>
          <w:pgNumType w:start="31"/>
        </w:sectPr>
      </w:pPr>
    </w:p>
    <w:p>
      <w:pPr>
        <w:pStyle w:val="Heading2"/>
        <w:numPr>
          <w:ilvl w:val="2"/>
          <w:numId w:val="18"/>
        </w:numPr>
        <w:tabs>
          <w:tab w:pos="822" w:val="left" w:leader="none"/>
        </w:tabs>
        <w:spacing w:line="240" w:lineRule="auto" w:before="52" w:after="0"/>
        <w:ind w:left="822" w:right="0" w:hanging="704"/>
        <w:jc w:val="both"/>
      </w:pPr>
      <w:r>
        <w:rPr/>
        <w:t>Cinética de remoción de metales mediante</w:t>
      </w:r>
      <w:r>
        <w:rPr>
          <w:spacing w:val="-27"/>
        </w:rPr>
        <w:t> </w:t>
      </w:r>
      <w:r>
        <w:rPr/>
        <w:t>Fitorremediación</w:t>
      </w:r>
    </w:p>
    <w:p>
      <w:pPr>
        <w:pStyle w:val="BodyText"/>
        <w:spacing w:line="276" w:lineRule="auto" w:before="249"/>
        <w:ind w:left="118" w:right="111"/>
        <w:jc w:val="both"/>
      </w:pPr>
      <w:r>
        <w:rPr/>
        <w:t>Fue determinado a partir del porcentaje de remoción del Cu</w:t>
      </w:r>
      <w:r>
        <w:rPr>
          <w:position w:val="11"/>
          <w:sz w:val="16"/>
        </w:rPr>
        <w:t>2+</w:t>
      </w:r>
      <w:r>
        <w:rPr/>
        <w:t>, Cd</w:t>
      </w:r>
      <w:r>
        <w:rPr>
          <w:position w:val="11"/>
          <w:sz w:val="16"/>
        </w:rPr>
        <w:t>2+</w:t>
      </w:r>
      <w:r>
        <w:rPr/>
        <w:t>, Zn</w:t>
      </w:r>
      <w:r>
        <w:rPr>
          <w:position w:val="11"/>
          <w:sz w:val="16"/>
        </w:rPr>
        <w:t>2+ </w:t>
      </w:r>
      <w:r>
        <w:rPr/>
        <w:t>y Pb</w:t>
      </w:r>
      <w:r>
        <w:rPr>
          <w:position w:val="11"/>
          <w:sz w:val="16"/>
        </w:rPr>
        <w:t>2+ </w:t>
      </w:r>
      <w:r>
        <w:rPr/>
        <w:t>por </w:t>
      </w:r>
      <w:r>
        <w:rPr>
          <w:i/>
        </w:rPr>
        <w:t>Typha latifolia L</w:t>
      </w:r>
      <w:r>
        <w:rPr/>
        <w:t>., estas fueron pesadas para mantener una biomasa constante del </w:t>
      </w:r>
      <w:r>
        <w:rPr>
          <w:spacing w:val="-3"/>
        </w:rPr>
        <w:t>90±10 </w:t>
      </w:r>
      <w:r>
        <w:rPr/>
        <w:t>g, posteriormente se expusieron a 2L de agua electrocoagulada (12.5%) con las siguientes concentraciones de metales Cu (1.25 mg/L), Cd (9 mg/L), Zn (0 mg/L) y (0.2 mg/L); mas la adición de 2 ml de medio nutritivo MS, valor de pH entre 5.8± 1, temperatura de </w:t>
      </w:r>
      <w:r>
        <w:rPr>
          <w:spacing w:val="-3"/>
        </w:rPr>
        <w:t>21±2 </w:t>
      </w:r>
      <w:r>
        <w:rPr/>
        <w:t>°C, periodos naturales de luz y obscuridad. Las plantas fueron expuesta al agua electrocoagulada durante 7</w:t>
      </w:r>
      <w:r>
        <w:rPr>
          <w:spacing w:val="-16"/>
        </w:rPr>
        <w:t> </w:t>
      </w:r>
      <w:r>
        <w:rPr/>
        <w:t>días.</w:t>
      </w:r>
    </w:p>
    <w:p>
      <w:pPr>
        <w:pStyle w:val="BodyText"/>
      </w:pPr>
    </w:p>
    <w:p>
      <w:pPr>
        <w:pStyle w:val="BodyText"/>
      </w:pPr>
    </w:p>
    <w:p>
      <w:pPr>
        <w:pStyle w:val="BodyText"/>
        <w:spacing w:before="3"/>
        <w:rPr>
          <w:sz w:val="21"/>
        </w:rPr>
      </w:pPr>
    </w:p>
    <w:p>
      <w:pPr>
        <w:pStyle w:val="Heading2"/>
        <w:numPr>
          <w:ilvl w:val="2"/>
          <w:numId w:val="18"/>
        </w:numPr>
        <w:tabs>
          <w:tab w:pos="822" w:val="left" w:leader="none"/>
        </w:tabs>
        <w:spacing w:line="240" w:lineRule="auto" w:before="0" w:after="0"/>
        <w:ind w:left="822" w:right="0" w:hanging="704"/>
        <w:jc w:val="both"/>
      </w:pPr>
      <w:r>
        <w:rPr/>
        <w:t>Concentración de metales en agua y</w:t>
      </w:r>
      <w:r>
        <w:rPr>
          <w:spacing w:val="-21"/>
        </w:rPr>
        <w:t> </w:t>
      </w:r>
      <w:r>
        <w:rPr/>
        <w:t>biomasa</w:t>
      </w:r>
    </w:p>
    <w:p>
      <w:pPr>
        <w:pStyle w:val="BodyText"/>
        <w:spacing w:before="5"/>
        <w:rPr>
          <w:b/>
        </w:rPr>
      </w:pPr>
    </w:p>
    <w:p>
      <w:pPr>
        <w:pStyle w:val="BodyText"/>
        <w:spacing w:line="278" w:lineRule="auto" w:before="1"/>
        <w:ind w:left="118" w:right="118"/>
        <w:jc w:val="both"/>
      </w:pPr>
      <w:r>
        <w:rPr/>
        <w:t>La determinación de las concentraciones de metales en el sistema de fitorremediación, fueron llevadas a cabo tanto en agua y biomasa (raíz y parte aérea).</w:t>
      </w:r>
    </w:p>
    <w:p>
      <w:pPr>
        <w:pStyle w:val="BodyText"/>
        <w:spacing w:before="4"/>
        <w:rPr>
          <w:sz w:val="27"/>
        </w:rPr>
      </w:pPr>
    </w:p>
    <w:p>
      <w:pPr>
        <w:pStyle w:val="BodyText"/>
        <w:spacing w:line="276" w:lineRule="auto"/>
        <w:ind w:left="118" w:right="118"/>
        <w:jc w:val="both"/>
      </w:pPr>
      <w:r>
        <w:rPr/>
        <w:t>Para la determinación de la concentración de metales en el agua se tomaron a los días (0, 1, 3, 5 y 7) del tratamiento las cuales fueron filtradas a través de papel filtro de   0.45</w:t>
      </w:r>
    </w:p>
    <w:p>
      <w:pPr>
        <w:pStyle w:val="BodyText"/>
        <w:spacing w:line="271" w:lineRule="auto" w:before="3"/>
        <w:ind w:left="118" w:right="108"/>
        <w:jc w:val="both"/>
      </w:pPr>
      <w:r>
        <w:rPr/>
        <w:t>µm, posteriormente se acidificaron con HNO</w:t>
      </w:r>
      <w:r>
        <w:rPr>
          <w:position w:val="-2"/>
          <w:sz w:val="16"/>
        </w:rPr>
        <w:t>3 </w:t>
      </w:r>
      <w:r>
        <w:rPr/>
        <w:t>concentrado y llevadas a refrigeración. La cuantificación de las concentraciones se realizó mediante espectrofotometría de absorción atómica utilizando un equipo Avanta GBC 3000. Respecto a la biomasa se realizo por separado para la raíz y parte aérea, para lo cual fueron secadas a 70 °C y trituradas mediante un molino eléctrico IKA modelo MF 10 BS1 a un tamaño de  partícula de 20 mesh y posteriormente fueron sometidas a </w:t>
      </w:r>
      <w:r>
        <w:rPr>
          <w:spacing w:val="2"/>
        </w:rPr>
        <w:t>una </w:t>
      </w:r>
      <w:r>
        <w:rPr/>
        <w:t>digestión diacida H</w:t>
      </w:r>
      <w:r>
        <w:rPr>
          <w:position w:val="-2"/>
          <w:sz w:val="16"/>
        </w:rPr>
        <w:t>2</w:t>
      </w:r>
      <w:r>
        <w:rPr/>
        <w:t>SO</w:t>
      </w:r>
      <w:r>
        <w:rPr>
          <w:position w:val="-2"/>
          <w:sz w:val="16"/>
        </w:rPr>
        <w:t>4</w:t>
      </w:r>
      <w:r>
        <w:rPr/>
        <w:t>- HClO</w:t>
      </w:r>
      <w:r>
        <w:rPr>
          <w:position w:val="-2"/>
          <w:sz w:val="16"/>
        </w:rPr>
        <w:t>4 </w:t>
      </w:r>
      <w:r>
        <w:rPr/>
        <w:t>(rel 4:1), para finalmente ser</w:t>
      </w:r>
      <w:r>
        <w:rPr>
          <w:spacing w:val="2"/>
        </w:rPr>
        <w:t> </w:t>
      </w:r>
      <w:r>
        <w:rPr/>
        <w:t>cuantificadas.</w:t>
      </w:r>
    </w:p>
    <w:p>
      <w:pPr>
        <w:pStyle w:val="BodyText"/>
        <w:rPr>
          <w:sz w:val="26"/>
        </w:rPr>
      </w:pPr>
    </w:p>
    <w:p>
      <w:pPr>
        <w:pStyle w:val="BodyText"/>
        <w:spacing w:before="1"/>
        <w:rPr>
          <w:sz w:val="21"/>
        </w:rPr>
      </w:pPr>
    </w:p>
    <w:p>
      <w:pPr>
        <w:pStyle w:val="Heading2"/>
        <w:numPr>
          <w:ilvl w:val="2"/>
          <w:numId w:val="18"/>
        </w:numPr>
        <w:tabs>
          <w:tab w:pos="1161" w:val="left" w:leader="none"/>
        </w:tabs>
        <w:spacing w:line="240" w:lineRule="auto" w:before="0" w:after="0"/>
        <w:ind w:left="118" w:right="108" w:firstLine="0"/>
        <w:jc w:val="both"/>
        <w:rPr>
          <w:sz w:val="24"/>
        </w:rPr>
      </w:pPr>
      <w:r>
        <w:rPr/>
        <w:t>Determinación de Factor de Traslocación (FT) y Bioconcentración</w:t>
      </w:r>
      <w:r>
        <w:rPr>
          <w:spacing w:val="-10"/>
        </w:rPr>
        <w:t> </w:t>
      </w:r>
      <w:r>
        <w:rPr/>
        <w:t>(FBC</w:t>
      </w:r>
      <w:r>
        <w:rPr>
          <w:sz w:val="24"/>
        </w:rPr>
        <w:t>)</w:t>
      </w:r>
    </w:p>
    <w:p>
      <w:pPr>
        <w:pStyle w:val="BodyText"/>
        <w:spacing w:before="3"/>
        <w:rPr>
          <w:b/>
        </w:rPr>
      </w:pPr>
    </w:p>
    <w:p>
      <w:pPr>
        <w:pStyle w:val="BodyText"/>
        <w:spacing w:line="276" w:lineRule="auto"/>
        <w:ind w:left="118" w:right="114"/>
        <w:jc w:val="both"/>
      </w:pPr>
      <w:r>
        <w:rPr/>
        <w:t>Con la obtención de estos datos de concentración de metales en la biomasa, se estimaron los factores de bioconcentración (BCF) calculada mediante la ecuación (7) en parte aérea y raíz (Maldonado </w:t>
      </w:r>
      <w:r>
        <w:rPr>
          <w:i/>
        </w:rPr>
        <w:t>et al</w:t>
      </w:r>
      <w:r>
        <w:rPr/>
        <w:t>., 2011; Ruíz y Armienta, 2012). Para el Factor de Translocación de la macrófita se calculo de acuerdo a la ecuación (8) propuestas por (Ali et al., 2013; Chandra et al.,</w:t>
      </w:r>
      <w:r>
        <w:rPr>
          <w:spacing w:val="-14"/>
        </w:rPr>
        <w:t> </w:t>
      </w:r>
      <w:r>
        <w:rPr/>
        <w:t>2014).</w:t>
      </w:r>
    </w:p>
    <w:p>
      <w:pPr>
        <w:pStyle w:val="BodyText"/>
        <w:rPr>
          <w:sz w:val="20"/>
        </w:rPr>
      </w:pPr>
    </w:p>
    <w:p>
      <w:pPr>
        <w:pStyle w:val="BodyText"/>
        <w:spacing w:before="10"/>
      </w:pPr>
      <w:r>
        <w:rPr/>
        <w:drawing>
          <wp:anchor distT="0" distB="0" distL="0" distR="0" allowOverlap="1" layoutInCell="1" locked="0" behindDoc="0" simplePos="0" relativeHeight="1912">
            <wp:simplePos x="0" y="0"/>
            <wp:positionH relativeFrom="page">
              <wp:posOffset>2762885</wp:posOffset>
            </wp:positionH>
            <wp:positionV relativeFrom="paragraph">
              <wp:posOffset>206464</wp:posOffset>
            </wp:positionV>
            <wp:extent cx="2224879" cy="537495"/>
            <wp:effectExtent l="0" t="0" r="0" b="0"/>
            <wp:wrapTopAndBottom/>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34" cstate="print"/>
                    <a:stretch>
                      <a:fillRect/>
                    </a:stretch>
                  </pic:blipFill>
                  <pic:spPr>
                    <a:xfrm>
                      <a:off x="0" y="0"/>
                      <a:ext cx="2224879" cy="537495"/>
                    </a:xfrm>
                    <a:prstGeom prst="rect">
                      <a:avLst/>
                    </a:prstGeom>
                  </pic:spPr>
                </pic:pic>
              </a:graphicData>
            </a:graphic>
          </wp:anchor>
        </w:drawing>
      </w:r>
    </w:p>
    <w:p>
      <w:pPr>
        <w:spacing w:after="0"/>
        <w:sectPr>
          <w:pgSz w:w="12240" w:h="15840"/>
          <w:pgMar w:header="0" w:footer="1480" w:top="1360" w:bottom="1680" w:left="1300" w:right="1300"/>
        </w:sectPr>
      </w:pPr>
    </w:p>
    <w:p>
      <w:pPr>
        <w:pStyle w:val="BodyText"/>
        <w:rPr>
          <w:sz w:val="20"/>
        </w:rPr>
      </w:pPr>
    </w:p>
    <w:p>
      <w:pPr>
        <w:pStyle w:val="BodyText"/>
        <w:spacing w:before="5"/>
        <w:rPr>
          <w:sz w:val="10"/>
        </w:rPr>
      </w:pPr>
    </w:p>
    <w:p>
      <w:pPr>
        <w:pStyle w:val="BodyText"/>
        <w:ind w:left="3092"/>
        <w:rPr>
          <w:sz w:val="20"/>
        </w:rPr>
      </w:pPr>
      <w:r>
        <w:rPr>
          <w:sz w:val="20"/>
        </w:rPr>
        <w:drawing>
          <wp:inline distT="0" distB="0" distL="0" distR="0">
            <wp:extent cx="2190645" cy="499776"/>
            <wp:effectExtent l="0" t="0" r="0" b="0"/>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35" cstate="print"/>
                    <a:stretch>
                      <a:fillRect/>
                    </a:stretch>
                  </pic:blipFill>
                  <pic:spPr>
                    <a:xfrm>
                      <a:off x="0" y="0"/>
                      <a:ext cx="2190645" cy="499776"/>
                    </a:xfrm>
                    <a:prstGeom prst="rect">
                      <a:avLst/>
                    </a:prstGeom>
                  </pic:spPr>
                </pic:pic>
              </a:graphicData>
            </a:graphic>
          </wp:inline>
        </w:drawing>
      </w:r>
      <w:r>
        <w:rPr>
          <w:sz w:val="20"/>
        </w:rPr>
      </w:r>
    </w:p>
    <w:p>
      <w:pPr>
        <w:pStyle w:val="BodyText"/>
        <w:spacing w:before="8"/>
        <w:rPr>
          <w:sz w:val="15"/>
        </w:rPr>
      </w:pPr>
    </w:p>
    <w:p>
      <w:pPr>
        <w:pStyle w:val="BodyText"/>
        <w:spacing w:line="276" w:lineRule="auto" w:before="69"/>
        <w:ind w:left="118" w:right="112"/>
        <w:jc w:val="both"/>
      </w:pPr>
      <w:r>
        <w:rPr/>
        <w:t>Ambos factores (bioconcentración y traslocación) indican si </w:t>
      </w:r>
      <w:r>
        <w:rPr>
          <w:i/>
        </w:rPr>
        <w:t>Typha latifolia L</w:t>
      </w:r>
      <w:r>
        <w:rPr/>
        <w:t>., es tolerante (FBC – FT de 0.1 a 1), acumuladora (FBC &gt; 1 Y FT&gt; 1) o hiperacumuladora si la concentración excede el 0.1% de peso seco de la planta (Padmavathiamma, 2007; Delgadillo </w:t>
      </w:r>
      <w:r>
        <w:rPr>
          <w:i/>
        </w:rPr>
        <w:t>et al</w:t>
      </w:r>
      <w:r>
        <w:rPr/>
        <w:t>, 2011; Zohra </w:t>
      </w:r>
      <w:r>
        <w:rPr>
          <w:i/>
        </w:rPr>
        <w:t>et al </w:t>
      </w:r>
      <w:r>
        <w:rPr/>
        <w:t>., 2014).</w:t>
      </w:r>
    </w:p>
    <w:p>
      <w:pPr>
        <w:pStyle w:val="BodyText"/>
      </w:pPr>
    </w:p>
    <w:p>
      <w:pPr>
        <w:pStyle w:val="BodyText"/>
        <w:spacing w:before="6"/>
      </w:pPr>
    </w:p>
    <w:p>
      <w:pPr>
        <w:pStyle w:val="Heading2"/>
        <w:numPr>
          <w:ilvl w:val="1"/>
          <w:numId w:val="18"/>
        </w:numPr>
        <w:tabs>
          <w:tab w:pos="587" w:val="left" w:leader="none"/>
        </w:tabs>
        <w:spacing w:line="240" w:lineRule="auto" w:before="0" w:after="0"/>
        <w:ind w:left="586" w:right="0" w:hanging="468"/>
        <w:jc w:val="both"/>
      </w:pPr>
      <w:r>
        <w:rPr/>
        <w:t>Sistema acoplado de</w:t>
      </w:r>
      <w:r>
        <w:rPr>
          <w:spacing w:val="-22"/>
        </w:rPr>
        <w:t> </w:t>
      </w:r>
      <w:r>
        <w:rPr/>
        <w:t>Electrocoagulación-Fitorremediación</w:t>
      </w:r>
    </w:p>
    <w:p>
      <w:pPr>
        <w:pStyle w:val="BodyText"/>
        <w:rPr>
          <w:b/>
          <w:sz w:val="28"/>
        </w:rPr>
      </w:pPr>
    </w:p>
    <w:p>
      <w:pPr>
        <w:pStyle w:val="BodyText"/>
        <w:spacing w:before="9"/>
        <w:rPr>
          <w:b/>
          <w:sz w:val="25"/>
        </w:rPr>
      </w:pPr>
    </w:p>
    <w:p>
      <w:pPr>
        <w:pStyle w:val="BodyText"/>
        <w:spacing w:line="276" w:lineRule="auto"/>
        <w:ind w:left="118" w:right="111"/>
        <w:jc w:val="both"/>
      </w:pPr>
      <w:r>
        <w:rPr/>
        <w:t>El sistema acoplado consistio en la implementación de ambos métodos de remoción de contaminantes Electrocoagulación-Fitorremediación. Para ello primero fue  el tratamiento con “electrocoagulación”, dentro de un reactor batch durante 180 minutos (Barrera et al 2011; Prica </w:t>
      </w:r>
      <w:r>
        <w:rPr>
          <w:i/>
        </w:rPr>
        <w:t>et al</w:t>
      </w:r>
      <w:r>
        <w:rPr/>
        <w:t>., 2014; Zhang </w:t>
      </w:r>
      <w:r>
        <w:rPr>
          <w:i/>
        </w:rPr>
        <w:t>et al</w:t>
      </w:r>
      <w:r>
        <w:rPr/>
        <w:t>., 2014), finalizado este tiempo el efluente fue filtrado (separación de lodos formados durante la electrocoagulación) y posteriormente se evaluaron las concentraciones de metales pesados aun existentes en la muestra sintética mediante la técnica de EAA (espectroscopia de  absorción  atómica), con estos datos se realizaran curvas de cinética de remoción de contaminantes (concentración vs tiempo) durante el tratamiento de</w:t>
      </w:r>
      <w:r>
        <w:rPr>
          <w:spacing w:val="-32"/>
        </w:rPr>
        <w:t> </w:t>
      </w:r>
      <w:r>
        <w:rPr/>
        <w:t>electrocoagulación.</w:t>
      </w:r>
    </w:p>
    <w:p>
      <w:pPr>
        <w:pStyle w:val="BodyText"/>
        <w:spacing w:before="9"/>
        <w:rPr>
          <w:sz w:val="27"/>
        </w:rPr>
      </w:pPr>
    </w:p>
    <w:p>
      <w:pPr>
        <w:pStyle w:val="BodyText"/>
        <w:spacing w:line="276" w:lineRule="auto"/>
        <w:ind w:left="118" w:right="113"/>
        <w:jc w:val="both"/>
      </w:pPr>
      <w:r>
        <w:rPr/>
        <w:t>Posteriormente la muestra sintética fue diluida al 12.5%, y sometida al segundo tratamiento “fitorremediación”, como un método de pulimento o reducción de las concentraciones de metales pesados aun existentes, esta se llevo a cabo por medio de </w:t>
      </w:r>
      <w:r>
        <w:rPr>
          <w:i/>
        </w:rPr>
        <w:t>Typha latifolia L</w:t>
      </w:r>
      <w:r>
        <w:rPr/>
        <w:t>.,este último tratamiento duro 7 días y al finalizar dicho lapso fueron evaluadas nuevamente las concentraciones de metales pesados mediante EAA (espectroscopia de absorción atómica), con los resultados obtenidos se realizaran curvas de cinética de remoción de contaminantes (concentración vs tiempo) para evaluar la efectividad del tratamiento.</w:t>
      </w:r>
    </w:p>
    <w:p>
      <w:pPr>
        <w:pStyle w:val="BodyText"/>
      </w:pPr>
    </w:p>
    <w:p>
      <w:pPr>
        <w:pStyle w:val="BodyText"/>
        <w:spacing w:before="11"/>
        <w:rPr>
          <w:sz w:val="18"/>
        </w:rPr>
      </w:pPr>
    </w:p>
    <w:p>
      <w:pPr>
        <w:pStyle w:val="Heading2"/>
        <w:numPr>
          <w:ilvl w:val="1"/>
          <w:numId w:val="18"/>
        </w:numPr>
        <w:tabs>
          <w:tab w:pos="592" w:val="left" w:leader="none"/>
        </w:tabs>
        <w:spacing w:line="240" w:lineRule="auto" w:before="0" w:after="0"/>
        <w:ind w:left="591" w:right="0" w:hanging="473"/>
        <w:jc w:val="both"/>
      </w:pPr>
      <w:r>
        <w:rPr/>
        <w:t>Análisis</w:t>
      </w:r>
      <w:r>
        <w:rPr>
          <w:spacing w:val="-11"/>
        </w:rPr>
        <w:t> </w:t>
      </w:r>
      <w:r>
        <w:rPr/>
        <w:t>estadístico</w:t>
      </w:r>
    </w:p>
    <w:p>
      <w:pPr>
        <w:pStyle w:val="BodyText"/>
        <w:spacing w:before="2"/>
        <w:rPr>
          <w:b/>
          <w:sz w:val="37"/>
        </w:rPr>
      </w:pPr>
    </w:p>
    <w:p>
      <w:pPr>
        <w:pStyle w:val="BodyText"/>
        <w:spacing w:line="276" w:lineRule="auto" w:before="1"/>
        <w:ind w:left="118" w:right="122"/>
        <w:jc w:val="both"/>
      </w:pPr>
      <w:r>
        <w:rPr/>
        <w:t>Se calcularon los valores medios y desciaciones estándar sobre la base de los resultados obtenidos de los parametros fisicoquímicos, clrofilas, crecimeinto y fueron analizados mediante ANOVA (p=0.05).</w:t>
      </w:r>
    </w:p>
    <w:p>
      <w:pPr>
        <w:spacing w:after="0" w:line="276" w:lineRule="auto"/>
        <w:jc w:val="both"/>
        <w:sectPr>
          <w:pgSz w:w="12240" w:h="15840"/>
          <w:pgMar w:header="0" w:footer="1480" w:top="1500" w:bottom="1680" w:left="1300" w:right="1300"/>
        </w:sectPr>
      </w:pPr>
    </w:p>
    <w:p>
      <w:pPr>
        <w:pStyle w:val="Heading2"/>
        <w:numPr>
          <w:ilvl w:val="0"/>
          <w:numId w:val="15"/>
        </w:numPr>
        <w:tabs>
          <w:tab w:pos="827" w:val="left" w:leader="none"/>
        </w:tabs>
        <w:spacing w:line="240" w:lineRule="auto" w:before="35" w:after="0"/>
        <w:ind w:left="826" w:right="0" w:hanging="348"/>
        <w:jc w:val="left"/>
      </w:pPr>
      <w:r>
        <w:rPr/>
        <w:t>RESULTADOS</w:t>
      </w:r>
    </w:p>
    <w:p>
      <w:pPr>
        <w:pStyle w:val="BodyText"/>
        <w:rPr>
          <w:b/>
          <w:sz w:val="25"/>
        </w:rPr>
      </w:pPr>
    </w:p>
    <w:p>
      <w:pPr>
        <w:pStyle w:val="ListParagraph"/>
        <w:numPr>
          <w:ilvl w:val="1"/>
          <w:numId w:val="19"/>
        </w:numPr>
        <w:tabs>
          <w:tab w:pos="592" w:val="left" w:leader="none"/>
        </w:tabs>
        <w:spacing w:line="240" w:lineRule="auto" w:before="0" w:after="0"/>
        <w:ind w:left="591" w:right="0" w:hanging="473"/>
        <w:jc w:val="left"/>
        <w:rPr>
          <w:b/>
          <w:sz w:val="28"/>
        </w:rPr>
      </w:pPr>
      <w:r>
        <w:rPr>
          <w:b/>
          <w:spacing w:val="-3"/>
          <w:sz w:val="28"/>
        </w:rPr>
        <w:t>ARTICULO </w:t>
      </w:r>
      <w:r>
        <w:rPr>
          <w:b/>
          <w:sz w:val="28"/>
        </w:rPr>
        <w:t>EN</w:t>
      </w:r>
      <w:r>
        <w:rPr>
          <w:b/>
          <w:spacing w:val="15"/>
          <w:sz w:val="28"/>
        </w:rPr>
        <w:t> </w:t>
      </w:r>
      <w:r>
        <w:rPr>
          <w:b/>
          <w:sz w:val="28"/>
        </w:rPr>
        <w:t>REVISIÓN</w:t>
      </w:r>
    </w:p>
    <w:p>
      <w:pPr>
        <w:pStyle w:val="BodyText"/>
        <w:rPr>
          <w:b/>
          <w:sz w:val="20"/>
        </w:rPr>
      </w:pPr>
    </w:p>
    <w:p>
      <w:pPr>
        <w:pStyle w:val="BodyText"/>
        <w:spacing w:before="3"/>
        <w:rPr>
          <w:b/>
          <w:sz w:val="10"/>
        </w:rPr>
      </w:pPr>
      <w:r>
        <w:rPr/>
        <w:drawing>
          <wp:anchor distT="0" distB="0" distL="0" distR="0" allowOverlap="1" layoutInCell="1" locked="0" behindDoc="0" simplePos="0" relativeHeight="1936">
            <wp:simplePos x="0" y="0"/>
            <wp:positionH relativeFrom="page">
              <wp:posOffset>900430</wp:posOffset>
            </wp:positionH>
            <wp:positionV relativeFrom="paragraph">
              <wp:posOffset>99748</wp:posOffset>
            </wp:positionV>
            <wp:extent cx="5952675" cy="1337309"/>
            <wp:effectExtent l="0" t="0" r="0" b="0"/>
            <wp:wrapTopAndBottom/>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36" cstate="print"/>
                    <a:stretch>
                      <a:fillRect/>
                    </a:stretch>
                  </pic:blipFill>
                  <pic:spPr>
                    <a:xfrm>
                      <a:off x="0" y="0"/>
                      <a:ext cx="5952675" cy="1337309"/>
                    </a:xfrm>
                    <a:prstGeom prst="rect">
                      <a:avLst/>
                    </a:prstGeom>
                  </pic:spPr>
                </pic:pic>
              </a:graphicData>
            </a:graphic>
          </wp:anchor>
        </w:drawing>
      </w:r>
    </w:p>
    <w:p>
      <w:pPr>
        <w:pStyle w:val="BodyText"/>
        <w:rPr>
          <w:b/>
          <w:sz w:val="20"/>
        </w:rPr>
      </w:pPr>
    </w:p>
    <w:p>
      <w:pPr>
        <w:pStyle w:val="BodyText"/>
        <w:spacing w:before="7"/>
        <w:rPr>
          <w:b/>
          <w:sz w:val="22"/>
        </w:rPr>
      </w:pPr>
      <w:r>
        <w:rPr/>
        <w:drawing>
          <wp:anchor distT="0" distB="0" distL="0" distR="0" allowOverlap="1" layoutInCell="1" locked="0" behindDoc="0" simplePos="0" relativeHeight="1960">
            <wp:simplePos x="0" y="0"/>
            <wp:positionH relativeFrom="page">
              <wp:posOffset>1182369</wp:posOffset>
            </wp:positionH>
            <wp:positionV relativeFrom="paragraph">
              <wp:posOffset>189877</wp:posOffset>
            </wp:positionV>
            <wp:extent cx="5384500" cy="1476375"/>
            <wp:effectExtent l="0" t="0" r="0" b="0"/>
            <wp:wrapTopAndBottom/>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37" cstate="print"/>
                    <a:stretch>
                      <a:fillRect/>
                    </a:stretch>
                  </pic:blipFill>
                  <pic:spPr>
                    <a:xfrm>
                      <a:off x="0" y="0"/>
                      <a:ext cx="5384500" cy="1476375"/>
                    </a:xfrm>
                    <a:prstGeom prst="rect">
                      <a:avLst/>
                    </a:prstGeom>
                  </pic:spPr>
                </pic:pic>
              </a:graphicData>
            </a:graphic>
          </wp:anchor>
        </w:drawing>
      </w:r>
    </w:p>
    <w:p>
      <w:pPr>
        <w:pStyle w:val="BodyText"/>
        <w:rPr>
          <w:b/>
          <w:sz w:val="20"/>
        </w:rPr>
      </w:pPr>
    </w:p>
    <w:p>
      <w:pPr>
        <w:pStyle w:val="BodyText"/>
        <w:spacing w:before="11"/>
        <w:rPr>
          <w:b/>
          <w:sz w:val="22"/>
        </w:rPr>
      </w:pPr>
      <w:r>
        <w:rPr/>
        <w:drawing>
          <wp:anchor distT="0" distB="0" distL="0" distR="0" allowOverlap="1" layoutInCell="1" locked="0" behindDoc="0" simplePos="0" relativeHeight="1984">
            <wp:simplePos x="0" y="0"/>
            <wp:positionH relativeFrom="page">
              <wp:posOffset>900430</wp:posOffset>
            </wp:positionH>
            <wp:positionV relativeFrom="paragraph">
              <wp:posOffset>192417</wp:posOffset>
            </wp:positionV>
            <wp:extent cx="5802661" cy="3391280"/>
            <wp:effectExtent l="0" t="0" r="0" b="0"/>
            <wp:wrapTopAndBottom/>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38" cstate="print"/>
                    <a:stretch>
                      <a:fillRect/>
                    </a:stretch>
                  </pic:blipFill>
                  <pic:spPr>
                    <a:xfrm>
                      <a:off x="0" y="0"/>
                      <a:ext cx="5802661" cy="3391280"/>
                    </a:xfrm>
                    <a:prstGeom prst="rect">
                      <a:avLst/>
                    </a:prstGeom>
                  </pic:spPr>
                </pic:pic>
              </a:graphicData>
            </a:graphic>
          </wp:anchor>
        </w:drawing>
      </w:r>
    </w:p>
    <w:p>
      <w:pPr>
        <w:spacing w:after="0"/>
        <w:rPr>
          <w:sz w:val="22"/>
        </w:rPr>
        <w:sectPr>
          <w:pgSz w:w="12240" w:h="15840"/>
          <w:pgMar w:header="0" w:footer="1480" w:top="1380" w:bottom="1680" w:left="1300" w:right="1300"/>
        </w:sectPr>
      </w:pPr>
    </w:p>
    <w:p>
      <w:pPr>
        <w:pStyle w:val="Heading3"/>
        <w:spacing w:line="276" w:lineRule="auto" w:before="56"/>
        <w:ind w:left="2072" w:right="774" w:hanging="1301"/>
      </w:pPr>
      <w:r>
        <w:rPr/>
        <w:t>Removal of Pb, Cu, Cd y Zn present in aqueous solution using coupled Electrocuagulation-Phytoremediation treatment.</w:t>
      </w:r>
    </w:p>
    <w:p>
      <w:pPr>
        <w:spacing w:before="183"/>
        <w:ind w:left="118" w:right="0" w:firstLine="0"/>
        <w:jc w:val="left"/>
        <w:rPr>
          <w:b/>
          <w:sz w:val="22"/>
        </w:rPr>
      </w:pPr>
      <w:r>
        <w:rPr>
          <w:sz w:val="20"/>
        </w:rPr>
        <w:t>Francisco Ferniza-García</w:t>
      </w:r>
      <w:r>
        <w:rPr>
          <w:position w:val="10"/>
          <w:sz w:val="13"/>
        </w:rPr>
        <w:t>a</w:t>
      </w:r>
      <w:r>
        <w:rPr>
          <w:sz w:val="20"/>
        </w:rPr>
        <w:t>, Araceli Amaya-Chávez</w:t>
      </w:r>
      <w:r>
        <w:rPr>
          <w:position w:val="10"/>
          <w:sz w:val="13"/>
        </w:rPr>
        <w:t>a</w:t>
      </w:r>
      <w:r>
        <w:rPr>
          <w:sz w:val="20"/>
        </w:rPr>
        <w:t>, Gabriela Roa-Morales </w:t>
      </w:r>
      <w:r>
        <w:rPr>
          <w:position w:val="10"/>
          <w:sz w:val="13"/>
        </w:rPr>
        <w:t>b </w:t>
      </w:r>
      <w:r>
        <w:rPr>
          <w:sz w:val="20"/>
        </w:rPr>
        <w:t>&amp; Carlos E. Barrera-Díaz</w:t>
      </w:r>
      <w:r>
        <w:rPr>
          <w:position w:val="10"/>
          <w:sz w:val="13"/>
        </w:rPr>
        <w:t>b</w:t>
      </w:r>
      <w:r>
        <w:rPr>
          <w:b/>
          <w:sz w:val="22"/>
        </w:rPr>
        <w:t>.</w:t>
      </w:r>
    </w:p>
    <w:p>
      <w:pPr>
        <w:spacing w:line="242" w:lineRule="auto" w:before="163"/>
        <w:ind w:left="118" w:right="0" w:firstLine="0"/>
        <w:jc w:val="left"/>
        <w:rPr>
          <w:sz w:val="20"/>
        </w:rPr>
      </w:pPr>
      <w:r>
        <w:rPr>
          <w:b/>
          <w:position w:val="10"/>
          <w:sz w:val="13"/>
        </w:rPr>
        <w:t>a </w:t>
      </w:r>
      <w:r>
        <w:rPr>
          <w:sz w:val="20"/>
        </w:rPr>
        <w:t>Universidad Autónoma del Estado de México, Facultad de Química. Paseo Colón, Colonia Ciprés, 50120 Toluca de Lerdo, Estado de México.</w:t>
      </w:r>
    </w:p>
    <w:p>
      <w:pPr>
        <w:spacing w:line="226" w:lineRule="exact" w:before="0"/>
        <w:ind w:left="118" w:right="0" w:firstLine="0"/>
        <w:jc w:val="left"/>
        <w:rPr>
          <w:sz w:val="20"/>
        </w:rPr>
      </w:pPr>
      <w:r>
        <w:rPr>
          <w:b/>
          <w:position w:val="10"/>
          <w:sz w:val="13"/>
        </w:rPr>
        <w:t>b  </w:t>
      </w:r>
      <w:r>
        <w:rPr>
          <w:sz w:val="20"/>
        </w:rPr>
        <w:t>Centro Conjunto de Investigación en Química Sustentable. Km 14.5 Carretera Toluca-Atlacomulco,</w:t>
      </w:r>
    </w:p>
    <w:p>
      <w:pPr>
        <w:spacing w:before="3"/>
        <w:ind w:left="118" w:right="0" w:firstLine="0"/>
        <w:jc w:val="left"/>
        <w:rPr>
          <w:sz w:val="20"/>
        </w:rPr>
      </w:pPr>
      <w:r>
        <w:rPr>
          <w:sz w:val="20"/>
        </w:rPr>
        <w:t>UAEM, “El Rosedal”, San Cayetano-Toluca, Estado de México.</w:t>
      </w:r>
    </w:p>
    <w:p>
      <w:pPr>
        <w:pStyle w:val="BodyText"/>
        <w:spacing w:before="6"/>
        <w:rPr>
          <w:sz w:val="23"/>
        </w:rPr>
      </w:pPr>
    </w:p>
    <w:p>
      <w:pPr>
        <w:spacing w:line="207" w:lineRule="exact" w:before="0"/>
        <w:ind w:left="118" w:right="0" w:firstLine="0"/>
        <w:jc w:val="left"/>
        <w:rPr>
          <w:sz w:val="18"/>
        </w:rPr>
      </w:pPr>
      <w:r>
        <w:rPr>
          <w:sz w:val="18"/>
        </w:rPr>
        <w:t>Francisco Ferniza García (E-mail): </w:t>
      </w:r>
      <w:hyperlink r:id="rId39">
        <w:r>
          <w:rPr>
            <w:color w:val="0000FF"/>
            <w:sz w:val="18"/>
            <w:u w:val="single" w:color="0000FF"/>
          </w:rPr>
          <w:t>franciscoferniza@hotmail.com</w:t>
        </w:r>
      </w:hyperlink>
    </w:p>
    <w:p>
      <w:pPr>
        <w:spacing w:before="0"/>
        <w:ind w:left="118" w:right="2724" w:firstLine="0"/>
        <w:jc w:val="left"/>
        <w:rPr>
          <w:sz w:val="18"/>
        </w:rPr>
      </w:pPr>
      <w:r>
        <w:rPr>
          <w:sz w:val="18"/>
        </w:rPr>
        <w:t>Araceli Amaya Chávez (E-mail): </w:t>
      </w:r>
      <w:hyperlink r:id="rId40">
        <w:r>
          <w:rPr>
            <w:color w:val="0000FF"/>
            <w:sz w:val="18"/>
            <w:u w:val="single" w:color="0000FF"/>
          </w:rPr>
          <w:t>aamayac@uaemex.mx</w:t>
        </w:r>
        <w:r>
          <w:rPr>
            <w:sz w:val="18"/>
          </w:rPr>
          <w:t>;</w:t>
        </w:r>
      </w:hyperlink>
      <w:r>
        <w:rPr>
          <w:sz w:val="18"/>
        </w:rPr>
        <w:t> </w:t>
      </w:r>
      <w:hyperlink r:id="rId41">
        <w:r>
          <w:rPr>
            <w:color w:val="0000FF"/>
            <w:sz w:val="18"/>
            <w:u w:val="single" w:color="0000FF"/>
          </w:rPr>
          <w:t>amayacha8789@gmail.com</w:t>
        </w:r>
      </w:hyperlink>
      <w:r>
        <w:rPr>
          <w:color w:val="0000FF"/>
          <w:sz w:val="18"/>
          <w:u w:val="single" w:color="0000FF"/>
        </w:rPr>
        <w:t> </w:t>
      </w:r>
      <w:r>
        <w:rPr>
          <w:sz w:val="18"/>
        </w:rPr>
        <w:t>Gabriela Roa Morales (E-mail): </w:t>
      </w:r>
      <w:hyperlink r:id="rId42">
        <w:r>
          <w:rPr>
            <w:color w:val="0000FF"/>
            <w:sz w:val="18"/>
            <w:u w:val="single" w:color="0000FF"/>
          </w:rPr>
          <w:t>gabyroamo@yahoo.com.mx</w:t>
        </w:r>
      </w:hyperlink>
    </w:p>
    <w:p>
      <w:pPr>
        <w:spacing w:line="206" w:lineRule="exact" w:before="0"/>
        <w:ind w:left="118" w:right="0" w:firstLine="0"/>
        <w:jc w:val="left"/>
        <w:rPr>
          <w:sz w:val="18"/>
        </w:rPr>
      </w:pPr>
      <w:r>
        <w:rPr>
          <w:sz w:val="18"/>
        </w:rPr>
        <w:t>Carlos Eduardo Barrera Díaz (E-mail): </w:t>
      </w:r>
      <w:hyperlink r:id="rId43">
        <w:r>
          <w:rPr>
            <w:color w:val="0000FF"/>
            <w:sz w:val="18"/>
            <w:u w:val="single" w:color="0000FF"/>
          </w:rPr>
          <w:t>cebarrerad@uaemex.mx</w:t>
        </w:r>
      </w:hyperlink>
    </w:p>
    <w:p>
      <w:pPr>
        <w:pStyle w:val="BodyText"/>
        <w:rPr>
          <w:sz w:val="20"/>
        </w:rPr>
      </w:pPr>
    </w:p>
    <w:p>
      <w:pPr>
        <w:pStyle w:val="BodyText"/>
        <w:spacing w:before="3"/>
        <w:rPr>
          <w:sz w:val="18"/>
        </w:rPr>
      </w:pPr>
    </w:p>
    <w:p>
      <w:pPr>
        <w:pStyle w:val="Heading3"/>
        <w:spacing w:before="70"/>
        <w:ind w:left="118" w:firstLine="0"/>
        <w:jc w:val="both"/>
      </w:pPr>
      <w:r>
        <w:rPr/>
        <w:t>Abstract</w:t>
      </w:r>
    </w:p>
    <w:p>
      <w:pPr>
        <w:pStyle w:val="BodyText"/>
        <w:rPr>
          <w:b/>
          <w:sz w:val="21"/>
        </w:rPr>
      </w:pPr>
    </w:p>
    <w:p>
      <w:pPr>
        <w:spacing w:line="237" w:lineRule="auto" w:before="0"/>
        <w:ind w:left="118" w:right="111" w:firstLine="0"/>
        <w:jc w:val="both"/>
        <w:rPr>
          <w:sz w:val="22"/>
        </w:rPr>
      </w:pPr>
      <w:r>
        <w:rPr>
          <w:sz w:val="22"/>
        </w:rPr>
        <w:t>This study presents the results of a coupled Electrocoagulation-Phytoremediation treatment for the reduction of copper, cadmium, lead and zinc; present in aqueous solution. The electrocoagulation was carried out in a batch reactor using aluminum electrodes in parallel arrangement, the optimed conditions was current density of 8 mA/cm</w:t>
      </w:r>
      <w:r>
        <w:rPr>
          <w:position w:val="10"/>
          <w:sz w:val="14"/>
        </w:rPr>
        <w:t>2</w:t>
      </w:r>
      <w:r>
        <w:rPr>
          <w:sz w:val="22"/>
        </w:rPr>
        <w:t>, operating time of 180 minutes. For phytoremediation the macrophytes </w:t>
      </w:r>
      <w:r>
        <w:rPr>
          <w:i/>
          <w:sz w:val="22"/>
        </w:rPr>
        <w:t>Typha latifolia L</w:t>
      </w:r>
      <w:r>
        <w:rPr>
          <w:sz w:val="22"/>
        </w:rPr>
        <w:t>., were used during seven days of treatment. The results indicated that the coupled treatment reduced metal concentrations by 99.2% Cu, 81.3% Cd and 99.4% Pb; while Zn increased due to the natural concentrations of the plant used.</w:t>
      </w:r>
    </w:p>
    <w:p>
      <w:pPr>
        <w:pStyle w:val="BodyText"/>
        <w:rPr>
          <w:sz w:val="22"/>
        </w:rPr>
      </w:pPr>
    </w:p>
    <w:p>
      <w:pPr>
        <w:spacing w:before="1"/>
        <w:ind w:left="118" w:right="0" w:firstLine="0"/>
        <w:jc w:val="both"/>
        <w:rPr>
          <w:sz w:val="22"/>
        </w:rPr>
      </w:pPr>
      <w:r>
        <w:rPr>
          <w:sz w:val="22"/>
        </w:rPr>
        <w:t>KEYWORDS: Electrocoagulation, Phytoremediation, </w:t>
      </w:r>
      <w:r>
        <w:rPr>
          <w:i/>
          <w:sz w:val="22"/>
        </w:rPr>
        <w:t>Typha latifolia L</w:t>
      </w:r>
      <w:r>
        <w:rPr>
          <w:sz w:val="22"/>
        </w:rPr>
        <w:t>., aqueous mining solution.</w:t>
      </w:r>
    </w:p>
    <w:p>
      <w:pPr>
        <w:pStyle w:val="BodyText"/>
        <w:spacing w:before="7"/>
        <w:rPr>
          <w:sz w:val="20"/>
        </w:rPr>
      </w:pPr>
    </w:p>
    <w:p>
      <w:pPr>
        <w:pStyle w:val="Heading3"/>
        <w:numPr>
          <w:ilvl w:val="2"/>
          <w:numId w:val="19"/>
        </w:numPr>
        <w:tabs>
          <w:tab w:pos="827" w:val="left" w:leader="none"/>
        </w:tabs>
        <w:spacing w:line="240" w:lineRule="auto" w:before="0" w:after="0"/>
        <w:ind w:left="478" w:right="0" w:firstLine="0"/>
        <w:jc w:val="left"/>
      </w:pPr>
      <w:r>
        <w:rPr/>
        <w:t>Introduction</w:t>
      </w:r>
    </w:p>
    <w:p>
      <w:pPr>
        <w:spacing w:before="201"/>
        <w:ind w:left="118" w:right="113" w:firstLine="0"/>
        <w:jc w:val="both"/>
        <w:rPr>
          <w:sz w:val="22"/>
        </w:rPr>
      </w:pPr>
      <w:r>
        <w:rPr>
          <w:sz w:val="22"/>
        </w:rPr>
        <w:t>The mining industry in Mexico is an important economic activity that provides 4.9% of the National Gross Domestic Product [1], being mostly metallic extraction of Cu, Pb, Ag, Au, Fe, Zn, Mn, Cd, Mo, Bi, Sb, As, Sn, Se, etc., through 902 mining complexes [2]. Although mining is considered an important economic sector, it unfortunately causes a high environmental impact with the emission of high concentrations of toxic pollutants (hydrocarbons, mineral salts, heavy metal leaching, particulate material, acid drainage), which can be dispersed in air, soil and water with the consequent dispersion towards surface and underground water sources [3,4].</w:t>
      </w:r>
    </w:p>
    <w:p>
      <w:pPr>
        <w:pStyle w:val="BodyText"/>
        <w:spacing w:before="5"/>
        <w:rPr>
          <w:sz w:val="17"/>
        </w:rPr>
      </w:pPr>
    </w:p>
    <w:p>
      <w:pPr>
        <w:spacing w:before="0"/>
        <w:ind w:left="118" w:right="111" w:firstLine="0"/>
        <w:jc w:val="both"/>
        <w:rPr>
          <w:sz w:val="22"/>
        </w:rPr>
      </w:pPr>
      <w:r>
        <w:rPr>
          <w:sz w:val="22"/>
        </w:rPr>
        <w:t>In recent years there has been an increasing interest in the development of low cost and high efficiency technologies for the removal of heavy metals in wastewater, which, because of their varied nature, are difficult to eliminate, complicating their treatment and raising their costs [5]. Currently, the elimination is based on unit processes of physicochemical origin such as advanced oxidation processes, adsorption, chemical precipitation, ion exchange, membrane filtration, solvent extraction, oxidation/reduction methods [6]. These treatments are efficient, but some concentrations can still remain and can be treated by other systems, including biological treatments, especially</w:t>
      </w:r>
      <w:r>
        <w:rPr>
          <w:spacing w:val="-13"/>
          <w:sz w:val="22"/>
        </w:rPr>
        <w:t> </w:t>
      </w:r>
      <w:r>
        <w:rPr>
          <w:sz w:val="22"/>
        </w:rPr>
        <w:t>phytoremediation.</w:t>
      </w:r>
    </w:p>
    <w:p>
      <w:pPr>
        <w:pStyle w:val="BodyText"/>
        <w:spacing w:before="2"/>
        <w:rPr>
          <w:sz w:val="17"/>
        </w:rPr>
      </w:pPr>
    </w:p>
    <w:p>
      <w:pPr>
        <w:spacing w:before="0"/>
        <w:ind w:left="118" w:right="119" w:firstLine="0"/>
        <w:jc w:val="both"/>
        <w:rPr>
          <w:sz w:val="22"/>
        </w:rPr>
      </w:pPr>
      <w:r>
        <w:rPr>
          <w:sz w:val="22"/>
        </w:rPr>
        <w:t>In this context, electrochemical coupled biologically systems for metal removals of solutions have the potential to achieve high removal efficiencies [7,</w:t>
      </w:r>
      <w:r>
        <w:rPr>
          <w:spacing w:val="-18"/>
          <w:sz w:val="22"/>
        </w:rPr>
        <w:t> </w:t>
      </w:r>
      <w:r>
        <w:rPr>
          <w:sz w:val="22"/>
        </w:rPr>
        <w:t>8].</w:t>
      </w:r>
    </w:p>
    <w:p>
      <w:pPr>
        <w:spacing w:after="0"/>
        <w:jc w:val="both"/>
        <w:rPr>
          <w:sz w:val="22"/>
        </w:rPr>
        <w:sectPr>
          <w:pgSz w:w="12240" w:h="15840"/>
          <w:pgMar w:header="0" w:footer="1480" w:top="1360" w:bottom="1680" w:left="1300" w:right="1300"/>
        </w:sectPr>
      </w:pPr>
    </w:p>
    <w:p>
      <w:pPr>
        <w:spacing w:line="235" w:lineRule="auto" w:before="60"/>
        <w:ind w:left="118" w:right="111" w:firstLine="0"/>
        <w:jc w:val="both"/>
        <w:rPr>
          <w:sz w:val="22"/>
        </w:rPr>
      </w:pPr>
      <w:r>
        <w:rPr>
          <w:sz w:val="22"/>
        </w:rPr>
        <w:t>Electrocoagulation "EC" (electrochemically assisted coagulation) is a clean technology that uses an electrolytic cell as the basis for its operation and "electrolysis" as a resultant reaction [9]. To destabilize organic and inorganic particles of contaminants that are suspended, emulsified or dissolved in an aqueous medium, inducing electrical current in the water through parallel metal plates of iron or aluminum, allowing the generation of in situ species such as Al</w:t>
      </w:r>
      <w:r>
        <w:rPr>
          <w:position w:val="10"/>
          <w:sz w:val="14"/>
        </w:rPr>
        <w:t>3+</w:t>
      </w:r>
      <w:r>
        <w:rPr>
          <w:sz w:val="22"/>
        </w:rPr>
        <w:t>, Fe</w:t>
      </w:r>
      <w:r>
        <w:rPr>
          <w:position w:val="10"/>
          <w:sz w:val="14"/>
        </w:rPr>
        <w:t>2+</w:t>
      </w:r>
      <w:r>
        <w:rPr>
          <w:sz w:val="22"/>
        </w:rPr>
        <w:t>, Fe</w:t>
      </w:r>
      <w:r>
        <w:rPr>
          <w:position w:val="10"/>
          <w:sz w:val="14"/>
        </w:rPr>
        <w:t>3+</w:t>
      </w:r>
      <w:r>
        <w:rPr>
          <w:sz w:val="22"/>
        </w:rPr>
        <w:t>,  OH, Al(OH)</w:t>
      </w:r>
      <w:r>
        <w:rPr>
          <w:position w:val="-2"/>
          <w:sz w:val="14"/>
        </w:rPr>
        <w:t>3</w:t>
      </w:r>
      <w:r>
        <w:rPr>
          <w:sz w:val="22"/>
        </w:rPr>
        <w:t>, Fe(OH)</w:t>
      </w:r>
      <w:r>
        <w:rPr>
          <w:position w:val="-2"/>
          <w:sz w:val="14"/>
        </w:rPr>
        <w:t>3</w:t>
      </w:r>
      <w:r>
        <w:rPr>
          <w:sz w:val="22"/>
        </w:rPr>
        <w:t>, capable of coagulating some soluble or suspended particles forming hydrophobic components that adhere to the "floc", which subsequently precipitate, facilitating its removal [10, 11]. The aluminum hydroxide Al (OH)</w:t>
      </w:r>
      <w:r>
        <w:rPr>
          <w:position w:val="-2"/>
          <w:sz w:val="14"/>
        </w:rPr>
        <w:t>3(s) </w:t>
      </w:r>
      <w:r>
        <w:rPr>
          <w:sz w:val="22"/>
        </w:rPr>
        <w:t>is an amorphous substance of gelatinous character, that exposes a large surface area with absorbent properties and that is propitious for the processes of attraction and absorption of the contaminating particles [12, 13, 14, 15]. This is formed by three reactions that occur within the electrocoagulation reactor [16, 17, 18, 19,</w:t>
      </w:r>
      <w:r>
        <w:rPr>
          <w:spacing w:val="-26"/>
          <w:sz w:val="22"/>
        </w:rPr>
        <w:t> </w:t>
      </w:r>
      <w:r>
        <w:rPr>
          <w:sz w:val="22"/>
        </w:rPr>
        <w:t>20]:</w:t>
      </w:r>
    </w:p>
    <w:p>
      <w:pPr>
        <w:pStyle w:val="BodyText"/>
        <w:spacing w:before="8"/>
        <w:rPr>
          <w:sz w:val="17"/>
        </w:rPr>
      </w:pPr>
    </w:p>
    <w:p>
      <w:pPr>
        <w:pStyle w:val="BodyText"/>
        <w:tabs>
          <w:tab w:pos="1400" w:val="left" w:leader="none"/>
          <w:tab w:pos="4326" w:val="left" w:leader="none"/>
          <w:tab w:pos="4480" w:val="left" w:leader="none"/>
          <w:tab w:pos="7641" w:val="left" w:leader="none"/>
        </w:tabs>
        <w:spacing w:line="276" w:lineRule="exact"/>
        <w:ind w:left="118" w:right="1702"/>
      </w:pPr>
      <w:r>
        <w:rPr/>
        <w:t>Oxidation:</w:t>
        <w:tab/>
        <w:t>Al</w:t>
      </w:r>
      <w:r>
        <w:rPr>
          <w:position w:val="11"/>
          <w:sz w:val="16"/>
        </w:rPr>
        <w:t>3+</w:t>
      </w:r>
      <w:r>
        <w:rPr>
          <w:spacing w:val="22"/>
          <w:position w:val="11"/>
          <w:sz w:val="16"/>
        </w:rPr>
        <w:t> </w:t>
      </w:r>
      <w:r>
        <w:rPr/>
        <w:t>+</w:t>
      </w:r>
      <w:r>
        <w:rPr>
          <w:spacing w:val="-1"/>
        </w:rPr>
        <w:t> </w:t>
      </w:r>
      <w:r>
        <w:rPr/>
        <w:t>3e</w:t>
      </w:r>
      <w:r>
        <w:rPr>
          <w:position w:val="11"/>
          <w:sz w:val="16"/>
        </w:rPr>
        <w:t>-</w:t>
        <w:tab/>
      </w:r>
      <w:r>
        <w:rPr/>
        <w:t>(anode)…….….................. </w:t>
      </w:r>
      <w:r>
        <w:rPr>
          <w:spacing w:val="56"/>
        </w:rPr>
        <w:t> </w:t>
      </w:r>
      <w:r>
        <w:rPr/>
        <w:t>(1)</w:t>
      </w:r>
      <w:r>
        <w:rPr>
          <w:w w:val="99"/>
        </w:rPr>
        <w:t> </w:t>
      </w:r>
      <w:r>
        <w:rPr/>
        <w:t>Reduction: 3 H</w:t>
      </w:r>
      <w:r>
        <w:rPr>
          <w:position w:val="-2"/>
          <w:sz w:val="16"/>
        </w:rPr>
        <w:t>2</w:t>
      </w:r>
      <w:r>
        <w:rPr/>
        <w:t>O + 3e</w:t>
      </w:r>
      <w:r>
        <w:rPr>
          <w:position w:val="11"/>
          <w:sz w:val="16"/>
        </w:rPr>
        <w:t>- </w:t>
      </w:r>
      <w:r>
        <w:rPr/>
        <w:t>→ 3 H</w:t>
      </w:r>
      <w:r>
        <w:rPr>
          <w:position w:val="-2"/>
          <w:sz w:val="16"/>
        </w:rPr>
        <w:t>2</w:t>
      </w:r>
      <w:r>
        <w:rPr>
          <w:spacing w:val="19"/>
          <w:position w:val="-2"/>
          <w:sz w:val="16"/>
        </w:rPr>
        <w:t> </w:t>
      </w:r>
      <w:r>
        <w:rPr/>
        <w:t>+</w:t>
      </w:r>
      <w:r>
        <w:rPr>
          <w:spacing w:val="-1"/>
        </w:rPr>
        <w:t> </w:t>
      </w:r>
      <w:r>
        <w:rPr/>
        <w:t>3OH</w:t>
      </w:r>
      <w:r>
        <w:rPr>
          <w:position w:val="11"/>
          <w:sz w:val="16"/>
        </w:rPr>
        <w:t>-</w:t>
        <w:tab/>
        <w:tab/>
      </w:r>
      <w:r>
        <w:rPr/>
        <w:t>(cathode)…..………………..</w:t>
        <w:tab/>
        <w:t>(2)</w:t>
      </w:r>
    </w:p>
    <w:p>
      <w:pPr>
        <w:spacing w:before="237"/>
        <w:ind w:left="118" w:right="0" w:firstLine="0"/>
        <w:jc w:val="both"/>
        <w:rPr>
          <w:sz w:val="24"/>
        </w:rPr>
      </w:pPr>
      <w:r>
        <w:rPr>
          <w:sz w:val="24"/>
        </w:rPr>
        <w:t>Total reaction: Al</w:t>
      </w:r>
      <w:r>
        <w:rPr>
          <w:position w:val="11"/>
          <w:sz w:val="16"/>
        </w:rPr>
        <w:t>+3 </w:t>
      </w:r>
      <w:r>
        <w:rPr>
          <w:position w:val="-2"/>
          <w:sz w:val="16"/>
        </w:rPr>
        <w:t>(aq) </w:t>
      </w:r>
      <w:r>
        <w:rPr>
          <w:sz w:val="24"/>
        </w:rPr>
        <w:t>+ 3H</w:t>
      </w:r>
      <w:r>
        <w:rPr>
          <w:position w:val="-2"/>
          <w:sz w:val="16"/>
        </w:rPr>
        <w:t>2</w:t>
      </w:r>
      <w:r>
        <w:rPr>
          <w:sz w:val="24"/>
        </w:rPr>
        <w:t>O → Al (OH)</w:t>
      </w:r>
      <w:r>
        <w:rPr>
          <w:position w:val="-2"/>
          <w:sz w:val="16"/>
        </w:rPr>
        <w:t>3 (s) </w:t>
      </w:r>
      <w:r>
        <w:rPr>
          <w:sz w:val="24"/>
        </w:rPr>
        <w:t>+3H</w:t>
      </w:r>
      <w:r>
        <w:rPr>
          <w:position w:val="11"/>
          <w:sz w:val="16"/>
        </w:rPr>
        <w:t>+ </w:t>
      </w:r>
      <w:r>
        <w:rPr>
          <w:position w:val="-2"/>
          <w:sz w:val="16"/>
        </w:rPr>
        <w:t>(aq)…..……………………….    </w:t>
      </w:r>
      <w:r>
        <w:rPr>
          <w:sz w:val="24"/>
        </w:rPr>
        <w:t>(3)</w:t>
      </w:r>
    </w:p>
    <w:p>
      <w:pPr>
        <w:pStyle w:val="BodyText"/>
        <w:spacing w:before="3"/>
        <w:rPr>
          <w:sz w:val="38"/>
        </w:rPr>
      </w:pPr>
    </w:p>
    <w:p>
      <w:pPr>
        <w:spacing w:line="276" w:lineRule="auto" w:before="0"/>
        <w:ind w:left="118" w:right="111" w:firstLine="0"/>
        <w:jc w:val="both"/>
        <w:rPr>
          <w:sz w:val="22"/>
        </w:rPr>
      </w:pPr>
      <w:r>
        <w:rPr>
          <w:sz w:val="22"/>
        </w:rPr>
        <w:t>Phytoremediation is a set of technologies that reduce </w:t>
      </w:r>
      <w:r>
        <w:rPr>
          <w:i/>
          <w:sz w:val="22"/>
        </w:rPr>
        <w:t>in situ </w:t>
      </w:r>
      <w:r>
        <w:rPr>
          <w:sz w:val="22"/>
        </w:rPr>
        <w:t>or </w:t>
      </w:r>
      <w:r>
        <w:rPr>
          <w:i/>
          <w:sz w:val="22"/>
        </w:rPr>
        <w:t>ex situ </w:t>
      </w:r>
      <w:r>
        <w:rPr>
          <w:sz w:val="22"/>
        </w:rPr>
        <w:t>concentrations of various organic and inorganic pollutants from biochemical processes performed by plants and microorganisms associated with them; they act as filters and metabolize substances naturally [21]. Among the plants recognized by their phytoremediation potential we have the genus </w:t>
      </w:r>
      <w:r>
        <w:rPr>
          <w:i/>
          <w:sz w:val="22"/>
        </w:rPr>
        <w:t>Typha </w:t>
      </w:r>
      <w:r>
        <w:rPr>
          <w:sz w:val="22"/>
        </w:rPr>
        <w:t>that are commonly called toads, bulrush, tule or bejuco; which have been recognized for their ability to evapotranspire groundwater, high growth rates, broad root zone, ability to bioaccumulate organic and inorganic contaminants, tolerance to high and sometimes varied concentrations of contaminants [22, 23, 24]. </w:t>
      </w:r>
      <w:r>
        <w:rPr>
          <w:i/>
          <w:sz w:val="22"/>
        </w:rPr>
        <w:t>Typha latifolia L</w:t>
      </w:r>
      <w:r>
        <w:rPr>
          <w:sz w:val="22"/>
        </w:rPr>
        <w:t>., which offers an effective option to treat heavy metals in water, recent works have verified its effectiveness in the removal of Zn,  Mn, Ag, Al, As, B, Cb, Cu, Cu, Cr, B, Fe, Ni, Co, and Se [25, 26, 27, 28], whether live collected  in contaminated sites [29] or using them as bioadsorbents</w:t>
      </w:r>
      <w:r>
        <w:rPr>
          <w:spacing w:val="-19"/>
          <w:sz w:val="22"/>
        </w:rPr>
        <w:t> </w:t>
      </w:r>
      <w:r>
        <w:rPr>
          <w:sz w:val="22"/>
        </w:rPr>
        <w:t>[30].</w:t>
      </w:r>
    </w:p>
    <w:p>
      <w:pPr>
        <w:pStyle w:val="BodyText"/>
        <w:spacing w:before="4"/>
        <w:rPr>
          <w:sz w:val="17"/>
        </w:rPr>
      </w:pPr>
    </w:p>
    <w:p>
      <w:pPr>
        <w:spacing w:before="0"/>
        <w:ind w:left="118" w:right="112" w:firstLine="0"/>
        <w:jc w:val="both"/>
        <w:rPr>
          <w:sz w:val="22"/>
        </w:rPr>
      </w:pPr>
      <w:r>
        <w:rPr>
          <w:sz w:val="22"/>
        </w:rPr>
        <w:t>The objective of the present study was the evaluation of the removal efficiency of a coupled electrocoagulation process using aluminum electrodes with phytoremediation (</w:t>
      </w:r>
      <w:r>
        <w:rPr>
          <w:i/>
          <w:sz w:val="22"/>
        </w:rPr>
        <w:t>Typha latifolia L</w:t>
      </w:r>
      <w:r>
        <w:rPr>
          <w:sz w:val="22"/>
        </w:rPr>
        <w:t>.), for the treatment of simulated mining water which four heavy metals that are commonly present in mining wastewater.</w:t>
      </w:r>
    </w:p>
    <w:p>
      <w:pPr>
        <w:pStyle w:val="BodyText"/>
        <w:rPr>
          <w:sz w:val="22"/>
        </w:rPr>
      </w:pPr>
    </w:p>
    <w:p>
      <w:pPr>
        <w:pStyle w:val="BodyText"/>
        <w:rPr>
          <w:sz w:val="22"/>
        </w:rPr>
      </w:pPr>
    </w:p>
    <w:p>
      <w:pPr>
        <w:pStyle w:val="Heading3"/>
        <w:numPr>
          <w:ilvl w:val="2"/>
          <w:numId w:val="19"/>
        </w:numPr>
        <w:tabs>
          <w:tab w:pos="827" w:val="left" w:leader="none"/>
        </w:tabs>
        <w:spacing w:line="412" w:lineRule="auto" w:before="148" w:after="0"/>
        <w:ind w:left="478" w:right="6226" w:firstLine="0"/>
        <w:jc w:val="left"/>
      </w:pPr>
      <w:r>
        <w:rPr/>
        <w:t>Materials and</w:t>
      </w:r>
      <w:r>
        <w:rPr>
          <w:spacing w:val="-7"/>
        </w:rPr>
        <w:t> </w:t>
      </w:r>
      <w:r>
        <w:rPr/>
        <w:t>Methods 2.1Electrocoagulation</w:t>
      </w:r>
    </w:p>
    <w:p>
      <w:pPr>
        <w:pStyle w:val="ListParagraph"/>
        <w:numPr>
          <w:ilvl w:val="2"/>
          <w:numId w:val="20"/>
        </w:numPr>
        <w:tabs>
          <w:tab w:pos="1187" w:val="left" w:leader="none"/>
        </w:tabs>
        <w:spacing w:line="240" w:lineRule="auto" w:before="6" w:after="0"/>
        <w:ind w:left="1186" w:right="0" w:hanging="600"/>
        <w:jc w:val="left"/>
        <w:rPr>
          <w:b/>
          <w:sz w:val="24"/>
        </w:rPr>
      </w:pPr>
      <w:r>
        <w:rPr>
          <w:b/>
          <w:sz w:val="24"/>
        </w:rPr>
        <w:t>Preparation of simulated mining</w:t>
      </w:r>
      <w:r>
        <w:rPr>
          <w:b/>
          <w:spacing w:val="-11"/>
          <w:sz w:val="24"/>
        </w:rPr>
        <w:t> </w:t>
      </w:r>
      <w:r>
        <w:rPr>
          <w:b/>
          <w:sz w:val="24"/>
        </w:rPr>
        <w:t>water</w:t>
      </w:r>
    </w:p>
    <w:p>
      <w:pPr>
        <w:spacing w:before="201"/>
        <w:ind w:left="118" w:right="113" w:firstLine="0"/>
        <w:jc w:val="both"/>
        <w:rPr>
          <w:sz w:val="22"/>
        </w:rPr>
      </w:pPr>
      <w:r>
        <w:rPr>
          <w:sz w:val="22"/>
        </w:rPr>
        <w:t>A mining water sample of 2L was prepared by treatment based on the average concentrations observed during a year in a body of water adjacent to a mining shaft: Pb (16 ppm), Cu (119 ppm), Cd (75 ppm) And Zn (156 ppm), using "Fermont" sulfide and nitrate salts dissolved in distilled water, the pH value was 5± 0.5 characteristic of mineral water [31].</w:t>
      </w:r>
    </w:p>
    <w:p>
      <w:pPr>
        <w:spacing w:after="0"/>
        <w:jc w:val="both"/>
        <w:rPr>
          <w:sz w:val="22"/>
        </w:rPr>
        <w:sectPr>
          <w:pgSz w:w="12240" w:h="15840"/>
          <w:pgMar w:header="0" w:footer="1480" w:top="1360" w:bottom="1680" w:left="1300" w:right="1300"/>
        </w:sectPr>
      </w:pPr>
    </w:p>
    <w:p>
      <w:pPr>
        <w:pStyle w:val="Heading3"/>
        <w:numPr>
          <w:ilvl w:val="2"/>
          <w:numId w:val="20"/>
        </w:numPr>
        <w:tabs>
          <w:tab w:pos="1187" w:val="left" w:leader="none"/>
        </w:tabs>
        <w:spacing w:line="240" w:lineRule="auto" w:before="56" w:after="0"/>
        <w:ind w:left="1186" w:right="0" w:hanging="600"/>
        <w:jc w:val="left"/>
      </w:pPr>
      <w:r>
        <w:rPr/>
        <w:t>Electrochemical</w:t>
      </w:r>
      <w:r>
        <w:rPr>
          <w:spacing w:val="-9"/>
        </w:rPr>
        <w:t> </w:t>
      </w:r>
      <w:r>
        <w:rPr/>
        <w:t>reactor</w:t>
      </w:r>
    </w:p>
    <w:p>
      <w:pPr>
        <w:spacing w:before="199"/>
        <w:ind w:left="118" w:right="112" w:firstLine="0"/>
        <w:jc w:val="both"/>
        <w:rPr>
          <w:sz w:val="22"/>
        </w:rPr>
      </w:pPr>
      <w:r>
        <w:rPr>
          <w:sz w:val="22"/>
        </w:rPr>
        <w:t>A "Batch" reactor was constructed, taking into account the optimum operating conditions described by Cano [32] and Mercado [15]. This consists of 5 pairs of aluminum (10*5*0.03 cm). The electrodes were connected to a power source that supplied a direct current of 4 A and 8 V [33], during 180 minutes, temperature intervals of 24±4°C [34, 35], the pH was 5±1.8 [36].  During the treatment period samples were taken at different times to quantify concentrations of heavy metals by atomic absorption spectrophotometry</w:t>
      </w:r>
      <w:r>
        <w:rPr>
          <w:spacing w:val="-10"/>
          <w:sz w:val="22"/>
        </w:rPr>
        <w:t> </w:t>
      </w:r>
      <w:r>
        <w:rPr>
          <w:sz w:val="22"/>
        </w:rPr>
        <w:t>[34].</w:t>
      </w:r>
    </w:p>
    <w:p>
      <w:pPr>
        <w:pStyle w:val="BodyText"/>
        <w:spacing w:before="5"/>
        <w:rPr>
          <w:sz w:val="17"/>
        </w:rPr>
      </w:pPr>
    </w:p>
    <w:p>
      <w:pPr>
        <w:pStyle w:val="Heading3"/>
        <w:numPr>
          <w:ilvl w:val="1"/>
          <w:numId w:val="20"/>
        </w:numPr>
        <w:tabs>
          <w:tab w:pos="827" w:val="left" w:leader="none"/>
        </w:tabs>
        <w:spacing w:line="240" w:lineRule="auto" w:before="0" w:after="0"/>
        <w:ind w:left="826" w:right="0" w:hanging="348"/>
        <w:jc w:val="left"/>
        <w:rPr>
          <w:sz w:val="22"/>
        </w:rPr>
      </w:pPr>
      <w:r>
        <w:rPr/>
        <w:t>Phytoremediation</w:t>
      </w:r>
    </w:p>
    <w:p>
      <w:pPr>
        <w:pStyle w:val="ListParagraph"/>
        <w:numPr>
          <w:ilvl w:val="2"/>
          <w:numId w:val="20"/>
        </w:numPr>
        <w:tabs>
          <w:tab w:pos="1190" w:val="left" w:leader="none"/>
        </w:tabs>
        <w:spacing w:line="240" w:lineRule="auto" w:before="199" w:after="0"/>
        <w:ind w:left="1189" w:right="0" w:hanging="603"/>
        <w:jc w:val="left"/>
        <w:rPr>
          <w:b/>
          <w:sz w:val="24"/>
        </w:rPr>
      </w:pPr>
      <w:r>
        <w:rPr>
          <w:b/>
          <w:sz w:val="24"/>
        </w:rPr>
        <w:t>Collection and acclimatization of</w:t>
      </w:r>
      <w:r>
        <w:rPr>
          <w:b/>
          <w:spacing w:val="-11"/>
          <w:sz w:val="24"/>
        </w:rPr>
        <w:t> </w:t>
      </w:r>
      <w:r>
        <w:rPr>
          <w:b/>
          <w:sz w:val="24"/>
        </w:rPr>
        <w:t>plants</w:t>
      </w:r>
    </w:p>
    <w:p>
      <w:pPr>
        <w:spacing w:before="201"/>
        <w:ind w:left="118" w:right="114" w:firstLine="0"/>
        <w:jc w:val="both"/>
        <w:rPr>
          <w:sz w:val="22"/>
        </w:rPr>
      </w:pPr>
      <w:r>
        <w:rPr>
          <w:sz w:val="22"/>
        </w:rPr>
        <w:t>The macrophyte </w:t>
      </w:r>
      <w:r>
        <w:rPr>
          <w:i/>
          <w:sz w:val="22"/>
        </w:rPr>
        <w:t>Typha latifolia L</w:t>
      </w:r>
      <w:r>
        <w:rPr>
          <w:sz w:val="22"/>
        </w:rPr>
        <w:t>., was collected in the municipality of Toluca, State of Mexico at coordinates 19 ° 16 '04.1''N 99 ° 41' 14.7''W [37]. The macrophyte was collected manually, placed in plastic containers to be kept in water and transported to the laboratory, where they were grown in dark plastic containers to prevent the formation of algae, with water and Murashige and Skoog nutrient solution ”MS” [38] at pH 6.4 ± 0.5. The plants were maintained at room temperature of 20 ± 5 ° C and light / dark photoperiod. The total period of acclimatization lasted 14 days, after which they were used in phytoremediation systems.</w:t>
      </w:r>
    </w:p>
    <w:p>
      <w:pPr>
        <w:pStyle w:val="BodyText"/>
        <w:spacing w:before="5"/>
        <w:rPr>
          <w:sz w:val="17"/>
        </w:rPr>
      </w:pPr>
    </w:p>
    <w:p>
      <w:pPr>
        <w:pStyle w:val="Heading3"/>
        <w:numPr>
          <w:ilvl w:val="2"/>
          <w:numId w:val="20"/>
        </w:numPr>
        <w:tabs>
          <w:tab w:pos="1122" w:val="left" w:leader="none"/>
        </w:tabs>
        <w:spacing w:line="240" w:lineRule="auto" w:before="0" w:after="0"/>
        <w:ind w:left="1122" w:right="0" w:hanging="603"/>
        <w:jc w:val="left"/>
      </w:pPr>
      <w:r>
        <w:rPr/>
        <w:t>Phytoremediation</w:t>
      </w:r>
      <w:r>
        <w:rPr>
          <w:spacing w:val="-11"/>
        </w:rPr>
        <w:t> </w:t>
      </w:r>
      <w:r>
        <w:rPr/>
        <w:t>system</w:t>
      </w:r>
    </w:p>
    <w:p>
      <w:pPr>
        <w:spacing w:before="198"/>
        <w:ind w:left="118" w:right="111" w:firstLine="0"/>
        <w:jc w:val="both"/>
        <w:rPr>
          <w:sz w:val="22"/>
        </w:rPr>
      </w:pPr>
      <w:r>
        <w:rPr>
          <w:sz w:val="22"/>
        </w:rPr>
        <w:t>Plastic containers with a capacity of 2 liters of electrocoagulated water were distributed in seven treatments: 2 control (electrocoagulated water and </w:t>
      </w:r>
      <w:r>
        <w:rPr>
          <w:i/>
          <w:sz w:val="22"/>
        </w:rPr>
        <w:t>Typha latifolia </w:t>
      </w:r>
      <w:r>
        <w:rPr>
          <w:sz w:val="22"/>
        </w:rPr>
        <w:t>+ nutritional solution "MS" in water), the remaining treatments had the following conditions: a dilution of 12.5% electrocoagulated water, three plants with a biomass of 90 ± 10g, pH 6.4 ± 1, temperature ranges of 23 ± 3 ° C, nutrient solution MS. The phytoremediation system lasted 7 days. During the treatment of phytoremediation, the levels of concentration of heavy metals in solution were determined [26,35] and plant by translocation factor, bioaccumulation factor [39, 40, 41] and removal</w:t>
      </w:r>
      <w:r>
        <w:rPr>
          <w:spacing w:val="-4"/>
          <w:sz w:val="22"/>
        </w:rPr>
        <w:t> </w:t>
      </w:r>
      <w:r>
        <w:rPr>
          <w:sz w:val="22"/>
        </w:rPr>
        <w:t>kinetics.</w:t>
      </w:r>
    </w:p>
    <w:p>
      <w:pPr>
        <w:pStyle w:val="BodyText"/>
        <w:spacing w:before="5"/>
        <w:rPr>
          <w:sz w:val="17"/>
        </w:rPr>
      </w:pPr>
    </w:p>
    <w:p>
      <w:pPr>
        <w:pStyle w:val="Heading3"/>
        <w:numPr>
          <w:ilvl w:val="2"/>
          <w:numId w:val="20"/>
        </w:numPr>
        <w:tabs>
          <w:tab w:pos="1122" w:val="left" w:leader="none"/>
        </w:tabs>
        <w:spacing w:line="240" w:lineRule="auto" w:before="0" w:after="0"/>
        <w:ind w:left="1122" w:right="0" w:hanging="603"/>
        <w:jc w:val="left"/>
      </w:pPr>
      <w:r>
        <w:rPr/>
        <w:t>Tolerance to</w:t>
      </w:r>
      <w:r>
        <w:rPr>
          <w:spacing w:val="-7"/>
        </w:rPr>
        <w:t> </w:t>
      </w:r>
      <w:r>
        <w:rPr/>
        <w:t>exposure</w:t>
      </w:r>
    </w:p>
    <w:p>
      <w:pPr>
        <w:spacing w:before="198"/>
        <w:ind w:left="118" w:right="114" w:firstLine="0"/>
        <w:jc w:val="both"/>
        <w:rPr>
          <w:sz w:val="22"/>
        </w:rPr>
      </w:pPr>
      <w:r>
        <w:rPr>
          <w:sz w:val="22"/>
        </w:rPr>
        <w:t>To determine the health of plants due to manipulation and exposure to the metal mixture at residual concentration after EC, it was performed using the spectrophotometric method established by the United States Environmental Protection Agency [42]: 663 nm (chlorophyll A), 645 nm (chlorophyll B) and 470 nm (carotene). For the calculation of the concentrations was analyzed by equations (4, 5 and 6).</w:t>
      </w:r>
    </w:p>
    <w:p>
      <w:pPr>
        <w:pStyle w:val="BodyText"/>
        <w:spacing w:before="2"/>
        <w:rPr>
          <w:sz w:val="17"/>
        </w:rPr>
      </w:pPr>
    </w:p>
    <w:p>
      <w:pPr>
        <w:spacing w:before="0"/>
        <w:ind w:left="118" w:right="2875" w:firstLine="0"/>
        <w:jc w:val="left"/>
        <w:rPr>
          <w:sz w:val="22"/>
        </w:rPr>
      </w:pPr>
      <w:r>
        <w:rPr>
          <w:sz w:val="22"/>
        </w:rPr>
        <w:t>mg/mL (chlorophyll A): (12.7*Abs 663) - (2.62*Abs 645)……….....(4) mg/mL (chlorophyll B): (22.9*Abs 645) - (4.68*Abs 663)……..…...(5)</w:t>
      </w:r>
    </w:p>
    <w:p>
      <w:pPr>
        <w:spacing w:line="253" w:lineRule="exact" w:before="0"/>
        <w:ind w:left="118" w:right="0" w:firstLine="0"/>
        <w:jc w:val="both"/>
        <w:rPr>
          <w:sz w:val="22"/>
        </w:rPr>
      </w:pPr>
      <w:r>
        <w:rPr>
          <w:sz w:val="22"/>
        </w:rPr>
        <w:t>µg/mL (carotene): (3.775*Abs 470)-(0.21*chlorophyll b)……….…. (6)</w:t>
      </w:r>
    </w:p>
    <w:p>
      <w:pPr>
        <w:pStyle w:val="BodyText"/>
        <w:rPr>
          <w:sz w:val="22"/>
        </w:rPr>
      </w:pPr>
    </w:p>
    <w:p>
      <w:pPr>
        <w:pStyle w:val="Heading3"/>
        <w:numPr>
          <w:ilvl w:val="2"/>
          <w:numId w:val="20"/>
        </w:numPr>
        <w:tabs>
          <w:tab w:pos="1122" w:val="left" w:leader="none"/>
        </w:tabs>
        <w:spacing w:line="240" w:lineRule="auto" w:before="1" w:after="0"/>
        <w:ind w:left="1122" w:right="0" w:hanging="603"/>
        <w:jc w:val="left"/>
      </w:pPr>
      <w:r>
        <w:rPr/>
        <w:t>Determination of concentrations of metals in water and</w:t>
      </w:r>
      <w:r>
        <w:rPr>
          <w:spacing w:val="-14"/>
        </w:rPr>
        <w:t> </w:t>
      </w:r>
      <w:r>
        <w:rPr/>
        <w:t>biomass</w:t>
      </w:r>
    </w:p>
    <w:p>
      <w:pPr>
        <w:spacing w:line="237" w:lineRule="auto" w:before="201"/>
        <w:ind w:left="118" w:right="111" w:firstLine="0"/>
        <w:jc w:val="both"/>
        <w:rPr>
          <w:sz w:val="22"/>
        </w:rPr>
      </w:pPr>
      <w:r>
        <w:rPr>
          <w:sz w:val="22"/>
        </w:rPr>
        <w:t>Analyze both the electrocoagulation and phytoremediation treatment (water and biomass) by atomic absorption spectrophotometry using Avanta GBC 3000 equipment. For the liquid  samples, they were previously filtered with filter paper with 0.45 μm pore size and acidified with concentrated HNO</w:t>
      </w:r>
      <w:r>
        <w:rPr>
          <w:position w:val="-2"/>
          <w:sz w:val="14"/>
        </w:rPr>
        <w:t>3</w:t>
      </w:r>
      <w:r>
        <w:rPr>
          <w:sz w:val="22"/>
        </w:rPr>
        <w:t>. Regarding the biomass, the root and aerial part were weighed separately, dried and ground to a particle size of 20 mesh, then digested with H</w:t>
      </w:r>
      <w:r>
        <w:rPr>
          <w:position w:val="-2"/>
          <w:sz w:val="14"/>
        </w:rPr>
        <w:t>2</w:t>
      </w:r>
      <w:r>
        <w:rPr>
          <w:sz w:val="22"/>
        </w:rPr>
        <w:t>SO</w:t>
      </w:r>
      <w:r>
        <w:rPr>
          <w:position w:val="-2"/>
          <w:sz w:val="14"/>
        </w:rPr>
        <w:t>4</w:t>
      </w:r>
      <w:r>
        <w:rPr>
          <w:sz w:val="22"/>
        </w:rPr>
        <w:t>-HClO</w:t>
      </w:r>
      <w:r>
        <w:rPr>
          <w:position w:val="-2"/>
          <w:sz w:val="14"/>
        </w:rPr>
        <w:t>4  </w:t>
      </w:r>
      <w:r>
        <w:rPr>
          <w:sz w:val="22"/>
        </w:rPr>
        <w:t>(4:</w:t>
      </w:r>
      <w:r>
        <w:rPr>
          <w:spacing w:val="-38"/>
          <w:sz w:val="22"/>
        </w:rPr>
        <w:t> </w:t>
      </w:r>
      <w:r>
        <w:rPr>
          <w:sz w:val="22"/>
        </w:rPr>
        <w:t>1).</w:t>
      </w:r>
    </w:p>
    <w:p>
      <w:pPr>
        <w:spacing w:after="0" w:line="237" w:lineRule="auto"/>
        <w:jc w:val="both"/>
        <w:rPr>
          <w:sz w:val="22"/>
        </w:rPr>
        <w:sectPr>
          <w:pgSz w:w="12240" w:h="15840"/>
          <w:pgMar w:header="0" w:footer="1480" w:top="1360" w:bottom="1680" w:left="1300" w:right="1300"/>
        </w:sectPr>
      </w:pPr>
    </w:p>
    <w:p>
      <w:pPr>
        <w:spacing w:before="56"/>
        <w:ind w:left="118" w:right="111" w:firstLine="0"/>
        <w:jc w:val="both"/>
        <w:rPr>
          <w:sz w:val="22"/>
        </w:rPr>
      </w:pPr>
      <w:r>
        <w:rPr>
          <w:sz w:val="22"/>
        </w:rPr>
        <w:t>Translocation factors (FT) were calculated using equation 7 proposed by Ali [43] and Chandra [27]. The bioaccumulation factor (BCF) was calculated by equation 8 [44, 45].</w:t>
      </w:r>
    </w:p>
    <w:p>
      <w:pPr>
        <w:pStyle w:val="BodyText"/>
        <w:spacing w:before="5"/>
        <w:rPr>
          <w:sz w:val="17"/>
        </w:rPr>
      </w:pPr>
    </w:p>
    <w:p>
      <w:pPr>
        <w:spacing w:line="429" w:lineRule="auto" w:before="0"/>
        <w:ind w:left="118" w:right="5186" w:firstLine="0"/>
        <w:jc w:val="left"/>
        <w:rPr>
          <w:sz w:val="22"/>
        </w:rPr>
      </w:pPr>
      <w:r>
        <w:rPr>
          <w:sz w:val="22"/>
        </w:rPr>
        <w:t>FT: Cmet aerial part / Cmet root………… (7) BCF: Cmet plant tissue / Cmet water…... (8)</w:t>
      </w:r>
    </w:p>
    <w:p>
      <w:pPr>
        <w:spacing w:before="4"/>
        <w:ind w:left="884" w:right="0" w:firstLine="0"/>
        <w:jc w:val="left"/>
        <w:rPr>
          <w:sz w:val="22"/>
        </w:rPr>
      </w:pPr>
      <w:r>
        <w:rPr>
          <w:sz w:val="22"/>
        </w:rPr>
        <w:t>Where Cmet = concentration of the metal in plant (root and aerial part) and water</w:t>
      </w:r>
    </w:p>
    <w:p>
      <w:pPr>
        <w:pStyle w:val="BodyText"/>
        <w:spacing w:before="5"/>
        <w:rPr>
          <w:sz w:val="17"/>
        </w:rPr>
      </w:pPr>
    </w:p>
    <w:p>
      <w:pPr>
        <w:pStyle w:val="Heading3"/>
        <w:numPr>
          <w:ilvl w:val="2"/>
          <w:numId w:val="19"/>
        </w:numPr>
        <w:tabs>
          <w:tab w:pos="827" w:val="left" w:leader="none"/>
        </w:tabs>
        <w:spacing w:line="240" w:lineRule="auto" w:before="0" w:after="0"/>
        <w:ind w:left="826" w:right="0" w:hanging="280"/>
        <w:jc w:val="left"/>
      </w:pPr>
      <w:r>
        <w:rPr/>
        <w:t>Results</w:t>
      </w:r>
    </w:p>
    <w:p>
      <w:pPr>
        <w:pStyle w:val="ListParagraph"/>
        <w:numPr>
          <w:ilvl w:val="3"/>
          <w:numId w:val="19"/>
        </w:numPr>
        <w:tabs>
          <w:tab w:pos="988" w:val="left" w:leader="none"/>
        </w:tabs>
        <w:spacing w:line="240" w:lineRule="auto" w:before="201" w:after="0"/>
        <w:ind w:left="987" w:right="0" w:hanging="401"/>
        <w:jc w:val="left"/>
        <w:rPr>
          <w:b/>
          <w:sz w:val="24"/>
        </w:rPr>
      </w:pPr>
      <w:r>
        <w:rPr>
          <w:b/>
          <w:sz w:val="24"/>
        </w:rPr>
        <w:t>Electrocoagulation</w:t>
      </w:r>
    </w:p>
    <w:p>
      <w:pPr>
        <w:pStyle w:val="ListParagraph"/>
        <w:numPr>
          <w:ilvl w:val="4"/>
          <w:numId w:val="19"/>
        </w:numPr>
        <w:tabs>
          <w:tab w:pos="1254" w:val="left" w:leader="none"/>
        </w:tabs>
        <w:spacing w:line="240" w:lineRule="auto" w:before="199" w:after="0"/>
        <w:ind w:left="1254" w:right="0" w:hanging="600"/>
        <w:jc w:val="left"/>
        <w:rPr>
          <w:b/>
          <w:sz w:val="24"/>
        </w:rPr>
      </w:pPr>
      <w:r>
        <w:rPr>
          <w:b/>
          <w:sz w:val="24"/>
        </w:rPr>
        <w:t>Reactions of electrocoagulation system with aluminum</w:t>
      </w:r>
      <w:r>
        <w:rPr>
          <w:b/>
          <w:spacing w:val="-18"/>
          <w:sz w:val="24"/>
        </w:rPr>
        <w:t> </w:t>
      </w:r>
      <w:r>
        <w:rPr>
          <w:b/>
          <w:sz w:val="24"/>
        </w:rPr>
        <w:t>electrodes</w:t>
      </w:r>
    </w:p>
    <w:p>
      <w:pPr>
        <w:spacing w:before="199"/>
        <w:ind w:left="118" w:right="116" w:firstLine="0"/>
        <w:jc w:val="both"/>
        <w:rPr>
          <w:sz w:val="22"/>
        </w:rPr>
      </w:pPr>
      <w:r>
        <w:rPr>
          <w:sz w:val="22"/>
        </w:rPr>
        <w:t>During the electrocoagulation process, with aluminum electrodes, we have the in situ formation of the coagulant by the corrosion of the sacrificial anode and the parallel evolution of the hydrogen in the cathode that allows the elimination of contaminants by flotation or  sedimentation. All this removal process is carried out in three main reactions [18, 20, 36, 46,</w:t>
      </w:r>
      <w:r>
        <w:rPr>
          <w:spacing w:val="-27"/>
          <w:sz w:val="22"/>
        </w:rPr>
        <w:t> </w:t>
      </w:r>
      <w:r>
        <w:rPr>
          <w:sz w:val="22"/>
        </w:rPr>
        <w:t>47].</w:t>
      </w:r>
    </w:p>
    <w:p>
      <w:pPr>
        <w:pStyle w:val="BodyText"/>
        <w:spacing w:before="3"/>
        <w:rPr>
          <w:sz w:val="17"/>
        </w:rPr>
      </w:pPr>
    </w:p>
    <w:p>
      <w:pPr>
        <w:pStyle w:val="ListParagraph"/>
        <w:numPr>
          <w:ilvl w:val="0"/>
          <w:numId w:val="21"/>
        </w:numPr>
        <w:tabs>
          <w:tab w:pos="827" w:val="left" w:leader="none"/>
        </w:tabs>
        <w:spacing w:line="264" w:lineRule="exact" w:before="0" w:after="0"/>
        <w:ind w:left="826" w:right="0" w:hanging="348"/>
        <w:jc w:val="left"/>
        <w:rPr>
          <w:sz w:val="24"/>
        </w:rPr>
      </w:pPr>
      <w:r>
        <w:rPr>
          <w:sz w:val="24"/>
        </w:rPr>
        <w:t>Anodic oxidation</w:t>
      </w:r>
      <w:r>
        <w:rPr>
          <w:spacing w:val="-8"/>
          <w:sz w:val="24"/>
        </w:rPr>
        <w:t> </w:t>
      </w:r>
      <w:r>
        <w:rPr>
          <w:sz w:val="24"/>
        </w:rPr>
        <w:t>reaction……….(1)</w:t>
      </w:r>
    </w:p>
    <w:p>
      <w:pPr>
        <w:spacing w:line="279" w:lineRule="exact" w:before="0"/>
        <w:ind w:left="838" w:right="0" w:firstLine="0"/>
        <w:jc w:val="left"/>
        <w:rPr>
          <w:sz w:val="14"/>
        </w:rPr>
      </w:pPr>
      <w:r>
        <w:rPr>
          <w:sz w:val="22"/>
        </w:rPr>
        <w:t>Al </w:t>
      </w:r>
      <w:r>
        <w:rPr>
          <w:position w:val="-2"/>
          <w:sz w:val="14"/>
        </w:rPr>
        <w:t>(s)  </w:t>
      </w:r>
      <w:r>
        <w:rPr>
          <w:sz w:val="22"/>
        </w:rPr>
        <w:t>→ Al</w:t>
      </w:r>
      <w:r>
        <w:rPr>
          <w:position w:val="10"/>
          <w:sz w:val="14"/>
        </w:rPr>
        <w:t>3+  </w:t>
      </w:r>
      <w:r>
        <w:rPr>
          <w:sz w:val="22"/>
        </w:rPr>
        <w:t>+ 3e</w:t>
      </w:r>
      <w:r>
        <w:rPr>
          <w:position w:val="10"/>
          <w:sz w:val="14"/>
        </w:rPr>
        <w:t>-</w:t>
      </w:r>
    </w:p>
    <w:p>
      <w:pPr>
        <w:pStyle w:val="BodyText"/>
        <w:spacing w:before="4"/>
        <w:rPr>
          <w:sz w:val="27"/>
        </w:rPr>
      </w:pPr>
    </w:p>
    <w:p>
      <w:pPr>
        <w:pStyle w:val="ListParagraph"/>
        <w:numPr>
          <w:ilvl w:val="0"/>
          <w:numId w:val="21"/>
        </w:numPr>
        <w:tabs>
          <w:tab w:pos="827" w:val="left" w:leader="none"/>
        </w:tabs>
        <w:spacing w:line="264" w:lineRule="exact" w:before="0" w:after="0"/>
        <w:ind w:left="826" w:right="0" w:hanging="348"/>
        <w:jc w:val="left"/>
        <w:rPr>
          <w:sz w:val="24"/>
        </w:rPr>
      </w:pPr>
      <w:r>
        <w:rPr>
          <w:sz w:val="24"/>
        </w:rPr>
        <w:t>Cathode reduction</w:t>
      </w:r>
      <w:r>
        <w:rPr>
          <w:spacing w:val="-5"/>
          <w:sz w:val="24"/>
        </w:rPr>
        <w:t> </w:t>
      </w:r>
      <w:r>
        <w:rPr>
          <w:sz w:val="24"/>
        </w:rPr>
        <w:t>reaction……..(2)</w:t>
      </w:r>
    </w:p>
    <w:p>
      <w:pPr>
        <w:spacing w:line="279" w:lineRule="exact" w:before="0"/>
        <w:ind w:left="838" w:right="0" w:firstLine="0"/>
        <w:jc w:val="left"/>
        <w:rPr>
          <w:sz w:val="14"/>
        </w:rPr>
      </w:pPr>
      <w:r>
        <w:rPr/>
        <w:pict>
          <v:shape style="position:absolute;margin-left:247.850006pt;margin-top:6.911675pt;width:12.4pt;height:7pt;mso-position-horizontal-relative:page;mso-position-vertical-relative:paragraph;z-index:-70960" type="#_x0000_t202" filled="false" stroked="false">
            <v:textbox inset="0,0,0,0">
              <w:txbxContent>
                <w:p>
                  <w:pPr>
                    <w:spacing w:line="139" w:lineRule="exact" w:before="0"/>
                    <w:ind w:left="0" w:right="-17" w:firstLine="0"/>
                    <w:jc w:val="left"/>
                    <w:rPr>
                      <w:sz w:val="14"/>
                    </w:rPr>
                  </w:pPr>
                  <w:r>
                    <w:rPr>
                      <w:spacing w:val="-1"/>
                      <w:sz w:val="14"/>
                    </w:rPr>
                    <w:t>(aq)</w:t>
                  </w:r>
                </w:p>
              </w:txbxContent>
            </v:textbox>
            <w10:wrap type="none"/>
          </v:shape>
        </w:pict>
      </w:r>
      <w:r>
        <w:rPr>
          <w:sz w:val="22"/>
        </w:rPr>
        <w:t>3 H</w:t>
      </w:r>
      <w:r>
        <w:rPr>
          <w:position w:val="-2"/>
          <w:sz w:val="14"/>
        </w:rPr>
        <w:t>2</w:t>
      </w:r>
      <w:r>
        <w:rPr>
          <w:sz w:val="22"/>
        </w:rPr>
        <w:t>O + 3e</w:t>
      </w:r>
      <w:r>
        <w:rPr>
          <w:position w:val="10"/>
          <w:sz w:val="14"/>
        </w:rPr>
        <w:t>- </w:t>
      </w:r>
      <w:r>
        <w:rPr>
          <w:sz w:val="22"/>
        </w:rPr>
        <w:t>→ 3H</w:t>
      </w:r>
      <w:r>
        <w:rPr>
          <w:position w:val="-2"/>
          <w:sz w:val="14"/>
        </w:rPr>
        <w:t>2  (g)  </w:t>
      </w:r>
      <w:r>
        <w:rPr>
          <w:sz w:val="22"/>
        </w:rPr>
        <w:t>+ 3OH</w:t>
      </w:r>
      <w:r>
        <w:rPr>
          <w:position w:val="10"/>
          <w:sz w:val="14"/>
        </w:rPr>
        <w:t>-</w:t>
      </w:r>
    </w:p>
    <w:p>
      <w:pPr>
        <w:pStyle w:val="BodyText"/>
        <w:spacing w:line="242" w:lineRule="auto" w:before="186"/>
        <w:ind w:left="118" w:right="120"/>
        <w:jc w:val="both"/>
      </w:pPr>
      <w:r>
        <w:rPr/>
        <w:t>In addition to Al</w:t>
      </w:r>
      <w:r>
        <w:rPr>
          <w:position w:val="11"/>
          <w:sz w:val="16"/>
        </w:rPr>
        <w:t>3+ </w:t>
      </w:r>
      <w:r>
        <w:rPr/>
        <w:t>and OH</w:t>
      </w:r>
      <w:r>
        <w:rPr>
          <w:position w:val="11"/>
          <w:sz w:val="16"/>
        </w:rPr>
        <w:t>- </w:t>
      </w:r>
      <w:r>
        <w:rPr/>
        <w:t>generated on the surface of the electrodes react with the water to form the coagulating agent amorphous aluminum</w:t>
      </w:r>
      <w:r>
        <w:rPr>
          <w:spacing w:val="-25"/>
        </w:rPr>
        <w:t> </w:t>
      </w:r>
      <w:r>
        <w:rPr/>
        <w:t>hydroxide:</w:t>
      </w:r>
    </w:p>
    <w:p>
      <w:pPr>
        <w:pStyle w:val="ListParagraph"/>
        <w:numPr>
          <w:ilvl w:val="0"/>
          <w:numId w:val="21"/>
        </w:numPr>
        <w:tabs>
          <w:tab w:pos="827" w:val="left" w:leader="none"/>
        </w:tabs>
        <w:spacing w:line="264" w:lineRule="exact" w:before="194" w:after="0"/>
        <w:ind w:left="826" w:right="0" w:hanging="348"/>
        <w:jc w:val="left"/>
        <w:rPr>
          <w:sz w:val="24"/>
        </w:rPr>
      </w:pPr>
      <w:r>
        <w:rPr>
          <w:sz w:val="24"/>
        </w:rPr>
        <w:t>Solution</w:t>
      </w:r>
      <w:r>
        <w:rPr>
          <w:spacing w:val="-5"/>
          <w:sz w:val="24"/>
        </w:rPr>
        <w:t> </w:t>
      </w:r>
      <w:r>
        <w:rPr>
          <w:sz w:val="24"/>
        </w:rPr>
        <w:t>reaction………………….(3)</w:t>
      </w:r>
    </w:p>
    <w:p>
      <w:pPr>
        <w:tabs>
          <w:tab w:pos="2502" w:val="left" w:leader="none"/>
          <w:tab w:pos="3796" w:val="left" w:leader="none"/>
        </w:tabs>
        <w:spacing w:line="279" w:lineRule="exact" w:before="0"/>
        <w:ind w:left="838" w:right="0" w:firstLine="0"/>
        <w:jc w:val="left"/>
        <w:rPr>
          <w:sz w:val="22"/>
        </w:rPr>
      </w:pPr>
      <w:r>
        <w:rPr/>
        <w:pict>
          <v:shape style="position:absolute;margin-left:174.740005pt;margin-top:6.91169pt;width:112.95pt;height:7pt;mso-position-horizontal-relative:page;mso-position-vertical-relative:paragraph;z-index:-70936" type="#_x0000_t202" filled="false" stroked="false">
            <v:textbox inset="0,0,0,0">
              <w:txbxContent>
                <w:p>
                  <w:pPr>
                    <w:tabs>
                      <w:tab w:pos="1262" w:val="left" w:leader="none"/>
                      <w:tab w:pos="1951" w:val="left" w:leader="none"/>
                    </w:tabs>
                    <w:spacing w:line="139" w:lineRule="exact" w:before="0"/>
                    <w:ind w:left="0" w:right="0" w:firstLine="0"/>
                    <w:jc w:val="left"/>
                    <w:rPr>
                      <w:sz w:val="14"/>
                    </w:rPr>
                  </w:pPr>
                  <w:r>
                    <w:rPr>
                      <w:sz w:val="14"/>
                    </w:rPr>
                    <w:t>(aq)</w:t>
                    <w:tab/>
                    <w:t>3</w:t>
                  </w:r>
                  <w:r>
                    <w:rPr>
                      <w:spacing w:val="21"/>
                      <w:sz w:val="14"/>
                    </w:rPr>
                    <w:t> </w:t>
                  </w:r>
                  <w:r>
                    <w:rPr>
                      <w:sz w:val="14"/>
                    </w:rPr>
                    <w:t>(s)</w:t>
                    <w:tab/>
                    <w:t>2</w:t>
                  </w:r>
                  <w:r>
                    <w:rPr>
                      <w:spacing w:val="18"/>
                      <w:sz w:val="14"/>
                    </w:rPr>
                    <w:t> </w:t>
                  </w:r>
                  <w:r>
                    <w:rPr>
                      <w:sz w:val="14"/>
                    </w:rPr>
                    <w:t>(g)</w:t>
                  </w:r>
                </w:p>
              </w:txbxContent>
            </v:textbox>
            <w10:wrap type="none"/>
          </v:shape>
        </w:pict>
      </w:r>
      <w:r>
        <w:rPr>
          <w:sz w:val="22"/>
        </w:rPr>
        <w:t>Al</w:t>
      </w:r>
      <w:r>
        <w:rPr>
          <w:position w:val="10"/>
          <w:sz w:val="14"/>
        </w:rPr>
        <w:t>3+</w:t>
      </w:r>
      <w:r>
        <w:rPr>
          <w:position w:val="-2"/>
          <w:sz w:val="14"/>
        </w:rPr>
        <w:t>(aq)</w:t>
      </w:r>
      <w:r>
        <w:rPr>
          <w:spacing w:val="22"/>
          <w:position w:val="-2"/>
          <w:sz w:val="14"/>
        </w:rPr>
        <w:t> </w:t>
      </w:r>
      <w:r>
        <w:rPr>
          <w:sz w:val="22"/>
        </w:rPr>
        <w:t>+ 3OH</w:t>
      </w:r>
      <w:r>
        <w:rPr>
          <w:position w:val="10"/>
          <w:sz w:val="14"/>
        </w:rPr>
        <w:t>-</w:t>
        <w:tab/>
      </w:r>
      <w:r>
        <w:rPr>
          <w:sz w:val="22"/>
        </w:rPr>
        <w:t>→</w:t>
      </w:r>
      <w:r>
        <w:rPr>
          <w:spacing w:val="-1"/>
          <w:sz w:val="22"/>
        </w:rPr>
        <w:t> </w:t>
      </w:r>
      <w:r>
        <w:rPr>
          <w:sz w:val="22"/>
        </w:rPr>
        <w:t>Al(OH)</w:t>
        <w:tab/>
        <w:t>+</w:t>
      </w:r>
      <w:r>
        <w:rPr>
          <w:spacing w:val="2"/>
          <w:sz w:val="22"/>
        </w:rPr>
        <w:t> </w:t>
      </w:r>
      <w:r>
        <w:rPr>
          <w:sz w:val="22"/>
        </w:rPr>
        <w:t>H</w:t>
      </w:r>
    </w:p>
    <w:p>
      <w:pPr>
        <w:pStyle w:val="BodyText"/>
        <w:spacing w:before="6"/>
        <w:rPr>
          <w:sz w:val="21"/>
        </w:rPr>
      </w:pPr>
    </w:p>
    <w:p>
      <w:pPr>
        <w:pStyle w:val="Heading3"/>
        <w:numPr>
          <w:ilvl w:val="4"/>
          <w:numId w:val="19"/>
        </w:numPr>
        <w:tabs>
          <w:tab w:pos="1121" w:val="left" w:leader="none"/>
        </w:tabs>
        <w:spacing w:line="240" w:lineRule="auto" w:before="70" w:after="0"/>
        <w:ind w:left="1120" w:right="0" w:hanging="601"/>
        <w:jc w:val="left"/>
      </w:pPr>
      <w:r>
        <w:rPr/>
        <w:t>Effects of pH during</w:t>
      </w:r>
      <w:r>
        <w:rPr>
          <w:spacing w:val="-11"/>
        </w:rPr>
        <w:t> </w:t>
      </w:r>
      <w:r>
        <w:rPr/>
        <w:t>electrocoagulation</w:t>
      </w:r>
    </w:p>
    <w:p>
      <w:pPr>
        <w:pStyle w:val="BodyText"/>
        <w:spacing w:before="8"/>
        <w:rPr>
          <w:b/>
          <w:sz w:val="28"/>
        </w:rPr>
      </w:pPr>
    </w:p>
    <w:p>
      <w:pPr>
        <w:spacing w:before="1"/>
        <w:ind w:left="118" w:right="111" w:firstLine="0"/>
        <w:jc w:val="both"/>
        <w:rPr>
          <w:sz w:val="22"/>
        </w:rPr>
      </w:pPr>
      <w:r>
        <w:rPr>
          <w:sz w:val="22"/>
        </w:rPr>
        <w:t>The pH influence is one of the most important parameters in electrocoagulation processes, since this determine the ionic species that will act as a coagulant [48, 49, 50], furthermore influencing the current efficiency in the metal solubility process to form hydroxides [12, 47, 51, 52]. To analyze this variable in the simulated mining sample, the pH value is 5.27, which is characteristic of mining wastewater [31], pH was monitored throughout the electrochemical treatment.</w:t>
      </w:r>
    </w:p>
    <w:p>
      <w:pPr>
        <w:pStyle w:val="BodyText"/>
        <w:spacing w:before="4"/>
        <w:rPr>
          <w:sz w:val="25"/>
        </w:rPr>
      </w:pPr>
    </w:p>
    <w:p>
      <w:pPr>
        <w:spacing w:line="240" w:lineRule="auto" w:before="0"/>
        <w:ind w:left="118" w:right="116" w:firstLine="0"/>
        <w:jc w:val="both"/>
        <w:rPr>
          <w:sz w:val="22"/>
        </w:rPr>
      </w:pPr>
      <w:r>
        <w:rPr>
          <w:sz w:val="22"/>
        </w:rPr>
        <w:t>During the first treatment hour a decrease in the pH value caused by buffering processes between OH production and consumption was observed, in addition to the formation of monomeric species, </w:t>
      </w:r>
      <w:r>
        <w:rPr>
          <w:b/>
          <w:sz w:val="22"/>
        </w:rPr>
        <w:t>Figure 1A </w:t>
      </w:r>
      <w:r>
        <w:rPr>
          <w:sz w:val="22"/>
        </w:rPr>
        <w:t>shows a chemical predominant speciation diagram at the first 5 minutes of treatment. It is interesting to note that there are 5 species, there are between them</w:t>
      </w:r>
    </w:p>
    <w:p>
      <w:pPr>
        <w:tabs>
          <w:tab w:pos="4922" w:val="left" w:leader="none"/>
        </w:tabs>
        <w:spacing w:line="11" w:lineRule="exact" w:before="0"/>
        <w:ind w:left="1230" w:right="0" w:firstLine="0"/>
        <w:jc w:val="left"/>
        <w:rPr>
          <w:sz w:val="14"/>
        </w:rPr>
      </w:pPr>
      <w:r>
        <w:rPr>
          <w:sz w:val="14"/>
        </w:rPr>
        <w:t>-</w:t>
        <w:tab/>
        <w:t>-</w:t>
      </w:r>
    </w:p>
    <w:p>
      <w:pPr>
        <w:spacing w:after="0" w:line="11" w:lineRule="exact"/>
        <w:jc w:val="left"/>
        <w:rPr>
          <w:sz w:val="14"/>
        </w:rPr>
        <w:sectPr>
          <w:pgSz w:w="12240" w:h="15840"/>
          <w:pgMar w:header="0" w:footer="1480" w:top="1360" w:bottom="1680" w:left="1300" w:right="1300"/>
        </w:sectPr>
      </w:pPr>
    </w:p>
    <w:p>
      <w:pPr>
        <w:spacing w:line="263" w:lineRule="exact" w:before="0"/>
        <w:ind w:left="118" w:right="0" w:firstLine="0"/>
        <w:jc w:val="left"/>
        <w:rPr>
          <w:sz w:val="14"/>
        </w:rPr>
      </w:pPr>
      <w:r>
        <w:rPr>
          <w:sz w:val="22"/>
        </w:rPr>
        <w:t>Al</w:t>
      </w:r>
      <w:r>
        <w:rPr>
          <w:position w:val="10"/>
          <w:sz w:val="14"/>
        </w:rPr>
        <w:t>3+</w:t>
      </w:r>
      <w:r>
        <w:rPr>
          <w:sz w:val="22"/>
        </w:rPr>
        <w:t>,  AlSO</w:t>
      </w:r>
      <w:r>
        <w:rPr>
          <w:position w:val="-2"/>
          <w:sz w:val="14"/>
        </w:rPr>
        <w:t>4 </w:t>
      </w:r>
      <w:r>
        <w:rPr>
          <w:sz w:val="22"/>
        </w:rPr>
        <w:t>,  AlOHSO</w:t>
      </w:r>
      <w:r>
        <w:rPr>
          <w:position w:val="-2"/>
          <w:sz w:val="14"/>
        </w:rPr>
        <w:t>4</w:t>
      </w:r>
      <w:r>
        <w:rPr>
          <w:sz w:val="22"/>
        </w:rPr>
        <w:t>,  Al(OH)</w:t>
      </w:r>
      <w:r>
        <w:rPr>
          <w:position w:val="-2"/>
          <w:sz w:val="14"/>
        </w:rPr>
        <w:t>3  (s)    </w:t>
      </w:r>
      <w:r>
        <w:rPr>
          <w:sz w:val="22"/>
        </w:rPr>
        <w:t>and Al(OH)</w:t>
      </w:r>
      <w:r>
        <w:rPr>
          <w:position w:val="-2"/>
          <w:sz w:val="14"/>
        </w:rPr>
        <w:t>4</w:t>
      </w:r>
    </w:p>
    <w:p>
      <w:pPr>
        <w:spacing w:line="250" w:lineRule="exact" w:before="0"/>
        <w:ind w:left="110" w:right="0" w:firstLine="0"/>
        <w:jc w:val="left"/>
        <w:rPr>
          <w:sz w:val="22"/>
        </w:rPr>
      </w:pPr>
      <w:r>
        <w:rPr/>
        <w:br w:type="column"/>
      </w:r>
      <w:r>
        <w:rPr>
          <w:sz w:val="22"/>
        </w:rPr>
        <w:t>[36,  52,  53,  54].  The </w:t>
      </w:r>
      <w:r>
        <w:rPr>
          <w:b/>
          <w:sz w:val="22"/>
        </w:rPr>
        <w:t>Figure  1B </w:t>
      </w:r>
      <w:r>
        <w:rPr>
          <w:sz w:val="22"/>
        </w:rPr>
        <w:t>shows the</w:t>
      </w:r>
    </w:p>
    <w:p>
      <w:pPr>
        <w:spacing w:after="0" w:line="250" w:lineRule="exact"/>
        <w:jc w:val="left"/>
        <w:rPr>
          <w:sz w:val="22"/>
        </w:rPr>
        <w:sectPr>
          <w:type w:val="continuous"/>
          <w:pgSz w:w="12240" w:h="15840"/>
          <w:pgMar w:top="260" w:bottom="280" w:left="1300" w:right="1300"/>
          <w:cols w:num="2" w:equalWidth="0">
            <w:col w:w="4923" w:space="40"/>
            <w:col w:w="4677"/>
          </w:cols>
        </w:sectPr>
      </w:pPr>
    </w:p>
    <w:p>
      <w:pPr>
        <w:spacing w:line="225" w:lineRule="auto" w:before="3"/>
        <w:ind w:left="118" w:right="112" w:firstLine="0"/>
        <w:jc w:val="both"/>
        <w:rPr>
          <w:sz w:val="22"/>
        </w:rPr>
      </w:pPr>
      <w:r>
        <w:rPr>
          <w:sz w:val="22"/>
        </w:rPr>
        <w:t>medication in the chemical speciation diagram, when applying 60 minutes of treatment. It can be observed that the predominant species are Al</w:t>
      </w:r>
      <w:r>
        <w:rPr>
          <w:position w:val="10"/>
          <w:sz w:val="14"/>
        </w:rPr>
        <w:t>3+ </w:t>
      </w:r>
      <w:r>
        <w:rPr>
          <w:sz w:val="22"/>
        </w:rPr>
        <w:t>and Al(OH)</w:t>
      </w:r>
      <w:r>
        <w:rPr>
          <w:position w:val="-2"/>
          <w:sz w:val="14"/>
        </w:rPr>
        <w:t>3, (s)</w:t>
      </w:r>
      <w:r>
        <w:rPr>
          <w:sz w:val="22"/>
        </w:rPr>
        <w:t>, according to the diagram the formation of the coagulant agent exhibited a minimum solubility at pH a from 3.5 to 10 [14, 55, 56]. In both figures we can see the formation of another polymorphic compound a values of pH = 9, Al(OH)</w:t>
      </w:r>
      <w:r>
        <w:rPr>
          <w:position w:val="-2"/>
          <w:sz w:val="14"/>
        </w:rPr>
        <w:t>4</w:t>
      </w:r>
      <w:r>
        <w:rPr>
          <w:position w:val="10"/>
          <w:sz w:val="14"/>
        </w:rPr>
        <w:t>-</w:t>
      </w:r>
      <w:r>
        <w:rPr>
          <w:sz w:val="22"/>
        </w:rPr>
        <w:t>, which may cause passivation of the cathode [46, 57].</w:t>
      </w:r>
    </w:p>
    <w:p>
      <w:pPr>
        <w:spacing w:after="0" w:line="225" w:lineRule="auto"/>
        <w:jc w:val="both"/>
        <w:rPr>
          <w:sz w:val="22"/>
        </w:rPr>
        <w:sectPr>
          <w:type w:val="continuous"/>
          <w:pgSz w:w="12240" w:h="15840"/>
          <w:pgMar w:top="260" w:bottom="280" w:left="1300" w:right="1300"/>
        </w:sectPr>
      </w:pPr>
    </w:p>
    <w:p>
      <w:pPr>
        <w:pStyle w:val="BodyText"/>
        <w:spacing w:before="2"/>
        <w:rPr>
          <w:sz w:val="18"/>
        </w:rPr>
      </w:pPr>
    </w:p>
    <w:tbl>
      <w:tblPr>
        <w:tblW w:w="0" w:type="auto"/>
        <w:jc w:val="left"/>
        <w:tblInd w:w="2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81"/>
        <w:gridCol w:w="4581"/>
      </w:tblGrid>
      <w:tr>
        <w:trPr>
          <w:trHeight w:val="3981" w:hRule="exact"/>
        </w:trPr>
        <w:tc>
          <w:tcPr>
            <w:tcW w:w="4581" w:type="dxa"/>
          </w:tcPr>
          <w:p>
            <w:pPr>
              <w:pStyle w:val="TableParagraph"/>
              <w:ind w:left="221"/>
              <w:rPr>
                <w:sz w:val="20"/>
              </w:rPr>
            </w:pPr>
            <w:r>
              <w:rPr>
                <w:sz w:val="20"/>
              </w:rPr>
              <w:drawing>
                <wp:inline distT="0" distB="0" distL="0" distR="0">
                  <wp:extent cx="2683946" cy="1560195"/>
                  <wp:effectExtent l="0" t="0" r="0" b="0"/>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44" cstate="print"/>
                          <a:stretch>
                            <a:fillRect/>
                          </a:stretch>
                        </pic:blipFill>
                        <pic:spPr>
                          <a:xfrm>
                            <a:off x="0" y="0"/>
                            <a:ext cx="2683946" cy="1560195"/>
                          </a:xfrm>
                          <a:prstGeom prst="rect">
                            <a:avLst/>
                          </a:prstGeom>
                        </pic:spPr>
                      </pic:pic>
                    </a:graphicData>
                  </a:graphic>
                </wp:inline>
              </w:drawing>
            </w:r>
            <w:r>
              <w:rPr>
                <w:sz w:val="20"/>
              </w:rPr>
            </w:r>
          </w:p>
          <w:p>
            <w:pPr>
              <w:pStyle w:val="TableParagraph"/>
              <w:spacing w:before="5"/>
              <w:rPr>
                <w:sz w:val="20"/>
              </w:rPr>
            </w:pPr>
          </w:p>
          <w:p>
            <w:pPr>
              <w:pStyle w:val="TableParagraph"/>
              <w:spacing w:line="242" w:lineRule="auto"/>
              <w:ind w:left="200" w:right="106"/>
              <w:jc w:val="both"/>
              <w:rPr>
                <w:sz w:val="20"/>
              </w:rPr>
            </w:pPr>
            <w:r>
              <w:rPr>
                <w:b/>
                <w:sz w:val="20"/>
              </w:rPr>
              <w:t>Figure 1A</w:t>
            </w:r>
            <w:r>
              <w:rPr>
                <w:sz w:val="20"/>
              </w:rPr>
              <w:t>. Speciation of polymorphic Al complexes calculated by Medusa-Hydra. pH range   2   to   12,   5   minutes   of     treatment,</w:t>
            </w:r>
          </w:p>
          <w:p>
            <w:pPr>
              <w:pStyle w:val="TableParagraph"/>
              <w:spacing w:line="162" w:lineRule="exact"/>
              <w:ind w:left="200"/>
              <w:jc w:val="both"/>
              <w:rPr>
                <w:sz w:val="20"/>
              </w:rPr>
            </w:pPr>
            <w:r>
              <w:rPr>
                <w:sz w:val="20"/>
              </w:rPr>
              <w:t>concentrations  [NO</w:t>
            </w:r>
            <w:r>
              <w:rPr>
                <w:position w:val="10"/>
                <w:sz w:val="13"/>
              </w:rPr>
              <w:t>3-</w:t>
            </w:r>
            <w:r>
              <w:rPr>
                <w:sz w:val="20"/>
              </w:rPr>
              <w:t>]:  1.29  mM  [SO   </w:t>
            </w:r>
            <w:r>
              <w:rPr>
                <w:position w:val="10"/>
                <w:sz w:val="13"/>
              </w:rPr>
              <w:t>2-</w:t>
            </w:r>
            <w:r>
              <w:rPr>
                <w:sz w:val="20"/>
              </w:rPr>
              <w:t>]: 3.14</w:t>
            </w:r>
          </w:p>
          <w:p>
            <w:pPr>
              <w:pStyle w:val="TableParagraph"/>
              <w:spacing w:line="58" w:lineRule="exact"/>
              <w:ind w:right="931"/>
              <w:jc w:val="right"/>
              <w:rPr>
                <w:sz w:val="13"/>
              </w:rPr>
            </w:pPr>
            <w:r>
              <w:rPr>
                <w:w w:val="99"/>
                <w:sz w:val="13"/>
              </w:rPr>
              <w:t>4</w:t>
            </w:r>
          </w:p>
          <w:p>
            <w:pPr>
              <w:pStyle w:val="TableParagraph"/>
              <w:spacing w:line="239" w:lineRule="exact"/>
              <w:ind w:left="200"/>
              <w:jc w:val="both"/>
              <w:rPr>
                <w:sz w:val="20"/>
              </w:rPr>
            </w:pPr>
            <w:r>
              <w:rPr>
                <w:sz w:val="20"/>
              </w:rPr>
              <w:t>mM and [Al</w:t>
            </w:r>
            <w:r>
              <w:rPr>
                <w:position w:val="10"/>
                <w:sz w:val="13"/>
              </w:rPr>
              <w:t>3+</w:t>
            </w:r>
            <w:r>
              <w:rPr>
                <w:sz w:val="20"/>
              </w:rPr>
              <w:t>]: 2 mM</w:t>
            </w:r>
          </w:p>
        </w:tc>
        <w:tc>
          <w:tcPr>
            <w:tcW w:w="4581" w:type="dxa"/>
          </w:tcPr>
          <w:p>
            <w:pPr>
              <w:pStyle w:val="TableParagraph"/>
              <w:ind w:left="128"/>
              <w:rPr>
                <w:sz w:val="20"/>
              </w:rPr>
            </w:pPr>
            <w:r>
              <w:rPr>
                <w:sz w:val="20"/>
              </w:rPr>
              <w:drawing>
                <wp:inline distT="0" distB="0" distL="0" distR="0">
                  <wp:extent cx="2655272" cy="1543526"/>
                  <wp:effectExtent l="0" t="0" r="0" b="0"/>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45" cstate="print"/>
                          <a:stretch>
                            <a:fillRect/>
                          </a:stretch>
                        </pic:blipFill>
                        <pic:spPr>
                          <a:xfrm>
                            <a:off x="0" y="0"/>
                            <a:ext cx="2655272" cy="1543526"/>
                          </a:xfrm>
                          <a:prstGeom prst="rect">
                            <a:avLst/>
                          </a:prstGeom>
                        </pic:spPr>
                      </pic:pic>
                    </a:graphicData>
                  </a:graphic>
                </wp:inline>
              </w:drawing>
            </w:r>
            <w:r>
              <w:rPr>
                <w:sz w:val="20"/>
              </w:rPr>
            </w:r>
          </w:p>
          <w:p>
            <w:pPr>
              <w:pStyle w:val="TableParagraph"/>
              <w:spacing w:before="10"/>
              <w:rPr>
                <w:sz w:val="22"/>
              </w:rPr>
            </w:pPr>
          </w:p>
          <w:p>
            <w:pPr>
              <w:pStyle w:val="TableParagraph"/>
              <w:spacing w:line="261" w:lineRule="auto"/>
              <w:ind w:left="108" w:right="198"/>
              <w:jc w:val="both"/>
              <w:rPr>
                <w:sz w:val="20"/>
              </w:rPr>
            </w:pPr>
            <w:r>
              <w:rPr>
                <w:b/>
                <w:sz w:val="20"/>
              </w:rPr>
              <w:t>Figure 1B. </w:t>
            </w:r>
            <w:r>
              <w:rPr>
                <w:sz w:val="20"/>
              </w:rPr>
              <w:t>Speciation of polymorphic Al complexes calculated by Medusa-Hydra. pH range 2 to 12, 60 minutes of treatment, [NO</w:t>
            </w:r>
            <w:r>
              <w:rPr>
                <w:position w:val="10"/>
                <w:sz w:val="13"/>
              </w:rPr>
              <w:t>3-</w:t>
            </w:r>
            <w:r>
              <w:rPr>
                <w:sz w:val="20"/>
              </w:rPr>
              <w:t>]</w:t>
            </w:r>
          </w:p>
          <w:p>
            <w:pPr>
              <w:pStyle w:val="TableParagraph"/>
              <w:spacing w:line="174" w:lineRule="exact"/>
              <w:ind w:left="108"/>
              <w:jc w:val="both"/>
              <w:rPr>
                <w:sz w:val="20"/>
              </w:rPr>
            </w:pPr>
            <w:r>
              <w:rPr>
                <w:sz w:val="20"/>
              </w:rPr>
              <w:t>concentrations: 1.29 mM [SO   </w:t>
            </w:r>
            <w:r>
              <w:rPr>
                <w:position w:val="10"/>
                <w:sz w:val="13"/>
              </w:rPr>
              <w:t>2-</w:t>
            </w:r>
            <w:r>
              <w:rPr>
                <w:sz w:val="20"/>
              </w:rPr>
              <w:t>]: 3.14 mM  and</w:t>
            </w:r>
          </w:p>
          <w:p>
            <w:pPr>
              <w:pStyle w:val="TableParagraph"/>
              <w:spacing w:line="75" w:lineRule="exact"/>
              <w:ind w:left="978"/>
              <w:jc w:val="center"/>
              <w:rPr>
                <w:sz w:val="13"/>
              </w:rPr>
            </w:pPr>
            <w:r>
              <w:rPr>
                <w:w w:val="99"/>
                <w:sz w:val="13"/>
              </w:rPr>
              <w:t>4</w:t>
            </w:r>
          </w:p>
          <w:p>
            <w:pPr>
              <w:pStyle w:val="TableParagraph"/>
              <w:spacing w:line="256" w:lineRule="exact"/>
              <w:ind w:left="108"/>
              <w:jc w:val="both"/>
              <w:rPr>
                <w:sz w:val="20"/>
              </w:rPr>
            </w:pPr>
            <w:r>
              <w:rPr>
                <w:sz w:val="20"/>
              </w:rPr>
              <w:t>[Al</w:t>
            </w:r>
            <w:r>
              <w:rPr>
                <w:position w:val="10"/>
                <w:sz w:val="13"/>
              </w:rPr>
              <w:t>3+</w:t>
            </w:r>
            <w:r>
              <w:rPr>
                <w:sz w:val="20"/>
              </w:rPr>
              <w:t>]: 25 mM</w:t>
            </w:r>
          </w:p>
        </w:tc>
      </w:tr>
    </w:tbl>
    <w:p>
      <w:pPr>
        <w:pStyle w:val="BodyText"/>
        <w:rPr>
          <w:sz w:val="20"/>
        </w:rPr>
      </w:pPr>
    </w:p>
    <w:p>
      <w:pPr>
        <w:pStyle w:val="BodyText"/>
        <w:spacing w:before="2"/>
        <w:rPr>
          <w:sz w:val="21"/>
        </w:rPr>
      </w:pPr>
    </w:p>
    <w:p>
      <w:pPr>
        <w:spacing w:before="0"/>
        <w:ind w:left="118" w:right="113" w:firstLine="0"/>
        <w:jc w:val="both"/>
        <w:rPr>
          <w:sz w:val="14"/>
        </w:rPr>
      </w:pPr>
      <w:r>
        <w:rPr>
          <w:sz w:val="22"/>
        </w:rPr>
        <w:t>The aluminum concentration in the reactor was calculated by Faraday's Law (equation 9), resulting in 2680 mg/l, which decreases during the treatment, in the end it was quantified in the simulated solution by atomic absorption obtaining a value below the equipment quantification limit. Mouedhen [35] reported that during the early stages of electrocoagulation  the concentration of aluminum increases and is subsequently reduced due to its participation in the formation of polymorphic species that generate Al (OH)</w:t>
      </w:r>
      <w:r>
        <w:rPr>
          <w:position w:val="-2"/>
          <w:sz w:val="14"/>
        </w:rPr>
        <w:t>3 (s).</w:t>
      </w:r>
    </w:p>
    <w:p>
      <w:pPr>
        <w:spacing w:before="185"/>
        <w:ind w:left="118" w:right="0" w:firstLine="0"/>
        <w:jc w:val="both"/>
        <w:rPr>
          <w:sz w:val="22"/>
        </w:rPr>
      </w:pPr>
      <w:r>
        <w:rPr>
          <w:sz w:val="22"/>
        </w:rPr>
        <w:t>m : l * t * M/ Z * F………. (9)</w:t>
      </w:r>
    </w:p>
    <w:p>
      <w:pPr>
        <w:pStyle w:val="BodyText"/>
        <w:spacing w:before="7"/>
        <w:rPr>
          <w:sz w:val="18"/>
        </w:rPr>
      </w:pPr>
    </w:p>
    <w:p>
      <w:pPr>
        <w:spacing w:line="264" w:lineRule="auto" w:before="0"/>
        <w:ind w:left="118" w:right="114" w:firstLine="0"/>
        <w:jc w:val="both"/>
        <w:rPr>
          <w:sz w:val="22"/>
        </w:rPr>
      </w:pPr>
      <w:r>
        <w:rPr>
          <w:sz w:val="22"/>
        </w:rPr>
        <w:t>Where M is the molecular weight (g mol</w:t>
      </w:r>
      <w:r>
        <w:rPr>
          <w:position w:val="10"/>
          <w:sz w:val="14"/>
        </w:rPr>
        <w:t>-1</w:t>
      </w:r>
      <w:r>
        <w:rPr>
          <w:sz w:val="22"/>
        </w:rPr>
        <w:t>) of the dissolved metal, I is the current (A), t is the electrolysis time (s), Z is the number of electrons involved in the reaction and Faraday's F (96 485 C mol</w:t>
      </w:r>
      <w:r>
        <w:rPr>
          <w:position w:val="10"/>
          <w:sz w:val="14"/>
        </w:rPr>
        <w:t>-1</w:t>
      </w:r>
      <w:r>
        <w:rPr>
          <w:sz w:val="22"/>
        </w:rPr>
        <w:t>).</w:t>
      </w:r>
    </w:p>
    <w:p>
      <w:pPr>
        <w:pStyle w:val="BodyText"/>
        <w:rPr>
          <w:sz w:val="26"/>
        </w:rPr>
      </w:pPr>
    </w:p>
    <w:p>
      <w:pPr>
        <w:pStyle w:val="BodyText"/>
        <w:spacing w:before="8"/>
        <w:rPr>
          <w:sz w:val="33"/>
        </w:rPr>
      </w:pPr>
    </w:p>
    <w:p>
      <w:pPr>
        <w:pStyle w:val="Heading3"/>
        <w:numPr>
          <w:ilvl w:val="4"/>
          <w:numId w:val="19"/>
        </w:numPr>
        <w:tabs>
          <w:tab w:pos="1055" w:val="left" w:leader="none"/>
        </w:tabs>
        <w:spacing w:line="240" w:lineRule="auto" w:before="1" w:after="0"/>
        <w:ind w:left="1054" w:right="0" w:hanging="600"/>
        <w:jc w:val="left"/>
      </w:pPr>
      <w:r>
        <w:rPr/>
        <w:t>Kinetics of</w:t>
      </w:r>
      <w:r>
        <w:rPr>
          <w:spacing w:val="-7"/>
        </w:rPr>
        <w:t> </w:t>
      </w:r>
      <w:r>
        <w:rPr/>
        <w:t>removal</w:t>
      </w:r>
    </w:p>
    <w:p>
      <w:pPr>
        <w:spacing w:before="201"/>
        <w:ind w:left="118" w:right="113" w:firstLine="0"/>
        <w:jc w:val="both"/>
        <w:rPr>
          <w:sz w:val="22"/>
        </w:rPr>
      </w:pPr>
      <w:r>
        <w:rPr>
          <w:sz w:val="22"/>
        </w:rPr>
        <w:t>The removal kinetics for Pb, Cu, Cd y Zn are presented in Table 1, and is fitted to a pseudo-first order model, and the equation describing is:</w:t>
      </w:r>
    </w:p>
    <w:p>
      <w:pPr>
        <w:spacing w:before="151"/>
        <w:ind w:left="118" w:right="0" w:firstLine="0"/>
        <w:jc w:val="both"/>
        <w:rPr>
          <w:sz w:val="22"/>
        </w:rPr>
      </w:pPr>
      <w:r>
        <w:rPr>
          <w:sz w:val="22"/>
        </w:rPr>
        <w:t>C (t) = C</w:t>
      </w:r>
      <w:r>
        <w:rPr>
          <w:position w:val="-2"/>
          <w:sz w:val="14"/>
        </w:rPr>
        <w:t>0  </w:t>
      </w:r>
      <w:r>
        <w:rPr>
          <w:sz w:val="22"/>
        </w:rPr>
        <w:t>e</w:t>
      </w:r>
      <w:r>
        <w:rPr>
          <w:position w:val="15"/>
          <w:sz w:val="21"/>
        </w:rPr>
        <w:t>-k t</w:t>
      </w:r>
      <w:r>
        <w:rPr>
          <w:sz w:val="32"/>
        </w:rPr>
        <w:t>……….</w:t>
      </w:r>
      <w:r>
        <w:rPr>
          <w:sz w:val="22"/>
        </w:rPr>
        <w:t>(10)</w:t>
      </w:r>
    </w:p>
    <w:p>
      <w:pPr>
        <w:spacing w:line="264" w:lineRule="auto" w:before="232"/>
        <w:ind w:left="118" w:right="115" w:firstLine="0"/>
        <w:jc w:val="both"/>
        <w:rPr>
          <w:sz w:val="22"/>
        </w:rPr>
      </w:pPr>
      <w:r>
        <w:rPr>
          <w:sz w:val="22"/>
        </w:rPr>
        <w:t>Where C</w:t>
      </w:r>
      <w:r>
        <w:rPr>
          <w:position w:val="-2"/>
          <w:sz w:val="14"/>
        </w:rPr>
        <w:t>0 </w:t>
      </w:r>
      <w:r>
        <w:rPr>
          <w:sz w:val="22"/>
        </w:rPr>
        <w:t>is the rate of removal of heavy metal ions (mg l</w:t>
      </w:r>
      <w:r>
        <w:rPr>
          <w:position w:val="10"/>
          <w:sz w:val="14"/>
        </w:rPr>
        <w:t>-1</w:t>
      </w:r>
      <w:r>
        <w:rPr>
          <w:sz w:val="22"/>
        </w:rPr>
        <w:t>); T is the electrocoagulation time in hours and k the rate constant (h</w:t>
      </w:r>
      <w:r>
        <w:rPr>
          <w:position w:val="10"/>
          <w:sz w:val="14"/>
        </w:rPr>
        <w:t>-1</w:t>
      </w:r>
      <w:r>
        <w:rPr>
          <w:sz w:val="22"/>
        </w:rPr>
        <w:t>) [58]. The removal results obtained by electrocoagulation in  the simulated mineral water were 78.7 to 100%, for this reason, it is necessary to couple it to another polishing treatment such as</w:t>
      </w:r>
      <w:r>
        <w:rPr>
          <w:spacing w:val="-12"/>
          <w:sz w:val="22"/>
        </w:rPr>
        <w:t> </w:t>
      </w:r>
      <w:r>
        <w:rPr>
          <w:sz w:val="22"/>
        </w:rPr>
        <w:t>phytoremediation.</w:t>
      </w:r>
    </w:p>
    <w:p>
      <w:pPr>
        <w:spacing w:after="0" w:line="264" w:lineRule="auto"/>
        <w:jc w:val="both"/>
        <w:rPr>
          <w:sz w:val="22"/>
        </w:rPr>
        <w:sectPr>
          <w:pgSz w:w="12240" w:h="15840"/>
          <w:pgMar w:header="0" w:footer="1480" w:top="1500" w:bottom="1680" w:left="1300" w:right="1300"/>
        </w:sectPr>
      </w:pPr>
    </w:p>
    <w:tbl>
      <w:tblPr>
        <w:tblW w:w="0" w:type="auto"/>
        <w:jc w:val="left"/>
        <w:tblInd w:w="6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97"/>
        <w:gridCol w:w="2235"/>
        <w:gridCol w:w="2978"/>
      </w:tblGrid>
      <w:tr>
        <w:trPr>
          <w:trHeight w:val="431" w:hRule="exact"/>
        </w:trPr>
        <w:tc>
          <w:tcPr>
            <w:tcW w:w="8411" w:type="dxa"/>
            <w:gridSpan w:val="3"/>
            <w:tcBorders>
              <w:bottom w:val="single" w:sz="4" w:space="0" w:color="000000"/>
            </w:tcBorders>
          </w:tcPr>
          <w:p>
            <w:pPr>
              <w:pStyle w:val="TableParagraph"/>
              <w:spacing w:line="204" w:lineRule="exact"/>
              <w:ind w:left="122"/>
              <w:rPr>
                <w:sz w:val="20"/>
              </w:rPr>
            </w:pPr>
            <w:r>
              <w:rPr>
                <w:b/>
                <w:sz w:val="20"/>
              </w:rPr>
              <w:t>Table 1</w:t>
            </w:r>
            <w:r>
              <w:rPr>
                <w:sz w:val="20"/>
              </w:rPr>
              <w:t>. Predicted parameters for the pseudo-first order removal rate of the metal mixture in</w:t>
            </w:r>
          </w:p>
          <w:p>
            <w:pPr>
              <w:pStyle w:val="TableParagraph"/>
              <w:spacing w:before="3"/>
              <w:ind w:left="122"/>
              <w:rPr>
                <w:sz w:val="20"/>
              </w:rPr>
            </w:pPr>
            <w:r>
              <w:rPr>
                <w:sz w:val="20"/>
              </w:rPr>
              <w:t>the electrocoagulation system</w:t>
            </w:r>
          </w:p>
        </w:tc>
      </w:tr>
      <w:tr>
        <w:trPr>
          <w:trHeight w:val="252" w:hRule="exact"/>
        </w:trPr>
        <w:tc>
          <w:tcPr>
            <w:tcW w:w="3197" w:type="dxa"/>
            <w:tcBorders>
              <w:top w:val="single" w:sz="4" w:space="0" w:color="000000"/>
              <w:bottom w:val="single" w:sz="4" w:space="0" w:color="000000"/>
            </w:tcBorders>
          </w:tcPr>
          <w:p>
            <w:pPr>
              <w:pStyle w:val="TableParagraph"/>
              <w:spacing w:line="230" w:lineRule="exact"/>
              <w:ind w:left="1242" w:right="703"/>
              <w:jc w:val="center"/>
              <w:rPr>
                <w:sz w:val="20"/>
              </w:rPr>
            </w:pPr>
            <w:r>
              <w:rPr>
                <w:sz w:val="20"/>
              </w:rPr>
              <w:t>Heavy metals</w:t>
            </w:r>
          </w:p>
        </w:tc>
        <w:tc>
          <w:tcPr>
            <w:tcW w:w="2235" w:type="dxa"/>
            <w:tcBorders>
              <w:top w:val="single" w:sz="4" w:space="0" w:color="000000"/>
              <w:bottom w:val="single" w:sz="4" w:space="0" w:color="000000"/>
            </w:tcBorders>
          </w:tcPr>
          <w:p>
            <w:pPr>
              <w:pStyle w:val="TableParagraph"/>
              <w:spacing w:line="230" w:lineRule="exact"/>
              <w:ind w:left="705" w:right="318"/>
              <w:jc w:val="center"/>
              <w:rPr>
                <w:sz w:val="20"/>
              </w:rPr>
            </w:pPr>
            <w:r>
              <w:rPr>
                <w:sz w:val="20"/>
              </w:rPr>
              <w:t>CD (mA/cm</w:t>
            </w:r>
            <w:r>
              <w:rPr>
                <w:position w:val="10"/>
                <w:sz w:val="13"/>
              </w:rPr>
              <w:t>2</w:t>
            </w:r>
            <w:r>
              <w:rPr>
                <w:sz w:val="20"/>
              </w:rPr>
              <w:t>)</w:t>
            </w:r>
          </w:p>
        </w:tc>
        <w:tc>
          <w:tcPr>
            <w:tcW w:w="2978" w:type="dxa"/>
            <w:tcBorders>
              <w:top w:val="single" w:sz="4" w:space="0" w:color="000000"/>
              <w:bottom w:val="single" w:sz="4" w:space="0" w:color="000000"/>
            </w:tcBorders>
          </w:tcPr>
          <w:p>
            <w:pPr>
              <w:pStyle w:val="TableParagraph"/>
              <w:spacing w:line="230" w:lineRule="exact"/>
              <w:ind w:left="319" w:right="469"/>
              <w:jc w:val="center"/>
              <w:rPr>
                <w:sz w:val="20"/>
              </w:rPr>
            </w:pPr>
            <w:r>
              <w:rPr>
                <w:sz w:val="20"/>
              </w:rPr>
              <w:t>First - order model k(h</w:t>
            </w:r>
            <w:r>
              <w:rPr>
                <w:position w:val="10"/>
                <w:sz w:val="13"/>
              </w:rPr>
              <w:t>-1</w:t>
            </w:r>
            <w:r>
              <w:rPr>
                <w:sz w:val="20"/>
              </w:rPr>
              <w:t>)</w:t>
            </w:r>
          </w:p>
        </w:tc>
      </w:tr>
      <w:tr>
        <w:trPr>
          <w:trHeight w:val="288" w:hRule="exact"/>
        </w:trPr>
        <w:tc>
          <w:tcPr>
            <w:tcW w:w="3197" w:type="dxa"/>
            <w:tcBorders>
              <w:top w:val="single" w:sz="4" w:space="0" w:color="000000"/>
            </w:tcBorders>
          </w:tcPr>
          <w:p>
            <w:pPr>
              <w:pStyle w:val="TableParagraph"/>
              <w:ind w:left="1242" w:right="700"/>
              <w:jc w:val="center"/>
              <w:rPr>
                <w:sz w:val="22"/>
              </w:rPr>
            </w:pPr>
            <w:r>
              <w:rPr>
                <w:sz w:val="22"/>
              </w:rPr>
              <w:t>Pb</w:t>
            </w:r>
          </w:p>
        </w:tc>
        <w:tc>
          <w:tcPr>
            <w:tcW w:w="2235" w:type="dxa"/>
            <w:tcBorders>
              <w:top w:val="single" w:sz="4" w:space="0" w:color="000000"/>
            </w:tcBorders>
          </w:tcPr>
          <w:p>
            <w:pPr>
              <w:pStyle w:val="TableParagraph"/>
              <w:ind w:left="383"/>
              <w:jc w:val="center"/>
              <w:rPr>
                <w:sz w:val="22"/>
              </w:rPr>
            </w:pPr>
            <w:r>
              <w:rPr>
                <w:w w:val="100"/>
                <w:sz w:val="22"/>
              </w:rPr>
              <w:t>8</w:t>
            </w:r>
          </w:p>
        </w:tc>
        <w:tc>
          <w:tcPr>
            <w:tcW w:w="2978" w:type="dxa"/>
            <w:tcBorders>
              <w:top w:val="single" w:sz="4" w:space="0" w:color="000000"/>
            </w:tcBorders>
          </w:tcPr>
          <w:p>
            <w:pPr>
              <w:pStyle w:val="TableParagraph"/>
              <w:ind w:left="319" w:right="462"/>
              <w:jc w:val="center"/>
              <w:rPr>
                <w:sz w:val="22"/>
              </w:rPr>
            </w:pPr>
            <w:r>
              <w:rPr>
                <w:sz w:val="22"/>
              </w:rPr>
              <w:t>1.080</w:t>
            </w:r>
          </w:p>
        </w:tc>
      </w:tr>
      <w:tr>
        <w:trPr>
          <w:trHeight w:val="290" w:hRule="exact"/>
        </w:trPr>
        <w:tc>
          <w:tcPr>
            <w:tcW w:w="3197" w:type="dxa"/>
          </w:tcPr>
          <w:p>
            <w:pPr>
              <w:pStyle w:val="TableParagraph"/>
              <w:spacing w:before="7"/>
              <w:ind w:left="1242" w:right="698"/>
              <w:jc w:val="center"/>
              <w:rPr>
                <w:sz w:val="22"/>
              </w:rPr>
            </w:pPr>
            <w:r>
              <w:rPr>
                <w:sz w:val="22"/>
              </w:rPr>
              <w:t>Cu</w:t>
            </w:r>
          </w:p>
        </w:tc>
        <w:tc>
          <w:tcPr>
            <w:tcW w:w="2235" w:type="dxa"/>
          </w:tcPr>
          <w:p>
            <w:pPr>
              <w:pStyle w:val="TableParagraph"/>
              <w:spacing w:before="7"/>
              <w:ind w:left="383"/>
              <w:jc w:val="center"/>
              <w:rPr>
                <w:sz w:val="22"/>
              </w:rPr>
            </w:pPr>
            <w:r>
              <w:rPr>
                <w:w w:val="100"/>
                <w:sz w:val="22"/>
              </w:rPr>
              <w:t>8</w:t>
            </w:r>
          </w:p>
        </w:tc>
        <w:tc>
          <w:tcPr>
            <w:tcW w:w="2978" w:type="dxa"/>
          </w:tcPr>
          <w:p>
            <w:pPr>
              <w:pStyle w:val="TableParagraph"/>
              <w:spacing w:before="7"/>
              <w:ind w:left="319" w:right="462"/>
              <w:jc w:val="center"/>
              <w:rPr>
                <w:sz w:val="22"/>
              </w:rPr>
            </w:pPr>
            <w:r>
              <w:rPr>
                <w:sz w:val="22"/>
              </w:rPr>
              <w:t>1.372</w:t>
            </w:r>
          </w:p>
        </w:tc>
      </w:tr>
      <w:tr>
        <w:trPr>
          <w:trHeight w:val="290" w:hRule="exact"/>
        </w:trPr>
        <w:tc>
          <w:tcPr>
            <w:tcW w:w="3197" w:type="dxa"/>
          </w:tcPr>
          <w:p>
            <w:pPr>
              <w:pStyle w:val="TableParagraph"/>
              <w:spacing w:before="7"/>
              <w:ind w:left="1242" w:right="698"/>
              <w:jc w:val="center"/>
              <w:rPr>
                <w:sz w:val="22"/>
              </w:rPr>
            </w:pPr>
            <w:r>
              <w:rPr>
                <w:sz w:val="22"/>
              </w:rPr>
              <w:t>Cd</w:t>
            </w:r>
          </w:p>
        </w:tc>
        <w:tc>
          <w:tcPr>
            <w:tcW w:w="2235" w:type="dxa"/>
          </w:tcPr>
          <w:p>
            <w:pPr>
              <w:pStyle w:val="TableParagraph"/>
              <w:spacing w:before="7"/>
              <w:ind w:left="383"/>
              <w:jc w:val="center"/>
              <w:rPr>
                <w:sz w:val="22"/>
              </w:rPr>
            </w:pPr>
            <w:r>
              <w:rPr>
                <w:w w:val="100"/>
                <w:sz w:val="22"/>
              </w:rPr>
              <w:t>8</w:t>
            </w:r>
          </w:p>
        </w:tc>
        <w:tc>
          <w:tcPr>
            <w:tcW w:w="2978" w:type="dxa"/>
          </w:tcPr>
          <w:p>
            <w:pPr>
              <w:pStyle w:val="TableParagraph"/>
              <w:spacing w:before="7"/>
              <w:ind w:left="319" w:right="462"/>
              <w:jc w:val="center"/>
              <w:rPr>
                <w:sz w:val="22"/>
              </w:rPr>
            </w:pPr>
            <w:r>
              <w:rPr>
                <w:sz w:val="22"/>
              </w:rPr>
              <w:t>0.483</w:t>
            </w:r>
          </w:p>
        </w:tc>
      </w:tr>
      <w:tr>
        <w:trPr>
          <w:trHeight w:val="307" w:hRule="exact"/>
        </w:trPr>
        <w:tc>
          <w:tcPr>
            <w:tcW w:w="3197" w:type="dxa"/>
            <w:tcBorders>
              <w:bottom w:val="single" w:sz="4" w:space="0" w:color="000000"/>
            </w:tcBorders>
          </w:tcPr>
          <w:p>
            <w:pPr>
              <w:pStyle w:val="TableParagraph"/>
              <w:spacing w:before="7"/>
              <w:ind w:left="1242" w:right="697"/>
              <w:jc w:val="center"/>
              <w:rPr>
                <w:sz w:val="22"/>
              </w:rPr>
            </w:pPr>
            <w:r>
              <w:rPr>
                <w:sz w:val="22"/>
              </w:rPr>
              <w:t>Zn</w:t>
            </w:r>
          </w:p>
        </w:tc>
        <w:tc>
          <w:tcPr>
            <w:tcW w:w="2235" w:type="dxa"/>
            <w:tcBorders>
              <w:bottom w:val="single" w:sz="4" w:space="0" w:color="000000"/>
            </w:tcBorders>
          </w:tcPr>
          <w:p>
            <w:pPr>
              <w:pStyle w:val="TableParagraph"/>
              <w:spacing w:before="7"/>
              <w:ind w:left="383"/>
              <w:jc w:val="center"/>
              <w:rPr>
                <w:sz w:val="22"/>
              </w:rPr>
            </w:pPr>
            <w:r>
              <w:rPr>
                <w:w w:val="100"/>
                <w:sz w:val="22"/>
              </w:rPr>
              <w:t>8</w:t>
            </w:r>
          </w:p>
        </w:tc>
        <w:tc>
          <w:tcPr>
            <w:tcW w:w="2978" w:type="dxa"/>
            <w:tcBorders>
              <w:bottom w:val="single" w:sz="4" w:space="0" w:color="000000"/>
            </w:tcBorders>
          </w:tcPr>
          <w:p>
            <w:pPr>
              <w:pStyle w:val="TableParagraph"/>
              <w:spacing w:before="7"/>
              <w:ind w:left="319" w:right="462"/>
              <w:jc w:val="center"/>
              <w:rPr>
                <w:sz w:val="22"/>
              </w:rPr>
            </w:pPr>
            <w:r>
              <w:rPr>
                <w:sz w:val="22"/>
              </w:rPr>
              <w:t>1.658</w:t>
            </w:r>
          </w:p>
        </w:tc>
      </w:tr>
    </w:tbl>
    <w:p>
      <w:pPr>
        <w:pStyle w:val="BodyText"/>
        <w:rPr>
          <w:sz w:val="20"/>
        </w:rPr>
      </w:pPr>
    </w:p>
    <w:p>
      <w:pPr>
        <w:spacing w:line="228" w:lineRule="auto" w:before="226"/>
        <w:ind w:left="118" w:right="111" w:firstLine="0"/>
        <w:jc w:val="both"/>
        <w:rPr>
          <w:sz w:val="22"/>
        </w:rPr>
      </w:pPr>
      <w:r>
        <w:rPr>
          <w:b/>
          <w:sz w:val="22"/>
        </w:rPr>
        <w:t>Figure 2 </w:t>
      </w:r>
      <w:r>
        <w:rPr>
          <w:sz w:val="22"/>
        </w:rPr>
        <w:t>shows the heavy metals removal kinetic. It can be noted that Cu and Zn following a similar behavior with metal hydroxide precipitate in the vicinity of the cathode [53, 55]. In the  case of copper (</w:t>
      </w:r>
      <w:r>
        <w:rPr>
          <w:b/>
          <w:sz w:val="22"/>
        </w:rPr>
        <w:t>Figure 2A</w:t>
      </w:r>
      <w:r>
        <w:rPr>
          <w:sz w:val="22"/>
        </w:rPr>
        <w:t>), its removal started from a pH of 5.65 in the form of Cu(OH)</w:t>
      </w:r>
      <w:r>
        <w:rPr>
          <w:position w:val="-2"/>
          <w:sz w:val="14"/>
        </w:rPr>
        <w:t>2 (c) </w:t>
      </w:r>
      <w:r>
        <w:rPr>
          <w:sz w:val="22"/>
        </w:rPr>
        <w:t>[34]. While</w:t>
      </w:r>
      <w:r>
        <w:rPr>
          <w:spacing w:val="23"/>
          <w:sz w:val="22"/>
        </w:rPr>
        <w:t> </w:t>
      </w:r>
      <w:r>
        <w:rPr>
          <w:sz w:val="22"/>
        </w:rPr>
        <w:t>the</w:t>
      </w:r>
      <w:r>
        <w:rPr>
          <w:spacing w:val="20"/>
          <w:sz w:val="22"/>
        </w:rPr>
        <w:t> </w:t>
      </w:r>
      <w:r>
        <w:rPr>
          <w:sz w:val="22"/>
        </w:rPr>
        <w:t>removal</w:t>
      </w:r>
      <w:r>
        <w:rPr>
          <w:spacing w:val="22"/>
          <w:sz w:val="22"/>
        </w:rPr>
        <w:t> </w:t>
      </w:r>
      <w:r>
        <w:rPr>
          <w:sz w:val="22"/>
        </w:rPr>
        <w:t>of</w:t>
      </w:r>
      <w:r>
        <w:rPr>
          <w:spacing w:val="27"/>
          <w:sz w:val="22"/>
        </w:rPr>
        <w:t> </w:t>
      </w:r>
      <w:r>
        <w:rPr>
          <w:sz w:val="22"/>
        </w:rPr>
        <w:t>Zn</w:t>
      </w:r>
      <w:r>
        <w:rPr>
          <w:spacing w:val="20"/>
          <w:sz w:val="22"/>
        </w:rPr>
        <w:t> </w:t>
      </w:r>
      <w:r>
        <w:rPr>
          <w:sz w:val="22"/>
        </w:rPr>
        <w:t>was</w:t>
      </w:r>
      <w:r>
        <w:rPr>
          <w:spacing w:val="23"/>
          <w:sz w:val="22"/>
        </w:rPr>
        <w:t> </w:t>
      </w:r>
      <w:r>
        <w:rPr>
          <w:sz w:val="22"/>
        </w:rPr>
        <w:t>in</w:t>
      </w:r>
      <w:r>
        <w:rPr>
          <w:spacing w:val="23"/>
          <w:sz w:val="22"/>
        </w:rPr>
        <w:t> </w:t>
      </w:r>
      <w:r>
        <w:rPr>
          <w:sz w:val="22"/>
        </w:rPr>
        <w:t>3</w:t>
      </w:r>
      <w:r>
        <w:rPr>
          <w:spacing w:val="23"/>
          <w:sz w:val="22"/>
        </w:rPr>
        <w:t> </w:t>
      </w:r>
      <w:r>
        <w:rPr>
          <w:sz w:val="22"/>
        </w:rPr>
        <w:t>hrs</w:t>
      </w:r>
      <w:r>
        <w:rPr>
          <w:spacing w:val="24"/>
          <w:sz w:val="22"/>
        </w:rPr>
        <w:t> </w:t>
      </w:r>
      <w:r>
        <w:rPr>
          <w:sz w:val="22"/>
        </w:rPr>
        <w:t>of</w:t>
      </w:r>
      <w:r>
        <w:rPr>
          <w:spacing w:val="26"/>
          <w:sz w:val="22"/>
        </w:rPr>
        <w:t> </w:t>
      </w:r>
      <w:r>
        <w:rPr>
          <w:sz w:val="22"/>
        </w:rPr>
        <w:t>treatment,</w:t>
      </w:r>
      <w:r>
        <w:rPr>
          <w:spacing w:val="23"/>
          <w:sz w:val="22"/>
        </w:rPr>
        <w:t> </w:t>
      </w:r>
      <w:r>
        <w:rPr>
          <w:sz w:val="22"/>
        </w:rPr>
        <w:t>the</w:t>
      </w:r>
      <w:r>
        <w:rPr>
          <w:spacing w:val="23"/>
          <w:sz w:val="22"/>
        </w:rPr>
        <w:t> </w:t>
      </w:r>
      <w:r>
        <w:rPr>
          <w:sz w:val="22"/>
        </w:rPr>
        <w:t>species</w:t>
      </w:r>
      <w:r>
        <w:rPr>
          <w:spacing w:val="21"/>
          <w:sz w:val="22"/>
        </w:rPr>
        <w:t> </w:t>
      </w:r>
      <w:r>
        <w:rPr>
          <w:sz w:val="22"/>
        </w:rPr>
        <w:t>formed</w:t>
      </w:r>
      <w:r>
        <w:rPr>
          <w:spacing w:val="23"/>
          <w:sz w:val="22"/>
        </w:rPr>
        <w:t> </w:t>
      </w:r>
      <w:r>
        <w:rPr>
          <w:sz w:val="22"/>
        </w:rPr>
        <w:t>are</w:t>
      </w:r>
      <w:r>
        <w:rPr>
          <w:spacing w:val="23"/>
          <w:sz w:val="22"/>
        </w:rPr>
        <w:t> </w:t>
      </w:r>
      <w:r>
        <w:rPr>
          <w:sz w:val="22"/>
        </w:rPr>
        <w:t>(</w:t>
      </w:r>
      <w:r>
        <w:rPr>
          <w:b/>
          <w:sz w:val="22"/>
        </w:rPr>
        <w:t>Figure</w:t>
      </w:r>
      <w:r>
        <w:rPr>
          <w:b/>
          <w:spacing w:val="24"/>
          <w:sz w:val="22"/>
        </w:rPr>
        <w:t> </w:t>
      </w:r>
      <w:r>
        <w:rPr>
          <w:b/>
          <w:sz w:val="22"/>
        </w:rPr>
        <w:t>2B</w:t>
      </w:r>
      <w:r>
        <w:rPr>
          <w:sz w:val="22"/>
        </w:rPr>
        <w:t>):</w:t>
      </w:r>
      <w:r>
        <w:rPr>
          <w:spacing w:val="24"/>
          <w:sz w:val="22"/>
        </w:rPr>
        <w:t> </w:t>
      </w:r>
      <w:r>
        <w:rPr>
          <w:sz w:val="22"/>
        </w:rPr>
        <w:t>Zn</w:t>
      </w:r>
      <w:r>
        <w:rPr>
          <w:position w:val="10"/>
          <w:sz w:val="14"/>
        </w:rPr>
        <w:t>2+</w:t>
      </w:r>
      <w:r>
        <w:rPr>
          <w:sz w:val="22"/>
        </w:rPr>
        <w:t>,</w:t>
      </w:r>
    </w:p>
    <w:p>
      <w:pPr>
        <w:spacing w:line="252" w:lineRule="exact" w:before="8"/>
        <w:ind w:left="118" w:right="114" w:firstLine="0"/>
        <w:jc w:val="both"/>
        <w:rPr>
          <w:sz w:val="22"/>
        </w:rPr>
      </w:pPr>
      <w:r>
        <w:rPr>
          <w:sz w:val="22"/>
        </w:rPr>
        <w:t>ZnSO</w:t>
      </w:r>
      <w:r>
        <w:rPr>
          <w:position w:val="-2"/>
          <w:sz w:val="14"/>
        </w:rPr>
        <w:t>4</w:t>
      </w:r>
      <w:r>
        <w:rPr>
          <w:sz w:val="22"/>
        </w:rPr>
        <w:t>, ZnOH + and Zn(OH)</w:t>
      </w:r>
      <w:r>
        <w:rPr>
          <w:position w:val="-2"/>
          <w:sz w:val="14"/>
        </w:rPr>
        <w:t>2(c)</w:t>
      </w:r>
      <w:r>
        <w:rPr>
          <w:sz w:val="22"/>
        </w:rPr>
        <w:t>. Works by Adhoum [46] and Al-Shannag [58], obtained similar removal percentages.</w:t>
      </w:r>
    </w:p>
    <w:p>
      <w:pPr>
        <w:spacing w:line="240" w:lineRule="auto" w:before="197"/>
        <w:ind w:left="118" w:right="113" w:firstLine="0"/>
        <w:jc w:val="both"/>
        <w:rPr>
          <w:sz w:val="22"/>
        </w:rPr>
      </w:pPr>
      <w:r>
        <w:rPr>
          <w:sz w:val="22"/>
        </w:rPr>
        <w:t>Lead precipitated prior Heidmann &amp; Calmano [53] reported that some metals may exhibit this phenomenon and that the concentration decrease will continue as pH increases during electrochemical treatment. In </w:t>
      </w:r>
      <w:r>
        <w:rPr>
          <w:b/>
          <w:sz w:val="22"/>
        </w:rPr>
        <w:t>Figure 2C </w:t>
      </w:r>
      <w:r>
        <w:rPr>
          <w:sz w:val="22"/>
        </w:rPr>
        <w:t>it is observed that the precipitation was present due to the presence of the SO</w:t>
      </w:r>
      <w:r>
        <w:rPr>
          <w:position w:val="-2"/>
          <w:sz w:val="14"/>
        </w:rPr>
        <w:t>4  </w:t>
      </w:r>
      <w:r>
        <w:rPr>
          <w:sz w:val="22"/>
        </w:rPr>
        <w:t>anion with which it becomes complexed. The removal process</w:t>
      </w:r>
      <w:r>
        <w:rPr>
          <w:spacing w:val="55"/>
          <w:sz w:val="22"/>
        </w:rPr>
        <w:t> </w:t>
      </w:r>
      <w:r>
        <w:rPr>
          <w:sz w:val="22"/>
        </w:rPr>
        <w:t>involved</w:t>
      </w:r>
    </w:p>
    <w:p>
      <w:pPr>
        <w:tabs>
          <w:tab w:pos="7351" w:val="left" w:leader="none"/>
        </w:tabs>
        <w:spacing w:line="19" w:lineRule="exact" w:before="0"/>
        <w:ind w:left="6359" w:right="0" w:firstLine="0"/>
        <w:jc w:val="left"/>
        <w:rPr>
          <w:sz w:val="14"/>
        </w:rPr>
      </w:pPr>
      <w:r>
        <w:rPr>
          <w:sz w:val="14"/>
        </w:rPr>
        <w:t>-</w:t>
        <w:tab/>
        <w:t>2-</w:t>
      </w:r>
    </w:p>
    <w:p>
      <w:pPr>
        <w:spacing w:line="254" w:lineRule="exact" w:before="0"/>
        <w:ind w:left="118" w:right="0" w:firstLine="0"/>
        <w:jc w:val="left"/>
        <w:rPr>
          <w:sz w:val="22"/>
        </w:rPr>
      </w:pPr>
      <w:r>
        <w:rPr>
          <w:sz w:val="22"/>
        </w:rPr>
        <w:t>the species formed of Pb</w:t>
      </w:r>
      <w:r>
        <w:rPr>
          <w:position w:val="10"/>
          <w:sz w:val="14"/>
        </w:rPr>
        <w:t>2+</w:t>
      </w:r>
      <w:r>
        <w:rPr>
          <w:sz w:val="22"/>
        </w:rPr>
        <w:t>, PbSO</w:t>
      </w:r>
      <w:r>
        <w:rPr>
          <w:position w:val="-2"/>
          <w:sz w:val="14"/>
        </w:rPr>
        <w:t>4(c)</w:t>
      </w:r>
      <w:r>
        <w:rPr>
          <w:sz w:val="22"/>
        </w:rPr>
        <w:t>, PbOH</w:t>
      </w:r>
      <w:r>
        <w:rPr>
          <w:position w:val="10"/>
          <w:sz w:val="14"/>
        </w:rPr>
        <w:t>+</w:t>
      </w:r>
      <w:r>
        <w:rPr>
          <w:sz w:val="22"/>
        </w:rPr>
        <w:t>, Pb(OH)</w:t>
      </w:r>
      <w:r>
        <w:rPr>
          <w:position w:val="-2"/>
          <w:sz w:val="14"/>
        </w:rPr>
        <w:t>2</w:t>
      </w:r>
      <w:r>
        <w:rPr>
          <w:sz w:val="22"/>
        </w:rPr>
        <w:t>, Pb(OH)</w:t>
      </w:r>
      <w:r>
        <w:rPr>
          <w:position w:val="-2"/>
          <w:sz w:val="14"/>
        </w:rPr>
        <w:t>3 </w:t>
      </w:r>
      <w:r>
        <w:rPr>
          <w:sz w:val="22"/>
        </w:rPr>
        <w:t>, Pb(OH)</w:t>
      </w:r>
      <w:r>
        <w:rPr>
          <w:position w:val="-2"/>
          <w:sz w:val="14"/>
        </w:rPr>
        <w:t>4  </w:t>
      </w:r>
      <w:r>
        <w:rPr>
          <w:sz w:val="22"/>
        </w:rPr>
        <w:t>.</w:t>
      </w:r>
    </w:p>
    <w:p>
      <w:pPr>
        <w:pStyle w:val="BodyText"/>
        <w:spacing w:before="9"/>
        <w:rPr>
          <w:sz w:val="9"/>
        </w:rPr>
      </w:pPr>
    </w:p>
    <w:p>
      <w:pPr>
        <w:spacing w:line="240" w:lineRule="auto" w:before="72"/>
        <w:ind w:left="118" w:right="113" w:firstLine="0"/>
        <w:jc w:val="both"/>
        <w:rPr>
          <w:sz w:val="22"/>
        </w:rPr>
      </w:pPr>
      <w:r>
        <w:rPr>
          <w:sz w:val="22"/>
        </w:rPr>
        <w:t>In the case of cadmium the maximum removal is around 80% (</w:t>
      </w:r>
      <w:r>
        <w:rPr>
          <w:b/>
          <w:sz w:val="22"/>
        </w:rPr>
        <w:t>Figure 2D</w:t>
      </w:r>
      <w:r>
        <w:rPr>
          <w:sz w:val="22"/>
        </w:rPr>
        <w:t>) in 3 hours of electrochemical treatment. This can be explained using a Medusa-Hydra chemical program (</w:t>
      </w:r>
      <w:r>
        <w:rPr>
          <w:b/>
          <w:sz w:val="22"/>
        </w:rPr>
        <w:t>Figure 3</w:t>
      </w:r>
      <w:r>
        <w:rPr>
          <w:sz w:val="22"/>
        </w:rPr>
        <w:t>) where can be observed that Cd(OH)</w:t>
      </w:r>
      <w:r>
        <w:rPr>
          <w:position w:val="-2"/>
          <w:sz w:val="14"/>
        </w:rPr>
        <w:t>2(c)  </w:t>
      </w:r>
      <w:r>
        <w:rPr>
          <w:sz w:val="22"/>
        </w:rPr>
        <w:t>require to increase the pH until 9.5.</w:t>
      </w:r>
    </w:p>
    <w:p>
      <w:pPr>
        <w:pStyle w:val="BodyText"/>
        <w:spacing w:before="10"/>
        <w:rPr>
          <w:sz w:val="20"/>
        </w:rPr>
      </w:pPr>
    </w:p>
    <w:tbl>
      <w:tblPr>
        <w:tblW w:w="0" w:type="auto"/>
        <w:jc w:val="left"/>
        <w:tblInd w:w="2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5"/>
        <w:gridCol w:w="4749"/>
      </w:tblGrid>
      <w:tr>
        <w:trPr>
          <w:trHeight w:val="2373" w:hRule="exact"/>
        </w:trPr>
        <w:tc>
          <w:tcPr>
            <w:tcW w:w="4415" w:type="dxa"/>
          </w:tcPr>
          <w:p>
            <w:pPr>
              <w:pStyle w:val="TableParagraph"/>
              <w:ind w:left="367"/>
              <w:rPr>
                <w:sz w:val="20"/>
              </w:rPr>
            </w:pPr>
            <w:r>
              <w:rPr>
                <w:sz w:val="20"/>
              </w:rPr>
              <w:drawing>
                <wp:inline distT="0" distB="0" distL="0" distR="0">
                  <wp:extent cx="2240801" cy="1082039"/>
                  <wp:effectExtent l="0" t="0" r="0" b="0"/>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47" cstate="print"/>
                          <a:stretch>
                            <a:fillRect/>
                          </a:stretch>
                        </pic:blipFill>
                        <pic:spPr>
                          <a:xfrm>
                            <a:off x="0" y="0"/>
                            <a:ext cx="2240801" cy="1082039"/>
                          </a:xfrm>
                          <a:prstGeom prst="rect">
                            <a:avLst/>
                          </a:prstGeom>
                        </pic:spPr>
                      </pic:pic>
                    </a:graphicData>
                  </a:graphic>
                </wp:inline>
              </w:drawing>
            </w:r>
            <w:r>
              <w:rPr>
                <w:sz w:val="20"/>
              </w:rPr>
            </w:r>
          </w:p>
          <w:p>
            <w:pPr>
              <w:pStyle w:val="TableParagraph"/>
              <w:rPr>
                <w:sz w:val="26"/>
              </w:rPr>
            </w:pPr>
          </w:p>
          <w:p>
            <w:pPr>
              <w:pStyle w:val="TableParagraph"/>
              <w:ind w:right="1048"/>
              <w:jc w:val="right"/>
              <w:rPr>
                <w:sz w:val="20"/>
              </w:rPr>
            </w:pPr>
            <w:r>
              <w:rPr>
                <w:b/>
                <w:sz w:val="20"/>
              </w:rPr>
              <w:t>Figure 2A. </w:t>
            </w:r>
            <w:r>
              <w:rPr>
                <w:sz w:val="20"/>
              </w:rPr>
              <w:t>Cu removal</w:t>
            </w:r>
          </w:p>
        </w:tc>
        <w:tc>
          <w:tcPr>
            <w:tcW w:w="4749" w:type="dxa"/>
          </w:tcPr>
          <w:p>
            <w:pPr>
              <w:pStyle w:val="TableParagraph"/>
              <w:ind w:left="546"/>
              <w:rPr>
                <w:sz w:val="20"/>
              </w:rPr>
            </w:pPr>
            <w:r>
              <w:rPr>
                <w:sz w:val="20"/>
              </w:rPr>
              <w:drawing>
                <wp:inline distT="0" distB="0" distL="0" distR="0">
                  <wp:extent cx="2248821" cy="1093469"/>
                  <wp:effectExtent l="0" t="0" r="0" b="0"/>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48" cstate="print"/>
                          <a:stretch>
                            <a:fillRect/>
                          </a:stretch>
                        </pic:blipFill>
                        <pic:spPr>
                          <a:xfrm>
                            <a:off x="0" y="0"/>
                            <a:ext cx="2248821" cy="1093469"/>
                          </a:xfrm>
                          <a:prstGeom prst="rect">
                            <a:avLst/>
                          </a:prstGeom>
                        </pic:spPr>
                      </pic:pic>
                    </a:graphicData>
                  </a:graphic>
                </wp:inline>
              </w:drawing>
            </w:r>
            <w:r>
              <w:rPr>
                <w:sz w:val="20"/>
              </w:rPr>
            </w:r>
          </w:p>
          <w:p>
            <w:pPr>
              <w:pStyle w:val="TableParagraph"/>
              <w:spacing w:before="3"/>
              <w:rPr>
                <w:sz w:val="24"/>
              </w:rPr>
            </w:pPr>
          </w:p>
          <w:p>
            <w:pPr>
              <w:pStyle w:val="TableParagraph"/>
              <w:ind w:right="1323"/>
              <w:jc w:val="right"/>
              <w:rPr>
                <w:sz w:val="20"/>
              </w:rPr>
            </w:pPr>
            <w:r>
              <w:rPr>
                <w:b/>
                <w:sz w:val="20"/>
              </w:rPr>
              <w:t>Figure 2B. </w:t>
            </w:r>
            <w:r>
              <w:rPr>
                <w:sz w:val="20"/>
              </w:rPr>
              <w:t>Zn removal</w:t>
            </w:r>
          </w:p>
        </w:tc>
      </w:tr>
      <w:tr>
        <w:trPr>
          <w:trHeight w:val="2395" w:hRule="exact"/>
        </w:trPr>
        <w:tc>
          <w:tcPr>
            <w:tcW w:w="4415" w:type="dxa"/>
          </w:tcPr>
          <w:p>
            <w:pPr>
              <w:pStyle w:val="TableParagraph"/>
              <w:spacing w:before="1"/>
              <w:rPr>
                <w:sz w:val="21"/>
              </w:rPr>
            </w:pPr>
          </w:p>
          <w:p>
            <w:pPr>
              <w:pStyle w:val="TableParagraph"/>
              <w:ind w:left="396"/>
              <w:rPr>
                <w:sz w:val="20"/>
              </w:rPr>
            </w:pPr>
            <w:r>
              <w:rPr>
                <w:sz w:val="20"/>
              </w:rPr>
              <w:drawing>
                <wp:inline distT="0" distB="0" distL="0" distR="0">
                  <wp:extent cx="2280057" cy="980884"/>
                  <wp:effectExtent l="0" t="0" r="0" b="0"/>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49" cstate="print"/>
                          <a:stretch>
                            <a:fillRect/>
                          </a:stretch>
                        </pic:blipFill>
                        <pic:spPr>
                          <a:xfrm>
                            <a:off x="0" y="0"/>
                            <a:ext cx="2280057" cy="980884"/>
                          </a:xfrm>
                          <a:prstGeom prst="rect">
                            <a:avLst/>
                          </a:prstGeom>
                        </pic:spPr>
                      </pic:pic>
                    </a:graphicData>
                  </a:graphic>
                </wp:inline>
              </w:drawing>
            </w:r>
            <w:r>
              <w:rPr>
                <w:sz w:val="20"/>
              </w:rPr>
            </w:r>
          </w:p>
          <w:p>
            <w:pPr>
              <w:pStyle w:val="TableParagraph"/>
              <w:spacing w:before="7"/>
              <w:rPr>
                <w:sz w:val="21"/>
              </w:rPr>
            </w:pPr>
          </w:p>
          <w:p>
            <w:pPr>
              <w:pStyle w:val="TableParagraph"/>
              <w:ind w:right="1055"/>
              <w:jc w:val="right"/>
              <w:rPr>
                <w:sz w:val="20"/>
              </w:rPr>
            </w:pPr>
            <w:r>
              <w:rPr>
                <w:b/>
                <w:sz w:val="20"/>
              </w:rPr>
              <w:t>Figure 2C</w:t>
            </w:r>
            <w:r>
              <w:rPr>
                <w:sz w:val="20"/>
              </w:rPr>
              <w:t>. Pb removal</w:t>
            </w:r>
          </w:p>
        </w:tc>
        <w:tc>
          <w:tcPr>
            <w:tcW w:w="4749" w:type="dxa"/>
          </w:tcPr>
          <w:p>
            <w:pPr>
              <w:pStyle w:val="TableParagraph"/>
              <w:spacing w:before="5" w:after="1"/>
              <w:rPr>
                <w:sz w:val="12"/>
              </w:rPr>
            </w:pPr>
          </w:p>
          <w:p>
            <w:pPr>
              <w:pStyle w:val="TableParagraph"/>
              <w:ind w:left="459"/>
              <w:rPr>
                <w:sz w:val="20"/>
              </w:rPr>
            </w:pPr>
            <w:r>
              <w:rPr>
                <w:sz w:val="20"/>
              </w:rPr>
              <w:drawing>
                <wp:inline distT="0" distB="0" distL="0" distR="0">
                  <wp:extent cx="2129862" cy="1020699"/>
                  <wp:effectExtent l="0" t="0" r="0" b="0"/>
                  <wp:docPr id="59" name="image33.png" descr=""/>
                  <wp:cNvGraphicFramePr>
                    <a:graphicFrameLocks noChangeAspect="1"/>
                  </wp:cNvGraphicFramePr>
                  <a:graphic>
                    <a:graphicData uri="http://schemas.openxmlformats.org/drawingml/2006/picture">
                      <pic:pic>
                        <pic:nvPicPr>
                          <pic:cNvPr id="60" name="image33.png"/>
                          <pic:cNvPicPr/>
                        </pic:nvPicPr>
                        <pic:blipFill>
                          <a:blip r:embed="rId50" cstate="print"/>
                          <a:stretch>
                            <a:fillRect/>
                          </a:stretch>
                        </pic:blipFill>
                        <pic:spPr>
                          <a:xfrm>
                            <a:off x="0" y="0"/>
                            <a:ext cx="2129862" cy="1020699"/>
                          </a:xfrm>
                          <a:prstGeom prst="rect">
                            <a:avLst/>
                          </a:prstGeom>
                        </pic:spPr>
                      </pic:pic>
                    </a:graphicData>
                  </a:graphic>
                </wp:inline>
              </w:drawing>
            </w:r>
            <w:r>
              <w:rPr>
                <w:sz w:val="20"/>
              </w:rPr>
            </w:r>
          </w:p>
          <w:p>
            <w:pPr>
              <w:pStyle w:val="TableParagraph"/>
              <w:spacing w:before="5"/>
              <w:rPr>
                <w:sz w:val="24"/>
              </w:rPr>
            </w:pPr>
          </w:p>
          <w:p>
            <w:pPr>
              <w:pStyle w:val="TableParagraph"/>
              <w:spacing w:before="1"/>
              <w:ind w:right="1311"/>
              <w:jc w:val="right"/>
              <w:rPr>
                <w:sz w:val="20"/>
              </w:rPr>
            </w:pPr>
            <w:r>
              <w:rPr>
                <w:b/>
                <w:sz w:val="20"/>
              </w:rPr>
              <w:t>Figure 2D. </w:t>
            </w:r>
            <w:r>
              <w:rPr>
                <w:sz w:val="20"/>
              </w:rPr>
              <w:t>Cd removal</w:t>
            </w:r>
          </w:p>
        </w:tc>
      </w:tr>
      <w:tr>
        <w:trPr>
          <w:trHeight w:val="1127" w:hRule="exact"/>
        </w:trPr>
        <w:tc>
          <w:tcPr>
            <w:tcW w:w="9164" w:type="dxa"/>
            <w:gridSpan w:val="2"/>
          </w:tcPr>
          <w:p>
            <w:pPr>
              <w:pStyle w:val="TableParagraph"/>
              <w:spacing w:before="107"/>
              <w:ind w:left="200"/>
              <w:rPr>
                <w:sz w:val="20"/>
              </w:rPr>
            </w:pPr>
            <w:r>
              <w:rPr>
                <w:b/>
                <w:sz w:val="20"/>
              </w:rPr>
              <w:t>Figure  2.  </w:t>
            </w:r>
            <w:r>
              <w:rPr>
                <w:sz w:val="20"/>
              </w:rPr>
              <w:t>Removal  of  Cu,  Zn,  Pb  and  Cd  in  simulated  water  during  180  minutes  of      the</w:t>
            </w:r>
          </w:p>
          <w:p>
            <w:pPr>
              <w:pStyle w:val="TableParagraph"/>
              <w:spacing w:before="2"/>
              <w:ind w:left="200"/>
              <w:rPr>
                <w:sz w:val="20"/>
              </w:rPr>
            </w:pPr>
            <w:r>
              <w:rPr>
                <w:sz w:val="20"/>
              </w:rPr>
              <w:t>electrocoagulation process with a current density of 8 mA/cm</w:t>
            </w:r>
            <w:r>
              <w:rPr>
                <w:position w:val="10"/>
                <w:sz w:val="13"/>
              </w:rPr>
              <w:t>2</w:t>
            </w:r>
            <w:r>
              <w:rPr>
                <w:sz w:val="20"/>
              </w:rPr>
              <w:t>, volume of 2L, pH: 5.27-5.81, concentrations [NO3</w:t>
            </w:r>
            <w:r>
              <w:rPr>
                <w:position w:val="10"/>
                <w:sz w:val="13"/>
              </w:rPr>
              <w:t>-</w:t>
            </w:r>
            <w:r>
              <w:rPr>
                <w:sz w:val="20"/>
              </w:rPr>
              <w:t>]: 1.29 mM, [SO  </w:t>
            </w:r>
            <w:r>
              <w:rPr>
                <w:position w:val="10"/>
                <w:sz w:val="13"/>
              </w:rPr>
              <w:t>2-</w:t>
            </w:r>
            <w:r>
              <w:rPr>
                <w:sz w:val="20"/>
              </w:rPr>
              <w:t>]: 3.14 mM, [Al</w:t>
            </w:r>
            <w:r>
              <w:rPr>
                <w:position w:val="10"/>
                <w:sz w:val="13"/>
              </w:rPr>
              <w:t>3+</w:t>
            </w:r>
            <w:r>
              <w:rPr>
                <w:sz w:val="20"/>
              </w:rPr>
              <w:t>]: 25 mM, [Cu</w:t>
            </w:r>
            <w:r>
              <w:rPr>
                <w:position w:val="10"/>
                <w:sz w:val="13"/>
              </w:rPr>
              <w:t>2+</w:t>
            </w:r>
            <w:r>
              <w:rPr>
                <w:sz w:val="20"/>
              </w:rPr>
              <w:t>]: 2.58 mM, [Zn</w:t>
            </w:r>
            <w:r>
              <w:rPr>
                <w:position w:val="10"/>
                <w:sz w:val="13"/>
              </w:rPr>
              <w:t>2+</w:t>
            </w:r>
            <w:r>
              <w:rPr>
                <w:sz w:val="20"/>
              </w:rPr>
              <w:t>]: 3.70</w:t>
            </w:r>
          </w:p>
          <w:p>
            <w:pPr>
              <w:pStyle w:val="TableParagraph"/>
              <w:spacing w:line="8" w:lineRule="exact"/>
              <w:ind w:right="1930"/>
              <w:jc w:val="center"/>
              <w:rPr>
                <w:sz w:val="13"/>
              </w:rPr>
            </w:pPr>
            <w:r>
              <w:rPr>
                <w:w w:val="99"/>
                <w:sz w:val="13"/>
              </w:rPr>
              <w:t>4</w:t>
            </w:r>
          </w:p>
          <w:p>
            <w:pPr>
              <w:pStyle w:val="TableParagraph"/>
              <w:spacing w:line="256" w:lineRule="exact"/>
              <w:ind w:left="200"/>
              <w:rPr>
                <w:sz w:val="20"/>
              </w:rPr>
            </w:pPr>
            <w:r>
              <w:rPr>
                <w:sz w:val="20"/>
              </w:rPr>
              <w:t>mM, [Pb</w:t>
            </w:r>
            <w:r>
              <w:rPr>
                <w:position w:val="10"/>
                <w:sz w:val="13"/>
              </w:rPr>
              <w:t>2+</w:t>
            </w:r>
            <w:r>
              <w:rPr>
                <w:sz w:val="20"/>
              </w:rPr>
              <w:t>]: 0.57 mM and [Cd</w:t>
            </w:r>
            <w:r>
              <w:rPr>
                <w:position w:val="10"/>
                <w:sz w:val="13"/>
              </w:rPr>
              <w:t>2+</w:t>
            </w:r>
            <w:r>
              <w:rPr>
                <w:sz w:val="20"/>
              </w:rPr>
              <w:t>]: 0.72 mM.</w:t>
            </w:r>
          </w:p>
        </w:tc>
      </w:tr>
    </w:tbl>
    <w:p>
      <w:pPr>
        <w:spacing w:after="0" w:line="256" w:lineRule="exact"/>
        <w:rPr>
          <w:sz w:val="20"/>
        </w:rPr>
        <w:sectPr>
          <w:footerReference w:type="default" r:id="rId46"/>
          <w:pgSz w:w="12240" w:h="15840"/>
          <w:pgMar w:footer="1480" w:header="0" w:top="1440" w:bottom="1680" w:left="1300" w:right="1300"/>
        </w:sectPr>
      </w:pPr>
    </w:p>
    <w:p>
      <w:pPr>
        <w:pStyle w:val="BodyText"/>
        <w:rPr>
          <w:sz w:val="20"/>
        </w:rPr>
      </w:pPr>
    </w:p>
    <w:p>
      <w:pPr>
        <w:pStyle w:val="BodyText"/>
        <w:rPr>
          <w:sz w:val="20"/>
        </w:rPr>
      </w:pPr>
    </w:p>
    <w:p>
      <w:pPr>
        <w:pStyle w:val="BodyText"/>
        <w:rPr>
          <w:sz w:val="20"/>
        </w:rPr>
      </w:pPr>
    </w:p>
    <w:p>
      <w:pPr>
        <w:pStyle w:val="BodyText"/>
        <w:spacing w:before="2"/>
        <w:rPr>
          <w:sz w:val="16"/>
        </w:rPr>
      </w:pPr>
    </w:p>
    <w:tbl>
      <w:tblPr>
        <w:tblW w:w="0" w:type="auto"/>
        <w:jc w:val="left"/>
        <w:tblInd w:w="24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7"/>
      </w:tblGrid>
      <w:tr>
        <w:trPr>
          <w:trHeight w:val="2340" w:hRule="exact"/>
        </w:trPr>
        <w:tc>
          <w:tcPr>
            <w:tcW w:w="4687" w:type="dxa"/>
          </w:tcPr>
          <w:p>
            <w:pPr>
              <w:pStyle w:val="TableParagraph"/>
              <w:ind w:left="676"/>
              <w:rPr>
                <w:sz w:val="20"/>
              </w:rPr>
            </w:pPr>
            <w:r>
              <w:rPr>
                <w:sz w:val="20"/>
              </w:rPr>
              <w:drawing>
                <wp:inline distT="0" distB="0" distL="0" distR="0">
                  <wp:extent cx="2109319" cy="1399031"/>
                  <wp:effectExtent l="0" t="0" r="0" b="0"/>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52" cstate="print"/>
                          <a:stretch>
                            <a:fillRect/>
                          </a:stretch>
                        </pic:blipFill>
                        <pic:spPr>
                          <a:xfrm>
                            <a:off x="0" y="0"/>
                            <a:ext cx="2109319" cy="1399031"/>
                          </a:xfrm>
                          <a:prstGeom prst="rect">
                            <a:avLst/>
                          </a:prstGeom>
                        </pic:spPr>
                      </pic:pic>
                    </a:graphicData>
                  </a:graphic>
                </wp:inline>
              </w:drawing>
            </w:r>
            <w:r>
              <w:rPr>
                <w:sz w:val="20"/>
              </w:rPr>
            </w:r>
          </w:p>
        </w:tc>
      </w:tr>
      <w:tr>
        <w:trPr>
          <w:trHeight w:val="598" w:hRule="exact"/>
        </w:trPr>
        <w:tc>
          <w:tcPr>
            <w:tcW w:w="4687" w:type="dxa"/>
          </w:tcPr>
          <w:p>
            <w:pPr>
              <w:pStyle w:val="TableParagraph"/>
              <w:spacing w:before="105"/>
              <w:ind w:left="200"/>
              <w:rPr>
                <w:sz w:val="13"/>
              </w:rPr>
            </w:pPr>
            <w:r>
              <w:rPr>
                <w:b/>
                <w:sz w:val="20"/>
              </w:rPr>
              <w:t>Figure 3. </w:t>
            </w:r>
            <w:r>
              <w:rPr>
                <w:sz w:val="20"/>
              </w:rPr>
              <w:t>Specification diagram for   Cd(OH)</w:t>
            </w:r>
            <w:r>
              <w:rPr>
                <w:position w:val="-2"/>
                <w:sz w:val="13"/>
              </w:rPr>
              <w:t>2  (c)</w:t>
            </w:r>
          </w:p>
          <w:p>
            <w:pPr>
              <w:pStyle w:val="TableParagraph"/>
              <w:spacing w:before="22"/>
              <w:ind w:left="200"/>
              <w:rPr>
                <w:sz w:val="20"/>
              </w:rPr>
            </w:pPr>
            <w:r>
              <w:rPr>
                <w:sz w:val="20"/>
              </w:rPr>
              <w:t>by Medusa-Hydra chemical program</w:t>
            </w:r>
          </w:p>
        </w:tc>
      </w:tr>
    </w:tbl>
    <w:p>
      <w:pPr>
        <w:pStyle w:val="BodyText"/>
        <w:rPr>
          <w:sz w:val="20"/>
        </w:rPr>
      </w:pPr>
    </w:p>
    <w:p>
      <w:pPr>
        <w:pStyle w:val="BodyText"/>
        <w:rPr>
          <w:sz w:val="20"/>
        </w:rPr>
      </w:pPr>
    </w:p>
    <w:p>
      <w:pPr>
        <w:pStyle w:val="BodyText"/>
        <w:spacing w:before="1"/>
        <w:rPr>
          <w:sz w:val="20"/>
        </w:rPr>
      </w:pPr>
    </w:p>
    <w:p>
      <w:pPr>
        <w:spacing w:before="1"/>
        <w:ind w:left="118" w:right="118" w:firstLine="0"/>
        <w:jc w:val="both"/>
        <w:rPr>
          <w:sz w:val="22"/>
        </w:rPr>
      </w:pPr>
      <w:r>
        <w:rPr>
          <w:sz w:val="22"/>
        </w:rPr>
        <w:t>The removal efficiency RE (%) in this system was calculated as a function of electrocoagulation time by equation (11).</w:t>
      </w:r>
    </w:p>
    <w:p>
      <w:pPr>
        <w:pStyle w:val="BodyText"/>
        <w:spacing w:before="5"/>
        <w:rPr>
          <w:sz w:val="17"/>
        </w:rPr>
      </w:pPr>
    </w:p>
    <w:p>
      <w:pPr>
        <w:spacing w:before="0"/>
        <w:ind w:left="118" w:right="0" w:firstLine="0"/>
        <w:jc w:val="both"/>
        <w:rPr>
          <w:sz w:val="22"/>
        </w:rPr>
      </w:pPr>
      <w:r>
        <w:rPr>
          <w:sz w:val="22"/>
        </w:rPr>
        <w:t>RE (%) C0 - Cf / C0 * 100 .........(11)</w:t>
      </w:r>
    </w:p>
    <w:p>
      <w:pPr>
        <w:pStyle w:val="BodyText"/>
        <w:spacing w:before="9"/>
        <w:rPr>
          <w:sz w:val="17"/>
        </w:rPr>
      </w:pPr>
    </w:p>
    <w:p>
      <w:pPr>
        <w:spacing w:line="252" w:lineRule="exact" w:before="1"/>
        <w:ind w:left="3402" w:right="2489" w:hanging="759"/>
        <w:jc w:val="left"/>
        <w:rPr>
          <w:sz w:val="22"/>
        </w:rPr>
      </w:pPr>
      <w:r>
        <w:rPr>
          <w:sz w:val="22"/>
        </w:rPr>
        <w:t>Where: C</w:t>
      </w:r>
      <w:r>
        <w:rPr>
          <w:position w:val="-2"/>
          <w:sz w:val="14"/>
        </w:rPr>
        <w:t>0 </w:t>
      </w:r>
      <w:r>
        <w:rPr>
          <w:sz w:val="22"/>
        </w:rPr>
        <w:t>= initial concentration of the metal C</w:t>
      </w:r>
      <w:r>
        <w:rPr>
          <w:position w:val="-2"/>
          <w:sz w:val="14"/>
        </w:rPr>
        <w:t>f  </w:t>
      </w:r>
      <w:r>
        <w:rPr>
          <w:sz w:val="22"/>
        </w:rPr>
        <w:t>= final metal concentration</w:t>
      </w:r>
    </w:p>
    <w:p>
      <w:pPr>
        <w:pStyle w:val="BodyText"/>
        <w:spacing w:before="6"/>
        <w:rPr>
          <w:sz w:val="19"/>
        </w:rPr>
      </w:pPr>
    </w:p>
    <w:p>
      <w:pPr>
        <w:spacing w:before="0"/>
        <w:ind w:left="118" w:right="112" w:firstLine="0"/>
        <w:jc w:val="both"/>
        <w:rPr>
          <w:sz w:val="22"/>
        </w:rPr>
      </w:pPr>
      <w:r>
        <w:rPr>
          <w:sz w:val="22"/>
        </w:rPr>
        <w:t>Figure 4 shows the percentage of removal of the metal ions (Cu</w:t>
      </w:r>
      <w:r>
        <w:rPr>
          <w:position w:val="10"/>
          <w:sz w:val="14"/>
        </w:rPr>
        <w:t>2+</w:t>
      </w:r>
      <w:r>
        <w:rPr>
          <w:sz w:val="22"/>
        </w:rPr>
        <w:t>, Cd</w:t>
      </w:r>
      <w:r>
        <w:rPr>
          <w:position w:val="10"/>
          <w:sz w:val="14"/>
        </w:rPr>
        <w:t>2+</w:t>
      </w:r>
      <w:r>
        <w:rPr>
          <w:sz w:val="22"/>
        </w:rPr>
        <w:t>, Pb</w:t>
      </w:r>
      <w:r>
        <w:rPr>
          <w:position w:val="10"/>
          <w:sz w:val="14"/>
        </w:rPr>
        <w:t>2+ </w:t>
      </w:r>
      <w:r>
        <w:rPr>
          <w:sz w:val="22"/>
        </w:rPr>
        <w:t>and Zn</w:t>
      </w:r>
      <w:r>
        <w:rPr>
          <w:position w:val="10"/>
          <w:sz w:val="14"/>
        </w:rPr>
        <w:t>2+</w:t>
      </w:r>
      <w:r>
        <w:rPr>
          <w:sz w:val="22"/>
        </w:rPr>
        <w:t>) which was increased with the time of electrocoagulation. Removal efficiencies were obtained up to 98.3% Cu, 78.7% Cd and 100% for Zn in 3 hrs. In the case of Pb, a 96.9% removal was obtained by precipitation prior to the electrocoagulation process and the reduction made by the electrochemical treatment. The concentration of the aluminum generated in the reactor was calculated at 2680 mg/l, which decreases during the treatment, Mouedhen [35] indicates that during the early stages of electrocoagulation the concentration of aluminum increases and subsequently reduces due to its participation in the formation of polymorphic species that give rise to</w:t>
      </w:r>
      <w:r>
        <w:rPr>
          <w:spacing w:val="-9"/>
          <w:sz w:val="22"/>
        </w:rPr>
        <w:t> </w:t>
      </w:r>
      <w:r>
        <w:rPr>
          <w:sz w:val="22"/>
        </w:rPr>
        <w:t>Al(OH)</w:t>
      </w:r>
      <w:r>
        <w:rPr>
          <w:position w:val="-2"/>
          <w:sz w:val="14"/>
        </w:rPr>
        <w:t>3(s)</w:t>
      </w:r>
      <w:r>
        <w:rPr>
          <w:sz w:val="22"/>
        </w:rPr>
        <w:t>.</w:t>
      </w:r>
    </w:p>
    <w:p>
      <w:pPr>
        <w:pStyle w:val="BodyText"/>
        <w:spacing w:before="2"/>
        <w:rPr>
          <w:sz w:val="29"/>
        </w:rPr>
      </w:pPr>
    </w:p>
    <w:tbl>
      <w:tblPr>
        <w:tblW w:w="0" w:type="auto"/>
        <w:jc w:val="left"/>
        <w:tblInd w:w="20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03"/>
      </w:tblGrid>
      <w:tr>
        <w:trPr>
          <w:trHeight w:val="2365" w:hRule="exact"/>
        </w:trPr>
        <w:tc>
          <w:tcPr>
            <w:tcW w:w="5603" w:type="dxa"/>
          </w:tcPr>
          <w:p>
            <w:pPr>
              <w:pStyle w:val="TableParagraph"/>
              <w:ind w:left="1046"/>
              <w:rPr>
                <w:sz w:val="20"/>
              </w:rPr>
            </w:pPr>
            <w:r>
              <w:rPr>
                <w:sz w:val="20"/>
              </w:rPr>
              <w:drawing>
                <wp:inline distT="0" distB="0" distL="0" distR="0">
                  <wp:extent cx="2220502" cy="1450466"/>
                  <wp:effectExtent l="0" t="0" r="0" b="0"/>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53" cstate="print"/>
                          <a:stretch>
                            <a:fillRect/>
                          </a:stretch>
                        </pic:blipFill>
                        <pic:spPr>
                          <a:xfrm>
                            <a:off x="0" y="0"/>
                            <a:ext cx="2220502" cy="1450466"/>
                          </a:xfrm>
                          <a:prstGeom prst="rect">
                            <a:avLst/>
                          </a:prstGeom>
                        </pic:spPr>
                      </pic:pic>
                    </a:graphicData>
                  </a:graphic>
                </wp:inline>
              </w:drawing>
            </w:r>
            <w:r>
              <w:rPr>
                <w:sz w:val="20"/>
              </w:rPr>
            </w:r>
          </w:p>
        </w:tc>
      </w:tr>
      <w:tr>
        <w:trPr>
          <w:trHeight w:val="1005" w:hRule="exact"/>
        </w:trPr>
        <w:tc>
          <w:tcPr>
            <w:tcW w:w="5603" w:type="dxa"/>
          </w:tcPr>
          <w:p>
            <w:pPr>
              <w:pStyle w:val="TableParagraph"/>
              <w:spacing w:line="230" w:lineRule="exact" w:before="92"/>
              <w:ind w:left="200" w:right="198"/>
              <w:jc w:val="both"/>
              <w:rPr>
                <w:sz w:val="20"/>
              </w:rPr>
            </w:pPr>
            <w:r>
              <w:rPr>
                <w:b/>
                <w:sz w:val="20"/>
              </w:rPr>
              <w:t>Figure 4</w:t>
            </w:r>
            <w:r>
              <w:rPr>
                <w:sz w:val="20"/>
              </w:rPr>
              <w:t>. Effects of electrocoagulation time on Cu</w:t>
            </w:r>
            <w:r>
              <w:rPr>
                <w:position w:val="10"/>
                <w:sz w:val="13"/>
              </w:rPr>
              <w:t>2+</w:t>
            </w:r>
            <w:r>
              <w:rPr>
                <w:sz w:val="20"/>
              </w:rPr>
              <w:t>, Cd</w:t>
            </w:r>
            <w:r>
              <w:rPr>
                <w:position w:val="10"/>
                <w:sz w:val="13"/>
              </w:rPr>
              <w:t>2+</w:t>
            </w:r>
            <w:r>
              <w:rPr>
                <w:sz w:val="20"/>
              </w:rPr>
              <w:t>, Pb</w:t>
            </w:r>
            <w:r>
              <w:rPr>
                <w:position w:val="10"/>
                <w:sz w:val="13"/>
              </w:rPr>
              <w:t>2+ </w:t>
            </w:r>
            <w:r>
              <w:rPr>
                <w:sz w:val="20"/>
              </w:rPr>
              <w:t>and Zn</w:t>
            </w:r>
            <w:r>
              <w:rPr>
                <w:position w:val="10"/>
                <w:sz w:val="13"/>
              </w:rPr>
              <w:t>2+ </w:t>
            </w:r>
            <w:r>
              <w:rPr>
                <w:sz w:val="20"/>
              </w:rPr>
              <w:t>removal efficiency. Density of current (8mA/ cm</w:t>
            </w:r>
            <w:r>
              <w:rPr>
                <w:position w:val="10"/>
                <w:sz w:val="13"/>
              </w:rPr>
              <w:t>2</w:t>
            </w:r>
            <w:r>
              <w:rPr>
                <w:sz w:val="20"/>
              </w:rPr>
              <w:t>),volume of 2L, pH: 5.27 to 5.91 and 180 minutes of treatment</w:t>
            </w:r>
          </w:p>
        </w:tc>
      </w:tr>
    </w:tbl>
    <w:p>
      <w:pPr>
        <w:spacing w:after="0" w:line="230" w:lineRule="exact"/>
        <w:jc w:val="both"/>
        <w:rPr>
          <w:sz w:val="20"/>
        </w:rPr>
        <w:sectPr>
          <w:footerReference w:type="default" r:id="rId51"/>
          <w:pgSz w:w="12240" w:h="15840"/>
          <w:pgMar w:footer="1480" w:header="0" w:top="1500" w:bottom="1680" w:left="1300" w:right="1300"/>
          <w:pgNumType w:start="41"/>
        </w:sectPr>
      </w:pPr>
    </w:p>
    <w:p>
      <w:pPr>
        <w:spacing w:line="228" w:lineRule="auto" w:before="66"/>
        <w:ind w:left="118" w:right="113" w:firstLine="0"/>
        <w:jc w:val="both"/>
        <w:rPr>
          <w:sz w:val="22"/>
        </w:rPr>
      </w:pPr>
      <w:r>
        <w:rPr>
          <w:sz w:val="22"/>
        </w:rPr>
        <w:t>The energy consumed by electrochemical treatment was determined using: (U) cell voltage, (i) current, (t) electrocoagulation time [53, 54,60]. The energy consumed during the electrocoagulation treatment was 26 Kwh/m</w:t>
      </w:r>
      <w:r>
        <w:rPr>
          <w:position w:val="10"/>
          <w:sz w:val="14"/>
        </w:rPr>
        <w:t>3</w:t>
      </w:r>
      <w:r>
        <w:rPr>
          <w:sz w:val="22"/>
        </w:rPr>
        <w:t>.</w:t>
      </w:r>
    </w:p>
    <w:p>
      <w:pPr>
        <w:pStyle w:val="BodyText"/>
        <w:rPr>
          <w:sz w:val="22"/>
        </w:rPr>
      </w:pPr>
    </w:p>
    <w:p>
      <w:pPr>
        <w:spacing w:before="0"/>
        <w:ind w:left="118" w:right="0" w:firstLine="0"/>
        <w:jc w:val="both"/>
        <w:rPr>
          <w:sz w:val="22"/>
        </w:rPr>
      </w:pPr>
      <w:r>
        <w:rPr>
          <w:sz w:val="22"/>
        </w:rPr>
        <w:t>E: U * i * t / V .......... (12)</w:t>
      </w:r>
    </w:p>
    <w:p>
      <w:pPr>
        <w:pStyle w:val="BodyText"/>
        <w:rPr>
          <w:sz w:val="22"/>
        </w:rPr>
      </w:pPr>
    </w:p>
    <w:p>
      <w:pPr>
        <w:spacing w:before="0"/>
        <w:ind w:left="1741" w:right="1741" w:firstLine="0"/>
        <w:jc w:val="center"/>
        <w:rPr>
          <w:sz w:val="22"/>
        </w:rPr>
      </w:pPr>
      <w:r>
        <w:rPr>
          <w:sz w:val="22"/>
        </w:rPr>
        <w:t>Where: U = cell voltage (V)</w:t>
      </w:r>
    </w:p>
    <w:p>
      <w:pPr>
        <w:spacing w:line="252" w:lineRule="exact" w:before="1"/>
        <w:ind w:left="1811" w:right="1441" w:firstLine="0"/>
        <w:jc w:val="center"/>
        <w:rPr>
          <w:sz w:val="22"/>
        </w:rPr>
      </w:pPr>
      <w:r>
        <w:rPr>
          <w:sz w:val="22"/>
        </w:rPr>
        <w:t>i = current (A)</w:t>
      </w:r>
    </w:p>
    <w:p>
      <w:pPr>
        <w:spacing w:line="241" w:lineRule="exact" w:before="0"/>
        <w:ind w:left="4329" w:right="0" w:firstLine="0"/>
        <w:jc w:val="left"/>
        <w:rPr>
          <w:sz w:val="22"/>
        </w:rPr>
      </w:pPr>
      <w:r>
        <w:rPr>
          <w:sz w:val="22"/>
        </w:rPr>
        <w:t>t = electrolysis time (h)</w:t>
      </w:r>
    </w:p>
    <w:p>
      <w:pPr>
        <w:spacing w:line="266" w:lineRule="exact" w:before="0"/>
        <w:ind w:left="4329" w:right="0" w:firstLine="0"/>
        <w:jc w:val="left"/>
        <w:rPr>
          <w:sz w:val="22"/>
        </w:rPr>
      </w:pPr>
      <w:r>
        <w:rPr>
          <w:sz w:val="22"/>
        </w:rPr>
        <w:t>V = volume of solution (m</w:t>
      </w:r>
      <w:r>
        <w:rPr>
          <w:position w:val="10"/>
          <w:sz w:val="14"/>
        </w:rPr>
        <w:t>3</w:t>
      </w:r>
      <w:r>
        <w:rPr>
          <w:sz w:val="22"/>
        </w:rPr>
        <w:t>)</w:t>
      </w:r>
    </w:p>
    <w:p>
      <w:pPr>
        <w:pStyle w:val="BodyText"/>
        <w:rPr>
          <w:sz w:val="26"/>
        </w:rPr>
      </w:pPr>
    </w:p>
    <w:p>
      <w:pPr>
        <w:pStyle w:val="Heading3"/>
        <w:numPr>
          <w:ilvl w:val="1"/>
          <w:numId w:val="22"/>
        </w:numPr>
        <w:tabs>
          <w:tab w:pos="974" w:val="left" w:leader="none"/>
        </w:tabs>
        <w:spacing w:line="240" w:lineRule="auto" w:before="204" w:after="0"/>
        <w:ind w:left="973" w:right="0" w:hanging="427"/>
        <w:jc w:val="left"/>
      </w:pPr>
      <w:r>
        <w:rPr/>
        <w:t>Phytoremediation</w:t>
      </w:r>
    </w:p>
    <w:p>
      <w:pPr>
        <w:pStyle w:val="BodyText"/>
        <w:rPr>
          <w:b/>
        </w:rPr>
      </w:pPr>
    </w:p>
    <w:p>
      <w:pPr>
        <w:pStyle w:val="ListParagraph"/>
        <w:numPr>
          <w:ilvl w:val="2"/>
          <w:numId w:val="22"/>
        </w:numPr>
        <w:tabs>
          <w:tab w:pos="1254" w:val="left" w:leader="none"/>
        </w:tabs>
        <w:spacing w:line="240" w:lineRule="auto" w:before="0" w:after="0"/>
        <w:ind w:left="1254" w:right="0" w:hanging="600"/>
        <w:jc w:val="left"/>
        <w:rPr>
          <w:b/>
          <w:sz w:val="24"/>
        </w:rPr>
      </w:pPr>
      <w:r>
        <w:rPr>
          <w:b/>
          <w:sz w:val="24"/>
        </w:rPr>
        <w:t>Determination of Exposure Tolerance for </w:t>
      </w:r>
      <w:r>
        <w:rPr>
          <w:b/>
          <w:i/>
          <w:sz w:val="24"/>
        </w:rPr>
        <w:t>Typha latifolia</w:t>
      </w:r>
      <w:r>
        <w:rPr>
          <w:b/>
          <w:i/>
          <w:spacing w:val="-9"/>
          <w:sz w:val="24"/>
        </w:rPr>
        <w:t> </w:t>
      </w:r>
      <w:r>
        <w:rPr>
          <w:b/>
          <w:i/>
          <w:sz w:val="24"/>
        </w:rPr>
        <w:t>L</w:t>
      </w:r>
      <w:r>
        <w:rPr>
          <w:b/>
          <w:sz w:val="24"/>
        </w:rPr>
        <w:t>.</w:t>
      </w:r>
    </w:p>
    <w:p>
      <w:pPr>
        <w:pStyle w:val="BodyText"/>
        <w:spacing w:before="1"/>
        <w:rPr>
          <w:b/>
          <w:sz w:val="22"/>
        </w:rPr>
      </w:pPr>
    </w:p>
    <w:p>
      <w:pPr>
        <w:spacing w:before="0"/>
        <w:ind w:left="118" w:right="115" w:firstLine="0"/>
        <w:jc w:val="both"/>
        <w:rPr>
          <w:sz w:val="22"/>
        </w:rPr>
      </w:pPr>
      <w:r>
        <w:rPr>
          <w:sz w:val="22"/>
        </w:rPr>
        <w:t>For the tolerance analysis the plants were exposed to 100% and dilutions to 75, 50, 25 and 12.5% of electrocoagulated water for 7 and 14 days, making daily observations. Significant differences (p &lt;0.05, U of Mann-Whitney) were obtained for chlorophyll production at 14 days in all treatments. At dilutions of&gt; 50% after 7 days, phytotoxic effects on macrophytes were observed (</w:t>
      </w:r>
      <w:r>
        <w:rPr>
          <w:b/>
          <w:sz w:val="22"/>
        </w:rPr>
        <w:t>Figure 5A, B and C</w:t>
      </w:r>
      <w:r>
        <w:rPr>
          <w:sz w:val="22"/>
        </w:rPr>
        <w:t>).</w:t>
      </w:r>
    </w:p>
    <w:p>
      <w:pPr>
        <w:pStyle w:val="BodyText"/>
        <w:spacing w:before="5"/>
        <w:rPr>
          <w:sz w:val="22"/>
        </w:rPr>
      </w:pPr>
    </w:p>
    <w:tbl>
      <w:tblPr>
        <w:tblW w:w="0" w:type="auto"/>
        <w:jc w:val="left"/>
        <w:tblInd w:w="1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46"/>
      </w:tblGrid>
      <w:tr>
        <w:trPr>
          <w:trHeight w:val="1956" w:hRule="exact"/>
        </w:trPr>
        <w:tc>
          <w:tcPr>
            <w:tcW w:w="9246" w:type="dxa"/>
          </w:tcPr>
          <w:p>
            <w:pPr>
              <w:pStyle w:val="TableParagraph"/>
              <w:ind w:left="200"/>
              <w:rPr>
                <w:sz w:val="20"/>
              </w:rPr>
            </w:pPr>
            <w:r>
              <w:rPr>
                <w:sz w:val="20"/>
              </w:rPr>
              <w:drawing>
                <wp:inline distT="0" distB="0" distL="0" distR="0">
                  <wp:extent cx="5621830" cy="1158811"/>
                  <wp:effectExtent l="0" t="0" r="0" b="0"/>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54" cstate="print"/>
                          <a:stretch>
                            <a:fillRect/>
                          </a:stretch>
                        </pic:blipFill>
                        <pic:spPr>
                          <a:xfrm>
                            <a:off x="0" y="0"/>
                            <a:ext cx="5621830" cy="1158811"/>
                          </a:xfrm>
                          <a:prstGeom prst="rect">
                            <a:avLst/>
                          </a:prstGeom>
                        </pic:spPr>
                      </pic:pic>
                    </a:graphicData>
                  </a:graphic>
                </wp:inline>
              </w:drawing>
            </w:r>
            <w:r>
              <w:rPr>
                <w:sz w:val="20"/>
              </w:rPr>
            </w:r>
          </w:p>
        </w:tc>
      </w:tr>
      <w:tr>
        <w:trPr>
          <w:trHeight w:val="331" w:hRule="exact"/>
        </w:trPr>
        <w:tc>
          <w:tcPr>
            <w:tcW w:w="9246" w:type="dxa"/>
          </w:tcPr>
          <w:p>
            <w:pPr>
              <w:pStyle w:val="TableParagraph"/>
              <w:spacing w:before="106"/>
              <w:ind w:left="1009"/>
              <w:rPr>
                <w:sz w:val="20"/>
              </w:rPr>
            </w:pPr>
            <w:r>
              <w:rPr>
                <w:b/>
                <w:sz w:val="20"/>
              </w:rPr>
              <w:t>Figure 5</w:t>
            </w:r>
            <w:r>
              <w:rPr>
                <w:sz w:val="20"/>
              </w:rPr>
              <w:t>. </w:t>
            </w:r>
            <w:r>
              <w:rPr>
                <w:i/>
                <w:sz w:val="20"/>
              </w:rPr>
              <w:t>Typha latifolia </w:t>
            </w:r>
            <w:r>
              <w:rPr>
                <w:sz w:val="20"/>
              </w:rPr>
              <w:t>phytotoxicity in treatments A(50%), B(75%) and C(100%)</w:t>
            </w:r>
          </w:p>
        </w:tc>
      </w:tr>
    </w:tbl>
    <w:p>
      <w:pPr>
        <w:pStyle w:val="BodyText"/>
        <w:rPr>
          <w:sz w:val="22"/>
        </w:rPr>
      </w:pPr>
    </w:p>
    <w:p>
      <w:pPr>
        <w:pStyle w:val="BodyText"/>
        <w:spacing w:before="8"/>
        <w:rPr>
          <w:sz w:val="17"/>
        </w:rPr>
      </w:pPr>
    </w:p>
    <w:p>
      <w:pPr>
        <w:spacing w:line="240" w:lineRule="auto" w:before="0"/>
        <w:ind w:left="118" w:right="112" w:firstLine="0"/>
        <w:jc w:val="both"/>
        <w:rPr>
          <w:sz w:val="22"/>
        </w:rPr>
      </w:pPr>
      <w:r>
        <w:rPr>
          <w:sz w:val="22"/>
        </w:rPr>
        <w:t>The concentration of the electrocoagulated water metal mixture to which the Typhas were tolerant was at a dilution at 12.5% (mixture of: 1.25 mg/l of Cu, 9 mg/l of Cd, 0.2625 mg/l of Pb and Zn &lt; the limit of quantification), after 7 days of exposure. Concentration at which no significant differences were found by ANOVA (p &lt;0.05) between the values obtained for chlorophyll, carotene and their relation to the control plants (</w:t>
      </w:r>
      <w:r>
        <w:rPr>
          <w:b/>
          <w:sz w:val="22"/>
        </w:rPr>
        <w:t>Figures 6A and 6B</w:t>
      </w:r>
      <w:r>
        <w:rPr>
          <w:sz w:val="22"/>
        </w:rPr>
        <w:t>).</w:t>
      </w:r>
    </w:p>
    <w:p>
      <w:pPr>
        <w:pStyle w:val="BodyText"/>
        <w:spacing w:before="2"/>
        <w:rPr>
          <w:sz w:val="22"/>
        </w:rPr>
      </w:pPr>
    </w:p>
    <w:p>
      <w:pPr>
        <w:spacing w:before="1"/>
        <w:ind w:left="118" w:right="111" w:firstLine="0"/>
        <w:jc w:val="both"/>
        <w:rPr>
          <w:sz w:val="22"/>
        </w:rPr>
      </w:pPr>
      <w:r>
        <w:rPr>
          <w:sz w:val="22"/>
        </w:rPr>
        <w:t>Ruíz [31] reported that </w:t>
      </w:r>
      <w:r>
        <w:rPr>
          <w:i/>
          <w:sz w:val="22"/>
        </w:rPr>
        <w:t>Typha latifolia </w:t>
      </w:r>
      <w:r>
        <w:rPr>
          <w:sz w:val="22"/>
        </w:rPr>
        <w:t>is tolerant to concentrations of the mixture of 0.309 mg/l of Cd and 23.60 mg/l of Zn present in the waste water of a mining company. Anning [61] worked with a mixture of 0.31 mg/l of Cu and 0.19 mg/l of Pb present in municipal wastewater and tested the tolerance of </w:t>
      </w:r>
      <w:r>
        <w:rPr>
          <w:i/>
          <w:sz w:val="22"/>
        </w:rPr>
        <w:t>T. latifolia </w:t>
      </w:r>
      <w:r>
        <w:rPr>
          <w:sz w:val="22"/>
        </w:rPr>
        <w:t>to these concentrations. Both works indicate the potential of the macrophytes in the removal of these four metals, all without showing any signs of phytotoxicity (chlorosis or wilt).</w:t>
      </w:r>
    </w:p>
    <w:p>
      <w:pPr>
        <w:spacing w:after="0"/>
        <w:jc w:val="both"/>
        <w:rPr>
          <w:sz w:val="22"/>
        </w:rPr>
        <w:sectPr>
          <w:pgSz w:w="12240" w:h="15840"/>
          <w:pgMar w:header="0" w:footer="1480" w:top="1360" w:bottom="1680" w:left="1300" w:right="13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1"/>
        <w:gridCol w:w="5486"/>
      </w:tblGrid>
      <w:tr>
        <w:trPr>
          <w:trHeight w:val="3564" w:hRule="exact"/>
        </w:trPr>
        <w:tc>
          <w:tcPr>
            <w:tcW w:w="5011" w:type="dxa"/>
          </w:tcPr>
          <w:p>
            <w:pPr>
              <w:pStyle w:val="TableParagraph"/>
              <w:ind w:left="401"/>
              <w:rPr>
                <w:sz w:val="20"/>
              </w:rPr>
            </w:pPr>
            <w:r>
              <w:rPr>
                <w:sz w:val="20"/>
              </w:rPr>
              <w:drawing>
                <wp:inline distT="0" distB="0" distL="0" distR="0">
                  <wp:extent cx="2711911" cy="1814036"/>
                  <wp:effectExtent l="0" t="0" r="0" b="0"/>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55" cstate="print"/>
                          <a:stretch>
                            <a:fillRect/>
                          </a:stretch>
                        </pic:blipFill>
                        <pic:spPr>
                          <a:xfrm>
                            <a:off x="0" y="0"/>
                            <a:ext cx="2711911" cy="1814036"/>
                          </a:xfrm>
                          <a:prstGeom prst="rect">
                            <a:avLst/>
                          </a:prstGeom>
                        </pic:spPr>
                      </pic:pic>
                    </a:graphicData>
                  </a:graphic>
                </wp:inline>
              </w:drawing>
            </w:r>
            <w:r>
              <w:rPr>
                <w:sz w:val="20"/>
              </w:rPr>
            </w:r>
          </w:p>
          <w:p>
            <w:pPr>
              <w:pStyle w:val="TableParagraph"/>
              <w:spacing w:before="11"/>
              <w:ind w:left="200" w:right="107"/>
              <w:jc w:val="both"/>
              <w:rPr>
                <w:sz w:val="20"/>
              </w:rPr>
            </w:pPr>
            <w:r>
              <w:rPr>
                <w:b/>
                <w:sz w:val="20"/>
              </w:rPr>
              <w:t>Figure. 6A. </w:t>
            </w:r>
            <w:r>
              <w:rPr>
                <w:sz w:val="20"/>
              </w:rPr>
              <w:t>Concentration of chlorophylls and carotenes in Typha latifolia. * ANOVA P &lt;0.05 and Dunnet's multiple range test.</w:t>
            </w:r>
          </w:p>
        </w:tc>
        <w:tc>
          <w:tcPr>
            <w:tcW w:w="5486" w:type="dxa"/>
          </w:tcPr>
          <w:p>
            <w:pPr>
              <w:pStyle w:val="TableParagraph"/>
              <w:ind w:left="312"/>
              <w:rPr>
                <w:sz w:val="20"/>
              </w:rPr>
            </w:pPr>
            <w:r>
              <w:rPr>
                <w:sz w:val="20"/>
              </w:rPr>
              <w:drawing>
                <wp:inline distT="0" distB="0" distL="0" distR="0">
                  <wp:extent cx="3008126" cy="1816607"/>
                  <wp:effectExtent l="0" t="0" r="0" b="0"/>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56" cstate="print"/>
                          <a:stretch>
                            <a:fillRect/>
                          </a:stretch>
                        </pic:blipFill>
                        <pic:spPr>
                          <a:xfrm>
                            <a:off x="0" y="0"/>
                            <a:ext cx="3008126" cy="1816607"/>
                          </a:xfrm>
                          <a:prstGeom prst="rect">
                            <a:avLst/>
                          </a:prstGeom>
                        </pic:spPr>
                      </pic:pic>
                    </a:graphicData>
                  </a:graphic>
                </wp:inline>
              </w:drawing>
            </w:r>
            <w:r>
              <w:rPr>
                <w:sz w:val="20"/>
              </w:rPr>
            </w:r>
          </w:p>
          <w:p>
            <w:pPr>
              <w:pStyle w:val="TableParagraph"/>
              <w:spacing w:line="242" w:lineRule="auto" w:before="7"/>
              <w:ind w:left="109" w:right="198"/>
              <w:jc w:val="both"/>
              <w:rPr>
                <w:sz w:val="20"/>
              </w:rPr>
            </w:pPr>
            <w:r>
              <w:rPr>
                <w:b/>
                <w:sz w:val="20"/>
              </w:rPr>
              <w:t>Figure. 6B. </w:t>
            </w:r>
            <w:r>
              <w:rPr>
                <w:sz w:val="20"/>
              </w:rPr>
              <w:t>Concentration of chlorophylls / carotenes in Typha latifolia. ANOVA&gt; 0.05 and Dunnet's multiple range test.</w:t>
            </w:r>
          </w:p>
        </w:tc>
      </w:tr>
    </w:tbl>
    <w:p>
      <w:pPr>
        <w:pStyle w:val="BodyText"/>
        <w:spacing w:before="8"/>
        <w:rPr>
          <w:sz w:val="17"/>
        </w:rPr>
      </w:pPr>
    </w:p>
    <w:p>
      <w:pPr>
        <w:pStyle w:val="Heading3"/>
        <w:numPr>
          <w:ilvl w:val="2"/>
          <w:numId w:val="22"/>
        </w:numPr>
        <w:tabs>
          <w:tab w:pos="1662" w:val="left" w:leader="none"/>
        </w:tabs>
        <w:spacing w:line="240" w:lineRule="auto" w:before="69" w:after="0"/>
        <w:ind w:left="1662" w:right="0" w:hanging="603"/>
        <w:jc w:val="left"/>
      </w:pPr>
      <w:r>
        <w:rPr/>
        <w:t>Kinetics of heavy metal</w:t>
      </w:r>
      <w:r>
        <w:rPr>
          <w:spacing w:val="-16"/>
        </w:rPr>
        <w:t> </w:t>
      </w:r>
      <w:r>
        <w:rPr/>
        <w:t>removal</w:t>
      </w:r>
    </w:p>
    <w:p>
      <w:pPr>
        <w:pStyle w:val="BodyText"/>
        <w:spacing w:before="2"/>
        <w:rPr>
          <w:b/>
          <w:sz w:val="22"/>
        </w:rPr>
      </w:pPr>
    </w:p>
    <w:p>
      <w:pPr>
        <w:spacing w:line="235" w:lineRule="auto" w:before="0"/>
        <w:ind w:left="658" w:right="648" w:firstLine="0"/>
        <w:jc w:val="both"/>
        <w:rPr>
          <w:sz w:val="22"/>
        </w:rPr>
      </w:pPr>
      <w:r>
        <w:rPr>
          <w:sz w:val="22"/>
        </w:rPr>
        <w:t>To the metal tolerant mixture for the plant, the kinetics of removal was performed. </w:t>
      </w:r>
      <w:r>
        <w:rPr>
          <w:b/>
          <w:sz w:val="22"/>
        </w:rPr>
        <w:t>Figure 7A </w:t>
      </w:r>
      <w:r>
        <w:rPr>
          <w:sz w:val="22"/>
        </w:rPr>
        <w:t>shows that Cu</w:t>
      </w:r>
      <w:r>
        <w:rPr>
          <w:position w:val="10"/>
          <w:sz w:val="14"/>
        </w:rPr>
        <w:t>2+ </w:t>
      </w:r>
      <w:r>
        <w:rPr>
          <w:sz w:val="22"/>
        </w:rPr>
        <w:t>a reduction of  20% at day 1 and subsequently remained constant, similar  results were reported by Anning </w:t>
      </w:r>
      <w:r>
        <w:rPr>
          <w:i/>
          <w:sz w:val="22"/>
        </w:rPr>
        <w:t>et al</w:t>
      </w:r>
      <w:r>
        <w:rPr>
          <w:sz w:val="22"/>
        </w:rPr>
        <w:t>., 2013 with the removal of 33.84% Cu present in wastewater by </w:t>
      </w:r>
      <w:r>
        <w:rPr>
          <w:i/>
          <w:sz w:val="22"/>
        </w:rPr>
        <w:t>Typha latifolia</w:t>
      </w:r>
      <w:r>
        <w:rPr>
          <w:sz w:val="22"/>
        </w:rPr>
        <w:t>. The reduction of Pb concentration was gradual, obtaining a total removal at 7 days of 61.9%, close to that observed by Oquendo [62] when removing 62% lead solution at 2 ppm using the same</w:t>
      </w:r>
      <w:r>
        <w:rPr>
          <w:spacing w:val="-9"/>
          <w:sz w:val="22"/>
        </w:rPr>
        <w:t> </w:t>
      </w:r>
      <w:r>
        <w:rPr>
          <w:sz w:val="22"/>
        </w:rPr>
        <w:t>macrophytes.</w:t>
      </w:r>
    </w:p>
    <w:p>
      <w:pPr>
        <w:pStyle w:val="BodyText"/>
        <w:spacing w:before="10"/>
        <w:rPr>
          <w:sz w:val="21"/>
        </w:rPr>
      </w:pPr>
    </w:p>
    <w:p>
      <w:pPr>
        <w:spacing w:before="0"/>
        <w:ind w:left="658" w:right="652" w:firstLine="0"/>
        <w:jc w:val="both"/>
        <w:rPr>
          <w:sz w:val="22"/>
        </w:rPr>
      </w:pPr>
      <w:r>
        <w:rPr>
          <w:sz w:val="22"/>
        </w:rPr>
        <w:t>In </w:t>
      </w:r>
      <w:r>
        <w:rPr>
          <w:b/>
          <w:sz w:val="22"/>
        </w:rPr>
        <w:t>Figure 7B </w:t>
      </w:r>
      <w:r>
        <w:rPr>
          <w:sz w:val="22"/>
        </w:rPr>
        <w:t>increases in concentrations of both Zn and Cd (11 mg/l and 5 mg/l) respectively  are observed, this may be due to desorption processes of both metals by the plant, the days of greatest desorption for both metals Were day 5 for zinc and day 7 for cadmium. Probably the increase of the concentration of both metals is due to the fact that the collection site of the </w:t>
      </w:r>
      <w:r>
        <w:rPr>
          <w:i/>
          <w:sz w:val="22"/>
        </w:rPr>
        <w:t>Thypha </w:t>
      </w:r>
      <w:r>
        <w:rPr>
          <w:sz w:val="22"/>
        </w:rPr>
        <w:t>is contaminated with these, Kabata-Pentias [63] mentions that such metals are associated in the soil with concentration range can reach up to 4832 mg/kg of Zn and 222 mg/  kg for Cd. In the phytoremediation system when exposed to the mixture with other metals the root could be saturated, which would lead to the desorption and increase of Zn-Cd in the</w:t>
      </w:r>
      <w:r>
        <w:rPr>
          <w:spacing w:val="-24"/>
          <w:sz w:val="22"/>
        </w:rPr>
        <w:t> </w:t>
      </w:r>
      <w:r>
        <w:rPr>
          <w:sz w:val="22"/>
        </w:rPr>
        <w:t>water.</w:t>
      </w:r>
    </w:p>
    <w:p>
      <w:pPr>
        <w:pStyle w:val="BodyText"/>
        <w:spacing w:before="3"/>
        <w:rPr>
          <w:sz w:val="22"/>
        </w:rPr>
      </w:pPr>
    </w:p>
    <w:tbl>
      <w:tblPr>
        <w:tblW w:w="0" w:type="auto"/>
        <w:jc w:val="left"/>
        <w:tblInd w:w="7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79"/>
        <w:gridCol w:w="4579"/>
      </w:tblGrid>
      <w:tr>
        <w:trPr>
          <w:trHeight w:val="3311" w:hRule="exact"/>
        </w:trPr>
        <w:tc>
          <w:tcPr>
            <w:tcW w:w="4579" w:type="dxa"/>
          </w:tcPr>
          <w:p>
            <w:pPr>
              <w:pStyle w:val="TableParagraph"/>
              <w:ind w:left="264"/>
              <w:rPr>
                <w:sz w:val="20"/>
              </w:rPr>
            </w:pPr>
            <w:r>
              <w:rPr>
                <w:sz w:val="20"/>
              </w:rPr>
              <w:drawing>
                <wp:inline distT="0" distB="0" distL="0" distR="0">
                  <wp:extent cx="2617279" cy="2009489"/>
                  <wp:effectExtent l="0" t="0" r="0" b="0"/>
                  <wp:docPr id="71" name="image39.png" descr=""/>
                  <wp:cNvGraphicFramePr>
                    <a:graphicFrameLocks noChangeAspect="1"/>
                  </wp:cNvGraphicFramePr>
                  <a:graphic>
                    <a:graphicData uri="http://schemas.openxmlformats.org/drawingml/2006/picture">
                      <pic:pic>
                        <pic:nvPicPr>
                          <pic:cNvPr id="72" name="image39.png"/>
                          <pic:cNvPicPr/>
                        </pic:nvPicPr>
                        <pic:blipFill>
                          <a:blip r:embed="rId57" cstate="print"/>
                          <a:stretch>
                            <a:fillRect/>
                          </a:stretch>
                        </pic:blipFill>
                        <pic:spPr>
                          <a:xfrm>
                            <a:off x="0" y="0"/>
                            <a:ext cx="2617279" cy="2009489"/>
                          </a:xfrm>
                          <a:prstGeom prst="rect">
                            <a:avLst/>
                          </a:prstGeom>
                        </pic:spPr>
                      </pic:pic>
                    </a:graphicData>
                  </a:graphic>
                </wp:inline>
              </w:drawing>
            </w:r>
            <w:r>
              <w:rPr>
                <w:sz w:val="20"/>
              </w:rPr>
            </w:r>
          </w:p>
        </w:tc>
        <w:tc>
          <w:tcPr>
            <w:tcW w:w="4579" w:type="dxa"/>
          </w:tcPr>
          <w:p>
            <w:pPr>
              <w:pStyle w:val="TableParagraph"/>
              <w:ind w:left="173"/>
              <w:rPr>
                <w:sz w:val="20"/>
              </w:rPr>
            </w:pPr>
            <w:r>
              <w:rPr>
                <w:sz w:val="20"/>
              </w:rPr>
              <w:drawing>
                <wp:inline distT="0" distB="0" distL="0" distR="0">
                  <wp:extent cx="2618115" cy="1988629"/>
                  <wp:effectExtent l="0" t="0" r="0" b="0"/>
                  <wp:docPr id="73" name="image40.png" descr=""/>
                  <wp:cNvGraphicFramePr>
                    <a:graphicFrameLocks noChangeAspect="1"/>
                  </wp:cNvGraphicFramePr>
                  <a:graphic>
                    <a:graphicData uri="http://schemas.openxmlformats.org/drawingml/2006/picture">
                      <pic:pic>
                        <pic:nvPicPr>
                          <pic:cNvPr id="74" name="image40.png"/>
                          <pic:cNvPicPr/>
                        </pic:nvPicPr>
                        <pic:blipFill>
                          <a:blip r:embed="rId58" cstate="print"/>
                          <a:stretch>
                            <a:fillRect/>
                          </a:stretch>
                        </pic:blipFill>
                        <pic:spPr>
                          <a:xfrm>
                            <a:off x="0" y="0"/>
                            <a:ext cx="2618115" cy="1988629"/>
                          </a:xfrm>
                          <a:prstGeom prst="rect">
                            <a:avLst/>
                          </a:prstGeom>
                        </pic:spPr>
                      </pic:pic>
                    </a:graphicData>
                  </a:graphic>
                </wp:inline>
              </w:drawing>
            </w:r>
            <w:r>
              <w:rPr>
                <w:sz w:val="20"/>
              </w:rPr>
            </w:r>
          </w:p>
        </w:tc>
      </w:tr>
      <w:tr>
        <w:trPr>
          <w:trHeight w:val="598" w:hRule="exact"/>
        </w:trPr>
        <w:tc>
          <w:tcPr>
            <w:tcW w:w="4579" w:type="dxa"/>
          </w:tcPr>
          <w:p>
            <w:pPr>
              <w:pStyle w:val="TableParagraph"/>
              <w:spacing w:line="278" w:lineRule="auto" w:before="106"/>
              <w:ind w:left="200"/>
              <w:rPr>
                <w:sz w:val="20"/>
              </w:rPr>
            </w:pPr>
            <w:r>
              <w:rPr>
                <w:b/>
                <w:sz w:val="20"/>
              </w:rPr>
              <w:t>Figure. 7A. </w:t>
            </w:r>
            <w:r>
              <w:rPr>
                <w:sz w:val="20"/>
              </w:rPr>
              <w:t>Concentrations of Cu and Pb in phytoremediation systems with </w:t>
            </w:r>
            <w:r>
              <w:rPr>
                <w:i/>
                <w:sz w:val="20"/>
              </w:rPr>
              <w:t>Typha latifolia</w:t>
            </w:r>
            <w:r>
              <w:rPr>
                <w:sz w:val="20"/>
              </w:rPr>
              <w:t>.</w:t>
            </w:r>
          </w:p>
        </w:tc>
        <w:tc>
          <w:tcPr>
            <w:tcW w:w="4579" w:type="dxa"/>
          </w:tcPr>
          <w:p>
            <w:pPr>
              <w:pStyle w:val="TableParagraph"/>
              <w:spacing w:before="106"/>
              <w:ind w:left="110"/>
              <w:rPr>
                <w:sz w:val="20"/>
              </w:rPr>
            </w:pPr>
            <w:r>
              <w:rPr>
                <w:b/>
                <w:sz w:val="20"/>
              </w:rPr>
              <w:t>Figure.  7B</w:t>
            </w:r>
            <w:r>
              <w:rPr>
                <w:sz w:val="20"/>
              </w:rPr>
              <w:t>.  Concentration  of  Zn  and  Cd    in</w:t>
            </w:r>
          </w:p>
          <w:p>
            <w:pPr>
              <w:pStyle w:val="TableParagraph"/>
              <w:spacing w:before="36"/>
              <w:ind w:left="110"/>
              <w:rPr>
                <w:sz w:val="20"/>
              </w:rPr>
            </w:pPr>
            <w:r>
              <w:rPr>
                <w:i/>
                <w:sz w:val="20"/>
              </w:rPr>
              <w:t>Typha latifolia</w:t>
            </w:r>
            <w:r>
              <w:rPr>
                <w:sz w:val="20"/>
              </w:rPr>
              <w:t>.</w:t>
            </w:r>
          </w:p>
        </w:tc>
      </w:tr>
    </w:tbl>
    <w:p>
      <w:pPr>
        <w:spacing w:after="0"/>
        <w:rPr>
          <w:sz w:val="20"/>
        </w:rPr>
        <w:sectPr>
          <w:pgSz w:w="12240" w:h="15840"/>
          <w:pgMar w:header="0" w:footer="1480" w:top="1440" w:bottom="1680" w:left="760" w:right="760"/>
        </w:sectPr>
      </w:pPr>
    </w:p>
    <w:p>
      <w:pPr>
        <w:pStyle w:val="Heading3"/>
        <w:numPr>
          <w:ilvl w:val="2"/>
          <w:numId w:val="22"/>
        </w:numPr>
        <w:tabs>
          <w:tab w:pos="1222" w:val="left" w:leader="none"/>
        </w:tabs>
        <w:spacing w:line="240" w:lineRule="auto" w:before="54" w:after="0"/>
        <w:ind w:left="1222" w:right="0" w:hanging="603"/>
        <w:jc w:val="left"/>
      </w:pPr>
      <w:r>
        <w:rPr/>
        <w:t>Translocation Factor</w:t>
      </w:r>
      <w:r>
        <w:rPr>
          <w:spacing w:val="-6"/>
        </w:rPr>
        <w:t> </w:t>
      </w:r>
      <w:r>
        <w:rPr/>
        <w:t>(FT)</w:t>
      </w:r>
    </w:p>
    <w:p>
      <w:pPr>
        <w:pStyle w:val="BodyText"/>
        <w:spacing w:before="1"/>
        <w:rPr>
          <w:b/>
          <w:sz w:val="22"/>
        </w:rPr>
      </w:pPr>
    </w:p>
    <w:p>
      <w:pPr>
        <w:spacing w:before="0"/>
        <w:ind w:left="218" w:right="211" w:firstLine="0"/>
        <w:jc w:val="both"/>
        <w:rPr>
          <w:sz w:val="22"/>
        </w:rPr>
      </w:pPr>
      <w:r>
        <w:rPr>
          <w:sz w:val="22"/>
        </w:rPr>
        <w:t>To evaluate the ability of plants to translocate heavy metals from the root to aerial parts, the FT was calculated by aerial concentration/root concentration [28, 41, 64] we recall that the criterion for establishing that a plant has the translocation capacity of the metal in the vegetative structure is that FT&gt; 1 metals [45]. During the treatment with the electrocoagulated mineral water the plants showed high values of FT (Table 2) showing the following trend of Pb &gt; Zn&gt; Cu &gt; Cd translocation.</w:t>
      </w:r>
    </w:p>
    <w:p>
      <w:pPr>
        <w:pStyle w:val="BodyText"/>
        <w:rPr>
          <w:sz w:val="22"/>
        </w:rPr>
      </w:pPr>
    </w:p>
    <w:p>
      <w:pPr>
        <w:spacing w:before="0"/>
        <w:ind w:left="218" w:right="213" w:firstLine="0"/>
        <w:jc w:val="both"/>
        <w:rPr>
          <w:sz w:val="22"/>
        </w:rPr>
      </w:pPr>
      <w:r>
        <w:rPr>
          <w:sz w:val="22"/>
        </w:rPr>
        <w:t>The higher values of lead in the treatment indicate an efficient transport capacity of the root metal to the aerial part of the plant and its probable accumulation in the plant [39, 65]. While Zn, Cu and Cd presented a TF &lt;1, indicating that the mechanism of accumulation of these metals is the adsorption in the root</w:t>
      </w:r>
      <w:r>
        <w:rPr>
          <w:spacing w:val="-7"/>
          <w:sz w:val="22"/>
        </w:rPr>
        <w:t> </w:t>
      </w:r>
      <w:r>
        <w:rPr>
          <w:sz w:val="22"/>
        </w:rPr>
        <w:t>[66].</w:t>
      </w:r>
    </w:p>
    <w:p>
      <w:pPr>
        <w:pStyle w:val="BodyText"/>
        <w:spacing w:before="3"/>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73"/>
        <w:gridCol w:w="734"/>
        <w:gridCol w:w="700"/>
        <w:gridCol w:w="592"/>
        <w:gridCol w:w="695"/>
        <w:gridCol w:w="700"/>
        <w:gridCol w:w="591"/>
        <w:gridCol w:w="692"/>
        <w:gridCol w:w="699"/>
        <w:gridCol w:w="630"/>
        <w:gridCol w:w="763"/>
        <w:gridCol w:w="840"/>
        <w:gridCol w:w="899"/>
      </w:tblGrid>
      <w:tr>
        <w:trPr>
          <w:trHeight w:val="334" w:hRule="exact"/>
        </w:trPr>
        <w:tc>
          <w:tcPr>
            <w:tcW w:w="9607" w:type="dxa"/>
            <w:gridSpan w:val="13"/>
          </w:tcPr>
          <w:p>
            <w:pPr>
              <w:pStyle w:val="TableParagraph"/>
              <w:spacing w:line="204" w:lineRule="exact"/>
              <w:ind w:left="489"/>
              <w:rPr>
                <w:i/>
                <w:sz w:val="20"/>
              </w:rPr>
            </w:pPr>
            <w:r>
              <w:rPr>
                <w:b/>
                <w:sz w:val="20"/>
              </w:rPr>
              <w:t>Table 2. </w:t>
            </w:r>
            <w:r>
              <w:rPr>
                <w:sz w:val="20"/>
              </w:rPr>
              <w:t>Translocation and Bioaccumulation Factor of metals in the leaf and root of </w:t>
            </w:r>
            <w:r>
              <w:rPr>
                <w:i/>
                <w:sz w:val="20"/>
              </w:rPr>
              <w:t>Typha latifolia</w:t>
            </w:r>
          </w:p>
        </w:tc>
      </w:tr>
      <w:tr>
        <w:trPr>
          <w:trHeight w:val="622" w:hRule="exact"/>
        </w:trPr>
        <w:tc>
          <w:tcPr>
            <w:tcW w:w="1073" w:type="dxa"/>
            <w:tcBorders>
              <w:bottom w:val="single" w:sz="4" w:space="0" w:color="000000"/>
            </w:tcBorders>
          </w:tcPr>
          <w:p>
            <w:pPr/>
          </w:p>
        </w:tc>
        <w:tc>
          <w:tcPr>
            <w:tcW w:w="734" w:type="dxa"/>
            <w:tcBorders>
              <w:bottom w:val="single" w:sz="4" w:space="0" w:color="000000"/>
            </w:tcBorders>
          </w:tcPr>
          <w:p>
            <w:pPr/>
          </w:p>
        </w:tc>
        <w:tc>
          <w:tcPr>
            <w:tcW w:w="700" w:type="dxa"/>
            <w:tcBorders>
              <w:bottom w:val="single" w:sz="4" w:space="0" w:color="000000"/>
            </w:tcBorders>
          </w:tcPr>
          <w:p>
            <w:pPr>
              <w:pStyle w:val="TableParagraph"/>
              <w:spacing w:before="108"/>
              <w:ind w:left="95" w:right="224"/>
              <w:jc w:val="center"/>
              <w:rPr>
                <w:sz w:val="20"/>
              </w:rPr>
            </w:pPr>
            <w:r>
              <w:rPr>
                <w:sz w:val="20"/>
              </w:rPr>
              <w:t>Cu</w:t>
            </w:r>
          </w:p>
        </w:tc>
        <w:tc>
          <w:tcPr>
            <w:tcW w:w="592" w:type="dxa"/>
            <w:tcBorders>
              <w:bottom w:val="single" w:sz="4" w:space="0" w:color="000000"/>
            </w:tcBorders>
          </w:tcPr>
          <w:p>
            <w:pPr/>
          </w:p>
        </w:tc>
        <w:tc>
          <w:tcPr>
            <w:tcW w:w="695" w:type="dxa"/>
            <w:tcBorders>
              <w:bottom w:val="single" w:sz="4" w:space="0" w:color="000000"/>
            </w:tcBorders>
          </w:tcPr>
          <w:p>
            <w:pPr/>
          </w:p>
        </w:tc>
        <w:tc>
          <w:tcPr>
            <w:tcW w:w="700" w:type="dxa"/>
            <w:tcBorders>
              <w:bottom w:val="single" w:sz="4" w:space="0" w:color="000000"/>
            </w:tcBorders>
          </w:tcPr>
          <w:p>
            <w:pPr>
              <w:pStyle w:val="TableParagraph"/>
              <w:spacing w:before="108"/>
              <w:ind w:left="155"/>
              <w:rPr>
                <w:sz w:val="20"/>
              </w:rPr>
            </w:pPr>
            <w:r>
              <w:rPr>
                <w:sz w:val="20"/>
              </w:rPr>
              <w:t>Cd</w:t>
            </w:r>
          </w:p>
        </w:tc>
        <w:tc>
          <w:tcPr>
            <w:tcW w:w="591" w:type="dxa"/>
            <w:tcBorders>
              <w:bottom w:val="single" w:sz="4" w:space="0" w:color="000000"/>
            </w:tcBorders>
          </w:tcPr>
          <w:p>
            <w:pPr/>
          </w:p>
        </w:tc>
        <w:tc>
          <w:tcPr>
            <w:tcW w:w="692" w:type="dxa"/>
            <w:tcBorders>
              <w:bottom w:val="single" w:sz="4" w:space="0" w:color="000000"/>
            </w:tcBorders>
          </w:tcPr>
          <w:p>
            <w:pPr/>
          </w:p>
        </w:tc>
        <w:tc>
          <w:tcPr>
            <w:tcW w:w="699" w:type="dxa"/>
            <w:tcBorders>
              <w:bottom w:val="single" w:sz="4" w:space="0" w:color="000000"/>
            </w:tcBorders>
          </w:tcPr>
          <w:p>
            <w:pPr>
              <w:pStyle w:val="TableParagraph"/>
              <w:spacing w:before="108"/>
              <w:ind w:left="169"/>
              <w:rPr>
                <w:sz w:val="20"/>
              </w:rPr>
            </w:pPr>
            <w:r>
              <w:rPr>
                <w:sz w:val="20"/>
              </w:rPr>
              <w:t>Zn</w:t>
            </w:r>
          </w:p>
        </w:tc>
        <w:tc>
          <w:tcPr>
            <w:tcW w:w="630" w:type="dxa"/>
            <w:tcBorders>
              <w:bottom w:val="single" w:sz="4" w:space="0" w:color="000000"/>
            </w:tcBorders>
          </w:tcPr>
          <w:p>
            <w:pPr/>
          </w:p>
        </w:tc>
        <w:tc>
          <w:tcPr>
            <w:tcW w:w="763" w:type="dxa"/>
            <w:tcBorders>
              <w:bottom w:val="single" w:sz="4" w:space="0" w:color="000000"/>
            </w:tcBorders>
          </w:tcPr>
          <w:p>
            <w:pPr/>
          </w:p>
        </w:tc>
        <w:tc>
          <w:tcPr>
            <w:tcW w:w="840" w:type="dxa"/>
            <w:tcBorders>
              <w:bottom w:val="single" w:sz="4" w:space="0" w:color="000000"/>
            </w:tcBorders>
          </w:tcPr>
          <w:p>
            <w:pPr>
              <w:pStyle w:val="TableParagraph"/>
              <w:spacing w:before="108"/>
              <w:ind w:right="256"/>
              <w:jc w:val="right"/>
              <w:rPr>
                <w:sz w:val="20"/>
              </w:rPr>
            </w:pPr>
            <w:r>
              <w:rPr>
                <w:sz w:val="20"/>
              </w:rPr>
              <w:t>Pb</w:t>
            </w:r>
          </w:p>
        </w:tc>
        <w:tc>
          <w:tcPr>
            <w:tcW w:w="899" w:type="dxa"/>
            <w:tcBorders>
              <w:bottom w:val="single" w:sz="4" w:space="0" w:color="000000"/>
            </w:tcBorders>
          </w:tcPr>
          <w:p>
            <w:pPr/>
          </w:p>
        </w:tc>
      </w:tr>
      <w:tr>
        <w:trPr>
          <w:trHeight w:val="276" w:hRule="exact"/>
        </w:trPr>
        <w:tc>
          <w:tcPr>
            <w:tcW w:w="1073" w:type="dxa"/>
            <w:tcBorders>
              <w:top w:val="single" w:sz="4" w:space="0" w:color="000000"/>
            </w:tcBorders>
          </w:tcPr>
          <w:p>
            <w:pPr/>
          </w:p>
        </w:tc>
        <w:tc>
          <w:tcPr>
            <w:tcW w:w="734" w:type="dxa"/>
            <w:tcBorders>
              <w:top w:val="single" w:sz="4" w:space="0" w:color="000000"/>
            </w:tcBorders>
          </w:tcPr>
          <w:p>
            <w:pPr>
              <w:pStyle w:val="TableParagraph"/>
              <w:spacing w:line="213" w:lineRule="exact"/>
              <w:ind w:left="134" w:right="107"/>
              <w:jc w:val="center"/>
              <w:rPr>
                <w:sz w:val="12"/>
              </w:rPr>
            </w:pPr>
            <w:r>
              <w:rPr>
                <w:position w:val="2"/>
                <w:sz w:val="18"/>
              </w:rPr>
              <w:t>BCF</w:t>
            </w:r>
            <w:r>
              <w:rPr>
                <w:sz w:val="12"/>
              </w:rPr>
              <w:t>A</w:t>
            </w:r>
          </w:p>
        </w:tc>
        <w:tc>
          <w:tcPr>
            <w:tcW w:w="700" w:type="dxa"/>
            <w:tcBorders>
              <w:top w:val="single" w:sz="4" w:space="0" w:color="000000"/>
            </w:tcBorders>
          </w:tcPr>
          <w:p>
            <w:pPr>
              <w:pStyle w:val="TableParagraph"/>
              <w:spacing w:line="213" w:lineRule="exact"/>
              <w:ind w:left="107" w:right="100"/>
              <w:jc w:val="center"/>
              <w:rPr>
                <w:sz w:val="12"/>
              </w:rPr>
            </w:pPr>
            <w:r>
              <w:rPr>
                <w:position w:val="2"/>
                <w:sz w:val="18"/>
              </w:rPr>
              <w:t>BCF</w:t>
            </w:r>
            <w:r>
              <w:rPr>
                <w:sz w:val="12"/>
              </w:rPr>
              <w:t>R</w:t>
            </w:r>
          </w:p>
        </w:tc>
        <w:tc>
          <w:tcPr>
            <w:tcW w:w="592" w:type="dxa"/>
            <w:tcBorders>
              <w:top w:val="single" w:sz="4" w:space="0" w:color="000000"/>
            </w:tcBorders>
          </w:tcPr>
          <w:p>
            <w:pPr>
              <w:pStyle w:val="TableParagraph"/>
              <w:spacing w:line="206" w:lineRule="exact"/>
              <w:ind w:left="100" w:right="100"/>
              <w:jc w:val="center"/>
              <w:rPr>
                <w:sz w:val="18"/>
              </w:rPr>
            </w:pPr>
            <w:r>
              <w:rPr>
                <w:sz w:val="18"/>
              </w:rPr>
              <w:t>FT</w:t>
            </w:r>
          </w:p>
        </w:tc>
        <w:tc>
          <w:tcPr>
            <w:tcW w:w="695" w:type="dxa"/>
            <w:tcBorders>
              <w:top w:val="single" w:sz="4" w:space="0" w:color="000000"/>
            </w:tcBorders>
          </w:tcPr>
          <w:p>
            <w:pPr>
              <w:pStyle w:val="TableParagraph"/>
              <w:spacing w:line="213" w:lineRule="exact"/>
              <w:ind w:left="101" w:right="112"/>
              <w:jc w:val="center"/>
              <w:rPr>
                <w:sz w:val="12"/>
              </w:rPr>
            </w:pPr>
            <w:r>
              <w:rPr>
                <w:position w:val="2"/>
                <w:sz w:val="18"/>
              </w:rPr>
              <w:t>BCF</w:t>
            </w:r>
            <w:r>
              <w:rPr>
                <w:sz w:val="12"/>
              </w:rPr>
              <w:t>A</w:t>
            </w:r>
          </w:p>
        </w:tc>
        <w:tc>
          <w:tcPr>
            <w:tcW w:w="700" w:type="dxa"/>
            <w:tcBorders>
              <w:top w:val="single" w:sz="4" w:space="0" w:color="000000"/>
            </w:tcBorders>
          </w:tcPr>
          <w:p>
            <w:pPr>
              <w:pStyle w:val="TableParagraph"/>
              <w:spacing w:line="213" w:lineRule="exact"/>
              <w:ind w:left="133"/>
              <w:rPr>
                <w:sz w:val="12"/>
              </w:rPr>
            </w:pPr>
            <w:r>
              <w:rPr>
                <w:position w:val="2"/>
                <w:sz w:val="18"/>
              </w:rPr>
              <w:t>BCF</w:t>
            </w:r>
            <w:r>
              <w:rPr>
                <w:sz w:val="12"/>
              </w:rPr>
              <w:t>R</w:t>
            </w:r>
          </w:p>
        </w:tc>
        <w:tc>
          <w:tcPr>
            <w:tcW w:w="591" w:type="dxa"/>
            <w:tcBorders>
              <w:top w:val="single" w:sz="4" w:space="0" w:color="000000"/>
            </w:tcBorders>
          </w:tcPr>
          <w:p>
            <w:pPr>
              <w:pStyle w:val="TableParagraph"/>
              <w:spacing w:line="206" w:lineRule="exact"/>
              <w:ind w:left="98" w:right="100"/>
              <w:jc w:val="center"/>
              <w:rPr>
                <w:sz w:val="18"/>
              </w:rPr>
            </w:pPr>
            <w:r>
              <w:rPr>
                <w:sz w:val="18"/>
              </w:rPr>
              <w:t>FT</w:t>
            </w:r>
          </w:p>
        </w:tc>
        <w:tc>
          <w:tcPr>
            <w:tcW w:w="692" w:type="dxa"/>
            <w:tcBorders>
              <w:top w:val="single" w:sz="4" w:space="0" w:color="000000"/>
            </w:tcBorders>
          </w:tcPr>
          <w:p>
            <w:pPr>
              <w:pStyle w:val="TableParagraph"/>
              <w:spacing w:line="213" w:lineRule="exact"/>
              <w:ind w:left="101" w:right="110"/>
              <w:jc w:val="center"/>
              <w:rPr>
                <w:sz w:val="12"/>
              </w:rPr>
            </w:pPr>
            <w:r>
              <w:rPr>
                <w:position w:val="2"/>
                <w:sz w:val="18"/>
              </w:rPr>
              <w:t>BCF</w:t>
            </w:r>
            <w:r>
              <w:rPr>
                <w:sz w:val="12"/>
              </w:rPr>
              <w:t>A</w:t>
            </w:r>
          </w:p>
        </w:tc>
        <w:tc>
          <w:tcPr>
            <w:tcW w:w="699" w:type="dxa"/>
            <w:tcBorders>
              <w:top w:val="single" w:sz="4" w:space="0" w:color="000000"/>
            </w:tcBorders>
          </w:tcPr>
          <w:p>
            <w:pPr>
              <w:pStyle w:val="TableParagraph"/>
              <w:spacing w:line="213" w:lineRule="exact"/>
              <w:ind w:left="131"/>
              <w:rPr>
                <w:sz w:val="12"/>
              </w:rPr>
            </w:pPr>
            <w:r>
              <w:rPr>
                <w:position w:val="2"/>
                <w:sz w:val="18"/>
              </w:rPr>
              <w:t>BCF</w:t>
            </w:r>
            <w:r>
              <w:rPr>
                <w:sz w:val="12"/>
              </w:rPr>
              <w:t>R</w:t>
            </w:r>
          </w:p>
        </w:tc>
        <w:tc>
          <w:tcPr>
            <w:tcW w:w="630" w:type="dxa"/>
            <w:tcBorders>
              <w:top w:val="single" w:sz="4" w:space="0" w:color="000000"/>
            </w:tcBorders>
          </w:tcPr>
          <w:p>
            <w:pPr>
              <w:pStyle w:val="TableParagraph"/>
              <w:spacing w:line="206" w:lineRule="exact"/>
              <w:ind w:left="101" w:right="136"/>
              <w:jc w:val="center"/>
              <w:rPr>
                <w:sz w:val="18"/>
              </w:rPr>
            </w:pPr>
            <w:r>
              <w:rPr>
                <w:sz w:val="18"/>
              </w:rPr>
              <w:t>FT</w:t>
            </w:r>
          </w:p>
        </w:tc>
        <w:tc>
          <w:tcPr>
            <w:tcW w:w="763" w:type="dxa"/>
            <w:tcBorders>
              <w:top w:val="single" w:sz="4" w:space="0" w:color="000000"/>
            </w:tcBorders>
          </w:tcPr>
          <w:p>
            <w:pPr>
              <w:pStyle w:val="TableParagraph"/>
              <w:spacing w:line="213" w:lineRule="exact"/>
              <w:ind w:left="138" w:right="145"/>
              <w:jc w:val="center"/>
              <w:rPr>
                <w:sz w:val="12"/>
              </w:rPr>
            </w:pPr>
            <w:r>
              <w:rPr>
                <w:position w:val="2"/>
                <w:sz w:val="18"/>
              </w:rPr>
              <w:t>BCF</w:t>
            </w:r>
            <w:r>
              <w:rPr>
                <w:sz w:val="12"/>
              </w:rPr>
              <w:t>A</w:t>
            </w:r>
          </w:p>
        </w:tc>
        <w:tc>
          <w:tcPr>
            <w:tcW w:w="840" w:type="dxa"/>
            <w:tcBorders>
              <w:top w:val="single" w:sz="4" w:space="0" w:color="000000"/>
            </w:tcBorders>
          </w:tcPr>
          <w:p>
            <w:pPr>
              <w:pStyle w:val="TableParagraph"/>
              <w:spacing w:line="213" w:lineRule="exact"/>
              <w:ind w:right="224"/>
              <w:jc w:val="right"/>
              <w:rPr>
                <w:sz w:val="12"/>
              </w:rPr>
            </w:pPr>
            <w:r>
              <w:rPr>
                <w:w w:val="95"/>
                <w:position w:val="2"/>
                <w:sz w:val="18"/>
              </w:rPr>
              <w:t>BCF</w:t>
            </w:r>
            <w:r>
              <w:rPr>
                <w:w w:val="95"/>
                <w:sz w:val="12"/>
              </w:rPr>
              <w:t>R</w:t>
            </w:r>
          </w:p>
        </w:tc>
        <w:tc>
          <w:tcPr>
            <w:tcW w:w="899" w:type="dxa"/>
            <w:tcBorders>
              <w:top w:val="single" w:sz="4" w:space="0" w:color="000000"/>
            </w:tcBorders>
          </w:tcPr>
          <w:p>
            <w:pPr>
              <w:pStyle w:val="TableParagraph"/>
              <w:spacing w:line="206" w:lineRule="exact"/>
              <w:ind w:left="291"/>
              <w:rPr>
                <w:sz w:val="18"/>
              </w:rPr>
            </w:pPr>
            <w:r>
              <w:rPr>
                <w:sz w:val="18"/>
              </w:rPr>
              <w:t>FT</w:t>
            </w:r>
          </w:p>
        </w:tc>
      </w:tr>
      <w:tr>
        <w:trPr>
          <w:trHeight w:val="275" w:hRule="exact"/>
        </w:trPr>
        <w:tc>
          <w:tcPr>
            <w:tcW w:w="1073" w:type="dxa"/>
          </w:tcPr>
          <w:p>
            <w:pPr>
              <w:pStyle w:val="TableParagraph"/>
              <w:spacing w:before="36"/>
              <w:ind w:left="156" w:right="130"/>
              <w:jc w:val="center"/>
              <w:rPr>
                <w:sz w:val="20"/>
              </w:rPr>
            </w:pPr>
            <w:r>
              <w:rPr>
                <w:sz w:val="20"/>
              </w:rPr>
              <w:t>D1</w:t>
            </w:r>
          </w:p>
        </w:tc>
        <w:tc>
          <w:tcPr>
            <w:tcW w:w="734" w:type="dxa"/>
          </w:tcPr>
          <w:p>
            <w:pPr>
              <w:pStyle w:val="TableParagraph"/>
              <w:spacing w:before="38"/>
              <w:ind w:left="134" w:right="105"/>
              <w:jc w:val="center"/>
              <w:rPr>
                <w:sz w:val="18"/>
              </w:rPr>
            </w:pPr>
            <w:r>
              <w:rPr>
                <w:sz w:val="18"/>
              </w:rPr>
              <w:t>18</w:t>
            </w:r>
          </w:p>
        </w:tc>
        <w:tc>
          <w:tcPr>
            <w:tcW w:w="700" w:type="dxa"/>
          </w:tcPr>
          <w:p>
            <w:pPr>
              <w:pStyle w:val="TableParagraph"/>
              <w:spacing w:before="38"/>
              <w:ind w:left="108" w:right="97"/>
              <w:jc w:val="center"/>
              <w:rPr>
                <w:sz w:val="18"/>
              </w:rPr>
            </w:pPr>
            <w:r>
              <w:rPr>
                <w:sz w:val="18"/>
              </w:rPr>
              <w:t>22</w:t>
            </w:r>
          </w:p>
        </w:tc>
        <w:tc>
          <w:tcPr>
            <w:tcW w:w="592" w:type="dxa"/>
          </w:tcPr>
          <w:p>
            <w:pPr>
              <w:pStyle w:val="TableParagraph"/>
              <w:spacing w:before="38"/>
              <w:ind w:left="100" w:right="100"/>
              <w:jc w:val="center"/>
              <w:rPr>
                <w:sz w:val="18"/>
              </w:rPr>
            </w:pPr>
            <w:r>
              <w:rPr>
                <w:sz w:val="18"/>
              </w:rPr>
              <w:t>0.82</w:t>
            </w:r>
          </w:p>
        </w:tc>
        <w:tc>
          <w:tcPr>
            <w:tcW w:w="695" w:type="dxa"/>
          </w:tcPr>
          <w:p>
            <w:pPr>
              <w:pStyle w:val="TableParagraph"/>
              <w:spacing w:before="38"/>
              <w:ind w:left="99" w:right="112"/>
              <w:jc w:val="center"/>
              <w:rPr>
                <w:sz w:val="18"/>
              </w:rPr>
            </w:pPr>
            <w:r>
              <w:rPr>
                <w:sz w:val="18"/>
              </w:rPr>
              <w:t>4.25</w:t>
            </w:r>
          </w:p>
        </w:tc>
        <w:tc>
          <w:tcPr>
            <w:tcW w:w="700" w:type="dxa"/>
          </w:tcPr>
          <w:p>
            <w:pPr>
              <w:pStyle w:val="TableParagraph"/>
              <w:spacing w:before="38"/>
              <w:ind w:left="9"/>
              <w:jc w:val="center"/>
              <w:rPr>
                <w:sz w:val="18"/>
              </w:rPr>
            </w:pPr>
            <w:r>
              <w:rPr>
                <w:w w:val="99"/>
                <w:sz w:val="18"/>
              </w:rPr>
              <w:t>7</w:t>
            </w:r>
          </w:p>
        </w:tc>
        <w:tc>
          <w:tcPr>
            <w:tcW w:w="591" w:type="dxa"/>
          </w:tcPr>
          <w:p>
            <w:pPr>
              <w:pStyle w:val="TableParagraph"/>
              <w:spacing w:before="38"/>
              <w:ind w:left="99" w:right="100"/>
              <w:jc w:val="center"/>
              <w:rPr>
                <w:sz w:val="18"/>
              </w:rPr>
            </w:pPr>
            <w:r>
              <w:rPr>
                <w:sz w:val="18"/>
              </w:rPr>
              <w:t>0.61</w:t>
            </w:r>
          </w:p>
        </w:tc>
        <w:tc>
          <w:tcPr>
            <w:tcW w:w="692" w:type="dxa"/>
          </w:tcPr>
          <w:p>
            <w:pPr>
              <w:pStyle w:val="TableParagraph"/>
              <w:spacing w:before="38"/>
              <w:ind w:left="100" w:right="110"/>
              <w:jc w:val="center"/>
              <w:rPr>
                <w:sz w:val="18"/>
              </w:rPr>
            </w:pPr>
            <w:r>
              <w:rPr>
                <w:sz w:val="18"/>
              </w:rPr>
              <w:t>5.86</w:t>
            </w:r>
          </w:p>
        </w:tc>
        <w:tc>
          <w:tcPr>
            <w:tcW w:w="699" w:type="dxa"/>
          </w:tcPr>
          <w:p>
            <w:pPr>
              <w:pStyle w:val="TableParagraph"/>
              <w:spacing w:before="38"/>
              <w:ind w:left="9"/>
              <w:jc w:val="center"/>
              <w:rPr>
                <w:sz w:val="18"/>
              </w:rPr>
            </w:pPr>
            <w:r>
              <w:rPr>
                <w:w w:val="99"/>
                <w:sz w:val="18"/>
              </w:rPr>
              <w:t>6</w:t>
            </w:r>
          </w:p>
        </w:tc>
        <w:tc>
          <w:tcPr>
            <w:tcW w:w="630" w:type="dxa"/>
          </w:tcPr>
          <w:p>
            <w:pPr>
              <w:pStyle w:val="TableParagraph"/>
              <w:spacing w:before="38"/>
              <w:ind w:left="103" w:right="136"/>
              <w:jc w:val="center"/>
              <w:rPr>
                <w:sz w:val="18"/>
              </w:rPr>
            </w:pPr>
            <w:r>
              <w:rPr>
                <w:sz w:val="18"/>
              </w:rPr>
              <w:t>0.98</w:t>
            </w:r>
          </w:p>
        </w:tc>
        <w:tc>
          <w:tcPr>
            <w:tcW w:w="763" w:type="dxa"/>
          </w:tcPr>
          <w:p>
            <w:pPr>
              <w:pStyle w:val="TableParagraph"/>
              <w:spacing w:before="38"/>
              <w:ind w:left="138" w:right="143"/>
              <w:jc w:val="center"/>
              <w:rPr>
                <w:sz w:val="18"/>
              </w:rPr>
            </w:pPr>
            <w:r>
              <w:rPr>
                <w:sz w:val="18"/>
              </w:rPr>
              <w:t>1485</w:t>
            </w:r>
          </w:p>
        </w:tc>
        <w:tc>
          <w:tcPr>
            <w:tcW w:w="840" w:type="dxa"/>
          </w:tcPr>
          <w:p>
            <w:pPr>
              <w:pStyle w:val="TableParagraph"/>
              <w:spacing w:before="38"/>
              <w:ind w:right="244"/>
              <w:jc w:val="right"/>
              <w:rPr>
                <w:sz w:val="18"/>
              </w:rPr>
            </w:pPr>
            <w:r>
              <w:rPr>
                <w:w w:val="95"/>
                <w:sz w:val="18"/>
              </w:rPr>
              <w:t>1510</w:t>
            </w:r>
          </w:p>
        </w:tc>
        <w:tc>
          <w:tcPr>
            <w:tcW w:w="899" w:type="dxa"/>
          </w:tcPr>
          <w:p>
            <w:pPr>
              <w:pStyle w:val="TableParagraph"/>
              <w:spacing w:before="38"/>
              <w:ind w:left="226"/>
              <w:rPr>
                <w:sz w:val="18"/>
              </w:rPr>
            </w:pPr>
            <w:r>
              <w:rPr>
                <w:sz w:val="18"/>
              </w:rPr>
              <w:t>0.98</w:t>
            </w:r>
          </w:p>
        </w:tc>
      </w:tr>
      <w:tr>
        <w:trPr>
          <w:trHeight w:val="248" w:hRule="exact"/>
        </w:trPr>
        <w:tc>
          <w:tcPr>
            <w:tcW w:w="1073" w:type="dxa"/>
          </w:tcPr>
          <w:p>
            <w:pPr>
              <w:pStyle w:val="TableParagraph"/>
              <w:spacing w:line="221" w:lineRule="exact"/>
              <w:ind w:left="156" w:right="130"/>
              <w:jc w:val="center"/>
              <w:rPr>
                <w:sz w:val="20"/>
              </w:rPr>
            </w:pPr>
            <w:r>
              <w:rPr>
                <w:sz w:val="20"/>
              </w:rPr>
              <w:t>D3</w:t>
            </w:r>
          </w:p>
        </w:tc>
        <w:tc>
          <w:tcPr>
            <w:tcW w:w="734" w:type="dxa"/>
          </w:tcPr>
          <w:p>
            <w:pPr>
              <w:pStyle w:val="TableParagraph"/>
              <w:spacing w:line="198" w:lineRule="exact"/>
              <w:ind w:left="134" w:right="105"/>
              <w:jc w:val="center"/>
              <w:rPr>
                <w:sz w:val="18"/>
              </w:rPr>
            </w:pPr>
            <w:r>
              <w:rPr>
                <w:sz w:val="18"/>
              </w:rPr>
              <w:t>10</w:t>
            </w:r>
          </w:p>
        </w:tc>
        <w:tc>
          <w:tcPr>
            <w:tcW w:w="700" w:type="dxa"/>
          </w:tcPr>
          <w:p>
            <w:pPr>
              <w:pStyle w:val="TableParagraph"/>
              <w:spacing w:line="198" w:lineRule="exact"/>
              <w:ind w:left="108" w:right="97"/>
              <w:jc w:val="center"/>
              <w:rPr>
                <w:sz w:val="18"/>
              </w:rPr>
            </w:pPr>
            <w:r>
              <w:rPr>
                <w:sz w:val="18"/>
              </w:rPr>
              <w:t>29</w:t>
            </w:r>
          </w:p>
        </w:tc>
        <w:tc>
          <w:tcPr>
            <w:tcW w:w="592" w:type="dxa"/>
          </w:tcPr>
          <w:p>
            <w:pPr>
              <w:pStyle w:val="TableParagraph"/>
              <w:spacing w:line="198" w:lineRule="exact"/>
              <w:ind w:left="100" w:right="100"/>
              <w:jc w:val="center"/>
              <w:rPr>
                <w:sz w:val="18"/>
              </w:rPr>
            </w:pPr>
            <w:r>
              <w:rPr>
                <w:sz w:val="18"/>
              </w:rPr>
              <w:t>0.34</w:t>
            </w:r>
          </w:p>
        </w:tc>
        <w:tc>
          <w:tcPr>
            <w:tcW w:w="695" w:type="dxa"/>
          </w:tcPr>
          <w:p>
            <w:pPr>
              <w:pStyle w:val="TableParagraph"/>
              <w:spacing w:line="198" w:lineRule="exact"/>
              <w:ind w:left="99" w:right="112"/>
              <w:jc w:val="center"/>
              <w:rPr>
                <w:sz w:val="18"/>
              </w:rPr>
            </w:pPr>
            <w:r>
              <w:rPr>
                <w:sz w:val="18"/>
              </w:rPr>
              <w:t>3.09</w:t>
            </w:r>
          </w:p>
        </w:tc>
        <w:tc>
          <w:tcPr>
            <w:tcW w:w="700" w:type="dxa"/>
          </w:tcPr>
          <w:p>
            <w:pPr>
              <w:pStyle w:val="TableParagraph"/>
              <w:spacing w:line="198" w:lineRule="exact"/>
              <w:ind w:left="179"/>
              <w:rPr>
                <w:sz w:val="18"/>
              </w:rPr>
            </w:pPr>
            <w:r>
              <w:rPr>
                <w:sz w:val="18"/>
              </w:rPr>
              <w:t>6.27</w:t>
            </w:r>
          </w:p>
        </w:tc>
        <w:tc>
          <w:tcPr>
            <w:tcW w:w="591" w:type="dxa"/>
          </w:tcPr>
          <w:p>
            <w:pPr>
              <w:pStyle w:val="TableParagraph"/>
              <w:spacing w:line="198" w:lineRule="exact"/>
              <w:ind w:left="99" w:right="100"/>
              <w:jc w:val="center"/>
              <w:rPr>
                <w:sz w:val="18"/>
              </w:rPr>
            </w:pPr>
            <w:r>
              <w:rPr>
                <w:sz w:val="18"/>
              </w:rPr>
              <w:t>0.49</w:t>
            </w:r>
          </w:p>
        </w:tc>
        <w:tc>
          <w:tcPr>
            <w:tcW w:w="692" w:type="dxa"/>
          </w:tcPr>
          <w:p>
            <w:pPr>
              <w:pStyle w:val="TableParagraph"/>
              <w:spacing w:line="198" w:lineRule="exact"/>
              <w:ind w:left="100" w:right="110"/>
              <w:jc w:val="center"/>
              <w:rPr>
                <w:sz w:val="18"/>
              </w:rPr>
            </w:pPr>
            <w:r>
              <w:rPr>
                <w:sz w:val="18"/>
              </w:rPr>
              <w:t>2.73</w:t>
            </w:r>
          </w:p>
        </w:tc>
        <w:tc>
          <w:tcPr>
            <w:tcW w:w="699" w:type="dxa"/>
          </w:tcPr>
          <w:p>
            <w:pPr>
              <w:pStyle w:val="TableParagraph"/>
              <w:spacing w:line="198" w:lineRule="exact"/>
              <w:ind w:left="179"/>
              <w:rPr>
                <w:sz w:val="18"/>
              </w:rPr>
            </w:pPr>
            <w:r>
              <w:rPr>
                <w:sz w:val="18"/>
              </w:rPr>
              <w:t>2.80</w:t>
            </w:r>
          </w:p>
        </w:tc>
        <w:tc>
          <w:tcPr>
            <w:tcW w:w="630" w:type="dxa"/>
          </w:tcPr>
          <w:p>
            <w:pPr>
              <w:pStyle w:val="TableParagraph"/>
              <w:spacing w:line="198" w:lineRule="exact"/>
              <w:ind w:left="103" w:right="136"/>
              <w:jc w:val="center"/>
              <w:rPr>
                <w:sz w:val="18"/>
              </w:rPr>
            </w:pPr>
            <w:r>
              <w:rPr>
                <w:sz w:val="18"/>
              </w:rPr>
              <w:t>0.98</w:t>
            </w:r>
          </w:p>
        </w:tc>
        <w:tc>
          <w:tcPr>
            <w:tcW w:w="763" w:type="dxa"/>
          </w:tcPr>
          <w:p>
            <w:pPr>
              <w:pStyle w:val="TableParagraph"/>
              <w:spacing w:line="198" w:lineRule="exact"/>
              <w:ind w:left="138" w:right="143"/>
              <w:jc w:val="center"/>
              <w:rPr>
                <w:sz w:val="18"/>
              </w:rPr>
            </w:pPr>
            <w:r>
              <w:rPr>
                <w:sz w:val="18"/>
              </w:rPr>
              <w:t>1445</w:t>
            </w:r>
          </w:p>
        </w:tc>
        <w:tc>
          <w:tcPr>
            <w:tcW w:w="840" w:type="dxa"/>
          </w:tcPr>
          <w:p>
            <w:pPr>
              <w:pStyle w:val="TableParagraph"/>
              <w:spacing w:line="198" w:lineRule="exact"/>
              <w:ind w:right="244"/>
              <w:jc w:val="right"/>
              <w:rPr>
                <w:sz w:val="18"/>
              </w:rPr>
            </w:pPr>
            <w:r>
              <w:rPr>
                <w:w w:val="95"/>
                <w:sz w:val="18"/>
              </w:rPr>
              <w:t>1365</w:t>
            </w:r>
          </w:p>
        </w:tc>
        <w:tc>
          <w:tcPr>
            <w:tcW w:w="899" w:type="dxa"/>
          </w:tcPr>
          <w:p>
            <w:pPr>
              <w:pStyle w:val="TableParagraph"/>
              <w:spacing w:line="198" w:lineRule="exact"/>
              <w:ind w:left="226"/>
              <w:rPr>
                <w:sz w:val="18"/>
              </w:rPr>
            </w:pPr>
            <w:r>
              <w:rPr>
                <w:sz w:val="18"/>
              </w:rPr>
              <w:t>1.06</w:t>
            </w:r>
          </w:p>
        </w:tc>
      </w:tr>
      <w:tr>
        <w:trPr>
          <w:trHeight w:val="265" w:hRule="exact"/>
        </w:trPr>
        <w:tc>
          <w:tcPr>
            <w:tcW w:w="1073" w:type="dxa"/>
          </w:tcPr>
          <w:p>
            <w:pPr>
              <w:pStyle w:val="TableParagraph"/>
              <w:spacing w:before="9"/>
              <w:ind w:left="156" w:right="130"/>
              <w:jc w:val="center"/>
              <w:rPr>
                <w:sz w:val="20"/>
              </w:rPr>
            </w:pPr>
            <w:r>
              <w:rPr>
                <w:sz w:val="20"/>
              </w:rPr>
              <w:t>D5</w:t>
            </w:r>
          </w:p>
        </w:tc>
        <w:tc>
          <w:tcPr>
            <w:tcW w:w="734" w:type="dxa"/>
          </w:tcPr>
          <w:p>
            <w:pPr>
              <w:pStyle w:val="TableParagraph"/>
              <w:spacing w:before="8"/>
              <w:ind w:left="134" w:right="105"/>
              <w:jc w:val="center"/>
              <w:rPr>
                <w:sz w:val="18"/>
              </w:rPr>
            </w:pPr>
            <w:r>
              <w:rPr>
                <w:sz w:val="18"/>
              </w:rPr>
              <w:t>20</w:t>
            </w:r>
          </w:p>
        </w:tc>
        <w:tc>
          <w:tcPr>
            <w:tcW w:w="700" w:type="dxa"/>
          </w:tcPr>
          <w:p>
            <w:pPr>
              <w:pStyle w:val="TableParagraph"/>
              <w:spacing w:before="8"/>
              <w:ind w:left="108" w:right="97"/>
              <w:jc w:val="center"/>
              <w:rPr>
                <w:sz w:val="18"/>
              </w:rPr>
            </w:pPr>
            <w:r>
              <w:rPr>
                <w:sz w:val="18"/>
              </w:rPr>
              <w:t>18</w:t>
            </w:r>
          </w:p>
        </w:tc>
        <w:tc>
          <w:tcPr>
            <w:tcW w:w="592" w:type="dxa"/>
          </w:tcPr>
          <w:p>
            <w:pPr>
              <w:pStyle w:val="TableParagraph"/>
              <w:spacing w:before="8"/>
              <w:ind w:left="100" w:right="100"/>
              <w:jc w:val="center"/>
              <w:rPr>
                <w:sz w:val="18"/>
              </w:rPr>
            </w:pPr>
            <w:r>
              <w:rPr>
                <w:sz w:val="18"/>
              </w:rPr>
              <w:t>1.11</w:t>
            </w:r>
          </w:p>
        </w:tc>
        <w:tc>
          <w:tcPr>
            <w:tcW w:w="695" w:type="dxa"/>
          </w:tcPr>
          <w:p>
            <w:pPr>
              <w:pStyle w:val="TableParagraph"/>
              <w:spacing w:before="8"/>
              <w:ind w:left="99" w:right="112"/>
              <w:jc w:val="center"/>
              <w:rPr>
                <w:sz w:val="18"/>
              </w:rPr>
            </w:pPr>
            <w:r>
              <w:rPr>
                <w:sz w:val="18"/>
              </w:rPr>
              <w:t>2.85</w:t>
            </w:r>
          </w:p>
        </w:tc>
        <w:tc>
          <w:tcPr>
            <w:tcW w:w="700" w:type="dxa"/>
          </w:tcPr>
          <w:p>
            <w:pPr>
              <w:pStyle w:val="TableParagraph"/>
              <w:spacing w:before="8"/>
              <w:ind w:left="179"/>
              <w:rPr>
                <w:sz w:val="18"/>
              </w:rPr>
            </w:pPr>
            <w:r>
              <w:rPr>
                <w:sz w:val="18"/>
              </w:rPr>
              <w:t>4.85</w:t>
            </w:r>
          </w:p>
        </w:tc>
        <w:tc>
          <w:tcPr>
            <w:tcW w:w="591" w:type="dxa"/>
          </w:tcPr>
          <w:p>
            <w:pPr>
              <w:pStyle w:val="TableParagraph"/>
              <w:spacing w:before="8"/>
              <w:ind w:left="99" w:right="100"/>
              <w:jc w:val="center"/>
              <w:rPr>
                <w:sz w:val="18"/>
              </w:rPr>
            </w:pPr>
            <w:r>
              <w:rPr>
                <w:sz w:val="18"/>
              </w:rPr>
              <w:t>0.59</w:t>
            </w:r>
          </w:p>
        </w:tc>
        <w:tc>
          <w:tcPr>
            <w:tcW w:w="692" w:type="dxa"/>
          </w:tcPr>
          <w:p>
            <w:pPr>
              <w:pStyle w:val="TableParagraph"/>
              <w:spacing w:before="8"/>
              <w:ind w:left="100" w:right="110"/>
              <w:jc w:val="center"/>
              <w:rPr>
                <w:sz w:val="18"/>
              </w:rPr>
            </w:pPr>
            <w:r>
              <w:rPr>
                <w:sz w:val="18"/>
              </w:rPr>
              <w:t>1.88</w:t>
            </w:r>
          </w:p>
        </w:tc>
        <w:tc>
          <w:tcPr>
            <w:tcW w:w="699" w:type="dxa"/>
          </w:tcPr>
          <w:p>
            <w:pPr>
              <w:pStyle w:val="TableParagraph"/>
              <w:spacing w:before="8"/>
              <w:ind w:left="179"/>
              <w:rPr>
                <w:sz w:val="18"/>
              </w:rPr>
            </w:pPr>
            <w:r>
              <w:rPr>
                <w:sz w:val="18"/>
              </w:rPr>
              <w:t>2.12</w:t>
            </w:r>
          </w:p>
        </w:tc>
        <w:tc>
          <w:tcPr>
            <w:tcW w:w="630" w:type="dxa"/>
          </w:tcPr>
          <w:p>
            <w:pPr>
              <w:pStyle w:val="TableParagraph"/>
              <w:spacing w:before="8"/>
              <w:ind w:left="103" w:right="136"/>
              <w:jc w:val="center"/>
              <w:rPr>
                <w:sz w:val="18"/>
              </w:rPr>
            </w:pPr>
            <w:r>
              <w:rPr>
                <w:sz w:val="18"/>
              </w:rPr>
              <w:t>0.89</w:t>
            </w:r>
          </w:p>
        </w:tc>
        <w:tc>
          <w:tcPr>
            <w:tcW w:w="763" w:type="dxa"/>
          </w:tcPr>
          <w:p>
            <w:pPr>
              <w:pStyle w:val="TableParagraph"/>
              <w:spacing w:before="8"/>
              <w:ind w:left="138" w:right="143"/>
              <w:jc w:val="center"/>
              <w:rPr>
                <w:sz w:val="18"/>
              </w:rPr>
            </w:pPr>
            <w:r>
              <w:rPr>
                <w:sz w:val="18"/>
              </w:rPr>
              <w:t>2820</w:t>
            </w:r>
          </w:p>
        </w:tc>
        <w:tc>
          <w:tcPr>
            <w:tcW w:w="840" w:type="dxa"/>
          </w:tcPr>
          <w:p>
            <w:pPr>
              <w:pStyle w:val="TableParagraph"/>
              <w:spacing w:before="8"/>
              <w:ind w:right="244"/>
              <w:jc w:val="right"/>
              <w:rPr>
                <w:sz w:val="18"/>
              </w:rPr>
            </w:pPr>
            <w:r>
              <w:rPr>
                <w:w w:val="95"/>
                <w:sz w:val="18"/>
              </w:rPr>
              <w:t>2810</w:t>
            </w:r>
          </w:p>
        </w:tc>
        <w:tc>
          <w:tcPr>
            <w:tcW w:w="899" w:type="dxa"/>
          </w:tcPr>
          <w:p>
            <w:pPr>
              <w:pStyle w:val="TableParagraph"/>
              <w:spacing w:before="8"/>
              <w:ind w:left="226"/>
              <w:rPr>
                <w:sz w:val="18"/>
              </w:rPr>
            </w:pPr>
            <w:r>
              <w:rPr>
                <w:sz w:val="18"/>
              </w:rPr>
              <w:t>1.00</w:t>
            </w:r>
          </w:p>
        </w:tc>
      </w:tr>
      <w:tr>
        <w:trPr>
          <w:trHeight w:val="264" w:hRule="exact"/>
        </w:trPr>
        <w:tc>
          <w:tcPr>
            <w:tcW w:w="1073" w:type="dxa"/>
          </w:tcPr>
          <w:p>
            <w:pPr>
              <w:pStyle w:val="TableParagraph"/>
              <w:spacing w:before="8"/>
              <w:ind w:left="156" w:right="130"/>
              <w:jc w:val="center"/>
              <w:rPr>
                <w:sz w:val="20"/>
              </w:rPr>
            </w:pPr>
            <w:r>
              <w:rPr>
                <w:sz w:val="20"/>
              </w:rPr>
              <w:t>D7</w:t>
            </w:r>
          </w:p>
        </w:tc>
        <w:tc>
          <w:tcPr>
            <w:tcW w:w="734" w:type="dxa"/>
          </w:tcPr>
          <w:p>
            <w:pPr>
              <w:pStyle w:val="TableParagraph"/>
              <w:spacing w:before="7"/>
              <w:ind w:left="134" w:right="105"/>
              <w:jc w:val="center"/>
              <w:rPr>
                <w:sz w:val="18"/>
              </w:rPr>
            </w:pPr>
            <w:r>
              <w:rPr>
                <w:sz w:val="18"/>
              </w:rPr>
              <w:t>13</w:t>
            </w:r>
          </w:p>
        </w:tc>
        <w:tc>
          <w:tcPr>
            <w:tcW w:w="700" w:type="dxa"/>
          </w:tcPr>
          <w:p>
            <w:pPr>
              <w:pStyle w:val="TableParagraph"/>
              <w:spacing w:before="7"/>
              <w:ind w:left="108" w:right="97"/>
              <w:jc w:val="center"/>
              <w:rPr>
                <w:sz w:val="18"/>
              </w:rPr>
            </w:pPr>
            <w:r>
              <w:rPr>
                <w:sz w:val="18"/>
              </w:rPr>
              <w:t>22</w:t>
            </w:r>
          </w:p>
        </w:tc>
        <w:tc>
          <w:tcPr>
            <w:tcW w:w="592" w:type="dxa"/>
          </w:tcPr>
          <w:p>
            <w:pPr>
              <w:pStyle w:val="TableParagraph"/>
              <w:spacing w:before="7"/>
              <w:ind w:left="100" w:right="100"/>
              <w:jc w:val="center"/>
              <w:rPr>
                <w:sz w:val="18"/>
              </w:rPr>
            </w:pPr>
            <w:r>
              <w:rPr>
                <w:sz w:val="18"/>
              </w:rPr>
              <w:t>0.59</w:t>
            </w:r>
          </w:p>
        </w:tc>
        <w:tc>
          <w:tcPr>
            <w:tcW w:w="695" w:type="dxa"/>
          </w:tcPr>
          <w:p>
            <w:pPr>
              <w:pStyle w:val="TableParagraph"/>
              <w:spacing w:before="7"/>
              <w:ind w:left="99" w:right="112"/>
              <w:jc w:val="center"/>
              <w:rPr>
                <w:sz w:val="18"/>
              </w:rPr>
            </w:pPr>
            <w:r>
              <w:rPr>
                <w:sz w:val="18"/>
              </w:rPr>
              <w:t>2.43</w:t>
            </w:r>
          </w:p>
        </w:tc>
        <w:tc>
          <w:tcPr>
            <w:tcW w:w="700" w:type="dxa"/>
          </w:tcPr>
          <w:p>
            <w:pPr>
              <w:pStyle w:val="TableParagraph"/>
              <w:spacing w:before="7"/>
              <w:ind w:left="179"/>
              <w:rPr>
                <w:sz w:val="18"/>
              </w:rPr>
            </w:pPr>
            <w:r>
              <w:rPr>
                <w:sz w:val="18"/>
              </w:rPr>
              <w:t>5.07</w:t>
            </w:r>
          </w:p>
        </w:tc>
        <w:tc>
          <w:tcPr>
            <w:tcW w:w="591" w:type="dxa"/>
          </w:tcPr>
          <w:p>
            <w:pPr>
              <w:pStyle w:val="TableParagraph"/>
              <w:spacing w:before="7"/>
              <w:ind w:left="99" w:right="100"/>
              <w:jc w:val="center"/>
              <w:rPr>
                <w:sz w:val="18"/>
              </w:rPr>
            </w:pPr>
            <w:r>
              <w:rPr>
                <w:sz w:val="18"/>
              </w:rPr>
              <w:t>0.48</w:t>
            </w:r>
          </w:p>
        </w:tc>
        <w:tc>
          <w:tcPr>
            <w:tcW w:w="692" w:type="dxa"/>
          </w:tcPr>
          <w:p>
            <w:pPr>
              <w:pStyle w:val="TableParagraph"/>
              <w:spacing w:before="7"/>
              <w:ind w:left="100" w:right="110"/>
              <w:jc w:val="center"/>
              <w:rPr>
                <w:sz w:val="18"/>
              </w:rPr>
            </w:pPr>
            <w:r>
              <w:rPr>
                <w:sz w:val="18"/>
              </w:rPr>
              <w:t>1.44</w:t>
            </w:r>
          </w:p>
        </w:tc>
        <w:tc>
          <w:tcPr>
            <w:tcW w:w="699" w:type="dxa"/>
          </w:tcPr>
          <w:p>
            <w:pPr>
              <w:pStyle w:val="TableParagraph"/>
              <w:spacing w:before="7"/>
              <w:ind w:left="179"/>
              <w:rPr>
                <w:sz w:val="18"/>
              </w:rPr>
            </w:pPr>
            <w:r>
              <w:rPr>
                <w:sz w:val="18"/>
              </w:rPr>
              <w:t>2.38</w:t>
            </w:r>
          </w:p>
        </w:tc>
        <w:tc>
          <w:tcPr>
            <w:tcW w:w="630" w:type="dxa"/>
          </w:tcPr>
          <w:p>
            <w:pPr>
              <w:pStyle w:val="TableParagraph"/>
              <w:spacing w:before="7"/>
              <w:ind w:left="103" w:right="136"/>
              <w:jc w:val="center"/>
              <w:rPr>
                <w:sz w:val="18"/>
              </w:rPr>
            </w:pPr>
            <w:r>
              <w:rPr>
                <w:sz w:val="18"/>
              </w:rPr>
              <w:t>0.61</w:t>
            </w:r>
          </w:p>
        </w:tc>
        <w:tc>
          <w:tcPr>
            <w:tcW w:w="763" w:type="dxa"/>
          </w:tcPr>
          <w:p>
            <w:pPr>
              <w:pStyle w:val="TableParagraph"/>
              <w:spacing w:before="7"/>
              <w:ind w:left="138" w:right="143"/>
              <w:jc w:val="center"/>
              <w:rPr>
                <w:sz w:val="18"/>
              </w:rPr>
            </w:pPr>
            <w:r>
              <w:rPr>
                <w:sz w:val="18"/>
              </w:rPr>
              <w:t>2690</w:t>
            </w:r>
          </w:p>
        </w:tc>
        <w:tc>
          <w:tcPr>
            <w:tcW w:w="840" w:type="dxa"/>
          </w:tcPr>
          <w:p>
            <w:pPr>
              <w:pStyle w:val="TableParagraph"/>
              <w:spacing w:before="7"/>
              <w:ind w:right="244"/>
              <w:jc w:val="right"/>
              <w:rPr>
                <w:sz w:val="18"/>
              </w:rPr>
            </w:pPr>
            <w:r>
              <w:rPr>
                <w:w w:val="95"/>
                <w:sz w:val="18"/>
              </w:rPr>
              <w:t>2570</w:t>
            </w:r>
          </w:p>
        </w:tc>
        <w:tc>
          <w:tcPr>
            <w:tcW w:w="899" w:type="dxa"/>
          </w:tcPr>
          <w:p>
            <w:pPr>
              <w:pStyle w:val="TableParagraph"/>
              <w:spacing w:before="7"/>
              <w:ind w:left="226"/>
              <w:rPr>
                <w:sz w:val="18"/>
              </w:rPr>
            </w:pPr>
            <w:r>
              <w:rPr>
                <w:sz w:val="18"/>
              </w:rPr>
              <w:t>1.05</w:t>
            </w:r>
          </w:p>
        </w:tc>
      </w:tr>
      <w:tr>
        <w:trPr>
          <w:trHeight w:val="277" w:hRule="exact"/>
        </w:trPr>
        <w:tc>
          <w:tcPr>
            <w:tcW w:w="1073" w:type="dxa"/>
            <w:tcBorders>
              <w:bottom w:val="single" w:sz="4" w:space="0" w:color="000000"/>
            </w:tcBorders>
          </w:tcPr>
          <w:p>
            <w:pPr>
              <w:pStyle w:val="TableParagraph"/>
              <w:spacing w:before="8"/>
              <w:ind w:left="156" w:right="132"/>
              <w:jc w:val="center"/>
              <w:rPr>
                <w:sz w:val="20"/>
              </w:rPr>
            </w:pPr>
            <w:r>
              <w:rPr>
                <w:sz w:val="20"/>
              </w:rPr>
              <w:t>Average</w:t>
            </w:r>
          </w:p>
        </w:tc>
        <w:tc>
          <w:tcPr>
            <w:tcW w:w="734" w:type="dxa"/>
            <w:tcBorders>
              <w:bottom w:val="single" w:sz="4" w:space="0" w:color="000000"/>
            </w:tcBorders>
          </w:tcPr>
          <w:p>
            <w:pPr>
              <w:pStyle w:val="TableParagraph"/>
              <w:spacing w:before="7"/>
              <w:ind w:left="134" w:right="109"/>
              <w:jc w:val="center"/>
              <w:rPr>
                <w:sz w:val="18"/>
              </w:rPr>
            </w:pPr>
            <w:r>
              <w:rPr>
                <w:sz w:val="18"/>
              </w:rPr>
              <w:t>15.25</w:t>
            </w:r>
          </w:p>
        </w:tc>
        <w:tc>
          <w:tcPr>
            <w:tcW w:w="700" w:type="dxa"/>
            <w:tcBorders>
              <w:bottom w:val="single" w:sz="4" w:space="0" w:color="000000"/>
            </w:tcBorders>
          </w:tcPr>
          <w:p>
            <w:pPr>
              <w:pStyle w:val="TableParagraph"/>
              <w:spacing w:before="7"/>
              <w:ind w:left="108" w:right="100"/>
              <w:jc w:val="center"/>
              <w:rPr>
                <w:sz w:val="18"/>
              </w:rPr>
            </w:pPr>
            <w:r>
              <w:rPr>
                <w:sz w:val="18"/>
              </w:rPr>
              <w:t>22.75</w:t>
            </w:r>
          </w:p>
        </w:tc>
        <w:tc>
          <w:tcPr>
            <w:tcW w:w="592" w:type="dxa"/>
            <w:tcBorders>
              <w:bottom w:val="single" w:sz="4" w:space="0" w:color="000000"/>
            </w:tcBorders>
          </w:tcPr>
          <w:p>
            <w:pPr>
              <w:pStyle w:val="TableParagraph"/>
              <w:spacing w:before="7"/>
              <w:ind w:left="100" w:right="100"/>
              <w:jc w:val="center"/>
              <w:rPr>
                <w:sz w:val="18"/>
              </w:rPr>
            </w:pPr>
            <w:r>
              <w:rPr>
                <w:sz w:val="18"/>
              </w:rPr>
              <w:t>0.72</w:t>
            </w:r>
          </w:p>
        </w:tc>
        <w:tc>
          <w:tcPr>
            <w:tcW w:w="695" w:type="dxa"/>
            <w:tcBorders>
              <w:bottom w:val="single" w:sz="4" w:space="0" w:color="000000"/>
            </w:tcBorders>
          </w:tcPr>
          <w:p>
            <w:pPr>
              <w:pStyle w:val="TableParagraph"/>
              <w:spacing w:before="7"/>
              <w:ind w:left="99" w:right="112"/>
              <w:jc w:val="center"/>
              <w:rPr>
                <w:sz w:val="18"/>
              </w:rPr>
            </w:pPr>
            <w:r>
              <w:rPr>
                <w:sz w:val="18"/>
              </w:rPr>
              <w:t>3.15</w:t>
            </w:r>
          </w:p>
        </w:tc>
        <w:tc>
          <w:tcPr>
            <w:tcW w:w="700" w:type="dxa"/>
            <w:tcBorders>
              <w:bottom w:val="single" w:sz="4" w:space="0" w:color="000000"/>
            </w:tcBorders>
          </w:tcPr>
          <w:p>
            <w:pPr>
              <w:pStyle w:val="TableParagraph"/>
              <w:spacing w:before="7"/>
              <w:ind w:left="179"/>
              <w:rPr>
                <w:sz w:val="18"/>
              </w:rPr>
            </w:pPr>
            <w:r>
              <w:rPr>
                <w:sz w:val="18"/>
              </w:rPr>
              <w:t>5.80</w:t>
            </w:r>
          </w:p>
        </w:tc>
        <w:tc>
          <w:tcPr>
            <w:tcW w:w="591" w:type="dxa"/>
            <w:tcBorders>
              <w:bottom w:val="single" w:sz="4" w:space="0" w:color="000000"/>
            </w:tcBorders>
          </w:tcPr>
          <w:p>
            <w:pPr>
              <w:pStyle w:val="TableParagraph"/>
              <w:spacing w:before="7"/>
              <w:ind w:left="99" w:right="100"/>
              <w:jc w:val="center"/>
              <w:rPr>
                <w:sz w:val="18"/>
              </w:rPr>
            </w:pPr>
            <w:r>
              <w:rPr>
                <w:sz w:val="18"/>
              </w:rPr>
              <w:t>0.54</w:t>
            </w:r>
          </w:p>
        </w:tc>
        <w:tc>
          <w:tcPr>
            <w:tcW w:w="692" w:type="dxa"/>
            <w:tcBorders>
              <w:bottom w:val="single" w:sz="4" w:space="0" w:color="000000"/>
            </w:tcBorders>
          </w:tcPr>
          <w:p>
            <w:pPr>
              <w:pStyle w:val="TableParagraph"/>
              <w:spacing w:before="7"/>
              <w:ind w:left="101" w:right="110"/>
              <w:jc w:val="center"/>
              <w:rPr>
                <w:sz w:val="18"/>
              </w:rPr>
            </w:pPr>
            <w:r>
              <w:rPr>
                <w:sz w:val="18"/>
              </w:rPr>
              <w:t>2.98</w:t>
            </w:r>
          </w:p>
        </w:tc>
        <w:tc>
          <w:tcPr>
            <w:tcW w:w="699" w:type="dxa"/>
            <w:tcBorders>
              <w:bottom w:val="single" w:sz="4" w:space="0" w:color="000000"/>
            </w:tcBorders>
          </w:tcPr>
          <w:p>
            <w:pPr>
              <w:pStyle w:val="TableParagraph"/>
              <w:spacing w:before="7"/>
              <w:ind w:left="179"/>
              <w:rPr>
                <w:sz w:val="18"/>
              </w:rPr>
            </w:pPr>
            <w:r>
              <w:rPr>
                <w:sz w:val="18"/>
              </w:rPr>
              <w:t>3.32</w:t>
            </w:r>
          </w:p>
        </w:tc>
        <w:tc>
          <w:tcPr>
            <w:tcW w:w="630" w:type="dxa"/>
            <w:tcBorders>
              <w:bottom w:val="single" w:sz="4" w:space="0" w:color="000000"/>
            </w:tcBorders>
          </w:tcPr>
          <w:p>
            <w:pPr>
              <w:pStyle w:val="TableParagraph"/>
              <w:spacing w:before="7"/>
              <w:ind w:left="103" w:right="136"/>
              <w:jc w:val="center"/>
              <w:rPr>
                <w:sz w:val="18"/>
              </w:rPr>
            </w:pPr>
            <w:r>
              <w:rPr>
                <w:sz w:val="18"/>
              </w:rPr>
              <w:t>0.86</w:t>
            </w:r>
          </w:p>
        </w:tc>
        <w:tc>
          <w:tcPr>
            <w:tcW w:w="763" w:type="dxa"/>
            <w:tcBorders>
              <w:bottom w:val="single" w:sz="4" w:space="0" w:color="000000"/>
            </w:tcBorders>
          </w:tcPr>
          <w:p>
            <w:pPr>
              <w:pStyle w:val="TableParagraph"/>
              <w:spacing w:before="7"/>
              <w:ind w:left="138" w:right="143"/>
              <w:jc w:val="center"/>
              <w:rPr>
                <w:sz w:val="18"/>
              </w:rPr>
            </w:pPr>
            <w:r>
              <w:rPr>
                <w:sz w:val="18"/>
              </w:rPr>
              <w:t>2110</w:t>
            </w:r>
          </w:p>
        </w:tc>
        <w:tc>
          <w:tcPr>
            <w:tcW w:w="840" w:type="dxa"/>
            <w:tcBorders>
              <w:bottom w:val="single" w:sz="4" w:space="0" w:color="000000"/>
            </w:tcBorders>
          </w:tcPr>
          <w:p>
            <w:pPr>
              <w:pStyle w:val="TableParagraph"/>
              <w:spacing w:before="7"/>
              <w:ind w:right="244"/>
              <w:jc w:val="right"/>
              <w:rPr>
                <w:sz w:val="18"/>
              </w:rPr>
            </w:pPr>
            <w:r>
              <w:rPr>
                <w:w w:val="95"/>
                <w:sz w:val="18"/>
              </w:rPr>
              <w:t>2063</w:t>
            </w:r>
          </w:p>
        </w:tc>
        <w:tc>
          <w:tcPr>
            <w:tcW w:w="899" w:type="dxa"/>
            <w:tcBorders>
              <w:bottom w:val="single" w:sz="4" w:space="0" w:color="000000"/>
            </w:tcBorders>
          </w:tcPr>
          <w:p>
            <w:pPr>
              <w:pStyle w:val="TableParagraph"/>
              <w:spacing w:before="7"/>
              <w:ind w:left="226"/>
              <w:rPr>
                <w:sz w:val="18"/>
              </w:rPr>
            </w:pPr>
            <w:r>
              <w:rPr>
                <w:sz w:val="18"/>
              </w:rPr>
              <w:t>1.02</w:t>
            </w:r>
          </w:p>
        </w:tc>
      </w:tr>
      <w:tr>
        <w:trPr>
          <w:trHeight w:val="377" w:hRule="exact"/>
        </w:trPr>
        <w:tc>
          <w:tcPr>
            <w:tcW w:w="9607" w:type="dxa"/>
            <w:gridSpan w:val="13"/>
            <w:tcBorders>
              <w:top w:val="single" w:sz="4" w:space="0" w:color="000000"/>
            </w:tcBorders>
          </w:tcPr>
          <w:p>
            <w:pPr>
              <w:pStyle w:val="TableParagraph"/>
              <w:spacing w:before="10"/>
              <w:rPr>
                <w:sz w:val="15"/>
              </w:rPr>
            </w:pPr>
          </w:p>
          <w:p>
            <w:pPr>
              <w:pStyle w:val="TableParagraph"/>
              <w:ind w:left="108"/>
              <w:rPr>
                <w:sz w:val="16"/>
              </w:rPr>
            </w:pPr>
            <w:r>
              <w:rPr>
                <w:position w:val="2"/>
                <w:sz w:val="16"/>
              </w:rPr>
              <w:t>BCF</w:t>
            </w:r>
            <w:r>
              <w:rPr>
                <w:sz w:val="10"/>
              </w:rPr>
              <w:t>A</w:t>
            </w:r>
            <w:r>
              <w:rPr>
                <w:position w:val="2"/>
                <w:sz w:val="16"/>
              </w:rPr>
              <w:t>: Bioaccumulation factor aerial/medium, BCF</w:t>
            </w:r>
            <w:r>
              <w:rPr>
                <w:sz w:val="10"/>
              </w:rPr>
              <w:t>R</w:t>
            </w:r>
            <w:r>
              <w:rPr>
                <w:position w:val="2"/>
                <w:sz w:val="16"/>
              </w:rPr>
              <w:t>: Bioaccumulation factor root: root/medium, FT: Translocation factor: aerial/root</w:t>
            </w:r>
          </w:p>
        </w:tc>
      </w:tr>
    </w:tbl>
    <w:p>
      <w:pPr>
        <w:pStyle w:val="BodyText"/>
        <w:rPr>
          <w:sz w:val="20"/>
        </w:rPr>
      </w:pPr>
    </w:p>
    <w:p>
      <w:pPr>
        <w:pStyle w:val="BodyText"/>
        <w:spacing w:before="8"/>
        <w:rPr>
          <w:sz w:val="19"/>
        </w:rPr>
      </w:pPr>
    </w:p>
    <w:p>
      <w:pPr>
        <w:pStyle w:val="Heading3"/>
        <w:numPr>
          <w:ilvl w:val="2"/>
          <w:numId w:val="22"/>
        </w:numPr>
        <w:tabs>
          <w:tab w:pos="1222" w:val="left" w:leader="none"/>
        </w:tabs>
        <w:spacing w:line="240" w:lineRule="auto" w:before="70" w:after="0"/>
        <w:ind w:left="1222" w:right="0" w:hanging="603"/>
        <w:jc w:val="left"/>
      </w:pPr>
      <w:r>
        <w:rPr/>
        <w:t>Bioaccumulation Factor in leaves and roots (BCF</w:t>
      </w:r>
      <w:r>
        <w:rPr>
          <w:position w:val="-2"/>
          <w:sz w:val="16"/>
        </w:rPr>
        <w:t>A </w:t>
      </w:r>
      <w:r>
        <w:rPr/>
        <w:t>and</w:t>
      </w:r>
      <w:r>
        <w:rPr>
          <w:spacing w:val="10"/>
        </w:rPr>
        <w:t> </w:t>
      </w:r>
      <w:r>
        <w:rPr/>
        <w:t>BCF</w:t>
      </w:r>
      <w:r>
        <w:rPr>
          <w:position w:val="-2"/>
          <w:sz w:val="16"/>
        </w:rPr>
        <w:t>R</w:t>
      </w:r>
      <w:r>
        <w:rPr/>
        <w:t>)</w:t>
      </w:r>
    </w:p>
    <w:p>
      <w:pPr>
        <w:pStyle w:val="BodyText"/>
        <w:spacing w:before="10"/>
        <w:rPr>
          <w:b/>
          <w:sz w:val="20"/>
        </w:rPr>
      </w:pPr>
    </w:p>
    <w:p>
      <w:pPr>
        <w:spacing w:line="240" w:lineRule="auto" w:before="1"/>
        <w:ind w:left="218" w:right="214" w:firstLine="0"/>
        <w:jc w:val="both"/>
        <w:rPr>
          <w:sz w:val="22"/>
        </w:rPr>
      </w:pPr>
      <w:r>
        <w:rPr>
          <w:sz w:val="22"/>
        </w:rPr>
        <w:t>In this study, higher values of BCF than FT were observed, indicating that the plant possesses phytoremediation and phytostabilization potential [67, 68]. The concentrations of BCF&gt; 1 in both leaves and root (</w:t>
      </w:r>
      <w:r>
        <w:rPr>
          <w:b/>
          <w:sz w:val="22"/>
        </w:rPr>
        <w:t>Table 2</w:t>
      </w:r>
      <w:r>
        <w:rPr>
          <w:sz w:val="22"/>
        </w:rPr>
        <w:t>), same behavior as Ye [22] and Sasmaz [39]. The Pb is the one with the greatest accumulation in the vegetative</w:t>
      </w:r>
      <w:r>
        <w:rPr>
          <w:spacing w:val="-7"/>
          <w:sz w:val="22"/>
        </w:rPr>
        <w:t> </w:t>
      </w:r>
      <w:r>
        <w:rPr>
          <w:sz w:val="22"/>
        </w:rPr>
        <w:t>structure.</w:t>
      </w:r>
    </w:p>
    <w:p>
      <w:pPr>
        <w:pStyle w:val="BodyText"/>
        <w:rPr>
          <w:sz w:val="22"/>
        </w:rPr>
      </w:pPr>
    </w:p>
    <w:p>
      <w:pPr>
        <w:spacing w:line="237" w:lineRule="auto" w:before="0"/>
        <w:ind w:left="218" w:right="216" w:firstLine="0"/>
        <w:jc w:val="both"/>
        <w:rPr>
          <w:sz w:val="22"/>
        </w:rPr>
      </w:pPr>
      <w:r>
        <w:rPr>
          <w:sz w:val="22"/>
        </w:rPr>
        <w:t>The bioaccumulation factor in leaves (BCF</w:t>
      </w:r>
      <w:r>
        <w:rPr>
          <w:position w:val="-2"/>
          <w:sz w:val="14"/>
        </w:rPr>
        <w:t>A</w:t>
      </w:r>
      <w:r>
        <w:rPr>
          <w:sz w:val="22"/>
        </w:rPr>
        <w:t>) of </w:t>
      </w:r>
      <w:r>
        <w:rPr>
          <w:i/>
          <w:sz w:val="22"/>
        </w:rPr>
        <w:t>Typha latifolia L</w:t>
      </w:r>
      <w:r>
        <w:rPr>
          <w:sz w:val="22"/>
        </w:rPr>
        <w:t>., presented high accumulation of Pb despite being cataloged of low mobility and accumulation in root [61,69]. The tendency of observed bioaccumulation was: Pb &gt; Cu&gt; Cd &gt; Zn, very similar to that reported by Lyubenova [70].</w:t>
      </w:r>
    </w:p>
    <w:p>
      <w:pPr>
        <w:pStyle w:val="BodyText"/>
        <w:spacing w:before="10"/>
        <w:rPr>
          <w:sz w:val="21"/>
        </w:rPr>
      </w:pPr>
    </w:p>
    <w:p>
      <w:pPr>
        <w:spacing w:before="0"/>
        <w:ind w:left="218" w:right="212" w:firstLine="0"/>
        <w:jc w:val="both"/>
        <w:rPr>
          <w:sz w:val="22"/>
        </w:rPr>
      </w:pPr>
      <w:r>
        <w:rPr>
          <w:sz w:val="22"/>
        </w:rPr>
        <w:t>The bioaccumulation of the metals in the roots was greater than those observed in the aerial parts, except for Pb (</w:t>
      </w:r>
      <w:r>
        <w:rPr>
          <w:b/>
          <w:sz w:val="22"/>
        </w:rPr>
        <w:t>Figure 8</w:t>
      </w:r>
      <w:r>
        <w:rPr>
          <w:sz w:val="22"/>
        </w:rPr>
        <w:t>), as follows: Pb &gt; Cu &gt; Cd &gt; Zn, behavior probably due to a passive adsorption process And metal accumulation in the rhizosphere, as reported by Chandra &amp; Yadav, [71] and Hazra [72].</w:t>
      </w:r>
    </w:p>
    <w:p>
      <w:pPr>
        <w:spacing w:after="0"/>
        <w:jc w:val="both"/>
        <w:rPr>
          <w:sz w:val="22"/>
        </w:rPr>
        <w:sectPr>
          <w:pgSz w:w="12240" w:h="15840"/>
          <w:pgMar w:header="0" w:footer="1480" w:top="1360" w:bottom="1680" w:left="1200" w:right="1200"/>
        </w:sectPr>
      </w:pPr>
    </w:p>
    <w:p>
      <w:pPr>
        <w:tabs>
          <w:tab w:pos="4966" w:val="left" w:leader="none"/>
        </w:tabs>
        <w:spacing w:line="240" w:lineRule="auto"/>
        <w:ind w:left="483" w:right="0" w:firstLine="0"/>
        <w:rPr>
          <w:sz w:val="20"/>
        </w:rPr>
      </w:pPr>
      <w:r>
        <w:rPr>
          <w:sz w:val="20"/>
        </w:rPr>
        <w:drawing>
          <wp:inline distT="0" distB="0" distL="0" distR="0">
            <wp:extent cx="2651452" cy="1795462"/>
            <wp:effectExtent l="0" t="0" r="0" b="0"/>
            <wp:docPr id="75" name="image41.png" descr=""/>
            <wp:cNvGraphicFramePr>
              <a:graphicFrameLocks noChangeAspect="1"/>
            </wp:cNvGraphicFramePr>
            <a:graphic>
              <a:graphicData uri="http://schemas.openxmlformats.org/drawingml/2006/picture">
                <pic:pic>
                  <pic:nvPicPr>
                    <pic:cNvPr id="76" name="image41.png"/>
                    <pic:cNvPicPr/>
                  </pic:nvPicPr>
                  <pic:blipFill>
                    <a:blip r:embed="rId59" cstate="print"/>
                    <a:stretch>
                      <a:fillRect/>
                    </a:stretch>
                  </pic:blipFill>
                  <pic:spPr>
                    <a:xfrm>
                      <a:off x="0" y="0"/>
                      <a:ext cx="2651452" cy="1795462"/>
                    </a:xfrm>
                    <a:prstGeom prst="rect">
                      <a:avLst/>
                    </a:prstGeom>
                  </pic:spPr>
                </pic:pic>
              </a:graphicData>
            </a:graphic>
          </wp:inline>
        </w:drawing>
      </w:r>
      <w:r>
        <w:rPr>
          <w:sz w:val="20"/>
        </w:rPr>
      </w:r>
      <w:r>
        <w:rPr>
          <w:sz w:val="20"/>
        </w:rPr>
        <w:tab/>
      </w:r>
      <w:r>
        <w:rPr>
          <w:position w:val="10"/>
          <w:sz w:val="20"/>
        </w:rPr>
        <w:drawing>
          <wp:inline distT="0" distB="0" distL="0" distR="0">
            <wp:extent cx="2680622" cy="1733550"/>
            <wp:effectExtent l="0" t="0" r="0" b="0"/>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60" cstate="print"/>
                    <a:stretch>
                      <a:fillRect/>
                    </a:stretch>
                  </pic:blipFill>
                  <pic:spPr>
                    <a:xfrm>
                      <a:off x="0" y="0"/>
                      <a:ext cx="2680622" cy="1733550"/>
                    </a:xfrm>
                    <a:prstGeom prst="rect">
                      <a:avLst/>
                    </a:prstGeom>
                  </pic:spPr>
                </pic:pic>
              </a:graphicData>
            </a:graphic>
          </wp:inline>
        </w:drawing>
      </w:r>
      <w:r>
        <w:rPr>
          <w:position w:val="10"/>
          <w:sz w:val="20"/>
        </w:rPr>
      </w:r>
    </w:p>
    <w:p>
      <w:pPr>
        <w:pStyle w:val="BodyText"/>
        <w:spacing w:before="1"/>
        <w:rPr>
          <w:sz w:val="18"/>
        </w:rPr>
      </w:pPr>
      <w:r>
        <w:rPr/>
        <w:drawing>
          <wp:anchor distT="0" distB="0" distL="0" distR="0" allowOverlap="1" layoutInCell="1" locked="0" behindDoc="0" simplePos="0" relativeHeight="2056">
            <wp:simplePos x="0" y="0"/>
            <wp:positionH relativeFrom="page">
              <wp:posOffset>1126489</wp:posOffset>
            </wp:positionH>
            <wp:positionV relativeFrom="paragraph">
              <wp:posOffset>157353</wp:posOffset>
            </wp:positionV>
            <wp:extent cx="2670211" cy="1766506"/>
            <wp:effectExtent l="0" t="0" r="0" b="0"/>
            <wp:wrapTopAndBottom/>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61" cstate="print"/>
                    <a:stretch>
                      <a:fillRect/>
                    </a:stretch>
                  </pic:blipFill>
                  <pic:spPr>
                    <a:xfrm>
                      <a:off x="0" y="0"/>
                      <a:ext cx="2670211" cy="1766506"/>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3996054</wp:posOffset>
            </wp:positionH>
            <wp:positionV relativeFrom="paragraph">
              <wp:posOffset>157353</wp:posOffset>
            </wp:positionV>
            <wp:extent cx="2634934" cy="1635823"/>
            <wp:effectExtent l="0" t="0" r="0" b="0"/>
            <wp:wrapTopAndBottom/>
            <wp:docPr id="81" name="image44.png" descr=""/>
            <wp:cNvGraphicFramePr>
              <a:graphicFrameLocks noChangeAspect="1"/>
            </wp:cNvGraphicFramePr>
            <a:graphic>
              <a:graphicData uri="http://schemas.openxmlformats.org/drawingml/2006/picture">
                <pic:pic>
                  <pic:nvPicPr>
                    <pic:cNvPr id="82" name="image44.png"/>
                    <pic:cNvPicPr/>
                  </pic:nvPicPr>
                  <pic:blipFill>
                    <a:blip r:embed="rId62" cstate="print"/>
                    <a:stretch>
                      <a:fillRect/>
                    </a:stretch>
                  </pic:blipFill>
                  <pic:spPr>
                    <a:xfrm>
                      <a:off x="0" y="0"/>
                      <a:ext cx="2634934" cy="1635823"/>
                    </a:xfrm>
                    <a:prstGeom prst="rect">
                      <a:avLst/>
                    </a:prstGeom>
                  </pic:spPr>
                </pic:pic>
              </a:graphicData>
            </a:graphic>
          </wp:anchor>
        </w:drawing>
      </w:r>
    </w:p>
    <w:p>
      <w:pPr>
        <w:pStyle w:val="BodyText"/>
        <w:spacing w:before="8"/>
        <w:rPr>
          <w:sz w:val="11"/>
        </w:rPr>
      </w:pPr>
    </w:p>
    <w:p>
      <w:pPr>
        <w:spacing w:line="278" w:lineRule="auto" w:before="74"/>
        <w:ind w:left="440" w:right="462" w:firstLine="0"/>
        <w:jc w:val="left"/>
        <w:rPr>
          <w:sz w:val="20"/>
        </w:rPr>
      </w:pPr>
      <w:r>
        <w:rPr>
          <w:b/>
          <w:sz w:val="20"/>
        </w:rPr>
        <w:t>Figure 8. </w:t>
      </w:r>
      <w:r>
        <w:rPr>
          <w:sz w:val="20"/>
        </w:rPr>
        <w:t>Bioaccumulation factor of Cu, Zn, Pb and Cd in leaf and root of </w:t>
      </w:r>
      <w:r>
        <w:rPr>
          <w:i/>
          <w:sz w:val="20"/>
        </w:rPr>
        <w:t>Typha latifolia L., </w:t>
      </w:r>
      <w:r>
        <w:rPr>
          <w:sz w:val="20"/>
        </w:rPr>
        <w:t>during  7 days of</w:t>
      </w:r>
      <w:r>
        <w:rPr>
          <w:spacing w:val="-5"/>
          <w:sz w:val="20"/>
        </w:rPr>
        <w:t> </w:t>
      </w:r>
      <w:r>
        <w:rPr>
          <w:sz w:val="20"/>
        </w:rPr>
        <w:t>treatment</w:t>
      </w:r>
    </w:p>
    <w:p>
      <w:pPr>
        <w:pStyle w:val="BodyText"/>
        <w:rPr>
          <w:sz w:val="20"/>
        </w:rPr>
      </w:pPr>
    </w:p>
    <w:p>
      <w:pPr>
        <w:pStyle w:val="BodyText"/>
        <w:rPr>
          <w:sz w:val="20"/>
        </w:rPr>
      </w:pPr>
    </w:p>
    <w:p>
      <w:pPr>
        <w:pStyle w:val="BodyText"/>
        <w:spacing w:before="10"/>
        <w:rPr>
          <w:sz w:val="20"/>
        </w:rPr>
      </w:pPr>
    </w:p>
    <w:p>
      <w:pPr>
        <w:pStyle w:val="Heading3"/>
        <w:ind w:left="546" w:firstLine="0"/>
      </w:pPr>
      <w:r>
        <w:rPr/>
        <w:t>3.3</w:t>
      </w:r>
      <w:r>
        <w:rPr>
          <w:spacing w:val="-54"/>
        </w:rPr>
        <w:t> </w:t>
      </w:r>
      <w:r>
        <w:rPr/>
        <w:t>Electrocoagulation-Phytoremediation coupled system</w:t>
      </w:r>
    </w:p>
    <w:p>
      <w:pPr>
        <w:pStyle w:val="BodyText"/>
        <w:spacing w:before="3"/>
        <w:rPr>
          <w:b/>
          <w:sz w:val="22"/>
        </w:rPr>
      </w:pPr>
    </w:p>
    <w:p>
      <w:pPr>
        <w:spacing w:line="240" w:lineRule="auto" w:before="0"/>
        <w:ind w:left="118" w:right="111" w:firstLine="0"/>
        <w:jc w:val="both"/>
        <w:rPr>
          <w:sz w:val="22"/>
        </w:rPr>
      </w:pPr>
      <w:r>
        <w:rPr>
          <w:sz w:val="22"/>
        </w:rPr>
        <w:t>The electrocoagulation process used in the treatment of simulated mineral water showed a good effectiveness in the removal of the metal mixture. Residual concentrations were treated by phytoremediation with </w:t>
      </w:r>
      <w:r>
        <w:rPr>
          <w:i/>
          <w:sz w:val="22"/>
        </w:rPr>
        <w:t>Typha latifolia L</w:t>
      </w:r>
      <w:r>
        <w:rPr>
          <w:sz w:val="22"/>
        </w:rPr>
        <w:t>., achieving on average an additional 2% removal (</w:t>
      </w:r>
      <w:r>
        <w:rPr>
          <w:b/>
          <w:sz w:val="22"/>
        </w:rPr>
        <w:t>Table 3</w:t>
      </w:r>
      <w:r>
        <w:rPr>
          <w:sz w:val="22"/>
        </w:rPr>
        <w:t>).</w:t>
      </w:r>
    </w:p>
    <w:p>
      <w:pPr>
        <w:pStyle w:val="BodyText"/>
        <w:spacing w:before="3"/>
      </w:pPr>
    </w:p>
    <w:tbl>
      <w:tblPr>
        <w:tblW w:w="0" w:type="auto"/>
        <w:jc w:val="left"/>
        <w:tblInd w:w="4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2028"/>
        <w:gridCol w:w="2022"/>
        <w:gridCol w:w="1970"/>
        <w:gridCol w:w="1910"/>
      </w:tblGrid>
      <w:tr>
        <w:trPr>
          <w:trHeight w:val="562" w:hRule="exact"/>
        </w:trPr>
        <w:tc>
          <w:tcPr>
            <w:tcW w:w="8663" w:type="dxa"/>
            <w:gridSpan w:val="5"/>
          </w:tcPr>
          <w:p>
            <w:pPr>
              <w:pStyle w:val="TableParagraph"/>
              <w:spacing w:line="204" w:lineRule="exact"/>
              <w:ind w:left="120"/>
              <w:rPr>
                <w:sz w:val="20"/>
              </w:rPr>
            </w:pPr>
            <w:r>
              <w:rPr>
                <w:b/>
                <w:sz w:val="20"/>
              </w:rPr>
              <w:t>Table   3.   </w:t>
            </w:r>
            <w:r>
              <w:rPr>
                <w:sz w:val="20"/>
              </w:rPr>
              <w:t>Efficiency  in  the  removal   of   the  heavy  metals   by  the  coupled  process      of</w:t>
            </w:r>
          </w:p>
          <w:p>
            <w:pPr>
              <w:pStyle w:val="TableParagraph"/>
              <w:ind w:left="120"/>
              <w:rPr>
                <w:sz w:val="20"/>
              </w:rPr>
            </w:pPr>
            <w:r>
              <w:rPr>
                <w:sz w:val="20"/>
              </w:rPr>
              <w:t>Electrocoagulation and Phytoremediation.</w:t>
            </w:r>
          </w:p>
        </w:tc>
      </w:tr>
      <w:tr>
        <w:trPr>
          <w:trHeight w:val="841" w:hRule="exact"/>
        </w:trPr>
        <w:tc>
          <w:tcPr>
            <w:tcW w:w="732" w:type="dxa"/>
            <w:tcBorders>
              <w:bottom w:val="single" w:sz="4" w:space="0" w:color="000000"/>
            </w:tcBorders>
          </w:tcPr>
          <w:p>
            <w:pPr>
              <w:pStyle w:val="TableParagraph"/>
              <w:spacing w:before="106"/>
              <w:ind w:left="101" w:right="101"/>
              <w:jc w:val="center"/>
              <w:rPr>
                <w:sz w:val="20"/>
              </w:rPr>
            </w:pPr>
            <w:r>
              <w:rPr>
                <w:sz w:val="20"/>
              </w:rPr>
              <w:t>Metal</w:t>
            </w:r>
          </w:p>
        </w:tc>
        <w:tc>
          <w:tcPr>
            <w:tcW w:w="2028" w:type="dxa"/>
            <w:tcBorders>
              <w:bottom w:val="single" w:sz="4" w:space="0" w:color="000000"/>
            </w:tcBorders>
          </w:tcPr>
          <w:p>
            <w:pPr>
              <w:pStyle w:val="TableParagraph"/>
              <w:spacing w:line="276" w:lineRule="auto" w:before="106"/>
              <w:ind w:left="726" w:right="164" w:hanging="605"/>
              <w:rPr>
                <w:sz w:val="20"/>
              </w:rPr>
            </w:pPr>
            <w:r>
              <w:rPr>
                <w:sz w:val="20"/>
              </w:rPr>
              <w:t>Initial concentration (mg/l)</w:t>
            </w:r>
          </w:p>
        </w:tc>
        <w:tc>
          <w:tcPr>
            <w:tcW w:w="2022" w:type="dxa"/>
            <w:tcBorders>
              <w:bottom w:val="single" w:sz="4" w:space="0" w:color="000000"/>
            </w:tcBorders>
          </w:tcPr>
          <w:p>
            <w:pPr>
              <w:pStyle w:val="TableParagraph"/>
              <w:spacing w:line="276" w:lineRule="auto" w:before="106"/>
              <w:ind w:left="186" w:firstLine="79"/>
              <w:rPr>
                <w:sz w:val="20"/>
              </w:rPr>
            </w:pPr>
            <w:r>
              <w:rPr>
                <w:sz w:val="20"/>
              </w:rPr>
              <w:t>% Removal with </w:t>
            </w:r>
            <w:r>
              <w:rPr>
                <w:w w:val="95"/>
                <w:sz w:val="20"/>
              </w:rPr>
              <w:t>Electrocoagulation</w:t>
            </w:r>
          </w:p>
        </w:tc>
        <w:tc>
          <w:tcPr>
            <w:tcW w:w="1970" w:type="dxa"/>
            <w:tcBorders>
              <w:bottom w:val="single" w:sz="4" w:space="0" w:color="000000"/>
            </w:tcBorders>
          </w:tcPr>
          <w:p>
            <w:pPr>
              <w:pStyle w:val="TableParagraph"/>
              <w:spacing w:line="276" w:lineRule="auto" w:before="106"/>
              <w:ind w:left="192" w:firstLine="62"/>
              <w:rPr>
                <w:sz w:val="20"/>
              </w:rPr>
            </w:pPr>
            <w:r>
              <w:rPr>
                <w:sz w:val="20"/>
              </w:rPr>
              <w:t>% Removal with </w:t>
            </w:r>
            <w:r>
              <w:rPr>
                <w:w w:val="95"/>
                <w:sz w:val="20"/>
              </w:rPr>
              <w:t>Phytoremediation</w:t>
            </w:r>
          </w:p>
        </w:tc>
        <w:tc>
          <w:tcPr>
            <w:tcW w:w="1910" w:type="dxa"/>
            <w:tcBorders>
              <w:bottom w:val="single" w:sz="4" w:space="0" w:color="000000"/>
            </w:tcBorders>
          </w:tcPr>
          <w:p>
            <w:pPr>
              <w:pStyle w:val="TableParagraph"/>
              <w:spacing w:line="276" w:lineRule="auto" w:before="106"/>
              <w:ind w:left="222" w:right="278" w:firstLine="72"/>
              <w:rPr>
                <w:sz w:val="20"/>
              </w:rPr>
            </w:pPr>
            <w:r>
              <w:rPr>
                <w:sz w:val="20"/>
              </w:rPr>
              <w:t>% Removal of coupled system</w:t>
            </w:r>
          </w:p>
        </w:tc>
      </w:tr>
      <w:tr>
        <w:trPr>
          <w:trHeight w:val="262" w:hRule="exact"/>
        </w:trPr>
        <w:tc>
          <w:tcPr>
            <w:tcW w:w="732" w:type="dxa"/>
            <w:tcBorders>
              <w:top w:val="single" w:sz="4" w:space="0" w:color="000000"/>
            </w:tcBorders>
          </w:tcPr>
          <w:p>
            <w:pPr>
              <w:pStyle w:val="TableParagraph"/>
              <w:spacing w:line="230" w:lineRule="exact"/>
              <w:ind w:left="101" w:right="101"/>
              <w:jc w:val="center"/>
              <w:rPr>
                <w:sz w:val="20"/>
              </w:rPr>
            </w:pPr>
            <w:r>
              <w:rPr>
                <w:sz w:val="20"/>
              </w:rPr>
              <w:t>Cu</w:t>
            </w:r>
          </w:p>
        </w:tc>
        <w:tc>
          <w:tcPr>
            <w:tcW w:w="2028" w:type="dxa"/>
            <w:tcBorders>
              <w:top w:val="single" w:sz="4" w:space="0" w:color="000000"/>
            </w:tcBorders>
          </w:tcPr>
          <w:p>
            <w:pPr>
              <w:pStyle w:val="TableParagraph"/>
              <w:spacing w:line="230" w:lineRule="exact"/>
              <w:ind w:left="815" w:right="164"/>
              <w:rPr>
                <w:sz w:val="20"/>
              </w:rPr>
            </w:pPr>
            <w:r>
              <w:rPr>
                <w:sz w:val="20"/>
              </w:rPr>
              <w:t>119</w:t>
            </w:r>
          </w:p>
        </w:tc>
        <w:tc>
          <w:tcPr>
            <w:tcW w:w="2022" w:type="dxa"/>
            <w:tcBorders>
              <w:top w:val="single" w:sz="4" w:space="0" w:color="000000"/>
            </w:tcBorders>
          </w:tcPr>
          <w:p>
            <w:pPr>
              <w:pStyle w:val="TableParagraph"/>
              <w:spacing w:line="230" w:lineRule="exact"/>
              <w:ind w:left="815"/>
              <w:rPr>
                <w:sz w:val="20"/>
              </w:rPr>
            </w:pPr>
            <w:r>
              <w:rPr>
                <w:sz w:val="20"/>
              </w:rPr>
              <w:t>98.3</w:t>
            </w:r>
          </w:p>
        </w:tc>
        <w:tc>
          <w:tcPr>
            <w:tcW w:w="1970" w:type="dxa"/>
            <w:tcBorders>
              <w:top w:val="single" w:sz="4" w:space="0" w:color="000000"/>
            </w:tcBorders>
          </w:tcPr>
          <w:p>
            <w:pPr>
              <w:pStyle w:val="TableParagraph"/>
              <w:spacing w:line="230" w:lineRule="exact"/>
              <w:ind w:left="860"/>
              <w:rPr>
                <w:sz w:val="20"/>
              </w:rPr>
            </w:pPr>
            <w:r>
              <w:rPr>
                <w:sz w:val="20"/>
              </w:rPr>
              <w:t>20</w:t>
            </w:r>
          </w:p>
        </w:tc>
        <w:tc>
          <w:tcPr>
            <w:tcW w:w="1910" w:type="dxa"/>
            <w:tcBorders>
              <w:top w:val="single" w:sz="4" w:space="0" w:color="000000"/>
            </w:tcBorders>
          </w:tcPr>
          <w:p>
            <w:pPr>
              <w:pStyle w:val="TableParagraph"/>
              <w:spacing w:line="230" w:lineRule="exact"/>
              <w:ind w:left="411" w:right="488"/>
              <w:jc w:val="center"/>
              <w:rPr>
                <w:sz w:val="20"/>
              </w:rPr>
            </w:pPr>
            <w:r>
              <w:rPr>
                <w:sz w:val="20"/>
              </w:rPr>
              <w:t>99.2</w:t>
            </w:r>
          </w:p>
        </w:tc>
      </w:tr>
      <w:tr>
        <w:trPr>
          <w:trHeight w:val="264" w:hRule="exact"/>
        </w:trPr>
        <w:tc>
          <w:tcPr>
            <w:tcW w:w="732" w:type="dxa"/>
          </w:tcPr>
          <w:p>
            <w:pPr>
              <w:pStyle w:val="TableParagraph"/>
              <w:spacing w:before="6"/>
              <w:ind w:left="101" w:right="101"/>
              <w:jc w:val="center"/>
              <w:rPr>
                <w:sz w:val="20"/>
              </w:rPr>
            </w:pPr>
            <w:r>
              <w:rPr>
                <w:sz w:val="20"/>
              </w:rPr>
              <w:t>Cd</w:t>
            </w:r>
          </w:p>
        </w:tc>
        <w:tc>
          <w:tcPr>
            <w:tcW w:w="2028" w:type="dxa"/>
          </w:tcPr>
          <w:p>
            <w:pPr>
              <w:pStyle w:val="TableParagraph"/>
              <w:spacing w:before="6"/>
              <w:ind w:left="870" w:right="164"/>
              <w:rPr>
                <w:sz w:val="20"/>
              </w:rPr>
            </w:pPr>
            <w:r>
              <w:rPr>
                <w:sz w:val="20"/>
              </w:rPr>
              <w:t>75</w:t>
            </w:r>
          </w:p>
        </w:tc>
        <w:tc>
          <w:tcPr>
            <w:tcW w:w="2022" w:type="dxa"/>
          </w:tcPr>
          <w:p>
            <w:pPr>
              <w:pStyle w:val="TableParagraph"/>
              <w:spacing w:before="6"/>
              <w:ind w:left="815"/>
              <w:rPr>
                <w:sz w:val="20"/>
              </w:rPr>
            </w:pPr>
            <w:r>
              <w:rPr>
                <w:sz w:val="20"/>
              </w:rPr>
              <w:t>78.7</w:t>
            </w:r>
          </w:p>
        </w:tc>
        <w:tc>
          <w:tcPr>
            <w:tcW w:w="1970" w:type="dxa"/>
          </w:tcPr>
          <w:p>
            <w:pPr>
              <w:pStyle w:val="TableParagraph"/>
              <w:spacing w:before="6"/>
              <w:ind w:left="860"/>
              <w:rPr>
                <w:sz w:val="20"/>
              </w:rPr>
            </w:pPr>
            <w:r>
              <w:rPr>
                <w:sz w:val="20"/>
              </w:rPr>
              <w:t>11</w:t>
            </w:r>
          </w:p>
        </w:tc>
        <w:tc>
          <w:tcPr>
            <w:tcW w:w="1910" w:type="dxa"/>
          </w:tcPr>
          <w:p>
            <w:pPr>
              <w:pStyle w:val="TableParagraph"/>
              <w:spacing w:before="6"/>
              <w:ind w:left="411" w:right="488"/>
              <w:jc w:val="center"/>
              <w:rPr>
                <w:sz w:val="20"/>
              </w:rPr>
            </w:pPr>
            <w:r>
              <w:rPr>
                <w:sz w:val="20"/>
              </w:rPr>
              <w:t>81.3</w:t>
            </w:r>
          </w:p>
        </w:tc>
      </w:tr>
      <w:tr>
        <w:trPr>
          <w:trHeight w:val="264" w:hRule="exact"/>
        </w:trPr>
        <w:tc>
          <w:tcPr>
            <w:tcW w:w="732" w:type="dxa"/>
          </w:tcPr>
          <w:p>
            <w:pPr>
              <w:pStyle w:val="TableParagraph"/>
              <w:spacing w:before="6"/>
              <w:ind w:left="101" w:right="101"/>
              <w:jc w:val="center"/>
              <w:rPr>
                <w:sz w:val="20"/>
              </w:rPr>
            </w:pPr>
            <w:r>
              <w:rPr>
                <w:sz w:val="20"/>
              </w:rPr>
              <w:t>Zn</w:t>
            </w:r>
          </w:p>
        </w:tc>
        <w:tc>
          <w:tcPr>
            <w:tcW w:w="2028" w:type="dxa"/>
          </w:tcPr>
          <w:p>
            <w:pPr>
              <w:pStyle w:val="TableParagraph"/>
              <w:spacing w:before="6"/>
              <w:ind w:left="815" w:right="164"/>
              <w:rPr>
                <w:sz w:val="20"/>
              </w:rPr>
            </w:pPr>
            <w:r>
              <w:rPr>
                <w:sz w:val="20"/>
              </w:rPr>
              <w:t>156</w:t>
            </w:r>
          </w:p>
        </w:tc>
        <w:tc>
          <w:tcPr>
            <w:tcW w:w="2022" w:type="dxa"/>
          </w:tcPr>
          <w:p>
            <w:pPr>
              <w:pStyle w:val="TableParagraph"/>
              <w:spacing w:before="6"/>
              <w:ind w:left="842"/>
              <w:rPr>
                <w:sz w:val="20"/>
              </w:rPr>
            </w:pPr>
            <w:r>
              <w:rPr>
                <w:sz w:val="20"/>
              </w:rPr>
              <w:t>100</w:t>
            </w:r>
          </w:p>
        </w:tc>
        <w:tc>
          <w:tcPr>
            <w:tcW w:w="1970" w:type="dxa"/>
          </w:tcPr>
          <w:p>
            <w:pPr>
              <w:pStyle w:val="TableParagraph"/>
              <w:spacing w:before="6"/>
              <w:ind w:left="905"/>
              <w:rPr>
                <w:sz w:val="20"/>
              </w:rPr>
            </w:pPr>
            <w:r>
              <w:rPr>
                <w:sz w:val="20"/>
              </w:rPr>
              <w:t>--</w:t>
            </w:r>
          </w:p>
        </w:tc>
        <w:tc>
          <w:tcPr>
            <w:tcW w:w="1910" w:type="dxa"/>
          </w:tcPr>
          <w:p>
            <w:pPr>
              <w:pStyle w:val="TableParagraph"/>
              <w:spacing w:before="6"/>
              <w:ind w:left="413" w:right="488"/>
              <w:jc w:val="center"/>
              <w:rPr>
                <w:sz w:val="20"/>
              </w:rPr>
            </w:pPr>
            <w:r>
              <w:rPr>
                <w:sz w:val="20"/>
              </w:rPr>
              <w:t>Desorption</w:t>
            </w:r>
          </w:p>
        </w:tc>
      </w:tr>
      <w:tr>
        <w:trPr>
          <w:trHeight w:val="443" w:hRule="exact"/>
        </w:trPr>
        <w:tc>
          <w:tcPr>
            <w:tcW w:w="732" w:type="dxa"/>
            <w:tcBorders>
              <w:bottom w:val="single" w:sz="4" w:space="0" w:color="000000"/>
            </w:tcBorders>
          </w:tcPr>
          <w:p>
            <w:pPr>
              <w:pStyle w:val="TableParagraph"/>
              <w:spacing w:before="6"/>
              <w:ind w:left="100" w:right="101"/>
              <w:jc w:val="center"/>
              <w:rPr>
                <w:sz w:val="20"/>
              </w:rPr>
            </w:pPr>
            <w:r>
              <w:rPr>
                <w:sz w:val="20"/>
              </w:rPr>
              <w:t>Pb</w:t>
            </w:r>
          </w:p>
        </w:tc>
        <w:tc>
          <w:tcPr>
            <w:tcW w:w="2028" w:type="dxa"/>
            <w:tcBorders>
              <w:bottom w:val="single" w:sz="4" w:space="0" w:color="000000"/>
            </w:tcBorders>
          </w:tcPr>
          <w:p>
            <w:pPr>
              <w:pStyle w:val="TableParagraph"/>
              <w:spacing w:before="8"/>
              <w:ind w:left="870" w:right="164"/>
              <w:rPr>
                <w:sz w:val="20"/>
              </w:rPr>
            </w:pPr>
            <w:r>
              <w:rPr>
                <w:sz w:val="20"/>
              </w:rPr>
              <w:t>16</w:t>
            </w:r>
          </w:p>
        </w:tc>
        <w:tc>
          <w:tcPr>
            <w:tcW w:w="2022" w:type="dxa"/>
            <w:tcBorders>
              <w:bottom w:val="single" w:sz="4" w:space="0" w:color="000000"/>
            </w:tcBorders>
          </w:tcPr>
          <w:p>
            <w:pPr>
              <w:pStyle w:val="TableParagraph"/>
              <w:spacing w:before="8"/>
              <w:ind w:left="815"/>
              <w:rPr>
                <w:sz w:val="20"/>
              </w:rPr>
            </w:pPr>
            <w:r>
              <w:rPr>
                <w:sz w:val="20"/>
              </w:rPr>
              <w:t>96.9</w:t>
            </w:r>
          </w:p>
        </w:tc>
        <w:tc>
          <w:tcPr>
            <w:tcW w:w="1970" w:type="dxa"/>
            <w:tcBorders>
              <w:bottom w:val="single" w:sz="4" w:space="0" w:color="000000"/>
            </w:tcBorders>
          </w:tcPr>
          <w:p>
            <w:pPr>
              <w:pStyle w:val="TableParagraph"/>
              <w:spacing w:before="8"/>
              <w:ind w:left="860"/>
              <w:rPr>
                <w:sz w:val="20"/>
              </w:rPr>
            </w:pPr>
            <w:r>
              <w:rPr>
                <w:sz w:val="20"/>
              </w:rPr>
              <w:t>43</w:t>
            </w:r>
          </w:p>
        </w:tc>
        <w:tc>
          <w:tcPr>
            <w:tcW w:w="1910" w:type="dxa"/>
            <w:tcBorders>
              <w:bottom w:val="single" w:sz="4" w:space="0" w:color="000000"/>
            </w:tcBorders>
          </w:tcPr>
          <w:p>
            <w:pPr>
              <w:pStyle w:val="TableParagraph"/>
              <w:spacing w:before="8"/>
              <w:ind w:left="411" w:right="488"/>
              <w:jc w:val="center"/>
              <w:rPr>
                <w:sz w:val="20"/>
              </w:rPr>
            </w:pPr>
            <w:r>
              <w:rPr>
                <w:sz w:val="20"/>
              </w:rPr>
              <w:t>99.4</w:t>
            </w:r>
          </w:p>
        </w:tc>
      </w:tr>
    </w:tbl>
    <w:p>
      <w:pPr>
        <w:spacing w:after="0"/>
        <w:jc w:val="center"/>
        <w:rPr>
          <w:sz w:val="20"/>
        </w:rPr>
        <w:sectPr>
          <w:pgSz w:w="12240" w:h="15840"/>
          <w:pgMar w:header="0" w:footer="1480" w:top="1420" w:bottom="1680" w:left="1300" w:right="1300"/>
        </w:sectPr>
      </w:pPr>
    </w:p>
    <w:p>
      <w:pPr>
        <w:pStyle w:val="BodyText"/>
        <w:spacing w:before="6"/>
        <w:rPr>
          <w:sz w:val="10"/>
        </w:rPr>
      </w:pPr>
    </w:p>
    <w:p>
      <w:pPr>
        <w:pStyle w:val="Heading3"/>
        <w:numPr>
          <w:ilvl w:val="2"/>
          <w:numId w:val="19"/>
        </w:numPr>
        <w:tabs>
          <w:tab w:pos="827" w:val="left" w:leader="none"/>
        </w:tabs>
        <w:spacing w:line="240" w:lineRule="auto" w:before="69" w:after="0"/>
        <w:ind w:left="826" w:right="0" w:hanging="280"/>
        <w:jc w:val="left"/>
      </w:pPr>
      <w:r>
        <w:rPr/>
        <w:t>CONCLUSIONS</w:t>
      </w:r>
    </w:p>
    <w:p>
      <w:pPr>
        <w:pStyle w:val="BodyText"/>
        <w:spacing w:before="5"/>
        <w:rPr>
          <w:b/>
          <w:sz w:val="22"/>
        </w:rPr>
      </w:pPr>
    </w:p>
    <w:p>
      <w:pPr>
        <w:spacing w:line="235" w:lineRule="auto" w:before="0"/>
        <w:ind w:left="118" w:right="111" w:firstLine="0"/>
        <w:jc w:val="both"/>
        <w:rPr>
          <w:sz w:val="22"/>
        </w:rPr>
      </w:pPr>
      <w:r>
        <w:rPr>
          <w:sz w:val="22"/>
        </w:rPr>
        <w:t>The probable mechanisms of elimination of the Cu, Cd, Pb and Zn mixture in a  solution simulated to the mine shafts are: 1) in the vicinity of the cathode by direct reduction as metal hydroxides formed by the electrolysis of the cathode and 2) co-precipitated with aluminum hydroxide. The rates of removal during 180 minutes of electrochemical treatment achieved a 100% effectiveness in Zn, 98.3% Cu, 96.4 Pb and 78.7 Cd at a pH of 5.27, with a calculated energy consumption of 26 Kwh/m</w:t>
      </w:r>
      <w:r>
        <w:rPr>
          <w:position w:val="10"/>
          <w:sz w:val="14"/>
        </w:rPr>
        <w:t>3</w:t>
      </w:r>
      <w:r>
        <w:rPr>
          <w:sz w:val="22"/>
        </w:rPr>
        <w:t>.</w:t>
      </w:r>
    </w:p>
    <w:p>
      <w:pPr>
        <w:pStyle w:val="BodyText"/>
        <w:spacing w:before="1"/>
        <w:rPr>
          <w:sz w:val="22"/>
        </w:rPr>
      </w:pPr>
    </w:p>
    <w:p>
      <w:pPr>
        <w:spacing w:before="0"/>
        <w:ind w:left="118" w:right="115" w:firstLine="0"/>
        <w:jc w:val="both"/>
        <w:rPr>
          <w:sz w:val="22"/>
        </w:rPr>
      </w:pPr>
      <w:r>
        <w:rPr>
          <w:sz w:val="22"/>
        </w:rPr>
        <w:t>The present study demonstrated that </w:t>
      </w:r>
      <w:r>
        <w:rPr>
          <w:i/>
          <w:sz w:val="22"/>
        </w:rPr>
        <w:t>Typha latifolia </w:t>
      </w:r>
      <w:r>
        <w:rPr>
          <w:sz w:val="22"/>
        </w:rPr>
        <w:t>is tolerant to residual concentrations of the electrocoagulated water metal mixture. The obtained BCF values indicate that the root of the macrophyte is appropriate for the phytostabilization and phytoaccumulation of the metals and that only the lead was translocated efficiently.</w:t>
      </w:r>
    </w:p>
    <w:p>
      <w:pPr>
        <w:pStyle w:val="BodyText"/>
        <w:spacing w:before="1"/>
        <w:rPr>
          <w:sz w:val="22"/>
        </w:rPr>
      </w:pPr>
    </w:p>
    <w:p>
      <w:pPr>
        <w:spacing w:before="0"/>
        <w:ind w:left="118" w:right="113" w:firstLine="0"/>
        <w:jc w:val="both"/>
        <w:rPr>
          <w:sz w:val="22"/>
        </w:rPr>
      </w:pPr>
      <w:r>
        <w:rPr>
          <w:sz w:val="22"/>
        </w:rPr>
        <w:t>The phytoremediation system increased the removal of the metal mixture. The combination of electrochemical and phytoremediation processes is feasible in the treatment of wastewater containing the metals tested in this study.</w:t>
      </w:r>
    </w:p>
    <w:p>
      <w:pPr>
        <w:pStyle w:val="BodyText"/>
        <w:rPr>
          <w:sz w:val="22"/>
        </w:rPr>
      </w:pPr>
    </w:p>
    <w:p>
      <w:pPr>
        <w:pStyle w:val="BodyText"/>
        <w:spacing w:before="9"/>
        <w:rPr>
          <w:sz w:val="21"/>
        </w:rPr>
      </w:pPr>
    </w:p>
    <w:p>
      <w:pPr>
        <w:pStyle w:val="Heading3"/>
        <w:ind w:left="118" w:firstLine="0"/>
        <w:jc w:val="both"/>
      </w:pPr>
      <w:r>
        <w:rPr/>
        <w:t>Acknowledgements</w:t>
      </w:r>
    </w:p>
    <w:p>
      <w:pPr>
        <w:pStyle w:val="BodyText"/>
        <w:spacing w:before="3"/>
        <w:rPr>
          <w:b/>
          <w:sz w:val="22"/>
        </w:rPr>
      </w:pPr>
    </w:p>
    <w:p>
      <w:pPr>
        <w:spacing w:before="0"/>
        <w:ind w:left="118" w:right="112" w:firstLine="0"/>
        <w:jc w:val="both"/>
        <w:rPr>
          <w:sz w:val="22"/>
        </w:rPr>
      </w:pPr>
      <w:r>
        <w:rPr>
          <w:sz w:val="22"/>
        </w:rPr>
        <w:t>The authors are also grateful to CONACyT, Laboratory of the Faculty Chemistry of the Universidad Autónoma del Estado de México and Center of Research in Sustainable Chemistry UAEM-UNAM for the materials and instrumentation used during the development of this study.</w:t>
      </w:r>
    </w:p>
    <w:p>
      <w:pPr>
        <w:pStyle w:val="BodyText"/>
        <w:spacing w:before="10"/>
        <w:rPr>
          <w:sz w:val="21"/>
        </w:rPr>
      </w:pPr>
    </w:p>
    <w:p>
      <w:pPr>
        <w:pStyle w:val="Heading3"/>
        <w:ind w:left="118" w:firstLine="0"/>
        <w:jc w:val="both"/>
      </w:pPr>
      <w:r>
        <w:rPr/>
        <w:t>References</w:t>
      </w:r>
    </w:p>
    <w:p>
      <w:pPr>
        <w:pStyle w:val="ListParagraph"/>
        <w:numPr>
          <w:ilvl w:val="0"/>
          <w:numId w:val="23"/>
        </w:numPr>
        <w:tabs>
          <w:tab w:pos="827" w:val="left" w:leader="none"/>
        </w:tabs>
        <w:spacing w:line="240" w:lineRule="auto" w:before="210" w:after="0"/>
        <w:ind w:left="838" w:right="4053" w:hanging="360"/>
        <w:jc w:val="left"/>
        <w:rPr>
          <w:sz w:val="18"/>
        </w:rPr>
      </w:pPr>
      <w:r>
        <w:rPr>
          <w:sz w:val="18"/>
        </w:rPr>
        <w:t>Secretaria de Economía. 2014. La Minería.</w:t>
      </w:r>
      <w:r>
        <w:rPr>
          <w:spacing w:val="-24"/>
          <w:sz w:val="18"/>
        </w:rPr>
        <w:t> </w:t>
      </w:r>
      <w:r>
        <w:rPr>
          <w:sz w:val="18"/>
        </w:rPr>
        <w:t>(9/Agosto/2014) </w:t>
      </w:r>
      <w:hyperlink r:id="rId63">
        <w:r>
          <w:rPr>
            <w:color w:val="0000FF"/>
            <w:sz w:val="18"/>
            <w:u w:val="single" w:color="0000FF"/>
          </w:rPr>
          <w:t>http://www.economia.gob.mx/comunidad-negocios/mineria</w:t>
        </w:r>
      </w:hyperlink>
    </w:p>
    <w:p>
      <w:pPr>
        <w:pStyle w:val="BodyText"/>
        <w:spacing w:before="2"/>
        <w:rPr>
          <w:sz w:val="11"/>
        </w:rPr>
      </w:pPr>
    </w:p>
    <w:p>
      <w:pPr>
        <w:pStyle w:val="ListParagraph"/>
        <w:numPr>
          <w:ilvl w:val="0"/>
          <w:numId w:val="23"/>
        </w:numPr>
        <w:tabs>
          <w:tab w:pos="827" w:val="left" w:leader="none"/>
          <w:tab w:pos="1901" w:val="left" w:leader="none"/>
          <w:tab w:pos="2879" w:val="left" w:leader="none"/>
          <w:tab w:pos="3510" w:val="left" w:leader="none"/>
          <w:tab w:pos="4560" w:val="left" w:leader="none"/>
          <w:tab w:pos="5445" w:val="left" w:leader="none"/>
          <w:tab w:pos="6486" w:val="left" w:leader="none"/>
          <w:tab w:pos="7356" w:val="left" w:leader="none"/>
          <w:tab w:pos="8236" w:val="left" w:leader="none"/>
        </w:tabs>
        <w:spacing w:line="240" w:lineRule="auto" w:before="77" w:after="0"/>
        <w:ind w:left="838" w:right="120" w:hanging="360"/>
        <w:jc w:val="left"/>
        <w:rPr>
          <w:sz w:val="18"/>
        </w:rPr>
      </w:pPr>
      <w:r>
        <w:rPr>
          <w:sz w:val="18"/>
        </w:rPr>
        <w:t>Cámara</w:t>
        <w:tab/>
        <w:t>Minera</w:t>
        <w:tab/>
        <w:t>de</w:t>
        <w:tab/>
        <w:t>México.</w:t>
        <w:tab/>
        <w:t>2013.</w:t>
        <w:tab/>
        <w:t>Informe</w:t>
        <w:tab/>
        <w:t>anual</w:t>
        <w:tab/>
        <w:t>2013.</w:t>
        <w:tab/>
      </w:r>
      <w:r>
        <w:rPr>
          <w:spacing w:val="-1"/>
          <w:sz w:val="18"/>
        </w:rPr>
        <w:t>(9/Agosto/2014) </w:t>
      </w:r>
      <w:hyperlink r:id="rId64">
        <w:r>
          <w:rPr>
            <w:color w:val="0000FF"/>
            <w:sz w:val="18"/>
            <w:u w:val="single" w:color="0000FF"/>
          </w:rPr>
          <w:t>http://www.camimex.org.mx/index.php/secciones1/publicaciones/informe-anual/informe-anual-2013/</w:t>
        </w:r>
      </w:hyperlink>
    </w:p>
    <w:p>
      <w:pPr>
        <w:pStyle w:val="BodyText"/>
        <w:spacing w:before="4"/>
        <w:rPr>
          <w:sz w:val="11"/>
        </w:rPr>
      </w:pPr>
    </w:p>
    <w:p>
      <w:pPr>
        <w:pStyle w:val="ListParagraph"/>
        <w:numPr>
          <w:ilvl w:val="0"/>
          <w:numId w:val="23"/>
        </w:numPr>
        <w:tabs>
          <w:tab w:pos="827" w:val="left" w:leader="none"/>
          <w:tab w:pos="2253" w:val="left" w:leader="none"/>
          <w:tab w:pos="3040" w:val="left" w:leader="none"/>
          <w:tab w:pos="4100" w:val="left" w:leader="none"/>
          <w:tab w:pos="5507" w:val="left" w:leader="none"/>
          <w:tab w:pos="6915" w:val="left" w:leader="none"/>
          <w:tab w:pos="7611" w:val="left" w:leader="none"/>
          <w:tab w:pos="8707" w:val="left" w:leader="none"/>
        </w:tabs>
        <w:spacing w:line="240" w:lineRule="auto" w:before="77" w:after="0"/>
        <w:ind w:left="838" w:right="120" w:hanging="360"/>
        <w:jc w:val="left"/>
        <w:rPr>
          <w:sz w:val="18"/>
        </w:rPr>
      </w:pPr>
      <w:r>
        <w:rPr>
          <w:sz w:val="18"/>
        </w:rPr>
        <w:t>Galdamez</w:t>
        <w:tab/>
        <w:t>D.</w:t>
        <w:tab/>
        <w:t>2000.</w:t>
        <w:tab/>
        <w:t>Ingeniería</w:t>
        <w:tab/>
        <w:t>Ambiental</w:t>
        <w:tab/>
        <w:t>y</w:t>
        <w:tab/>
        <w:t>Medio</w:t>
        <w:tab/>
        <w:t>Ambiente.</w:t>
      </w:r>
      <w:r>
        <w:rPr>
          <w:w w:val="100"/>
          <w:sz w:val="18"/>
        </w:rPr>
        <w:t> </w:t>
      </w:r>
      <w:r>
        <w:rPr>
          <w:sz w:val="18"/>
        </w:rPr>
        <w:t>htt:/</w:t>
      </w:r>
      <w:hyperlink r:id="rId65">
        <w:r>
          <w:rPr>
            <w:sz w:val="18"/>
          </w:rPr>
          <w:t>/www.f</w:t>
        </w:r>
      </w:hyperlink>
      <w:r>
        <w:rPr>
          <w:sz w:val="18"/>
        </w:rPr>
        <w:t>o</w:t>
      </w:r>
      <w:hyperlink r:id="rId65">
        <w:r>
          <w:rPr>
            <w:sz w:val="18"/>
          </w:rPr>
          <w:t>rtunecity.es/expertos/profesor/171/medioambiente.html.</w:t>
        </w:r>
      </w:hyperlink>
    </w:p>
    <w:p>
      <w:pPr>
        <w:pStyle w:val="BodyText"/>
        <w:spacing w:before="1"/>
        <w:rPr>
          <w:sz w:val="18"/>
        </w:rPr>
      </w:pPr>
    </w:p>
    <w:p>
      <w:pPr>
        <w:pStyle w:val="ListParagraph"/>
        <w:numPr>
          <w:ilvl w:val="0"/>
          <w:numId w:val="23"/>
        </w:numPr>
        <w:tabs>
          <w:tab w:pos="827" w:val="left" w:leader="none"/>
        </w:tabs>
        <w:spacing w:line="240" w:lineRule="auto" w:before="0" w:after="0"/>
        <w:ind w:left="838" w:right="112" w:hanging="360"/>
        <w:jc w:val="left"/>
        <w:rPr>
          <w:sz w:val="18"/>
        </w:rPr>
      </w:pPr>
      <w:r>
        <w:rPr>
          <w:sz w:val="18"/>
        </w:rPr>
        <w:t>Hazrat A., E. Khan y M. Anwar Sajad. Phytoremediation of heavy metals—Concepts and applications. Chemosphere 91 (2013)</w:t>
      </w:r>
      <w:r>
        <w:rPr>
          <w:spacing w:val="-9"/>
          <w:sz w:val="18"/>
        </w:rPr>
        <w:t> </w:t>
      </w:r>
      <w:r>
        <w:rPr>
          <w:sz w:val="18"/>
        </w:rPr>
        <w:t>869–881.</w:t>
      </w:r>
    </w:p>
    <w:p>
      <w:pPr>
        <w:pStyle w:val="BodyText"/>
        <w:spacing w:before="10"/>
        <w:rPr>
          <w:sz w:val="17"/>
        </w:rPr>
      </w:pPr>
    </w:p>
    <w:p>
      <w:pPr>
        <w:pStyle w:val="ListParagraph"/>
        <w:numPr>
          <w:ilvl w:val="0"/>
          <w:numId w:val="23"/>
        </w:numPr>
        <w:tabs>
          <w:tab w:pos="827" w:val="left" w:leader="none"/>
        </w:tabs>
        <w:spacing w:line="240" w:lineRule="auto" w:before="0" w:after="0"/>
        <w:ind w:left="838" w:right="120" w:hanging="360"/>
        <w:jc w:val="left"/>
        <w:rPr>
          <w:sz w:val="18"/>
        </w:rPr>
      </w:pPr>
      <w:r>
        <w:rPr>
          <w:sz w:val="18"/>
        </w:rPr>
        <w:t>Alvarado, N.X. y Domínguez, S.L. Remoción de metales pesados por métodos fisicoquímicos presentes en agua proveniente de  una industria minera. Revista Sistemas Ambientales, Vol. 5, No. 1, (2012) 27 –</w:t>
      </w:r>
      <w:r>
        <w:rPr>
          <w:spacing w:val="-35"/>
          <w:sz w:val="18"/>
        </w:rPr>
        <w:t> </w:t>
      </w:r>
      <w:r>
        <w:rPr>
          <w:sz w:val="18"/>
        </w:rPr>
        <w:t>40.</w:t>
      </w:r>
    </w:p>
    <w:p>
      <w:pPr>
        <w:pStyle w:val="BodyText"/>
        <w:spacing w:before="10"/>
        <w:rPr>
          <w:sz w:val="17"/>
        </w:rPr>
      </w:pPr>
    </w:p>
    <w:p>
      <w:pPr>
        <w:pStyle w:val="ListParagraph"/>
        <w:numPr>
          <w:ilvl w:val="0"/>
          <w:numId w:val="23"/>
        </w:numPr>
        <w:tabs>
          <w:tab w:pos="827" w:val="left" w:leader="none"/>
        </w:tabs>
        <w:spacing w:line="240" w:lineRule="auto" w:before="1" w:after="0"/>
        <w:ind w:left="838" w:right="121" w:hanging="360"/>
        <w:jc w:val="left"/>
        <w:rPr>
          <w:sz w:val="18"/>
        </w:rPr>
      </w:pPr>
      <w:r>
        <w:rPr>
          <w:sz w:val="18"/>
        </w:rPr>
        <w:t>Tejada, C., Villabona, A., Garcés L. Adsorción de metales pesados en aguas residuales usando materiales de origen biológico. Tecno Lógicas, vol. 18, No. 34 (2014)</w:t>
      </w:r>
      <w:r>
        <w:rPr>
          <w:spacing w:val="-23"/>
          <w:sz w:val="18"/>
        </w:rPr>
        <w:t> </w:t>
      </w:r>
      <w:r>
        <w:rPr>
          <w:sz w:val="18"/>
        </w:rPr>
        <w:t>109-123.</w:t>
      </w:r>
    </w:p>
    <w:p>
      <w:pPr>
        <w:pStyle w:val="BodyText"/>
        <w:spacing w:before="10"/>
        <w:rPr>
          <w:sz w:val="17"/>
        </w:rPr>
      </w:pPr>
    </w:p>
    <w:p>
      <w:pPr>
        <w:pStyle w:val="ListParagraph"/>
        <w:numPr>
          <w:ilvl w:val="0"/>
          <w:numId w:val="23"/>
        </w:numPr>
        <w:tabs>
          <w:tab w:pos="827" w:val="left" w:leader="none"/>
        </w:tabs>
        <w:spacing w:line="240" w:lineRule="auto" w:before="0" w:after="0"/>
        <w:ind w:left="838" w:right="113" w:hanging="360"/>
        <w:jc w:val="left"/>
        <w:rPr>
          <w:sz w:val="18"/>
        </w:rPr>
      </w:pPr>
      <w:r>
        <w:rPr>
          <w:sz w:val="18"/>
        </w:rPr>
        <w:t>Erentürk, S. y Malkoç, E. Removal of lead(II) by adsorption onto </w:t>
      </w:r>
      <w:r>
        <w:rPr>
          <w:i/>
          <w:sz w:val="18"/>
        </w:rPr>
        <w:t>Viscum album </w:t>
      </w:r>
      <w:r>
        <w:rPr>
          <w:sz w:val="18"/>
        </w:rPr>
        <w:t>L.: Effect of temperature and equilibrium isotherm analyses. </w:t>
      </w:r>
      <w:r>
        <w:rPr>
          <w:i/>
          <w:sz w:val="18"/>
        </w:rPr>
        <w:t>Appl Surf Sci</w:t>
      </w:r>
      <w:r>
        <w:rPr>
          <w:sz w:val="18"/>
        </w:rPr>
        <w:t>, 253 (2007)</w:t>
      </w:r>
      <w:r>
        <w:rPr>
          <w:spacing w:val="-26"/>
          <w:sz w:val="18"/>
        </w:rPr>
        <w:t> </w:t>
      </w:r>
      <w:r>
        <w:rPr>
          <w:sz w:val="18"/>
        </w:rPr>
        <w:t>4727-4733.</w:t>
      </w:r>
    </w:p>
    <w:p>
      <w:pPr>
        <w:pStyle w:val="BodyText"/>
        <w:spacing w:before="9"/>
        <w:rPr>
          <w:sz w:val="18"/>
        </w:rPr>
      </w:pPr>
    </w:p>
    <w:p>
      <w:pPr>
        <w:pStyle w:val="ListParagraph"/>
        <w:numPr>
          <w:ilvl w:val="0"/>
          <w:numId w:val="23"/>
        </w:numPr>
        <w:tabs>
          <w:tab w:pos="827" w:val="left" w:leader="none"/>
        </w:tabs>
        <w:spacing w:line="204" w:lineRule="exact" w:before="0" w:after="0"/>
        <w:ind w:left="838" w:right="123" w:hanging="360"/>
        <w:jc w:val="left"/>
        <w:rPr>
          <w:sz w:val="18"/>
        </w:rPr>
      </w:pPr>
      <w:r>
        <w:rPr>
          <w:sz w:val="18"/>
        </w:rPr>
        <w:t>Gadd, G.M. Biosorption: critical review of scientific rationale, environmental importance and significance for pollution treatment </w:t>
      </w:r>
      <w:r>
        <w:rPr>
          <w:i/>
          <w:sz w:val="18"/>
        </w:rPr>
        <w:t>J Chem Technol Biot </w:t>
      </w:r>
      <w:r>
        <w:rPr>
          <w:sz w:val="18"/>
        </w:rPr>
        <w:t>84 (2009)</w:t>
      </w:r>
      <w:r>
        <w:rPr>
          <w:spacing w:val="-17"/>
          <w:sz w:val="18"/>
        </w:rPr>
        <w:t> </w:t>
      </w:r>
      <w:r>
        <w:rPr>
          <w:sz w:val="18"/>
        </w:rPr>
        <w:t>13-28.</w:t>
      </w:r>
    </w:p>
    <w:p>
      <w:pPr>
        <w:pStyle w:val="BodyText"/>
        <w:spacing w:before="10"/>
        <w:rPr>
          <w:sz w:val="17"/>
        </w:rPr>
      </w:pPr>
    </w:p>
    <w:p>
      <w:pPr>
        <w:pStyle w:val="ListParagraph"/>
        <w:numPr>
          <w:ilvl w:val="0"/>
          <w:numId w:val="23"/>
        </w:numPr>
        <w:tabs>
          <w:tab w:pos="827" w:val="left" w:leader="none"/>
        </w:tabs>
        <w:spacing w:line="240" w:lineRule="auto" w:before="0" w:after="0"/>
        <w:ind w:left="838" w:right="124" w:hanging="360"/>
        <w:jc w:val="left"/>
        <w:rPr>
          <w:sz w:val="18"/>
        </w:rPr>
      </w:pPr>
      <w:r>
        <w:rPr>
          <w:sz w:val="18"/>
        </w:rPr>
        <w:t>Cantera L.A. 2013. Automatización del proceso de tratamiento de agua pluvial por el método de electrocoagulación.</w:t>
      </w:r>
      <w:r>
        <w:rPr>
          <w:spacing w:val="-4"/>
          <w:sz w:val="18"/>
        </w:rPr>
        <w:t> </w:t>
      </w:r>
      <w:r>
        <w:rPr>
          <w:sz w:val="18"/>
        </w:rPr>
        <w:t>Tesis</w:t>
      </w:r>
      <w:r>
        <w:rPr>
          <w:spacing w:val="-3"/>
          <w:sz w:val="18"/>
        </w:rPr>
        <w:t> </w:t>
      </w:r>
      <w:r>
        <w:rPr>
          <w:sz w:val="18"/>
        </w:rPr>
        <w:t>de</w:t>
      </w:r>
      <w:r>
        <w:rPr>
          <w:spacing w:val="-6"/>
          <w:sz w:val="18"/>
        </w:rPr>
        <w:t> </w:t>
      </w:r>
      <w:r>
        <w:rPr>
          <w:sz w:val="18"/>
        </w:rPr>
        <w:t>Ingeniería.</w:t>
      </w:r>
      <w:r>
        <w:rPr>
          <w:spacing w:val="-6"/>
          <w:sz w:val="18"/>
        </w:rPr>
        <w:t> </w:t>
      </w:r>
      <w:r>
        <w:rPr>
          <w:sz w:val="18"/>
        </w:rPr>
        <w:t>Escuela</w:t>
      </w:r>
      <w:r>
        <w:rPr>
          <w:spacing w:val="-4"/>
          <w:sz w:val="18"/>
        </w:rPr>
        <w:t> </w:t>
      </w:r>
      <w:r>
        <w:rPr>
          <w:sz w:val="18"/>
        </w:rPr>
        <w:t>Superior</w:t>
      </w:r>
      <w:r>
        <w:rPr>
          <w:spacing w:val="-7"/>
          <w:sz w:val="18"/>
        </w:rPr>
        <w:t> </w:t>
      </w:r>
      <w:r>
        <w:rPr>
          <w:sz w:val="18"/>
        </w:rPr>
        <w:t>de</w:t>
      </w:r>
      <w:r>
        <w:rPr>
          <w:spacing w:val="-4"/>
          <w:sz w:val="18"/>
        </w:rPr>
        <w:t> </w:t>
      </w:r>
      <w:r>
        <w:rPr>
          <w:sz w:val="18"/>
        </w:rPr>
        <w:t>Ingeniería</w:t>
      </w:r>
      <w:r>
        <w:rPr>
          <w:spacing w:val="-4"/>
          <w:sz w:val="18"/>
        </w:rPr>
        <w:t> </w:t>
      </w:r>
      <w:r>
        <w:rPr>
          <w:sz w:val="18"/>
        </w:rPr>
        <w:t>Mecánica</w:t>
      </w:r>
      <w:r>
        <w:rPr>
          <w:spacing w:val="-4"/>
          <w:sz w:val="18"/>
        </w:rPr>
        <w:t> </w:t>
      </w:r>
      <w:r>
        <w:rPr>
          <w:sz w:val="18"/>
        </w:rPr>
        <w:t>y</w:t>
      </w:r>
      <w:r>
        <w:rPr>
          <w:spacing w:val="-5"/>
          <w:sz w:val="18"/>
        </w:rPr>
        <w:t> </w:t>
      </w:r>
      <w:r>
        <w:rPr>
          <w:sz w:val="18"/>
        </w:rPr>
        <w:t>eléctrica,</w:t>
      </w:r>
      <w:r>
        <w:rPr>
          <w:spacing w:val="-4"/>
          <w:sz w:val="18"/>
        </w:rPr>
        <w:t> </w:t>
      </w:r>
      <w:r>
        <w:rPr>
          <w:sz w:val="18"/>
        </w:rPr>
        <w:t>IPN.</w:t>
      </w:r>
    </w:p>
    <w:p>
      <w:pPr>
        <w:spacing w:after="0" w:line="240" w:lineRule="auto"/>
        <w:jc w:val="left"/>
        <w:rPr>
          <w:sz w:val="18"/>
        </w:rPr>
        <w:sectPr>
          <w:pgSz w:w="12240" w:h="15840"/>
          <w:pgMar w:header="0" w:footer="1480" w:top="1500" w:bottom="1680" w:left="1300" w:right="1300"/>
        </w:sectPr>
      </w:pPr>
    </w:p>
    <w:p>
      <w:pPr>
        <w:pStyle w:val="ListParagraph"/>
        <w:numPr>
          <w:ilvl w:val="0"/>
          <w:numId w:val="23"/>
        </w:numPr>
        <w:tabs>
          <w:tab w:pos="467" w:val="left" w:leader="none"/>
        </w:tabs>
        <w:spacing w:line="240" w:lineRule="auto" w:before="124" w:after="0"/>
        <w:ind w:left="478" w:right="109" w:hanging="360"/>
        <w:jc w:val="both"/>
        <w:rPr>
          <w:sz w:val="18"/>
        </w:rPr>
      </w:pPr>
      <w:r>
        <w:rPr>
          <w:sz w:val="18"/>
        </w:rPr>
        <w:t>Zaroual, Z., H. Chaair, A.H . Essadki, K. El Ass and Azzi, M. Optimizing the removal of trivalent chromium by electrocoagulation using experimental design, Chemical Engineering Journal, vol. 148, No. 2-3 (2009) 488- 495.</w:t>
      </w:r>
    </w:p>
    <w:p>
      <w:pPr>
        <w:pStyle w:val="BodyText"/>
        <w:spacing w:before="10"/>
        <w:rPr>
          <w:sz w:val="17"/>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Meas Y., J.A Ramirez, M.A. Villalon, and </w:t>
      </w:r>
      <w:r>
        <w:rPr>
          <w:spacing w:val="-3"/>
          <w:sz w:val="18"/>
        </w:rPr>
        <w:t>T.W </w:t>
      </w:r>
      <w:r>
        <w:rPr>
          <w:sz w:val="18"/>
        </w:rPr>
        <w:t>Chapman. Industrial wastewaters treated by  electrocoagulation, Electrochimica Acta, vol. 55, No. 27 (2010)</w:t>
      </w:r>
      <w:r>
        <w:rPr>
          <w:spacing w:val="-24"/>
          <w:sz w:val="18"/>
        </w:rPr>
        <w:t> </w:t>
      </w:r>
      <w:r>
        <w:rPr>
          <w:sz w:val="18"/>
        </w:rPr>
        <w:t>8165-8171.</w:t>
      </w:r>
    </w:p>
    <w:p>
      <w:pPr>
        <w:pStyle w:val="BodyText"/>
        <w:spacing w:before="1"/>
        <w:rPr>
          <w:sz w:val="18"/>
        </w:rPr>
      </w:pPr>
    </w:p>
    <w:p>
      <w:pPr>
        <w:pStyle w:val="ListParagraph"/>
        <w:numPr>
          <w:ilvl w:val="0"/>
          <w:numId w:val="23"/>
        </w:numPr>
        <w:tabs>
          <w:tab w:pos="467" w:val="left" w:leader="none"/>
        </w:tabs>
        <w:spacing w:line="240" w:lineRule="auto" w:before="0" w:after="0"/>
        <w:ind w:left="478" w:right="119" w:hanging="360"/>
        <w:jc w:val="both"/>
        <w:rPr>
          <w:sz w:val="18"/>
        </w:rPr>
      </w:pPr>
      <w:r>
        <w:rPr>
          <w:sz w:val="18"/>
        </w:rPr>
        <w:t>Holt P. K., G. </w:t>
      </w:r>
      <w:r>
        <w:rPr>
          <w:spacing w:val="2"/>
          <w:sz w:val="18"/>
        </w:rPr>
        <w:t>W. </w:t>
      </w:r>
      <w:r>
        <w:rPr>
          <w:sz w:val="18"/>
        </w:rPr>
        <w:t>Barton and C. A Mitchell. The future for electrocoagulation as a localized water treatment technology. Chemosphere Vol.59, No. 3 (2005);</w:t>
      </w:r>
      <w:r>
        <w:rPr>
          <w:spacing w:val="-19"/>
          <w:sz w:val="18"/>
        </w:rPr>
        <w:t> </w:t>
      </w:r>
      <w:r>
        <w:rPr>
          <w:sz w:val="18"/>
        </w:rPr>
        <w:t>p.355–367.</w:t>
      </w:r>
    </w:p>
    <w:p>
      <w:pPr>
        <w:pStyle w:val="BodyText"/>
        <w:spacing w:before="1"/>
        <w:rPr>
          <w:sz w:val="18"/>
        </w:rPr>
      </w:pPr>
    </w:p>
    <w:p>
      <w:pPr>
        <w:pStyle w:val="ListParagraph"/>
        <w:numPr>
          <w:ilvl w:val="0"/>
          <w:numId w:val="23"/>
        </w:numPr>
        <w:tabs>
          <w:tab w:pos="467" w:val="left" w:leader="none"/>
        </w:tabs>
        <w:spacing w:line="240" w:lineRule="auto" w:before="0" w:after="0"/>
        <w:ind w:left="478" w:right="121" w:hanging="360"/>
        <w:jc w:val="both"/>
        <w:rPr>
          <w:sz w:val="18"/>
        </w:rPr>
      </w:pPr>
      <w:r>
        <w:rPr>
          <w:sz w:val="18"/>
        </w:rPr>
        <w:t>Martínez V.J. 2010. Remoción de As, F, Cr, Pb y Cd del agua subterránea por el proceso de electrocoagulación. Tesis Maestría,</w:t>
      </w:r>
      <w:r>
        <w:rPr>
          <w:spacing w:val="-18"/>
          <w:sz w:val="18"/>
        </w:rPr>
        <w:t> </w:t>
      </w:r>
      <w:r>
        <w:rPr>
          <w:sz w:val="18"/>
        </w:rPr>
        <w:t>CINVESTAV.</w:t>
      </w:r>
    </w:p>
    <w:p>
      <w:pPr>
        <w:pStyle w:val="BodyText"/>
        <w:spacing w:before="10"/>
        <w:rPr>
          <w:sz w:val="17"/>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Jiménez E. y E. Rangel. 2011. Remoción de metales pesados en una muestra modelo mediante un proceso electroquímico. Tesis de Ingeniería Química, Facultad de Ciencias Químicas, Universidad de Veracruz.México.</w:t>
      </w:r>
    </w:p>
    <w:p>
      <w:pPr>
        <w:pStyle w:val="BodyText"/>
        <w:spacing w:before="10"/>
        <w:rPr>
          <w:sz w:val="17"/>
        </w:rPr>
      </w:pPr>
    </w:p>
    <w:p>
      <w:pPr>
        <w:pStyle w:val="ListParagraph"/>
        <w:numPr>
          <w:ilvl w:val="0"/>
          <w:numId w:val="23"/>
        </w:numPr>
        <w:tabs>
          <w:tab w:pos="467" w:val="left" w:leader="none"/>
        </w:tabs>
        <w:spacing w:line="240" w:lineRule="auto" w:before="1" w:after="0"/>
        <w:ind w:left="478" w:right="124" w:hanging="360"/>
        <w:jc w:val="both"/>
        <w:rPr>
          <w:sz w:val="18"/>
        </w:rPr>
      </w:pPr>
      <w:r>
        <w:rPr>
          <w:sz w:val="18"/>
        </w:rPr>
        <w:t>Mercado, D.I., G. González, H. Valencia. 2013. Remoción de Níquel y DQO presente en aguas residuales  de la industria automotriz mediante electrocoagulación. Revista EIA.</w:t>
      </w:r>
      <w:r>
        <w:rPr>
          <w:spacing w:val="-30"/>
          <w:sz w:val="18"/>
        </w:rPr>
        <w:t> </w:t>
      </w:r>
      <w:r>
        <w:rPr>
          <w:sz w:val="18"/>
        </w:rPr>
        <w:t>Colombia.</w:t>
      </w:r>
    </w:p>
    <w:p>
      <w:pPr>
        <w:pStyle w:val="BodyText"/>
        <w:spacing w:before="6"/>
        <w:rPr>
          <w:sz w:val="18"/>
        </w:rPr>
      </w:pPr>
    </w:p>
    <w:p>
      <w:pPr>
        <w:pStyle w:val="ListParagraph"/>
        <w:numPr>
          <w:ilvl w:val="0"/>
          <w:numId w:val="23"/>
        </w:numPr>
        <w:tabs>
          <w:tab w:pos="467" w:val="left" w:leader="none"/>
        </w:tabs>
        <w:spacing w:line="204" w:lineRule="exact" w:before="1" w:after="0"/>
        <w:ind w:left="478" w:right="116" w:hanging="360"/>
        <w:jc w:val="both"/>
        <w:rPr>
          <w:sz w:val="18"/>
        </w:rPr>
      </w:pPr>
      <w:r>
        <w:rPr>
          <w:sz w:val="18"/>
        </w:rPr>
        <w:t>Cañizares, P., M. Carmona, J. Lobato, F. Martínez, M. A. Rodrigo. Electrodissolution of Aluminum Electrodes in Electrocoagulation Processes. </w:t>
      </w:r>
      <w:r>
        <w:rPr>
          <w:i/>
          <w:sz w:val="18"/>
        </w:rPr>
        <w:t>Ind. Eng. Chem. Res. </w:t>
      </w:r>
      <w:r>
        <w:rPr>
          <w:sz w:val="18"/>
        </w:rPr>
        <w:t>(2005)</w:t>
      </w:r>
      <w:r>
        <w:rPr>
          <w:spacing w:val="-21"/>
          <w:sz w:val="18"/>
        </w:rPr>
        <w:t> </w:t>
      </w:r>
      <w:r>
        <w:rPr>
          <w:sz w:val="18"/>
        </w:rPr>
        <w:t>4178-4185.</w:t>
      </w:r>
    </w:p>
    <w:p>
      <w:pPr>
        <w:pStyle w:val="BodyText"/>
        <w:spacing w:before="9"/>
        <w:rPr>
          <w:sz w:val="20"/>
        </w:rPr>
      </w:pPr>
    </w:p>
    <w:p>
      <w:pPr>
        <w:pStyle w:val="ListParagraph"/>
        <w:numPr>
          <w:ilvl w:val="0"/>
          <w:numId w:val="23"/>
        </w:numPr>
        <w:tabs>
          <w:tab w:pos="467" w:val="left" w:leader="none"/>
        </w:tabs>
        <w:spacing w:line="240" w:lineRule="auto" w:before="0" w:after="0"/>
        <w:ind w:left="478" w:right="113" w:hanging="360"/>
        <w:jc w:val="both"/>
        <w:rPr>
          <w:sz w:val="18"/>
        </w:rPr>
      </w:pPr>
      <w:r>
        <w:rPr>
          <w:sz w:val="18"/>
        </w:rPr>
        <w:t>Hossein, S.Naseri, A. Mesdaghinia, E. Bazrafshan. Performance evaluation of electrocoagulation process for removal ofchromium (vi) from synthetic chromium solutions using iron and aluminum electrodes. Turkish J. Eng. Env. Sci. 32 (2008), 59 –</w:t>
      </w:r>
      <w:r>
        <w:rPr>
          <w:spacing w:val="-10"/>
          <w:sz w:val="18"/>
        </w:rPr>
        <w:t> </w:t>
      </w:r>
      <w:r>
        <w:rPr>
          <w:sz w:val="18"/>
        </w:rPr>
        <w:t>66.</w:t>
      </w:r>
    </w:p>
    <w:p>
      <w:pPr>
        <w:pStyle w:val="BodyText"/>
        <w:rPr>
          <w:sz w:val="18"/>
        </w:rPr>
      </w:pPr>
    </w:p>
    <w:p>
      <w:pPr>
        <w:pStyle w:val="BodyText"/>
        <w:rPr>
          <w:sz w:val="18"/>
        </w:rPr>
      </w:pPr>
    </w:p>
    <w:p>
      <w:pPr>
        <w:pStyle w:val="ListParagraph"/>
        <w:numPr>
          <w:ilvl w:val="0"/>
          <w:numId w:val="23"/>
        </w:numPr>
        <w:tabs>
          <w:tab w:pos="467" w:val="left" w:leader="none"/>
        </w:tabs>
        <w:spacing w:line="240" w:lineRule="auto" w:before="0" w:after="0"/>
        <w:ind w:left="478" w:right="115" w:hanging="360"/>
        <w:jc w:val="both"/>
        <w:rPr>
          <w:sz w:val="18"/>
        </w:rPr>
      </w:pPr>
      <w:r>
        <w:rPr>
          <w:sz w:val="18"/>
        </w:rPr>
        <w:t>Al Aji B., Y. Yavuz, A. Savas_ Koparal. Electrocoagulation of heavy metals containing model wastewater using monopolar iron electrodes. Separation and Purification Technology 86 (2012)</w:t>
      </w:r>
      <w:r>
        <w:rPr>
          <w:spacing w:val="-32"/>
          <w:sz w:val="18"/>
        </w:rPr>
        <w:t> </w:t>
      </w:r>
      <w:r>
        <w:rPr>
          <w:sz w:val="18"/>
        </w:rPr>
        <w:t>248–254.</w:t>
      </w:r>
    </w:p>
    <w:p>
      <w:pPr>
        <w:pStyle w:val="BodyText"/>
        <w:spacing w:before="1"/>
        <w:rPr>
          <w:sz w:val="18"/>
        </w:rPr>
      </w:pPr>
    </w:p>
    <w:p>
      <w:pPr>
        <w:pStyle w:val="ListParagraph"/>
        <w:numPr>
          <w:ilvl w:val="0"/>
          <w:numId w:val="23"/>
        </w:numPr>
        <w:tabs>
          <w:tab w:pos="518" w:val="left" w:leader="none"/>
        </w:tabs>
        <w:spacing w:line="240" w:lineRule="auto" w:before="0" w:after="0"/>
        <w:ind w:left="478" w:right="114" w:hanging="360"/>
        <w:jc w:val="both"/>
        <w:rPr>
          <w:sz w:val="18"/>
        </w:rPr>
      </w:pPr>
      <w:r>
        <w:rPr>
          <w:sz w:val="18"/>
        </w:rPr>
        <w:t>Akyol, Abdurrahman. Treatment of paint manufacturing wastewater by electrocoagulation. Desalination 285 (2012)</w:t>
      </w:r>
      <w:r>
        <w:rPr>
          <w:spacing w:val="-4"/>
          <w:sz w:val="18"/>
        </w:rPr>
        <w:t> </w:t>
      </w:r>
      <w:r>
        <w:rPr>
          <w:sz w:val="18"/>
        </w:rPr>
        <w:t>91–99.</w:t>
      </w:r>
    </w:p>
    <w:p>
      <w:pPr>
        <w:pStyle w:val="BodyText"/>
        <w:spacing w:before="7"/>
        <w:rPr>
          <w:sz w:val="17"/>
        </w:rPr>
      </w:pPr>
    </w:p>
    <w:p>
      <w:pPr>
        <w:pStyle w:val="ListParagraph"/>
        <w:numPr>
          <w:ilvl w:val="0"/>
          <w:numId w:val="23"/>
        </w:numPr>
        <w:tabs>
          <w:tab w:pos="467" w:val="left" w:leader="none"/>
        </w:tabs>
        <w:spacing w:line="244" w:lineRule="auto" w:before="1" w:after="0"/>
        <w:ind w:left="478" w:right="112" w:hanging="360"/>
        <w:jc w:val="both"/>
        <w:rPr>
          <w:sz w:val="18"/>
        </w:rPr>
      </w:pPr>
      <w:r>
        <w:rPr>
          <w:sz w:val="18"/>
        </w:rPr>
        <w:t>Prica M., S. Adamovic, B. Dalmacija, L. Rajic, J. Trickovic, S. Rapajic, M. Becelic-Tomin. </w:t>
      </w:r>
      <w:r>
        <w:rPr>
          <w:i/>
          <w:sz w:val="18"/>
        </w:rPr>
        <w:t>2014. </w:t>
      </w:r>
      <w:r>
        <w:rPr>
          <w:sz w:val="18"/>
        </w:rPr>
        <w:t>The electrocoagulation/flotation</w:t>
      </w:r>
      <w:r>
        <w:rPr>
          <w:spacing w:val="-4"/>
          <w:sz w:val="18"/>
        </w:rPr>
        <w:t> </w:t>
      </w:r>
      <w:r>
        <w:rPr>
          <w:sz w:val="18"/>
        </w:rPr>
        <w:t>study:</w:t>
      </w:r>
      <w:r>
        <w:rPr>
          <w:spacing w:val="-4"/>
          <w:sz w:val="18"/>
        </w:rPr>
        <w:t> </w:t>
      </w:r>
      <w:r>
        <w:rPr>
          <w:sz w:val="18"/>
        </w:rPr>
        <w:t>Theremoval</w:t>
      </w:r>
      <w:r>
        <w:rPr>
          <w:spacing w:val="-6"/>
          <w:sz w:val="18"/>
        </w:rPr>
        <w:t> </w:t>
      </w:r>
      <w:r>
        <w:rPr>
          <w:sz w:val="18"/>
        </w:rPr>
        <w:t>of</w:t>
      </w:r>
      <w:r>
        <w:rPr>
          <w:spacing w:val="-4"/>
          <w:sz w:val="18"/>
        </w:rPr>
        <w:t> </w:t>
      </w:r>
      <w:r>
        <w:rPr>
          <w:sz w:val="18"/>
        </w:rPr>
        <w:t>heavy</w:t>
      </w:r>
      <w:r>
        <w:rPr>
          <w:spacing w:val="-6"/>
          <w:sz w:val="18"/>
        </w:rPr>
        <w:t> </w:t>
      </w:r>
      <w:r>
        <w:rPr>
          <w:sz w:val="18"/>
        </w:rPr>
        <w:t>metals</w:t>
      </w:r>
      <w:r>
        <w:rPr>
          <w:spacing w:val="-3"/>
          <w:sz w:val="18"/>
        </w:rPr>
        <w:t> </w:t>
      </w:r>
      <w:r>
        <w:rPr>
          <w:sz w:val="18"/>
        </w:rPr>
        <w:t>from</w:t>
      </w:r>
      <w:r>
        <w:rPr>
          <w:spacing w:val="-3"/>
          <w:sz w:val="18"/>
        </w:rPr>
        <w:t> </w:t>
      </w:r>
      <w:r>
        <w:rPr>
          <w:sz w:val="18"/>
        </w:rPr>
        <w:t>the</w:t>
      </w:r>
      <w:r>
        <w:rPr>
          <w:spacing w:val="-4"/>
          <w:sz w:val="18"/>
        </w:rPr>
        <w:t> </w:t>
      </w:r>
      <w:r>
        <w:rPr>
          <w:sz w:val="18"/>
        </w:rPr>
        <w:t>waste</w:t>
      </w:r>
      <w:r>
        <w:rPr>
          <w:spacing w:val="-4"/>
          <w:sz w:val="18"/>
        </w:rPr>
        <w:t> </w:t>
      </w:r>
      <w:r>
        <w:rPr>
          <w:sz w:val="18"/>
        </w:rPr>
        <w:t>fountain</w:t>
      </w:r>
      <w:r>
        <w:rPr>
          <w:spacing w:val="-6"/>
          <w:sz w:val="18"/>
        </w:rPr>
        <w:t> </w:t>
      </w:r>
      <w:r>
        <w:rPr>
          <w:sz w:val="18"/>
        </w:rPr>
        <w:t>solution.</w:t>
      </w:r>
    </w:p>
    <w:p>
      <w:pPr>
        <w:pStyle w:val="BodyText"/>
        <w:spacing w:before="6"/>
        <w:rPr>
          <w:sz w:val="17"/>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Cho, C., Yavuz-Corapcioglu, M., Park, S., Sung, K. Effects of Grasses on the Fate of VOCs in Contaminated Soil and Air. Water, Air, &amp; Soil Pollution (2008)</w:t>
      </w:r>
      <w:r>
        <w:rPr>
          <w:spacing w:val="-22"/>
          <w:sz w:val="18"/>
        </w:rPr>
        <w:t> </w:t>
      </w:r>
      <w:r>
        <w:rPr>
          <w:sz w:val="18"/>
        </w:rPr>
        <w:t>187:243-250.</w:t>
      </w:r>
    </w:p>
    <w:p>
      <w:pPr>
        <w:pStyle w:val="BodyText"/>
        <w:spacing w:before="8"/>
        <w:rPr>
          <w:sz w:val="18"/>
        </w:rPr>
      </w:pPr>
    </w:p>
    <w:p>
      <w:pPr>
        <w:pStyle w:val="ListParagraph"/>
        <w:numPr>
          <w:ilvl w:val="0"/>
          <w:numId w:val="23"/>
        </w:numPr>
        <w:tabs>
          <w:tab w:pos="467" w:val="left" w:leader="none"/>
        </w:tabs>
        <w:spacing w:line="202" w:lineRule="exact" w:before="0" w:after="0"/>
        <w:ind w:left="478" w:right="123" w:hanging="360"/>
        <w:jc w:val="both"/>
        <w:rPr>
          <w:sz w:val="18"/>
        </w:rPr>
      </w:pPr>
      <w:r>
        <w:rPr>
          <w:sz w:val="18"/>
        </w:rPr>
        <w:t>Ye, Z., A. J. Bakers, M. H. Wong and A. J. Willis. Zinc, lead and cadmium tolerance, uptake and accumulation by Typha latifolia. New Phytol. (1997), </w:t>
      </w:r>
      <w:r>
        <w:rPr>
          <w:b/>
          <w:sz w:val="18"/>
        </w:rPr>
        <w:t>136,</w:t>
      </w:r>
      <w:r>
        <w:rPr>
          <w:b/>
          <w:spacing w:val="-22"/>
          <w:sz w:val="18"/>
        </w:rPr>
        <w:t> </w:t>
      </w:r>
      <w:r>
        <w:rPr>
          <w:sz w:val="18"/>
        </w:rPr>
        <w:t>469-480.</w:t>
      </w:r>
    </w:p>
    <w:p>
      <w:pPr>
        <w:pStyle w:val="BodyText"/>
        <w:spacing w:before="9"/>
        <w:rPr>
          <w:sz w:val="20"/>
        </w:rPr>
      </w:pPr>
    </w:p>
    <w:p>
      <w:pPr>
        <w:pStyle w:val="ListParagraph"/>
        <w:numPr>
          <w:ilvl w:val="0"/>
          <w:numId w:val="23"/>
        </w:numPr>
        <w:tabs>
          <w:tab w:pos="467" w:val="left" w:leader="none"/>
        </w:tabs>
        <w:spacing w:line="240" w:lineRule="auto" w:before="0" w:after="0"/>
        <w:ind w:left="478" w:right="111" w:hanging="360"/>
        <w:jc w:val="both"/>
        <w:rPr>
          <w:sz w:val="18"/>
        </w:rPr>
      </w:pPr>
      <w:r>
        <w:rPr>
          <w:sz w:val="18"/>
        </w:rPr>
        <w:t>Padmavathiamma, P. K., Li, L. Y. Phytoremediation Technology: Hyper-accumulation Metals in  Plants. Water, Air, &amp; Soil Pollution (2007) 184:</w:t>
      </w:r>
      <w:r>
        <w:rPr>
          <w:spacing w:val="-14"/>
          <w:sz w:val="18"/>
        </w:rPr>
        <w:t> </w:t>
      </w:r>
      <w:r>
        <w:rPr>
          <w:sz w:val="18"/>
        </w:rPr>
        <w:t>105-126.</w:t>
      </w:r>
    </w:p>
    <w:p>
      <w:pPr>
        <w:pStyle w:val="BodyText"/>
        <w:spacing w:before="10"/>
        <w:rPr>
          <w:sz w:val="17"/>
        </w:rPr>
      </w:pPr>
    </w:p>
    <w:p>
      <w:pPr>
        <w:pStyle w:val="ListParagraph"/>
        <w:numPr>
          <w:ilvl w:val="0"/>
          <w:numId w:val="23"/>
        </w:numPr>
        <w:tabs>
          <w:tab w:pos="467" w:val="left" w:leader="none"/>
        </w:tabs>
        <w:spacing w:line="240" w:lineRule="auto" w:before="0" w:after="0"/>
        <w:ind w:left="478" w:right="112" w:hanging="360"/>
        <w:jc w:val="both"/>
        <w:rPr>
          <w:sz w:val="18"/>
        </w:rPr>
      </w:pPr>
      <w:r>
        <w:rPr>
          <w:sz w:val="18"/>
        </w:rPr>
        <w:t>Dordio A., C. Duarte., M. Barreiros., A.J. Carvalho., A.P. Pinto., C. da Costa. Toxicity and removal efficiency of pharmaceutical metabolite clofibric acid by Typha spp. – Potential use for phytoremediation?. Bioresource Technology (2009) 100.</w:t>
      </w:r>
      <w:r>
        <w:rPr>
          <w:spacing w:val="-10"/>
          <w:sz w:val="18"/>
        </w:rPr>
        <w:t> </w:t>
      </w:r>
      <w:r>
        <w:rPr>
          <w:sz w:val="18"/>
        </w:rPr>
        <w:t>1156–1161.</w:t>
      </w:r>
    </w:p>
    <w:p>
      <w:pPr>
        <w:pStyle w:val="BodyText"/>
        <w:spacing w:before="10"/>
        <w:rPr>
          <w:sz w:val="17"/>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Klinka, A., A. Macioła, M. Wisłockab, J. Krawczykc. Metal accumulation and distribution in the organs of Typha</w:t>
      </w:r>
      <w:r>
        <w:rPr>
          <w:spacing w:val="-4"/>
          <w:sz w:val="18"/>
        </w:rPr>
        <w:t> </w:t>
      </w:r>
      <w:r>
        <w:rPr>
          <w:sz w:val="18"/>
        </w:rPr>
        <w:t>latifolia</w:t>
      </w:r>
      <w:r>
        <w:rPr>
          <w:spacing w:val="-6"/>
          <w:sz w:val="18"/>
        </w:rPr>
        <w:t> </w:t>
      </w:r>
      <w:r>
        <w:rPr>
          <w:sz w:val="18"/>
        </w:rPr>
        <w:t>L.</w:t>
      </w:r>
      <w:r>
        <w:rPr>
          <w:spacing w:val="-4"/>
          <w:sz w:val="18"/>
        </w:rPr>
        <w:t> </w:t>
      </w:r>
      <w:r>
        <w:rPr>
          <w:sz w:val="18"/>
        </w:rPr>
        <w:t>(cattail)</w:t>
      </w:r>
      <w:r>
        <w:rPr>
          <w:spacing w:val="-6"/>
          <w:sz w:val="18"/>
        </w:rPr>
        <w:t> </w:t>
      </w:r>
      <w:r>
        <w:rPr>
          <w:sz w:val="18"/>
        </w:rPr>
        <w:t>and</w:t>
      </w:r>
      <w:r>
        <w:rPr>
          <w:spacing w:val="-4"/>
          <w:sz w:val="18"/>
        </w:rPr>
        <w:t> </w:t>
      </w:r>
      <w:r>
        <w:rPr>
          <w:sz w:val="18"/>
        </w:rPr>
        <w:t>their</w:t>
      </w:r>
      <w:r>
        <w:rPr>
          <w:spacing w:val="-4"/>
          <w:sz w:val="18"/>
        </w:rPr>
        <w:t> </w:t>
      </w:r>
      <w:r>
        <w:rPr>
          <w:sz w:val="18"/>
        </w:rPr>
        <w:t>potential</w:t>
      </w:r>
      <w:r>
        <w:rPr>
          <w:spacing w:val="-4"/>
          <w:sz w:val="18"/>
        </w:rPr>
        <w:t> </w:t>
      </w:r>
      <w:r>
        <w:rPr>
          <w:sz w:val="18"/>
        </w:rPr>
        <w:t>use</w:t>
      </w:r>
      <w:r>
        <w:rPr>
          <w:spacing w:val="-4"/>
          <w:sz w:val="18"/>
        </w:rPr>
        <w:t> </w:t>
      </w:r>
      <w:r>
        <w:rPr>
          <w:sz w:val="18"/>
        </w:rPr>
        <w:t>in</w:t>
      </w:r>
      <w:r>
        <w:rPr>
          <w:spacing w:val="-4"/>
          <w:sz w:val="18"/>
        </w:rPr>
        <w:t> </w:t>
      </w:r>
      <w:r>
        <w:rPr>
          <w:sz w:val="18"/>
        </w:rPr>
        <w:t>bioindication.</w:t>
      </w:r>
      <w:r>
        <w:rPr>
          <w:spacing w:val="3"/>
          <w:sz w:val="18"/>
        </w:rPr>
        <w:t> </w:t>
      </w:r>
      <w:r>
        <w:rPr>
          <w:sz w:val="18"/>
        </w:rPr>
        <w:t>Limnologica</w:t>
      </w:r>
      <w:r>
        <w:rPr>
          <w:spacing w:val="-4"/>
          <w:sz w:val="18"/>
        </w:rPr>
        <w:t> </w:t>
      </w:r>
      <w:r>
        <w:rPr>
          <w:sz w:val="18"/>
        </w:rPr>
        <w:t>43</w:t>
      </w:r>
      <w:r>
        <w:rPr>
          <w:spacing w:val="-6"/>
          <w:sz w:val="18"/>
        </w:rPr>
        <w:t> </w:t>
      </w:r>
      <w:r>
        <w:rPr>
          <w:sz w:val="18"/>
        </w:rPr>
        <w:t>(2013)</w:t>
      </w:r>
      <w:r>
        <w:rPr>
          <w:spacing w:val="-2"/>
          <w:sz w:val="18"/>
        </w:rPr>
        <w:t> </w:t>
      </w:r>
      <w:r>
        <w:rPr>
          <w:sz w:val="18"/>
        </w:rPr>
        <w:t>164–168.</w:t>
      </w:r>
    </w:p>
    <w:p>
      <w:pPr>
        <w:pStyle w:val="BodyText"/>
        <w:spacing w:before="1"/>
        <w:rPr>
          <w:sz w:val="18"/>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Teuchies, J., S. Jacobs, L. Oosterlee, L. Bervoets and P. Meire. Role of plants in metal cycling in a tidal wetland:</w:t>
      </w:r>
      <w:r>
        <w:rPr>
          <w:spacing w:val="-4"/>
          <w:sz w:val="18"/>
        </w:rPr>
        <w:t> </w:t>
      </w:r>
      <w:r>
        <w:rPr>
          <w:sz w:val="18"/>
        </w:rPr>
        <w:t>Implications</w:t>
      </w:r>
      <w:r>
        <w:rPr>
          <w:spacing w:val="-3"/>
          <w:sz w:val="18"/>
        </w:rPr>
        <w:t> </w:t>
      </w:r>
      <w:r>
        <w:rPr>
          <w:sz w:val="18"/>
        </w:rPr>
        <w:t>for</w:t>
      </w:r>
      <w:r>
        <w:rPr>
          <w:spacing w:val="-7"/>
          <w:sz w:val="18"/>
        </w:rPr>
        <w:t> </w:t>
      </w:r>
      <w:r>
        <w:rPr>
          <w:sz w:val="18"/>
        </w:rPr>
        <w:t>phytoremidiation.</w:t>
      </w:r>
      <w:r>
        <w:rPr>
          <w:spacing w:val="-4"/>
          <w:sz w:val="18"/>
        </w:rPr>
        <w:t> </w:t>
      </w:r>
      <w:r>
        <w:rPr>
          <w:sz w:val="18"/>
        </w:rPr>
        <w:t>Science</w:t>
      </w:r>
      <w:r>
        <w:rPr>
          <w:spacing w:val="-4"/>
          <w:sz w:val="18"/>
        </w:rPr>
        <w:t> </w:t>
      </w:r>
      <w:r>
        <w:rPr>
          <w:spacing w:val="3"/>
          <w:sz w:val="18"/>
        </w:rPr>
        <w:t>of</w:t>
      </w:r>
      <w:r>
        <w:rPr>
          <w:spacing w:val="-6"/>
          <w:sz w:val="18"/>
        </w:rPr>
        <w:t> </w:t>
      </w:r>
      <w:r>
        <w:rPr>
          <w:sz w:val="18"/>
        </w:rPr>
        <w:t>the</w:t>
      </w:r>
      <w:r>
        <w:rPr>
          <w:spacing w:val="-4"/>
          <w:sz w:val="18"/>
        </w:rPr>
        <w:t> </w:t>
      </w:r>
      <w:r>
        <w:rPr>
          <w:sz w:val="18"/>
        </w:rPr>
        <w:t>Total</w:t>
      </w:r>
      <w:r>
        <w:rPr>
          <w:spacing w:val="-4"/>
          <w:sz w:val="18"/>
        </w:rPr>
        <w:t> </w:t>
      </w:r>
      <w:r>
        <w:rPr>
          <w:sz w:val="18"/>
        </w:rPr>
        <w:t>Environment</w:t>
      </w:r>
      <w:r>
        <w:rPr>
          <w:spacing w:val="-2"/>
          <w:sz w:val="18"/>
        </w:rPr>
        <w:t> </w:t>
      </w:r>
      <w:r>
        <w:rPr>
          <w:sz w:val="18"/>
        </w:rPr>
        <w:t>(2013)</w:t>
      </w:r>
      <w:r>
        <w:rPr>
          <w:spacing w:val="-6"/>
          <w:sz w:val="18"/>
        </w:rPr>
        <w:t> </w:t>
      </w:r>
      <w:r>
        <w:rPr>
          <w:sz w:val="18"/>
        </w:rPr>
        <w:t>146–154.</w:t>
      </w:r>
    </w:p>
    <w:p>
      <w:pPr>
        <w:pStyle w:val="BodyText"/>
        <w:spacing w:before="1"/>
        <w:rPr>
          <w:sz w:val="18"/>
        </w:rPr>
      </w:pPr>
    </w:p>
    <w:p>
      <w:pPr>
        <w:pStyle w:val="ListParagraph"/>
        <w:numPr>
          <w:ilvl w:val="0"/>
          <w:numId w:val="23"/>
        </w:numPr>
        <w:tabs>
          <w:tab w:pos="467" w:val="left" w:leader="none"/>
        </w:tabs>
        <w:spacing w:line="276" w:lineRule="auto" w:before="0" w:after="0"/>
        <w:ind w:left="478" w:right="120" w:hanging="360"/>
        <w:jc w:val="both"/>
        <w:rPr>
          <w:sz w:val="18"/>
        </w:rPr>
      </w:pPr>
      <w:r>
        <w:rPr>
          <w:sz w:val="18"/>
        </w:rPr>
        <w:t>Chandra V., N. Singh, R.P. Singh and D.P. Singh. Rhizoremediation potential  of spontaneously grown  Typha</w:t>
      </w:r>
      <w:r>
        <w:rPr>
          <w:spacing w:val="-3"/>
          <w:sz w:val="18"/>
        </w:rPr>
        <w:t> </w:t>
      </w:r>
      <w:r>
        <w:rPr>
          <w:sz w:val="18"/>
        </w:rPr>
        <w:t>latifolia</w:t>
      </w:r>
      <w:r>
        <w:rPr>
          <w:spacing w:val="-5"/>
          <w:sz w:val="18"/>
        </w:rPr>
        <w:t> </w:t>
      </w:r>
      <w:r>
        <w:rPr>
          <w:sz w:val="18"/>
        </w:rPr>
        <w:t>onfly</w:t>
      </w:r>
      <w:r>
        <w:rPr>
          <w:spacing w:val="-5"/>
          <w:sz w:val="18"/>
        </w:rPr>
        <w:t> </w:t>
      </w:r>
      <w:r>
        <w:rPr>
          <w:sz w:val="18"/>
        </w:rPr>
        <w:t>ash</w:t>
      </w:r>
      <w:r>
        <w:rPr>
          <w:spacing w:val="-5"/>
          <w:sz w:val="18"/>
        </w:rPr>
        <w:t> </w:t>
      </w:r>
      <w:r>
        <w:rPr>
          <w:sz w:val="18"/>
        </w:rPr>
        <w:t>basins:</w:t>
      </w:r>
      <w:r>
        <w:rPr>
          <w:spacing w:val="-3"/>
          <w:sz w:val="18"/>
        </w:rPr>
        <w:t> </w:t>
      </w:r>
      <w:r>
        <w:rPr>
          <w:sz w:val="18"/>
        </w:rPr>
        <w:t>Study</w:t>
      </w:r>
      <w:r>
        <w:rPr>
          <w:spacing w:val="-5"/>
          <w:sz w:val="18"/>
        </w:rPr>
        <w:t> </w:t>
      </w:r>
      <w:r>
        <w:rPr>
          <w:sz w:val="18"/>
        </w:rPr>
        <w:t>from</w:t>
      </w:r>
      <w:r>
        <w:rPr>
          <w:spacing w:val="-2"/>
          <w:sz w:val="18"/>
        </w:rPr>
        <w:t> </w:t>
      </w:r>
      <w:r>
        <w:rPr>
          <w:sz w:val="18"/>
        </w:rPr>
        <w:t>the</w:t>
      </w:r>
      <w:r>
        <w:rPr>
          <w:spacing w:val="-3"/>
          <w:sz w:val="18"/>
        </w:rPr>
        <w:t> </w:t>
      </w:r>
      <w:r>
        <w:rPr>
          <w:sz w:val="18"/>
        </w:rPr>
        <w:t>field.</w:t>
      </w:r>
      <w:r>
        <w:rPr>
          <w:spacing w:val="-3"/>
          <w:sz w:val="18"/>
        </w:rPr>
        <w:t> </w:t>
      </w:r>
      <w:r>
        <w:rPr>
          <w:sz w:val="18"/>
        </w:rPr>
        <w:t>Ecological</w:t>
      </w:r>
      <w:r>
        <w:rPr>
          <w:spacing w:val="-3"/>
          <w:sz w:val="18"/>
        </w:rPr>
        <w:t> </w:t>
      </w:r>
      <w:r>
        <w:rPr>
          <w:sz w:val="18"/>
        </w:rPr>
        <w:t>Engineering</w:t>
      </w:r>
      <w:r>
        <w:rPr>
          <w:spacing w:val="-5"/>
          <w:sz w:val="18"/>
        </w:rPr>
        <w:t> </w:t>
      </w:r>
      <w:r>
        <w:rPr>
          <w:sz w:val="18"/>
        </w:rPr>
        <w:t>71</w:t>
      </w:r>
      <w:r>
        <w:rPr>
          <w:spacing w:val="-3"/>
          <w:sz w:val="18"/>
        </w:rPr>
        <w:t> </w:t>
      </w:r>
      <w:r>
        <w:rPr>
          <w:sz w:val="18"/>
        </w:rPr>
        <w:t>(2014)</w:t>
      </w:r>
      <w:r>
        <w:rPr>
          <w:spacing w:val="-3"/>
          <w:sz w:val="18"/>
        </w:rPr>
        <w:t> </w:t>
      </w:r>
      <w:r>
        <w:rPr>
          <w:sz w:val="18"/>
        </w:rPr>
        <w:t>722–727.</w:t>
      </w:r>
    </w:p>
    <w:p>
      <w:pPr>
        <w:spacing w:after="0" w:line="276" w:lineRule="auto"/>
        <w:jc w:val="both"/>
        <w:rPr>
          <w:sz w:val="18"/>
        </w:rPr>
        <w:sectPr>
          <w:pgSz w:w="12240" w:h="15840"/>
          <w:pgMar w:header="0" w:footer="1480" w:top="1500" w:bottom="1680" w:left="1660" w:right="1300"/>
        </w:sectPr>
      </w:pPr>
    </w:p>
    <w:p>
      <w:pPr>
        <w:pStyle w:val="ListParagraph"/>
        <w:numPr>
          <w:ilvl w:val="0"/>
          <w:numId w:val="23"/>
        </w:numPr>
        <w:tabs>
          <w:tab w:pos="467" w:val="left" w:leader="none"/>
        </w:tabs>
        <w:spacing w:line="240" w:lineRule="auto" w:before="57" w:after="0"/>
        <w:ind w:left="478" w:right="116" w:hanging="360"/>
        <w:jc w:val="both"/>
        <w:rPr>
          <w:sz w:val="18"/>
        </w:rPr>
      </w:pPr>
      <w:r>
        <w:rPr>
          <w:sz w:val="18"/>
        </w:rPr>
        <w:t>Zohra, B. S., X. Laffray, A. Ashoour, H. Ayadi, L. Aleya. Metal accumulation and distribution in the organs of Reeds andCattails in a constructed treatment wetland (Etueffont, France). Ecological Engineering (2014) 64. 1–17.</w:t>
      </w:r>
    </w:p>
    <w:p>
      <w:pPr>
        <w:pStyle w:val="BodyText"/>
        <w:spacing w:before="6"/>
        <w:rPr>
          <w:sz w:val="18"/>
        </w:rPr>
      </w:pPr>
    </w:p>
    <w:p>
      <w:pPr>
        <w:pStyle w:val="ListParagraph"/>
        <w:numPr>
          <w:ilvl w:val="0"/>
          <w:numId w:val="23"/>
        </w:numPr>
        <w:tabs>
          <w:tab w:pos="467" w:val="left" w:leader="none"/>
        </w:tabs>
        <w:spacing w:line="204" w:lineRule="exact" w:before="1" w:after="0"/>
        <w:ind w:left="478" w:right="122" w:hanging="360"/>
        <w:jc w:val="both"/>
        <w:rPr>
          <w:sz w:val="18"/>
        </w:rPr>
      </w:pPr>
      <w:r>
        <w:rPr>
          <w:sz w:val="18"/>
        </w:rPr>
        <w:t>Fernandes, J.C and F.S. Henriques. Metal levels in soils and cattail (Typha latifolia L.) plants in a pyrites  mine area at Lousal, Portugal. </w:t>
      </w:r>
      <w:r>
        <w:rPr>
          <w:i/>
          <w:sz w:val="18"/>
        </w:rPr>
        <w:t>Intern. J. Environmental Studies, </w:t>
      </w:r>
      <w:r>
        <w:rPr>
          <w:sz w:val="18"/>
        </w:rPr>
        <w:t>(1990). Vol. 36, pp.</w:t>
      </w:r>
      <w:r>
        <w:rPr>
          <w:spacing w:val="-30"/>
          <w:sz w:val="18"/>
        </w:rPr>
        <w:t> </w:t>
      </w:r>
      <w:r>
        <w:rPr>
          <w:sz w:val="18"/>
        </w:rPr>
        <w:t>205-210.</w:t>
      </w:r>
    </w:p>
    <w:p>
      <w:pPr>
        <w:pStyle w:val="BodyText"/>
        <w:rPr>
          <w:sz w:val="18"/>
        </w:rPr>
      </w:pPr>
    </w:p>
    <w:p>
      <w:pPr>
        <w:pStyle w:val="ListParagraph"/>
        <w:numPr>
          <w:ilvl w:val="0"/>
          <w:numId w:val="23"/>
        </w:numPr>
        <w:tabs>
          <w:tab w:pos="467" w:val="left" w:leader="none"/>
        </w:tabs>
        <w:spacing w:line="240" w:lineRule="auto" w:before="1" w:after="0"/>
        <w:ind w:left="478" w:right="116" w:hanging="360"/>
        <w:jc w:val="both"/>
        <w:rPr>
          <w:sz w:val="18"/>
        </w:rPr>
      </w:pPr>
      <w:r>
        <w:rPr>
          <w:sz w:val="18"/>
        </w:rPr>
        <w:t>Lai H.Y, K.W. Juang, Z.S. Chen. Large area experiment on uptake of metals by twelve plants growing in soils contaminated with multiple metals. Int J Phytorem 12(2010)</w:t>
      </w:r>
      <w:r>
        <w:rPr>
          <w:spacing w:val="-22"/>
          <w:sz w:val="18"/>
        </w:rPr>
        <w:t> </w:t>
      </w:r>
      <w:r>
        <w:rPr>
          <w:sz w:val="18"/>
        </w:rPr>
        <w:t>785–797.</w:t>
      </w:r>
    </w:p>
    <w:p>
      <w:pPr>
        <w:pStyle w:val="BodyText"/>
        <w:spacing w:before="10"/>
        <w:rPr>
          <w:sz w:val="17"/>
        </w:rPr>
      </w:pPr>
    </w:p>
    <w:p>
      <w:pPr>
        <w:pStyle w:val="ListParagraph"/>
        <w:numPr>
          <w:ilvl w:val="0"/>
          <w:numId w:val="23"/>
        </w:numPr>
        <w:tabs>
          <w:tab w:pos="467" w:val="left" w:leader="none"/>
        </w:tabs>
        <w:spacing w:line="240" w:lineRule="auto" w:before="0" w:after="0"/>
        <w:ind w:left="478" w:right="116" w:hanging="360"/>
        <w:jc w:val="both"/>
        <w:rPr>
          <w:sz w:val="18"/>
        </w:rPr>
      </w:pPr>
      <w:r>
        <w:rPr>
          <w:sz w:val="18"/>
        </w:rPr>
        <w:t>Ruiz, M R. González, J. A. Barrera, G. Chávez, E. Ramírez, M. C. Durán. Remoción de Cd y Zn de una corriente acuosa de una empresa minera usando humedales artificiales. Tecnol. Ciencia Ed. (IMQ). 25 (2010)</w:t>
      </w:r>
      <w:r>
        <w:rPr>
          <w:spacing w:val="-4"/>
          <w:sz w:val="18"/>
        </w:rPr>
        <w:t> </w:t>
      </w:r>
      <w:r>
        <w:rPr>
          <w:sz w:val="18"/>
        </w:rPr>
        <w:t>27-34.</w:t>
      </w:r>
    </w:p>
    <w:p>
      <w:pPr>
        <w:pStyle w:val="BodyText"/>
        <w:spacing w:before="10"/>
        <w:rPr>
          <w:sz w:val="17"/>
        </w:rPr>
      </w:pPr>
    </w:p>
    <w:p>
      <w:pPr>
        <w:pStyle w:val="ListParagraph"/>
        <w:numPr>
          <w:ilvl w:val="0"/>
          <w:numId w:val="23"/>
        </w:numPr>
        <w:tabs>
          <w:tab w:pos="467" w:val="left" w:leader="none"/>
        </w:tabs>
        <w:spacing w:line="240" w:lineRule="auto" w:before="0" w:after="0"/>
        <w:ind w:left="478" w:right="112" w:hanging="360"/>
        <w:jc w:val="both"/>
        <w:rPr>
          <w:sz w:val="18"/>
        </w:rPr>
      </w:pPr>
      <w:r>
        <w:rPr>
          <w:sz w:val="18"/>
        </w:rPr>
        <w:t>Cano C., A. Amaya, G. Roa, C. Barrera and F. Ureña. An integrated electrocoagulation-phytoremediation process for the treatment of mixed industrial wastewater. </w:t>
      </w:r>
      <w:r>
        <w:rPr>
          <w:i/>
          <w:sz w:val="18"/>
        </w:rPr>
        <w:t>International Journal of Phytoremediation</w:t>
      </w:r>
      <w:r>
        <w:rPr>
          <w:sz w:val="18"/>
        </w:rPr>
        <w:t>, 12  (2010)</w:t>
      </w:r>
      <w:r>
        <w:rPr>
          <w:spacing w:val="-6"/>
          <w:sz w:val="18"/>
        </w:rPr>
        <w:t> </w:t>
      </w:r>
      <w:r>
        <w:rPr>
          <w:sz w:val="18"/>
        </w:rPr>
        <w:t>772–784.</w:t>
      </w:r>
    </w:p>
    <w:p>
      <w:pPr>
        <w:pStyle w:val="BodyText"/>
        <w:spacing w:before="8"/>
        <w:rPr>
          <w:sz w:val="17"/>
        </w:rPr>
      </w:pPr>
    </w:p>
    <w:p>
      <w:pPr>
        <w:pStyle w:val="ListParagraph"/>
        <w:numPr>
          <w:ilvl w:val="0"/>
          <w:numId w:val="23"/>
        </w:numPr>
        <w:tabs>
          <w:tab w:pos="467" w:val="left" w:leader="none"/>
        </w:tabs>
        <w:spacing w:line="240" w:lineRule="auto" w:before="0" w:after="0"/>
        <w:ind w:left="478" w:right="119" w:hanging="360"/>
        <w:jc w:val="both"/>
        <w:rPr>
          <w:sz w:val="18"/>
        </w:rPr>
      </w:pPr>
      <w:r>
        <w:rPr>
          <w:sz w:val="18"/>
        </w:rPr>
        <w:t>Linares, C. Barrera</w:t>
      </w:r>
      <w:r>
        <w:rPr>
          <w:i/>
          <w:sz w:val="18"/>
        </w:rPr>
        <w:t>, </w:t>
      </w:r>
      <w:r>
        <w:rPr>
          <w:sz w:val="18"/>
        </w:rPr>
        <w:t>G. Roa, F. Ureña. Remoción de contaminantes biorefractarios en aguas residuales industriales mediante métodos electroquímicos. Quimera, vol. 10, núm. 1 (2008),</w:t>
      </w:r>
      <w:r>
        <w:rPr>
          <w:spacing w:val="-28"/>
          <w:sz w:val="18"/>
        </w:rPr>
        <w:t> </w:t>
      </w:r>
      <w:r>
        <w:rPr>
          <w:sz w:val="18"/>
        </w:rPr>
        <w:t>1-15.</w:t>
      </w:r>
    </w:p>
    <w:p>
      <w:pPr>
        <w:pStyle w:val="BodyText"/>
        <w:spacing w:before="1"/>
        <w:rPr>
          <w:sz w:val="18"/>
        </w:rPr>
      </w:pPr>
    </w:p>
    <w:p>
      <w:pPr>
        <w:pStyle w:val="ListParagraph"/>
        <w:numPr>
          <w:ilvl w:val="0"/>
          <w:numId w:val="23"/>
        </w:numPr>
        <w:tabs>
          <w:tab w:pos="467" w:val="left" w:leader="none"/>
        </w:tabs>
        <w:spacing w:line="240" w:lineRule="auto" w:before="0" w:after="0"/>
        <w:ind w:left="478" w:right="119" w:hanging="360"/>
        <w:jc w:val="both"/>
        <w:rPr>
          <w:sz w:val="18"/>
        </w:rPr>
      </w:pPr>
      <w:r>
        <w:rPr>
          <w:sz w:val="18"/>
        </w:rPr>
        <w:t>Heidmann y </w:t>
      </w:r>
      <w:r>
        <w:rPr>
          <w:spacing w:val="3"/>
          <w:sz w:val="18"/>
        </w:rPr>
        <w:t>W. </w:t>
      </w:r>
      <w:r>
        <w:rPr>
          <w:sz w:val="18"/>
        </w:rPr>
        <w:t>Calmano. Removal of Zn(II), Cu(II), Ni(II), Ag(I) and Cr(VI) present in aqueous solutions by aluminium electrocoagulation. Journal of Hazardous Materials 152 (2008)</w:t>
      </w:r>
      <w:r>
        <w:rPr>
          <w:spacing w:val="-26"/>
          <w:sz w:val="18"/>
        </w:rPr>
        <w:t> </w:t>
      </w:r>
      <w:r>
        <w:rPr>
          <w:sz w:val="18"/>
        </w:rPr>
        <w:t>934–941.</w:t>
      </w:r>
    </w:p>
    <w:p>
      <w:pPr>
        <w:pStyle w:val="BodyText"/>
        <w:spacing w:before="1"/>
        <w:rPr>
          <w:sz w:val="18"/>
        </w:rPr>
      </w:pPr>
    </w:p>
    <w:p>
      <w:pPr>
        <w:pStyle w:val="ListParagraph"/>
        <w:numPr>
          <w:ilvl w:val="0"/>
          <w:numId w:val="23"/>
        </w:numPr>
        <w:tabs>
          <w:tab w:pos="467" w:val="left" w:leader="none"/>
        </w:tabs>
        <w:spacing w:line="240" w:lineRule="auto" w:before="0" w:after="0"/>
        <w:ind w:left="478" w:right="117" w:hanging="360"/>
        <w:jc w:val="both"/>
        <w:rPr>
          <w:sz w:val="18"/>
        </w:rPr>
      </w:pPr>
      <w:r>
        <w:rPr>
          <w:sz w:val="18"/>
        </w:rPr>
        <w:t>Mouedhen, G., M. Feki, M. De Petri, H.F. Ayedi. Behavior of aluminum electrodes in electrocoagulation process. Journal of Hazardous Materials 150 (2008)</w:t>
      </w:r>
      <w:r>
        <w:rPr>
          <w:spacing w:val="-22"/>
          <w:sz w:val="18"/>
        </w:rPr>
        <w:t> </w:t>
      </w:r>
      <w:r>
        <w:rPr>
          <w:sz w:val="18"/>
        </w:rPr>
        <w:t>124–135.</w:t>
      </w:r>
    </w:p>
    <w:p>
      <w:pPr>
        <w:pStyle w:val="BodyText"/>
        <w:spacing w:before="10"/>
        <w:rPr>
          <w:sz w:val="17"/>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Merzouka, B., B. Gourichb, A. Sekkic, K. Madanid, M. Chibane. Removal turbidity and separation of heavy metals using electrocoagulation electroflotation technique. A case study. Journal of Hazardous Materials 164 (2009)</w:t>
      </w:r>
      <w:r>
        <w:rPr>
          <w:spacing w:val="-6"/>
          <w:sz w:val="18"/>
        </w:rPr>
        <w:t> </w:t>
      </w:r>
      <w:r>
        <w:rPr>
          <w:sz w:val="18"/>
        </w:rPr>
        <w:t>215–222.</w:t>
      </w:r>
    </w:p>
    <w:p>
      <w:pPr>
        <w:pStyle w:val="BodyText"/>
        <w:spacing w:before="10"/>
        <w:rPr>
          <w:sz w:val="17"/>
        </w:rPr>
      </w:pPr>
    </w:p>
    <w:p>
      <w:pPr>
        <w:pStyle w:val="ListParagraph"/>
        <w:numPr>
          <w:ilvl w:val="0"/>
          <w:numId w:val="23"/>
        </w:numPr>
        <w:tabs>
          <w:tab w:pos="467" w:val="left" w:leader="none"/>
        </w:tabs>
        <w:spacing w:line="240" w:lineRule="auto" w:before="0" w:after="0"/>
        <w:ind w:left="478" w:right="112" w:hanging="360"/>
        <w:jc w:val="both"/>
        <w:rPr>
          <w:sz w:val="18"/>
        </w:rPr>
      </w:pPr>
      <w:r>
        <w:rPr>
          <w:sz w:val="18"/>
        </w:rPr>
        <w:t>Sistema Estatal de Aéreas Naturales Protegidas en Estado de México. 2014. </w:t>
      </w:r>
      <w:hyperlink r:id="rId66">
        <w:r>
          <w:rPr>
            <w:color w:val="0000FF"/>
            <w:sz w:val="18"/>
            <w:u w:val="single" w:color="0000FF"/>
          </w:rPr>
          <w:t>http://areasnaturales.edomex.gob.mx/alameda_poniente</w:t>
        </w:r>
        <w:r>
          <w:rPr>
            <w:sz w:val="18"/>
          </w:rPr>
          <w:t>.</w:t>
        </w:r>
      </w:hyperlink>
    </w:p>
    <w:p>
      <w:pPr>
        <w:pStyle w:val="BodyText"/>
        <w:spacing w:before="10"/>
        <w:rPr>
          <w:sz w:val="17"/>
        </w:rPr>
      </w:pPr>
    </w:p>
    <w:p>
      <w:pPr>
        <w:pStyle w:val="ListParagraph"/>
        <w:numPr>
          <w:ilvl w:val="0"/>
          <w:numId w:val="23"/>
        </w:numPr>
        <w:tabs>
          <w:tab w:pos="467" w:val="left" w:leader="none"/>
        </w:tabs>
        <w:spacing w:line="240" w:lineRule="auto" w:before="0" w:after="0"/>
        <w:ind w:left="478" w:right="121" w:hanging="360"/>
        <w:jc w:val="both"/>
        <w:rPr>
          <w:sz w:val="18"/>
        </w:rPr>
      </w:pPr>
      <w:r>
        <w:rPr>
          <w:sz w:val="18"/>
        </w:rPr>
        <w:t>Murashige, T. and Skoog, F. A revided medium for rapid growth and bioassay with tobacco tissue culture. Physiologycal plantarum. 15(1962)</w:t>
      </w:r>
      <w:r>
        <w:rPr>
          <w:spacing w:val="-15"/>
          <w:sz w:val="18"/>
        </w:rPr>
        <w:t> </w:t>
      </w:r>
      <w:r>
        <w:rPr>
          <w:sz w:val="18"/>
        </w:rPr>
        <w:t>473-497.</w:t>
      </w:r>
    </w:p>
    <w:p>
      <w:pPr>
        <w:pStyle w:val="BodyText"/>
        <w:spacing w:before="10"/>
        <w:rPr>
          <w:sz w:val="17"/>
        </w:rPr>
      </w:pPr>
    </w:p>
    <w:p>
      <w:pPr>
        <w:pStyle w:val="ListParagraph"/>
        <w:numPr>
          <w:ilvl w:val="0"/>
          <w:numId w:val="23"/>
        </w:numPr>
        <w:tabs>
          <w:tab w:pos="467" w:val="left" w:leader="none"/>
        </w:tabs>
        <w:spacing w:line="240" w:lineRule="auto" w:before="0" w:after="0"/>
        <w:ind w:left="478" w:right="115" w:hanging="360"/>
        <w:jc w:val="both"/>
        <w:rPr>
          <w:sz w:val="18"/>
        </w:rPr>
      </w:pPr>
      <w:r>
        <w:rPr>
          <w:sz w:val="18"/>
        </w:rPr>
        <w:t>Sasmaz A., E. Obek, H. Hasar. The accumulation of heavy metals in </w:t>
      </w:r>
      <w:r>
        <w:rPr>
          <w:i/>
          <w:sz w:val="18"/>
        </w:rPr>
        <w:t>Typha latifolia </w:t>
      </w:r>
      <w:r>
        <w:rPr>
          <w:sz w:val="18"/>
        </w:rPr>
        <w:t>L. grown in a stream carrying secondary effluent. Ecological engineering 33 (2008)</w:t>
      </w:r>
      <w:r>
        <w:rPr>
          <w:spacing w:val="-25"/>
          <w:sz w:val="18"/>
        </w:rPr>
        <w:t> </w:t>
      </w:r>
      <w:r>
        <w:rPr>
          <w:sz w:val="18"/>
        </w:rPr>
        <w:t>278–284.</w:t>
      </w:r>
    </w:p>
    <w:p>
      <w:pPr>
        <w:pStyle w:val="BodyText"/>
        <w:spacing w:before="1"/>
        <w:rPr>
          <w:sz w:val="18"/>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Medina K.D. and Y. Montano. 2014. Determinación del factor de bioconcentración y traslocación de metales pesados en el </w:t>
      </w:r>
      <w:r>
        <w:rPr>
          <w:i/>
          <w:sz w:val="18"/>
        </w:rPr>
        <w:t>juncus arcticus </w:t>
      </w:r>
      <w:r>
        <w:rPr>
          <w:sz w:val="18"/>
        </w:rPr>
        <w:t>willd. y </w:t>
      </w:r>
      <w:r>
        <w:rPr>
          <w:i/>
          <w:sz w:val="18"/>
        </w:rPr>
        <w:t>cortaderia rudiuscula </w:t>
      </w:r>
      <w:r>
        <w:rPr>
          <w:sz w:val="18"/>
        </w:rPr>
        <w:t>stapf, de áreas contaminadas con el pasivo ambiental minero alianza - ancash 2013. Tesis Ingenieria Ambiental.</w:t>
      </w:r>
      <w:r>
        <w:rPr>
          <w:spacing w:val="-28"/>
          <w:sz w:val="18"/>
        </w:rPr>
        <w:t> </w:t>
      </w:r>
      <w:r>
        <w:rPr>
          <w:sz w:val="18"/>
        </w:rPr>
        <w:t>Peru.</w:t>
      </w:r>
    </w:p>
    <w:p>
      <w:pPr>
        <w:pStyle w:val="BodyText"/>
        <w:spacing w:before="1"/>
        <w:rPr>
          <w:sz w:val="18"/>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Romero, J., A. Amaya, P. Balderas, G. Roa, N. Gonzalez and M.A. Balderas. Tolerance and hyperaccumulation of a mixture of heavy metals (Cu, Pb, Hg, and Zn) by four aquatic macrophytes. International Journal of Phytoremediation (2017), VOL. 19, No. 3,</w:t>
      </w:r>
      <w:r>
        <w:rPr>
          <w:spacing w:val="-27"/>
          <w:sz w:val="18"/>
        </w:rPr>
        <w:t> </w:t>
      </w:r>
      <w:r>
        <w:rPr>
          <w:sz w:val="18"/>
        </w:rPr>
        <w:t>239–245.</w:t>
      </w:r>
    </w:p>
    <w:p>
      <w:pPr>
        <w:pStyle w:val="BodyText"/>
        <w:spacing w:before="2"/>
        <w:rPr>
          <w:sz w:val="11"/>
        </w:rPr>
      </w:pPr>
    </w:p>
    <w:p>
      <w:pPr>
        <w:pStyle w:val="ListParagraph"/>
        <w:numPr>
          <w:ilvl w:val="0"/>
          <w:numId w:val="23"/>
        </w:numPr>
        <w:tabs>
          <w:tab w:pos="372" w:val="left" w:leader="none"/>
        </w:tabs>
        <w:spacing w:line="240" w:lineRule="auto" w:before="77" w:after="0"/>
        <w:ind w:left="371" w:right="0" w:hanging="253"/>
        <w:jc w:val="left"/>
        <w:rPr>
          <w:sz w:val="18"/>
        </w:rPr>
      </w:pPr>
      <w:r>
        <w:rPr/>
        <w:pict>
          <v:shape style="position:absolute;margin-left:106.339996pt;margin-top:4.011887pt;width:434.9pt;height:20.7pt;mso-position-horizontal-relative:page;mso-position-vertical-relative:paragraph;z-index:2104" type="#_x0000_t202" filled="true" fillcolor="#fdfdfd" stroked="false">
            <v:textbox inset="0,0,0,0">
              <w:txbxContent>
                <w:p>
                  <w:pPr>
                    <w:spacing w:line="242" w:lineRule="auto" w:before="0"/>
                    <w:ind w:left="11" w:right="0" w:hanging="12"/>
                    <w:jc w:val="left"/>
                    <w:rPr>
                      <w:sz w:val="18"/>
                    </w:rPr>
                  </w:pPr>
                  <w:r>
                    <w:rPr>
                      <w:sz w:val="18"/>
                    </w:rPr>
                    <w:t>EPA (United States. Environmental Protection Agency) 1997. Protecting Coastal Waters from Nonpoint Source Pollution. In: U.S. Environmental Protection Agency. Washington D.C. USA. 841-F-96-004E.</w:t>
                  </w:r>
                </w:p>
              </w:txbxContent>
            </v:textbox>
            <v:fill type="solid"/>
            <w10:wrap type="none"/>
          </v:shape>
        </w:pict>
      </w:r>
    </w:p>
    <w:p>
      <w:pPr>
        <w:pStyle w:val="BodyText"/>
        <w:spacing w:before="4"/>
        <w:rPr>
          <w:sz w:val="29"/>
        </w:rPr>
      </w:pPr>
    </w:p>
    <w:p>
      <w:pPr>
        <w:pStyle w:val="ListParagraph"/>
        <w:numPr>
          <w:ilvl w:val="0"/>
          <w:numId w:val="23"/>
        </w:numPr>
        <w:tabs>
          <w:tab w:pos="467" w:val="left" w:leader="none"/>
        </w:tabs>
        <w:spacing w:line="240" w:lineRule="auto" w:before="77" w:after="0"/>
        <w:ind w:left="478" w:right="114" w:hanging="360"/>
        <w:jc w:val="left"/>
        <w:rPr>
          <w:sz w:val="18"/>
        </w:rPr>
      </w:pPr>
      <w:r>
        <w:rPr>
          <w:sz w:val="18"/>
        </w:rPr>
        <w:t>Ali, H., E. Khan, M. Anwar Sajad. Phytoremediation of heavy metals—Concepts and applications. Chemosphere 91 (2013)</w:t>
      </w:r>
      <w:r>
        <w:rPr>
          <w:spacing w:val="-8"/>
          <w:sz w:val="18"/>
        </w:rPr>
        <w:t> </w:t>
      </w:r>
      <w:r>
        <w:rPr>
          <w:sz w:val="18"/>
        </w:rPr>
        <w:t>869–881.</w:t>
      </w:r>
    </w:p>
    <w:p>
      <w:pPr>
        <w:pStyle w:val="BodyText"/>
        <w:spacing w:before="9"/>
        <w:rPr>
          <w:sz w:val="20"/>
        </w:rPr>
      </w:pPr>
    </w:p>
    <w:p>
      <w:pPr>
        <w:pStyle w:val="ListParagraph"/>
        <w:numPr>
          <w:ilvl w:val="0"/>
          <w:numId w:val="23"/>
        </w:numPr>
        <w:tabs>
          <w:tab w:pos="467" w:val="left" w:leader="none"/>
        </w:tabs>
        <w:spacing w:line="240" w:lineRule="auto" w:before="0" w:after="0"/>
        <w:ind w:left="478" w:right="121" w:hanging="360"/>
        <w:jc w:val="left"/>
        <w:rPr>
          <w:sz w:val="18"/>
        </w:rPr>
      </w:pPr>
      <w:r>
        <w:rPr>
          <w:sz w:val="18"/>
        </w:rPr>
        <w:t>Deng,H., Z.H. Ye, M.H. Wong. Accumulation of lead, zinc, copper and cadmium by 12 wetland plant species thriving</w:t>
      </w:r>
      <w:r>
        <w:rPr>
          <w:spacing w:val="-5"/>
          <w:sz w:val="18"/>
        </w:rPr>
        <w:t> </w:t>
      </w:r>
      <w:r>
        <w:rPr>
          <w:sz w:val="18"/>
        </w:rPr>
        <w:t>in</w:t>
      </w:r>
      <w:r>
        <w:rPr>
          <w:spacing w:val="-5"/>
          <w:sz w:val="18"/>
        </w:rPr>
        <w:t> </w:t>
      </w:r>
      <w:r>
        <w:rPr>
          <w:sz w:val="18"/>
        </w:rPr>
        <w:t>metal-contaminated</w:t>
      </w:r>
      <w:r>
        <w:rPr>
          <w:spacing w:val="-7"/>
          <w:sz w:val="18"/>
        </w:rPr>
        <w:t> </w:t>
      </w:r>
      <w:r>
        <w:rPr>
          <w:sz w:val="18"/>
        </w:rPr>
        <w:t>sites</w:t>
      </w:r>
      <w:r>
        <w:rPr>
          <w:spacing w:val="-3"/>
          <w:sz w:val="18"/>
        </w:rPr>
        <w:t> </w:t>
      </w:r>
      <w:r>
        <w:rPr>
          <w:sz w:val="18"/>
        </w:rPr>
        <w:t>in</w:t>
      </w:r>
      <w:r>
        <w:rPr>
          <w:spacing w:val="-3"/>
          <w:sz w:val="18"/>
        </w:rPr>
        <w:t> </w:t>
      </w:r>
      <w:r>
        <w:rPr>
          <w:sz w:val="18"/>
        </w:rPr>
        <w:t>China.</w:t>
      </w:r>
      <w:r>
        <w:rPr>
          <w:spacing w:val="-3"/>
          <w:sz w:val="18"/>
        </w:rPr>
        <w:t> </w:t>
      </w:r>
      <w:r>
        <w:rPr>
          <w:sz w:val="18"/>
        </w:rPr>
        <w:t>Environmental</w:t>
      </w:r>
      <w:r>
        <w:rPr>
          <w:spacing w:val="-5"/>
          <w:sz w:val="18"/>
        </w:rPr>
        <w:t> </w:t>
      </w:r>
      <w:r>
        <w:rPr>
          <w:sz w:val="18"/>
        </w:rPr>
        <w:t>Pollution</w:t>
      </w:r>
      <w:r>
        <w:rPr>
          <w:spacing w:val="-5"/>
          <w:sz w:val="18"/>
        </w:rPr>
        <w:t> </w:t>
      </w:r>
      <w:r>
        <w:rPr>
          <w:sz w:val="18"/>
        </w:rPr>
        <w:t>132</w:t>
      </w:r>
      <w:r>
        <w:rPr>
          <w:spacing w:val="-3"/>
          <w:sz w:val="18"/>
        </w:rPr>
        <w:t> </w:t>
      </w:r>
      <w:r>
        <w:rPr>
          <w:sz w:val="18"/>
        </w:rPr>
        <w:t>(2004).</w:t>
      </w:r>
    </w:p>
    <w:p>
      <w:pPr>
        <w:pStyle w:val="BodyText"/>
        <w:spacing w:before="1"/>
        <w:rPr>
          <w:sz w:val="18"/>
        </w:rPr>
      </w:pPr>
    </w:p>
    <w:p>
      <w:pPr>
        <w:pStyle w:val="ListParagraph"/>
        <w:numPr>
          <w:ilvl w:val="0"/>
          <w:numId w:val="23"/>
        </w:numPr>
        <w:tabs>
          <w:tab w:pos="467" w:val="left" w:leader="none"/>
        </w:tabs>
        <w:spacing w:line="240" w:lineRule="auto" w:before="0" w:after="0"/>
        <w:ind w:left="478" w:right="112" w:hanging="360"/>
        <w:jc w:val="left"/>
        <w:rPr>
          <w:sz w:val="18"/>
        </w:rPr>
      </w:pPr>
      <w:r>
        <w:rPr>
          <w:sz w:val="18"/>
        </w:rPr>
        <w:t>Ruiz, E.A., and M. A. Armienta. Acumulación de arsénico y metales pesados en maíz en suelos cercanos a jales o residuos mineros.  Rev. Int. Contam. Ambie. 28 (2) 103-117,</w:t>
      </w:r>
      <w:r>
        <w:rPr>
          <w:spacing w:val="-21"/>
          <w:sz w:val="18"/>
        </w:rPr>
        <w:t> </w:t>
      </w:r>
      <w:r>
        <w:rPr>
          <w:sz w:val="18"/>
        </w:rPr>
        <w:t>2012</w:t>
      </w:r>
    </w:p>
    <w:p>
      <w:pPr>
        <w:spacing w:after="0" w:line="240" w:lineRule="auto"/>
        <w:jc w:val="left"/>
        <w:rPr>
          <w:sz w:val="18"/>
        </w:rPr>
        <w:sectPr>
          <w:pgSz w:w="12240" w:h="15840"/>
          <w:pgMar w:header="0" w:footer="1480" w:top="1360" w:bottom="1680" w:left="1660" w:right="1300"/>
        </w:sectPr>
      </w:pPr>
    </w:p>
    <w:p>
      <w:pPr>
        <w:pStyle w:val="ListParagraph"/>
        <w:numPr>
          <w:ilvl w:val="0"/>
          <w:numId w:val="23"/>
        </w:numPr>
        <w:tabs>
          <w:tab w:pos="467" w:val="left" w:leader="none"/>
        </w:tabs>
        <w:spacing w:line="224" w:lineRule="exact" w:before="64" w:after="0"/>
        <w:ind w:left="466" w:right="0" w:hanging="348"/>
        <w:jc w:val="left"/>
        <w:rPr>
          <w:sz w:val="18"/>
        </w:rPr>
      </w:pPr>
      <w:r>
        <w:rPr>
          <w:sz w:val="18"/>
        </w:rPr>
        <w:t>Adhoum, N., L. Monser, N. Bellakhal, J.E. Belgaied. Treatment of electroplating wastewater containing </w:t>
      </w:r>
      <w:r>
        <w:rPr>
          <w:spacing w:val="14"/>
          <w:sz w:val="18"/>
        </w:rPr>
        <w:t> </w:t>
      </w:r>
      <w:r>
        <w:rPr>
          <w:sz w:val="18"/>
        </w:rPr>
        <w:t>Cu</w:t>
      </w:r>
      <w:r>
        <w:rPr>
          <w:position w:val="9"/>
          <w:sz w:val="12"/>
        </w:rPr>
        <w:t>2+,</w:t>
      </w:r>
    </w:p>
    <w:p>
      <w:pPr>
        <w:spacing w:line="224" w:lineRule="exact" w:before="0"/>
        <w:ind w:left="478" w:right="114" w:firstLine="0"/>
        <w:jc w:val="left"/>
        <w:rPr>
          <w:sz w:val="18"/>
        </w:rPr>
      </w:pPr>
      <w:r>
        <w:rPr>
          <w:sz w:val="18"/>
        </w:rPr>
        <w:t>Zn</w:t>
      </w:r>
      <w:r>
        <w:rPr>
          <w:position w:val="9"/>
          <w:sz w:val="12"/>
        </w:rPr>
        <w:t>2+ </w:t>
      </w:r>
      <w:r>
        <w:rPr>
          <w:sz w:val="18"/>
        </w:rPr>
        <w:t>and Cr(VI) by electrocoagulation. Journal of Hazardous Materials (2004) 207–213.</w:t>
      </w:r>
    </w:p>
    <w:p>
      <w:pPr>
        <w:pStyle w:val="BodyText"/>
        <w:spacing w:before="1"/>
        <w:rPr>
          <w:sz w:val="18"/>
        </w:rPr>
      </w:pPr>
    </w:p>
    <w:p>
      <w:pPr>
        <w:pStyle w:val="ListParagraph"/>
        <w:numPr>
          <w:ilvl w:val="0"/>
          <w:numId w:val="23"/>
        </w:numPr>
        <w:tabs>
          <w:tab w:pos="467" w:val="left" w:leader="none"/>
        </w:tabs>
        <w:spacing w:line="240" w:lineRule="auto" w:before="0" w:after="0"/>
        <w:ind w:left="478" w:right="121" w:hanging="360"/>
        <w:jc w:val="both"/>
        <w:rPr>
          <w:sz w:val="18"/>
        </w:rPr>
      </w:pPr>
      <w:r>
        <w:rPr>
          <w:sz w:val="18"/>
        </w:rPr>
        <w:t>Hanay, Ö., H. Hasar. Effect of anions on removing Cu2+, Mn2+ and Zn2+ in electrocoagulation process  using aluminum electrodes. Journal of Hazardous Materials 189 (2011)</w:t>
      </w:r>
      <w:r>
        <w:rPr>
          <w:spacing w:val="-28"/>
          <w:sz w:val="18"/>
        </w:rPr>
        <w:t> </w:t>
      </w:r>
      <w:r>
        <w:rPr>
          <w:sz w:val="18"/>
        </w:rPr>
        <w:t>572–576.</w:t>
      </w:r>
    </w:p>
    <w:p>
      <w:pPr>
        <w:pStyle w:val="BodyText"/>
        <w:spacing w:before="7"/>
        <w:rPr>
          <w:sz w:val="20"/>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Emamjomeh, M., and M. Sivakumar. Review of pollutants removed by electrocoagulation and electrocoagulation/flotation processes. Journal of Environmental Management 90 (2009)</w:t>
      </w:r>
      <w:r>
        <w:rPr>
          <w:spacing w:val="-33"/>
          <w:sz w:val="18"/>
        </w:rPr>
        <w:t> </w:t>
      </w:r>
      <w:r>
        <w:rPr>
          <w:sz w:val="18"/>
        </w:rPr>
        <w:t>1663–1679.</w:t>
      </w:r>
    </w:p>
    <w:p>
      <w:pPr>
        <w:pStyle w:val="BodyText"/>
        <w:spacing w:before="9"/>
        <w:rPr>
          <w:sz w:val="20"/>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Yıldız, Y.S., A.S. Koparal, and B. Keskinler. Effect of initial pH and supporting electrolyte on the treatment of water containing high concentration of humic substances by electrocoagulation. Chemical Engineering Journal 138 (2008)</w:t>
      </w:r>
      <w:r>
        <w:rPr>
          <w:spacing w:val="-8"/>
          <w:sz w:val="18"/>
        </w:rPr>
        <w:t> </w:t>
      </w:r>
      <w:r>
        <w:rPr>
          <w:sz w:val="18"/>
        </w:rPr>
        <w:t>63–72</w:t>
      </w:r>
    </w:p>
    <w:p>
      <w:pPr>
        <w:pStyle w:val="BodyText"/>
        <w:spacing w:before="2"/>
        <w:rPr>
          <w:sz w:val="15"/>
        </w:rPr>
      </w:pPr>
    </w:p>
    <w:p>
      <w:pPr>
        <w:pStyle w:val="ListParagraph"/>
        <w:numPr>
          <w:ilvl w:val="0"/>
          <w:numId w:val="23"/>
        </w:numPr>
        <w:tabs>
          <w:tab w:pos="467" w:val="left" w:leader="none"/>
        </w:tabs>
        <w:spacing w:line="240" w:lineRule="auto" w:before="0" w:after="0"/>
        <w:ind w:left="478" w:right="110" w:hanging="360"/>
        <w:jc w:val="both"/>
        <w:rPr>
          <w:sz w:val="18"/>
        </w:rPr>
      </w:pPr>
      <w:r>
        <w:rPr>
          <w:sz w:val="18"/>
        </w:rPr>
        <w:t>Eiband, M., K. C. Trindade, K. Gama, J. Vieira de Melo, C.A. Martinez-Huitle, S. Ferro. Elimination of Pb</w:t>
      </w:r>
      <w:r>
        <w:rPr>
          <w:position w:val="9"/>
          <w:sz w:val="12"/>
        </w:rPr>
        <w:t>2+ </w:t>
      </w:r>
      <w:r>
        <w:rPr>
          <w:sz w:val="18"/>
        </w:rPr>
        <w:t>through electrocoagulation: Applicability of adsorptive stripping voltammetry for monitoring the lead concentration during its elimination. Journal of Electroanalytical Chemistry 717-718 (2014)</w:t>
      </w:r>
      <w:r>
        <w:rPr>
          <w:spacing w:val="-34"/>
          <w:sz w:val="18"/>
        </w:rPr>
        <w:t> </w:t>
      </w:r>
      <w:r>
        <w:rPr>
          <w:sz w:val="18"/>
        </w:rPr>
        <w:t>213–218.</w:t>
      </w:r>
    </w:p>
    <w:p>
      <w:pPr>
        <w:pStyle w:val="BodyText"/>
        <w:spacing w:before="1"/>
        <w:rPr>
          <w:sz w:val="18"/>
        </w:rPr>
      </w:pPr>
    </w:p>
    <w:p>
      <w:pPr>
        <w:pStyle w:val="ListParagraph"/>
        <w:numPr>
          <w:ilvl w:val="0"/>
          <w:numId w:val="23"/>
        </w:numPr>
        <w:tabs>
          <w:tab w:pos="467" w:val="left" w:leader="none"/>
        </w:tabs>
        <w:spacing w:line="240" w:lineRule="auto" w:before="1" w:after="0"/>
        <w:ind w:left="478" w:right="121" w:hanging="360"/>
        <w:jc w:val="both"/>
        <w:rPr>
          <w:sz w:val="18"/>
        </w:rPr>
      </w:pPr>
      <w:r>
        <w:rPr>
          <w:sz w:val="18"/>
        </w:rPr>
        <w:t>Piña, M., M. Domínguez, R. González, F. Prieto, A. Guevara, J.E. García . Revisión de variables de diseño y condiciones de operación en la electrocoagulación. Rev. Mex. Ing. Quím vol.10 no.2</w:t>
      </w:r>
      <w:r>
        <w:rPr>
          <w:spacing w:val="-32"/>
          <w:sz w:val="18"/>
        </w:rPr>
        <w:t> </w:t>
      </w:r>
      <w:r>
        <w:rPr>
          <w:sz w:val="18"/>
        </w:rPr>
        <w:t>(2011).</w:t>
      </w:r>
    </w:p>
    <w:p>
      <w:pPr>
        <w:pStyle w:val="BodyText"/>
        <w:spacing w:before="1"/>
        <w:rPr>
          <w:sz w:val="18"/>
        </w:rPr>
      </w:pPr>
    </w:p>
    <w:p>
      <w:pPr>
        <w:pStyle w:val="ListParagraph"/>
        <w:numPr>
          <w:ilvl w:val="0"/>
          <w:numId w:val="23"/>
        </w:numPr>
        <w:tabs>
          <w:tab w:pos="467" w:val="left" w:leader="none"/>
        </w:tabs>
        <w:spacing w:line="240" w:lineRule="auto" w:before="0" w:after="0"/>
        <w:ind w:left="478" w:right="114" w:hanging="360"/>
        <w:jc w:val="both"/>
        <w:rPr>
          <w:sz w:val="18"/>
        </w:rPr>
      </w:pPr>
      <w:r>
        <w:rPr>
          <w:sz w:val="18"/>
        </w:rPr>
        <w:t>Jun Lu, Yan Li, Mengxuan Yin, Xiaoyun Ma, Shengling LinRemoving heavy metal ions with continuous aluminum electrocoagulation: A study on back mixing and utilization rate of electro-generated Al ions. Chemical Engineering Journal 267 (2015)</w:t>
      </w:r>
      <w:r>
        <w:rPr>
          <w:spacing w:val="-17"/>
          <w:sz w:val="18"/>
        </w:rPr>
        <w:t> </w:t>
      </w:r>
      <w:r>
        <w:rPr>
          <w:sz w:val="18"/>
        </w:rPr>
        <w:t>86–92.</w:t>
      </w:r>
    </w:p>
    <w:p>
      <w:pPr>
        <w:pStyle w:val="BodyText"/>
        <w:spacing w:before="1"/>
        <w:rPr>
          <w:sz w:val="18"/>
        </w:rPr>
      </w:pPr>
    </w:p>
    <w:p>
      <w:pPr>
        <w:pStyle w:val="ListParagraph"/>
        <w:numPr>
          <w:ilvl w:val="0"/>
          <w:numId w:val="23"/>
        </w:numPr>
        <w:tabs>
          <w:tab w:pos="467" w:val="left" w:leader="none"/>
        </w:tabs>
        <w:spacing w:line="240" w:lineRule="auto" w:before="0" w:after="0"/>
        <w:ind w:left="478" w:right="121" w:hanging="360"/>
        <w:jc w:val="both"/>
        <w:rPr>
          <w:sz w:val="18"/>
        </w:rPr>
      </w:pPr>
      <w:r>
        <w:rPr>
          <w:sz w:val="18"/>
        </w:rPr>
        <w:t>Heidmann, </w:t>
      </w:r>
      <w:r>
        <w:rPr>
          <w:spacing w:val="3"/>
          <w:sz w:val="18"/>
        </w:rPr>
        <w:t>W. </w:t>
      </w:r>
      <w:r>
        <w:rPr>
          <w:sz w:val="18"/>
        </w:rPr>
        <w:t>Calmano. Removal of Ni, Cu and Cr from a galvanic wastewater in an electrocoagulation system with Fe- and Al-electrodes. Separation and Purification Technology 71 (2010)</w:t>
      </w:r>
      <w:r>
        <w:rPr>
          <w:spacing w:val="-30"/>
          <w:sz w:val="18"/>
        </w:rPr>
        <w:t> </w:t>
      </w:r>
      <w:r>
        <w:rPr>
          <w:sz w:val="18"/>
        </w:rPr>
        <w:t>308–314.</w:t>
      </w:r>
    </w:p>
    <w:p>
      <w:pPr>
        <w:pStyle w:val="BodyText"/>
        <w:spacing w:before="10"/>
        <w:rPr>
          <w:sz w:val="17"/>
        </w:rPr>
      </w:pPr>
    </w:p>
    <w:p>
      <w:pPr>
        <w:pStyle w:val="ListParagraph"/>
        <w:numPr>
          <w:ilvl w:val="0"/>
          <w:numId w:val="23"/>
        </w:numPr>
        <w:tabs>
          <w:tab w:pos="467" w:val="left" w:leader="none"/>
        </w:tabs>
        <w:spacing w:line="240" w:lineRule="auto" w:before="0" w:after="0"/>
        <w:ind w:left="478" w:right="113" w:hanging="360"/>
        <w:jc w:val="both"/>
        <w:rPr>
          <w:sz w:val="18"/>
        </w:rPr>
      </w:pPr>
      <w:r>
        <w:rPr>
          <w:sz w:val="18"/>
        </w:rPr>
        <w:t>Pociecha, M., Domen Lestan. Using electrocoagulation for metal and chelant separation from washing solution after EDTA leaching of Pb, Zn and Cd contaminated soil. Journal of Hazardous Materials 174 (2010) 670–678.</w:t>
      </w:r>
    </w:p>
    <w:p>
      <w:pPr>
        <w:pStyle w:val="BodyText"/>
        <w:rPr>
          <w:sz w:val="19"/>
        </w:rPr>
      </w:pPr>
    </w:p>
    <w:p>
      <w:pPr>
        <w:pStyle w:val="ListParagraph"/>
        <w:numPr>
          <w:ilvl w:val="0"/>
          <w:numId w:val="23"/>
        </w:numPr>
        <w:tabs>
          <w:tab w:pos="467" w:val="left" w:leader="none"/>
        </w:tabs>
        <w:spacing w:line="220" w:lineRule="auto" w:before="1" w:after="0"/>
        <w:ind w:left="478" w:right="118" w:hanging="360"/>
        <w:jc w:val="both"/>
        <w:rPr>
          <w:sz w:val="18"/>
        </w:rPr>
      </w:pPr>
      <w:r>
        <w:rPr>
          <w:sz w:val="18"/>
        </w:rPr>
        <w:t>De Mello Ferreira, M. Marchesiello, P.X. Thivel. Removal of copper, zinc and nickel present in natural water containing Ca</w:t>
      </w:r>
      <w:r>
        <w:rPr>
          <w:position w:val="9"/>
          <w:sz w:val="12"/>
        </w:rPr>
        <w:t>2+ </w:t>
      </w:r>
      <w:r>
        <w:rPr>
          <w:sz w:val="18"/>
        </w:rPr>
        <w:t>and HCO3 ions by electrocoagulation. Separation and Purification Technology 107 (2013) 109–117.</w:t>
      </w:r>
    </w:p>
    <w:p>
      <w:pPr>
        <w:pStyle w:val="BodyText"/>
        <w:spacing w:before="1"/>
        <w:rPr>
          <w:sz w:val="18"/>
        </w:rPr>
      </w:pPr>
    </w:p>
    <w:p>
      <w:pPr>
        <w:pStyle w:val="ListParagraph"/>
        <w:numPr>
          <w:ilvl w:val="0"/>
          <w:numId w:val="23"/>
        </w:numPr>
        <w:tabs>
          <w:tab w:pos="467" w:val="left" w:leader="none"/>
        </w:tabs>
        <w:spacing w:line="240" w:lineRule="auto" w:before="1" w:after="0"/>
        <w:ind w:left="478" w:right="121" w:hanging="360"/>
        <w:jc w:val="both"/>
        <w:rPr>
          <w:sz w:val="18"/>
        </w:rPr>
      </w:pPr>
      <w:r>
        <w:rPr>
          <w:sz w:val="18"/>
        </w:rPr>
        <w:t>Rincon, G.J., E. La Motta. Simultaneous removal of oil and grease, and heavy metals from artificial bilge water</w:t>
      </w:r>
      <w:r>
        <w:rPr>
          <w:spacing w:val="-4"/>
          <w:sz w:val="18"/>
        </w:rPr>
        <w:t> </w:t>
      </w:r>
      <w:r>
        <w:rPr>
          <w:sz w:val="18"/>
        </w:rPr>
        <w:t>using</w:t>
      </w:r>
      <w:r>
        <w:rPr>
          <w:spacing w:val="-6"/>
          <w:sz w:val="18"/>
        </w:rPr>
        <w:t> </w:t>
      </w:r>
      <w:r>
        <w:rPr>
          <w:sz w:val="18"/>
        </w:rPr>
        <w:t>electro-coagulation/flotation.</w:t>
      </w:r>
      <w:r>
        <w:rPr>
          <w:spacing w:val="-6"/>
          <w:sz w:val="18"/>
        </w:rPr>
        <w:t> </w:t>
      </w:r>
      <w:r>
        <w:rPr>
          <w:sz w:val="18"/>
        </w:rPr>
        <w:t>Journal</w:t>
      </w:r>
      <w:r>
        <w:rPr>
          <w:spacing w:val="-6"/>
          <w:sz w:val="18"/>
        </w:rPr>
        <w:t> </w:t>
      </w:r>
      <w:r>
        <w:rPr>
          <w:sz w:val="18"/>
        </w:rPr>
        <w:t>of</w:t>
      </w:r>
      <w:r>
        <w:rPr>
          <w:spacing w:val="-4"/>
          <w:sz w:val="18"/>
        </w:rPr>
        <w:t> </w:t>
      </w:r>
      <w:r>
        <w:rPr>
          <w:sz w:val="18"/>
        </w:rPr>
        <w:t>Environmental</w:t>
      </w:r>
      <w:r>
        <w:rPr>
          <w:spacing w:val="-4"/>
          <w:sz w:val="18"/>
        </w:rPr>
        <w:t> </w:t>
      </w:r>
      <w:r>
        <w:rPr>
          <w:sz w:val="18"/>
        </w:rPr>
        <w:t>Management</w:t>
      </w:r>
      <w:r>
        <w:rPr>
          <w:spacing w:val="-6"/>
          <w:sz w:val="18"/>
        </w:rPr>
        <w:t> </w:t>
      </w:r>
      <w:r>
        <w:rPr>
          <w:sz w:val="18"/>
        </w:rPr>
        <w:t>144</w:t>
      </w:r>
      <w:r>
        <w:rPr>
          <w:spacing w:val="-4"/>
          <w:sz w:val="18"/>
        </w:rPr>
        <w:t> </w:t>
      </w:r>
      <w:r>
        <w:rPr>
          <w:sz w:val="18"/>
        </w:rPr>
        <w:t>(2014).</w:t>
      </w:r>
    </w:p>
    <w:p>
      <w:pPr>
        <w:pStyle w:val="BodyText"/>
        <w:spacing w:before="1"/>
        <w:rPr>
          <w:sz w:val="18"/>
        </w:rPr>
      </w:pPr>
    </w:p>
    <w:p>
      <w:pPr>
        <w:pStyle w:val="ListParagraph"/>
        <w:numPr>
          <w:ilvl w:val="0"/>
          <w:numId w:val="23"/>
        </w:numPr>
        <w:tabs>
          <w:tab w:pos="467" w:val="left" w:leader="none"/>
        </w:tabs>
        <w:spacing w:line="240" w:lineRule="auto" w:before="0" w:after="0"/>
        <w:ind w:left="478" w:right="122" w:hanging="360"/>
        <w:jc w:val="both"/>
        <w:rPr>
          <w:sz w:val="18"/>
        </w:rPr>
      </w:pPr>
      <w:r>
        <w:rPr>
          <w:sz w:val="18"/>
        </w:rPr>
        <w:t>Bazrafshan, E., Mahvi, A.H., Zazouli, M.A., 2011. Removal of zinc and copper from aqueous solutions by electrocoagulation</w:t>
      </w:r>
      <w:r>
        <w:rPr>
          <w:spacing w:val="-5"/>
          <w:sz w:val="18"/>
        </w:rPr>
        <w:t> </w:t>
      </w:r>
      <w:r>
        <w:rPr>
          <w:sz w:val="18"/>
        </w:rPr>
        <w:t>technology</w:t>
      </w:r>
      <w:r>
        <w:rPr>
          <w:spacing w:val="-7"/>
          <w:sz w:val="18"/>
        </w:rPr>
        <w:t> </w:t>
      </w:r>
      <w:r>
        <w:rPr>
          <w:sz w:val="18"/>
        </w:rPr>
        <w:t>using</w:t>
      </w:r>
      <w:r>
        <w:rPr>
          <w:spacing w:val="-3"/>
          <w:sz w:val="18"/>
        </w:rPr>
        <w:t> </w:t>
      </w:r>
      <w:r>
        <w:rPr>
          <w:sz w:val="18"/>
        </w:rPr>
        <w:t>iron</w:t>
      </w:r>
      <w:r>
        <w:rPr>
          <w:spacing w:val="-3"/>
          <w:sz w:val="18"/>
        </w:rPr>
        <w:t> </w:t>
      </w:r>
      <w:r>
        <w:rPr>
          <w:sz w:val="18"/>
        </w:rPr>
        <w:t>electrodes.</w:t>
      </w:r>
      <w:r>
        <w:rPr>
          <w:spacing w:val="-3"/>
          <w:sz w:val="18"/>
        </w:rPr>
        <w:t> </w:t>
      </w:r>
      <w:r>
        <w:rPr>
          <w:sz w:val="18"/>
        </w:rPr>
        <w:t>Asian</w:t>
      </w:r>
      <w:r>
        <w:rPr>
          <w:spacing w:val="-3"/>
          <w:sz w:val="18"/>
        </w:rPr>
        <w:t> </w:t>
      </w:r>
      <w:r>
        <w:rPr>
          <w:sz w:val="18"/>
        </w:rPr>
        <w:t>J.</w:t>
      </w:r>
      <w:r>
        <w:rPr>
          <w:spacing w:val="-7"/>
          <w:sz w:val="18"/>
        </w:rPr>
        <w:t> </w:t>
      </w:r>
      <w:r>
        <w:rPr>
          <w:sz w:val="18"/>
        </w:rPr>
        <w:t>Chem.</w:t>
      </w:r>
      <w:r>
        <w:rPr>
          <w:spacing w:val="-5"/>
          <w:sz w:val="18"/>
        </w:rPr>
        <w:t> </w:t>
      </w:r>
      <w:r>
        <w:rPr>
          <w:sz w:val="18"/>
        </w:rPr>
        <w:t>23</w:t>
      </w:r>
      <w:r>
        <w:rPr>
          <w:spacing w:val="-3"/>
          <w:sz w:val="18"/>
        </w:rPr>
        <w:t> </w:t>
      </w:r>
      <w:r>
        <w:rPr>
          <w:sz w:val="18"/>
        </w:rPr>
        <w:t>(12).</w:t>
      </w:r>
    </w:p>
    <w:p>
      <w:pPr>
        <w:pStyle w:val="BodyText"/>
        <w:spacing w:before="1"/>
        <w:rPr>
          <w:sz w:val="18"/>
        </w:rPr>
      </w:pPr>
    </w:p>
    <w:p>
      <w:pPr>
        <w:pStyle w:val="ListParagraph"/>
        <w:numPr>
          <w:ilvl w:val="0"/>
          <w:numId w:val="23"/>
        </w:numPr>
        <w:tabs>
          <w:tab w:pos="467" w:val="left" w:leader="none"/>
        </w:tabs>
        <w:spacing w:line="240" w:lineRule="auto" w:before="0" w:after="0"/>
        <w:ind w:left="478" w:right="119" w:hanging="360"/>
        <w:jc w:val="both"/>
        <w:rPr>
          <w:sz w:val="18"/>
        </w:rPr>
      </w:pPr>
      <w:r>
        <w:rPr>
          <w:sz w:val="18"/>
        </w:rPr>
        <w:t>Al-Shannag, M., Z. Al-Qodah, K. Bani-Melhem, M. Rasool Qtaishat, M. Alkasrawi. Heavy metal ions removal from metal plating wastewater using electrocoagulation: Kinetic study and process performance. Chemical Engineering Journal 260 (2015)</w:t>
      </w:r>
      <w:r>
        <w:rPr>
          <w:spacing w:val="-15"/>
          <w:sz w:val="18"/>
        </w:rPr>
        <w:t> </w:t>
      </w:r>
      <w:r>
        <w:rPr>
          <w:sz w:val="18"/>
        </w:rPr>
        <w:t>749–756.</w:t>
      </w:r>
    </w:p>
    <w:p>
      <w:pPr>
        <w:pStyle w:val="BodyText"/>
        <w:spacing w:before="1"/>
        <w:rPr>
          <w:sz w:val="18"/>
        </w:rPr>
      </w:pPr>
    </w:p>
    <w:p>
      <w:pPr>
        <w:pStyle w:val="ListParagraph"/>
        <w:numPr>
          <w:ilvl w:val="0"/>
          <w:numId w:val="23"/>
        </w:numPr>
        <w:tabs>
          <w:tab w:pos="467" w:val="left" w:leader="none"/>
        </w:tabs>
        <w:spacing w:line="240" w:lineRule="auto" w:before="0" w:after="0"/>
        <w:ind w:left="478" w:right="117" w:hanging="360"/>
        <w:jc w:val="both"/>
        <w:rPr>
          <w:sz w:val="18"/>
        </w:rPr>
      </w:pPr>
      <w:r>
        <w:rPr>
          <w:sz w:val="18"/>
        </w:rPr>
        <w:t>Cañizares, P., C. Jiménez, F. Martínez, M.A. Rodrigo, C. Sáez. The pH as a key parameter in the choice between coagulation and electrocoagulation for the treatment of wastewaters. Journal of Hazardous Materials 163 (2009)</w:t>
      </w:r>
      <w:r>
        <w:rPr>
          <w:spacing w:val="-9"/>
          <w:sz w:val="18"/>
        </w:rPr>
        <w:t> </w:t>
      </w:r>
      <w:r>
        <w:rPr>
          <w:sz w:val="18"/>
        </w:rPr>
        <w:t>158–164.</w:t>
      </w:r>
    </w:p>
    <w:p>
      <w:pPr>
        <w:pStyle w:val="BodyText"/>
        <w:spacing w:before="1"/>
        <w:rPr>
          <w:sz w:val="18"/>
        </w:rPr>
      </w:pPr>
    </w:p>
    <w:p>
      <w:pPr>
        <w:pStyle w:val="ListParagraph"/>
        <w:numPr>
          <w:ilvl w:val="0"/>
          <w:numId w:val="23"/>
        </w:numPr>
        <w:tabs>
          <w:tab w:pos="467" w:val="left" w:leader="none"/>
        </w:tabs>
        <w:spacing w:line="240" w:lineRule="auto" w:before="1" w:after="0"/>
        <w:ind w:left="478" w:right="114" w:hanging="360"/>
        <w:jc w:val="both"/>
        <w:rPr>
          <w:sz w:val="18"/>
        </w:rPr>
      </w:pPr>
      <w:r>
        <w:rPr>
          <w:sz w:val="18"/>
        </w:rPr>
        <w:t>Akbal F., and S. Camcı. Copper, chromium and nickel removal from metal plating wastewater by electrocoagulation. Desalination 269 (2011)</w:t>
      </w:r>
      <w:r>
        <w:rPr>
          <w:spacing w:val="-18"/>
          <w:sz w:val="18"/>
        </w:rPr>
        <w:t> </w:t>
      </w:r>
      <w:r>
        <w:rPr>
          <w:sz w:val="18"/>
        </w:rPr>
        <w:t>214–222.</w:t>
      </w:r>
    </w:p>
    <w:p>
      <w:pPr>
        <w:pStyle w:val="BodyText"/>
        <w:spacing w:before="10"/>
        <w:rPr>
          <w:sz w:val="17"/>
        </w:rPr>
      </w:pPr>
    </w:p>
    <w:p>
      <w:pPr>
        <w:pStyle w:val="ListParagraph"/>
        <w:numPr>
          <w:ilvl w:val="0"/>
          <w:numId w:val="23"/>
        </w:numPr>
        <w:tabs>
          <w:tab w:pos="467" w:val="left" w:leader="none"/>
        </w:tabs>
        <w:spacing w:line="240" w:lineRule="auto" w:before="0" w:after="0"/>
        <w:ind w:left="478" w:right="111" w:hanging="360"/>
        <w:jc w:val="both"/>
        <w:rPr>
          <w:sz w:val="18"/>
        </w:rPr>
      </w:pPr>
      <w:r>
        <w:rPr>
          <w:sz w:val="18"/>
        </w:rPr>
        <w:t>Anning, A., P. E. Korsah and P. Addo-Fordjour. Phytoremediation of Wastewater with Limnocharis Flava, Thalia Geniculata and Typha Latifolia in Constructed Wetlands. International Journal of Phytoremediation, 15:452–464,</w:t>
      </w:r>
      <w:r>
        <w:rPr>
          <w:spacing w:val="-6"/>
          <w:sz w:val="18"/>
        </w:rPr>
        <w:t> </w:t>
      </w:r>
      <w:r>
        <w:rPr>
          <w:sz w:val="18"/>
        </w:rPr>
        <w:t>2013.</w:t>
      </w:r>
    </w:p>
    <w:p>
      <w:pPr>
        <w:pStyle w:val="BodyText"/>
        <w:spacing w:before="4"/>
        <w:rPr>
          <w:sz w:val="20"/>
        </w:rPr>
      </w:pPr>
    </w:p>
    <w:p>
      <w:pPr>
        <w:pStyle w:val="ListParagraph"/>
        <w:numPr>
          <w:ilvl w:val="0"/>
          <w:numId w:val="23"/>
        </w:numPr>
        <w:tabs>
          <w:tab w:pos="518" w:val="left" w:leader="none"/>
        </w:tabs>
        <w:spacing w:line="240" w:lineRule="auto" w:before="0" w:after="0"/>
        <w:ind w:left="478" w:right="116" w:hanging="360"/>
        <w:jc w:val="both"/>
        <w:rPr>
          <w:sz w:val="18"/>
        </w:rPr>
      </w:pPr>
      <w:r>
        <w:rPr>
          <w:sz w:val="18"/>
        </w:rPr>
        <w:t>Oquendo, Renato. 2016. Evaluación de </w:t>
      </w:r>
      <w:r>
        <w:rPr>
          <w:i/>
          <w:sz w:val="18"/>
        </w:rPr>
        <w:t>thypa latifolia </w:t>
      </w:r>
      <w:r>
        <w:rPr>
          <w:sz w:val="18"/>
        </w:rPr>
        <w:t>en la absorción de plomo y propuesta de fitorremediación de aguas residuales con metales pesados en la laguna de Yahuarcocha. Tesis Maestría Gestión ambiental en la industria.</w:t>
      </w:r>
      <w:r>
        <w:rPr>
          <w:spacing w:val="-19"/>
          <w:sz w:val="18"/>
        </w:rPr>
        <w:t> </w:t>
      </w:r>
      <w:r>
        <w:rPr>
          <w:sz w:val="18"/>
        </w:rPr>
        <w:t>Ecuador.</w:t>
      </w:r>
    </w:p>
    <w:p>
      <w:pPr>
        <w:spacing w:after="0" w:line="240" w:lineRule="auto"/>
        <w:jc w:val="both"/>
        <w:rPr>
          <w:sz w:val="18"/>
        </w:rPr>
        <w:sectPr>
          <w:pgSz w:w="12240" w:h="15840"/>
          <w:pgMar w:header="0" w:footer="1480" w:top="1320" w:bottom="1680" w:left="1660" w:right="1300"/>
        </w:sectPr>
      </w:pPr>
    </w:p>
    <w:p>
      <w:pPr>
        <w:pStyle w:val="ListParagraph"/>
        <w:numPr>
          <w:ilvl w:val="0"/>
          <w:numId w:val="23"/>
        </w:numPr>
        <w:tabs>
          <w:tab w:pos="467" w:val="left" w:leader="none"/>
        </w:tabs>
        <w:spacing w:line="240" w:lineRule="auto" w:before="57" w:after="0"/>
        <w:ind w:left="478" w:right="123" w:hanging="360"/>
        <w:jc w:val="both"/>
        <w:rPr>
          <w:sz w:val="18"/>
        </w:rPr>
      </w:pPr>
      <w:r>
        <w:rPr>
          <w:sz w:val="18"/>
        </w:rPr>
        <w:t>Kabata-Pendias, A. Trace Elements in Soils and Plants. Fourth Edition. CRC Press Taylor &amp; Francis Group. EUA.</w:t>
      </w:r>
      <w:r>
        <w:rPr>
          <w:spacing w:val="-1"/>
          <w:sz w:val="18"/>
        </w:rPr>
        <w:t> </w:t>
      </w:r>
      <w:r>
        <w:rPr>
          <w:sz w:val="18"/>
        </w:rPr>
        <w:t>2011.</w:t>
      </w:r>
    </w:p>
    <w:p>
      <w:pPr>
        <w:pStyle w:val="BodyText"/>
        <w:spacing w:before="1"/>
        <w:rPr>
          <w:sz w:val="18"/>
        </w:rPr>
      </w:pPr>
    </w:p>
    <w:p>
      <w:pPr>
        <w:pStyle w:val="ListParagraph"/>
        <w:numPr>
          <w:ilvl w:val="0"/>
          <w:numId w:val="23"/>
        </w:numPr>
        <w:tabs>
          <w:tab w:pos="467" w:val="left" w:leader="none"/>
        </w:tabs>
        <w:spacing w:line="240" w:lineRule="auto" w:before="0" w:after="0"/>
        <w:ind w:left="478" w:right="113" w:hanging="360"/>
        <w:jc w:val="both"/>
        <w:rPr>
          <w:sz w:val="18"/>
        </w:rPr>
      </w:pPr>
      <w:r>
        <w:rPr>
          <w:sz w:val="18"/>
        </w:rPr>
        <w:t>Maddison, M., T. Mauring, K. Remm, M. Lesta, Ü. Mander. Dynamics of Typha latifolia L. populations in treatment wetlands in Estonia. Ecological engineering 3 5 (2009)</w:t>
      </w:r>
      <w:r>
        <w:rPr>
          <w:spacing w:val="-26"/>
          <w:sz w:val="18"/>
        </w:rPr>
        <w:t> </w:t>
      </w:r>
      <w:r>
        <w:rPr>
          <w:sz w:val="18"/>
        </w:rPr>
        <w:t>258–264.</w:t>
      </w:r>
    </w:p>
    <w:p>
      <w:pPr>
        <w:pStyle w:val="BodyText"/>
        <w:spacing w:before="10"/>
        <w:rPr>
          <w:sz w:val="17"/>
        </w:rPr>
      </w:pPr>
    </w:p>
    <w:p>
      <w:pPr>
        <w:pStyle w:val="ListParagraph"/>
        <w:numPr>
          <w:ilvl w:val="0"/>
          <w:numId w:val="23"/>
        </w:numPr>
        <w:tabs>
          <w:tab w:pos="467" w:val="left" w:leader="none"/>
        </w:tabs>
        <w:spacing w:line="240" w:lineRule="auto" w:before="0" w:after="0"/>
        <w:ind w:left="478" w:right="115" w:hanging="360"/>
        <w:jc w:val="both"/>
        <w:rPr>
          <w:sz w:val="18"/>
        </w:rPr>
      </w:pPr>
      <w:r>
        <w:rPr>
          <w:sz w:val="18"/>
        </w:rPr>
        <w:t>Lyubenova L., P. Schröder. 2011. Plants for waste water treatment – Effects of heavy metals on the detoxification system of </w:t>
      </w:r>
      <w:r>
        <w:rPr>
          <w:i/>
          <w:sz w:val="18"/>
        </w:rPr>
        <w:t>Typha latifolia</w:t>
      </w:r>
      <w:r>
        <w:rPr>
          <w:sz w:val="18"/>
        </w:rPr>
        <w:t>. Bioresource Technology 102 (2011)</w:t>
      </w:r>
      <w:r>
        <w:rPr>
          <w:spacing w:val="-30"/>
          <w:sz w:val="18"/>
        </w:rPr>
        <w:t> </w:t>
      </w:r>
      <w:r>
        <w:rPr>
          <w:sz w:val="18"/>
        </w:rPr>
        <w:t>996–1004.</w:t>
      </w:r>
    </w:p>
    <w:p>
      <w:pPr>
        <w:pStyle w:val="BodyText"/>
        <w:spacing w:before="1"/>
        <w:rPr>
          <w:sz w:val="18"/>
        </w:rPr>
      </w:pPr>
    </w:p>
    <w:p>
      <w:pPr>
        <w:pStyle w:val="ListParagraph"/>
        <w:numPr>
          <w:ilvl w:val="0"/>
          <w:numId w:val="23"/>
        </w:numPr>
        <w:tabs>
          <w:tab w:pos="467" w:val="left" w:leader="none"/>
        </w:tabs>
        <w:spacing w:line="240" w:lineRule="auto" w:before="0" w:after="0"/>
        <w:ind w:left="478" w:right="124" w:hanging="360"/>
        <w:jc w:val="both"/>
        <w:rPr>
          <w:sz w:val="18"/>
        </w:rPr>
      </w:pPr>
      <w:r>
        <w:rPr>
          <w:sz w:val="18"/>
        </w:rPr>
        <w:t>Chandra, R., S.Yadav. Potential of Typha angustifolia for phytoremediation of heavy metals from aqueous solution of phenol and melanoidin. Ecological Engineering 36 (2010)</w:t>
      </w:r>
      <w:r>
        <w:rPr>
          <w:spacing w:val="-32"/>
          <w:sz w:val="18"/>
        </w:rPr>
        <w:t> </w:t>
      </w:r>
      <w:r>
        <w:rPr>
          <w:sz w:val="18"/>
        </w:rPr>
        <w:t>1277–1284.</w:t>
      </w:r>
    </w:p>
    <w:p>
      <w:pPr>
        <w:pStyle w:val="BodyText"/>
        <w:spacing w:before="1"/>
        <w:rPr>
          <w:sz w:val="18"/>
        </w:rPr>
      </w:pPr>
    </w:p>
    <w:p>
      <w:pPr>
        <w:pStyle w:val="ListParagraph"/>
        <w:numPr>
          <w:ilvl w:val="0"/>
          <w:numId w:val="23"/>
        </w:numPr>
        <w:tabs>
          <w:tab w:pos="467" w:val="left" w:leader="none"/>
        </w:tabs>
        <w:spacing w:line="240" w:lineRule="auto" w:before="0" w:after="0"/>
        <w:ind w:left="478" w:right="113" w:hanging="360"/>
        <w:jc w:val="both"/>
        <w:rPr>
          <w:sz w:val="18"/>
        </w:rPr>
      </w:pPr>
      <w:r>
        <w:rPr>
          <w:sz w:val="18"/>
        </w:rPr>
        <w:t>Mishra VK, Upadhaya AR, Pandey SK, Tripathy BD. Concentration of heavy metals in aquatic macrophytes from two small rivers polluted by urban, agricultural, and textile industry sewages </w:t>
      </w:r>
      <w:r>
        <w:rPr>
          <w:spacing w:val="-3"/>
          <w:sz w:val="18"/>
        </w:rPr>
        <w:t>SW </w:t>
      </w:r>
      <w:r>
        <w:rPr>
          <w:sz w:val="18"/>
        </w:rPr>
        <w:t>Poland. Arch Environ Cont Toxicol (2007)</w:t>
      </w:r>
      <w:r>
        <w:rPr>
          <w:spacing w:val="-12"/>
          <w:sz w:val="18"/>
        </w:rPr>
        <w:t> </w:t>
      </w:r>
      <w:r>
        <w:rPr>
          <w:sz w:val="18"/>
        </w:rPr>
        <w:t>53:198–206</w:t>
      </w:r>
    </w:p>
    <w:p>
      <w:pPr>
        <w:pStyle w:val="BodyText"/>
        <w:spacing w:before="1"/>
        <w:rPr>
          <w:sz w:val="18"/>
        </w:rPr>
      </w:pPr>
    </w:p>
    <w:p>
      <w:pPr>
        <w:pStyle w:val="ListParagraph"/>
        <w:numPr>
          <w:ilvl w:val="0"/>
          <w:numId w:val="23"/>
        </w:numPr>
        <w:tabs>
          <w:tab w:pos="467" w:val="left" w:leader="none"/>
        </w:tabs>
        <w:spacing w:line="240" w:lineRule="auto" w:before="0" w:after="0"/>
        <w:ind w:left="478" w:right="115" w:hanging="360"/>
        <w:jc w:val="both"/>
        <w:rPr>
          <w:sz w:val="18"/>
        </w:rPr>
      </w:pPr>
      <w:r>
        <w:rPr>
          <w:sz w:val="18"/>
        </w:rPr>
        <w:t>Grisey E, Laffray X, Contoz O, Cavalli E, Mudry J, Aleya L. The Bioaccumulation Performance of Reeds and Cattails in a Constructed TreatmentWetland for Removal of HeavyMetals in Landfill Leachate Treatment (Etueffont, France). Water Air Soil Pollut  (2012)</w:t>
      </w:r>
      <w:r>
        <w:rPr>
          <w:spacing w:val="-22"/>
          <w:sz w:val="18"/>
        </w:rPr>
        <w:t> </w:t>
      </w:r>
      <w:r>
        <w:rPr>
          <w:sz w:val="18"/>
        </w:rPr>
        <w:t>223:1723–1741.</w:t>
      </w:r>
    </w:p>
    <w:p>
      <w:pPr>
        <w:pStyle w:val="BodyText"/>
        <w:spacing w:before="1"/>
        <w:rPr>
          <w:sz w:val="18"/>
        </w:rPr>
      </w:pPr>
    </w:p>
    <w:p>
      <w:pPr>
        <w:pStyle w:val="ListParagraph"/>
        <w:numPr>
          <w:ilvl w:val="0"/>
          <w:numId w:val="23"/>
        </w:numPr>
        <w:tabs>
          <w:tab w:pos="467" w:val="left" w:leader="none"/>
        </w:tabs>
        <w:spacing w:line="240" w:lineRule="auto" w:before="0" w:after="0"/>
        <w:ind w:left="478" w:right="118" w:hanging="360"/>
        <w:jc w:val="both"/>
        <w:rPr>
          <w:sz w:val="18"/>
        </w:rPr>
      </w:pPr>
      <w:r>
        <w:rPr>
          <w:sz w:val="18"/>
        </w:rPr>
        <w:t>Gallego, S., L. Pena, R.A. Barcia, C.E. Azpilicueta, M.F. Iannone, E.P. Rosales, M.S. Zawoznik, M.D. Groppa, M.P. Benavides. Unravelling cadmium toxicity and tolerance in plants: Insight into regulatory Mechanisms. Environmental and Experimental Botany 83 (2012) 33–</w:t>
      </w:r>
      <w:r>
        <w:rPr>
          <w:spacing w:val="-24"/>
          <w:sz w:val="18"/>
        </w:rPr>
        <w:t> </w:t>
      </w:r>
      <w:r>
        <w:rPr>
          <w:sz w:val="18"/>
        </w:rPr>
        <w:t>46</w:t>
      </w:r>
    </w:p>
    <w:p>
      <w:pPr>
        <w:pStyle w:val="BodyText"/>
        <w:spacing w:before="1"/>
        <w:rPr>
          <w:sz w:val="18"/>
        </w:rPr>
      </w:pPr>
    </w:p>
    <w:p>
      <w:pPr>
        <w:pStyle w:val="ListParagraph"/>
        <w:numPr>
          <w:ilvl w:val="0"/>
          <w:numId w:val="23"/>
        </w:numPr>
        <w:tabs>
          <w:tab w:pos="467" w:val="left" w:leader="none"/>
        </w:tabs>
        <w:spacing w:line="240" w:lineRule="auto" w:before="0" w:after="0"/>
        <w:ind w:left="478" w:right="111" w:hanging="360"/>
        <w:jc w:val="both"/>
        <w:rPr>
          <w:sz w:val="18"/>
        </w:rPr>
      </w:pPr>
      <w:r>
        <w:rPr>
          <w:sz w:val="18"/>
        </w:rPr>
        <w:t>Lyubenova, L.,, P. Katarina Vogel-Miku, K. Mezek, P.Vavpeti, N. Grlj, M. Regvar, P. Pelicon, and  P. Schroder. The fate of arsenic, cadmium and lead in Typha latifolia: A case study on the applicability of </w:t>
      </w:r>
      <w:r>
        <w:rPr>
          <w:spacing w:val="2"/>
          <w:sz w:val="18"/>
        </w:rPr>
        <w:t>micro- </w:t>
      </w:r>
      <w:r>
        <w:rPr>
          <w:sz w:val="18"/>
        </w:rPr>
        <w:t>PIXE in plant ionomics. Journal of Hazardous Materials 248– 249 (2013) 371–</w:t>
      </w:r>
      <w:r>
        <w:rPr>
          <w:spacing w:val="-31"/>
          <w:sz w:val="18"/>
        </w:rPr>
        <w:t> </w:t>
      </w:r>
      <w:r>
        <w:rPr>
          <w:sz w:val="18"/>
        </w:rPr>
        <w:t>378.</w:t>
      </w:r>
    </w:p>
    <w:p>
      <w:pPr>
        <w:pStyle w:val="BodyText"/>
        <w:spacing w:before="11"/>
        <w:rPr>
          <w:sz w:val="20"/>
        </w:rPr>
      </w:pPr>
    </w:p>
    <w:p>
      <w:pPr>
        <w:pStyle w:val="ListParagraph"/>
        <w:numPr>
          <w:ilvl w:val="0"/>
          <w:numId w:val="23"/>
        </w:numPr>
        <w:tabs>
          <w:tab w:pos="467" w:val="left" w:leader="none"/>
        </w:tabs>
        <w:spacing w:line="237" w:lineRule="auto" w:before="0" w:after="0"/>
        <w:ind w:left="478" w:right="114" w:hanging="360"/>
        <w:jc w:val="both"/>
        <w:rPr>
          <w:sz w:val="18"/>
        </w:rPr>
      </w:pPr>
      <w:r>
        <w:rPr>
          <w:sz w:val="18"/>
        </w:rPr>
        <w:t>Chandra, R., and S. Yadav. Phytoremediation of Cd, Cr, Cu, Mn, Fe, Ni, Pb and Zn from aqueous solution using P</w:t>
      </w:r>
      <w:r>
        <w:rPr>
          <w:i/>
          <w:sz w:val="18"/>
        </w:rPr>
        <w:t>hragmites cummunis, Typha angustifolia </w:t>
      </w:r>
      <w:r>
        <w:rPr>
          <w:sz w:val="18"/>
        </w:rPr>
        <w:t>and </w:t>
      </w:r>
      <w:r>
        <w:rPr>
          <w:i/>
          <w:sz w:val="18"/>
        </w:rPr>
        <w:t>Cyperus esculentus. International Journal of </w:t>
      </w:r>
      <w:r>
        <w:rPr>
          <w:i/>
          <w:sz w:val="18"/>
        </w:rPr>
        <w:t>Phytoremediation</w:t>
      </w:r>
      <w:r>
        <w:rPr>
          <w:sz w:val="18"/>
        </w:rPr>
        <w:t>, 13:580–591,</w:t>
      </w:r>
      <w:r>
        <w:rPr>
          <w:spacing w:val="-13"/>
          <w:sz w:val="18"/>
        </w:rPr>
        <w:t> </w:t>
      </w:r>
      <w:r>
        <w:rPr>
          <w:sz w:val="18"/>
        </w:rPr>
        <w:t>(2011).</w:t>
      </w:r>
    </w:p>
    <w:p>
      <w:pPr>
        <w:pStyle w:val="BodyText"/>
        <w:spacing w:before="9"/>
        <w:rPr>
          <w:sz w:val="20"/>
        </w:rPr>
      </w:pPr>
    </w:p>
    <w:p>
      <w:pPr>
        <w:pStyle w:val="ListParagraph"/>
        <w:numPr>
          <w:ilvl w:val="0"/>
          <w:numId w:val="23"/>
        </w:numPr>
        <w:tabs>
          <w:tab w:pos="467" w:val="left" w:leader="none"/>
        </w:tabs>
        <w:spacing w:line="240" w:lineRule="auto" w:before="1" w:after="0"/>
        <w:ind w:left="478" w:right="114" w:hanging="360"/>
        <w:jc w:val="both"/>
        <w:rPr>
          <w:sz w:val="18"/>
        </w:rPr>
      </w:pPr>
      <w:r>
        <w:rPr>
          <w:sz w:val="18"/>
        </w:rPr>
        <w:t>Hazra, M., K. Avishek, and G. Pathak. Phytoremedial potential of typha latifolia, eichornia crassipes and monochoria hastata found in contaminated water bodies across ranchi city (India). </w:t>
      </w:r>
      <w:r>
        <w:rPr>
          <w:i/>
          <w:sz w:val="18"/>
        </w:rPr>
        <w:t>International Journal of </w:t>
      </w:r>
      <w:r>
        <w:rPr>
          <w:i/>
          <w:sz w:val="18"/>
        </w:rPr>
        <w:t>Phytoremediation</w:t>
      </w:r>
      <w:r>
        <w:rPr>
          <w:sz w:val="18"/>
        </w:rPr>
        <w:t>, 17: 835–840,</w:t>
      </w:r>
      <w:r>
        <w:rPr>
          <w:spacing w:val="-13"/>
          <w:sz w:val="18"/>
        </w:rPr>
        <w:t> </w:t>
      </w:r>
      <w:r>
        <w:rPr>
          <w:sz w:val="18"/>
        </w:rPr>
        <w:t>(2015).</w:t>
      </w:r>
    </w:p>
    <w:p>
      <w:pPr>
        <w:spacing w:after="0" w:line="240" w:lineRule="auto"/>
        <w:jc w:val="both"/>
        <w:rPr>
          <w:sz w:val="18"/>
        </w:rPr>
        <w:sectPr>
          <w:footerReference w:type="default" r:id="rId67"/>
          <w:pgSz w:w="12240" w:h="15840"/>
          <w:pgMar w:footer="1480" w:header="0" w:top="1360" w:bottom="1680" w:left="1660" w:right="1300"/>
        </w:sectPr>
      </w:pPr>
    </w:p>
    <w:p>
      <w:pPr>
        <w:pStyle w:val="Heading2"/>
        <w:numPr>
          <w:ilvl w:val="1"/>
          <w:numId w:val="24"/>
        </w:numPr>
        <w:tabs>
          <w:tab w:pos="590" w:val="left" w:leader="none"/>
        </w:tabs>
        <w:spacing w:line="240" w:lineRule="auto" w:before="35" w:after="0"/>
        <w:ind w:left="589" w:right="0" w:hanging="471"/>
        <w:jc w:val="both"/>
      </w:pPr>
      <w:r>
        <w:rPr/>
        <w:t>RESULTADOS NO</w:t>
      </w:r>
      <w:r>
        <w:rPr>
          <w:spacing w:val="-18"/>
        </w:rPr>
        <w:t> </w:t>
      </w:r>
      <w:r>
        <w:rPr/>
        <w:t>PUBLICADOS</w:t>
      </w:r>
    </w:p>
    <w:p>
      <w:pPr>
        <w:pStyle w:val="BodyText"/>
        <w:spacing w:before="4"/>
        <w:rPr>
          <w:b/>
          <w:sz w:val="28"/>
        </w:rPr>
      </w:pPr>
    </w:p>
    <w:p>
      <w:pPr>
        <w:pStyle w:val="ListParagraph"/>
        <w:numPr>
          <w:ilvl w:val="2"/>
          <w:numId w:val="24"/>
        </w:numPr>
        <w:tabs>
          <w:tab w:pos="822" w:val="left" w:leader="none"/>
        </w:tabs>
        <w:spacing w:line="240" w:lineRule="auto" w:before="0" w:after="0"/>
        <w:ind w:left="822" w:right="0" w:hanging="704"/>
        <w:jc w:val="both"/>
        <w:rPr>
          <w:b/>
          <w:sz w:val="28"/>
        </w:rPr>
      </w:pPr>
      <w:r>
        <w:rPr>
          <w:b/>
          <w:sz w:val="28"/>
        </w:rPr>
        <w:t>Tasa de Crecimiento</w:t>
      </w:r>
      <w:r>
        <w:rPr>
          <w:b/>
          <w:spacing w:val="-15"/>
          <w:sz w:val="28"/>
        </w:rPr>
        <w:t> </w:t>
      </w:r>
      <w:r>
        <w:rPr>
          <w:b/>
          <w:sz w:val="28"/>
        </w:rPr>
        <w:t>Relativo</w:t>
      </w:r>
    </w:p>
    <w:p>
      <w:pPr>
        <w:pStyle w:val="BodyText"/>
        <w:spacing w:before="7"/>
        <w:rPr>
          <w:b/>
        </w:rPr>
      </w:pPr>
    </w:p>
    <w:p>
      <w:pPr>
        <w:spacing w:line="271" w:lineRule="auto" w:before="1"/>
        <w:ind w:left="118" w:right="112" w:firstLine="0"/>
        <w:jc w:val="both"/>
        <w:rPr>
          <w:sz w:val="22"/>
        </w:rPr>
      </w:pPr>
      <w:r>
        <w:rPr>
          <w:sz w:val="22"/>
        </w:rPr>
        <w:t>La tasa de crecimiento relativo (TCR) se define como el incremento de biomasa por unidad de tiempo (Antúnez </w:t>
      </w:r>
      <w:r>
        <w:rPr>
          <w:i/>
          <w:sz w:val="22"/>
        </w:rPr>
        <w:t>et al</w:t>
      </w:r>
      <w:r>
        <w:rPr>
          <w:sz w:val="22"/>
        </w:rPr>
        <w:t>., 2001). Es ampliamente utilizada por su influencia en la producción de biomasa y como indicador de daño fisiológico de la planta en consecuencia de la acumulación de metales (Mufarrage, 2012). Fue calculado para cada día de tratamiento (1, 3, 5 y 7 respectivamente), en base al secado de las tres plantas utilizadas en los sistemas de fitorremediación con una biomasa total de 90±10g. La TCR (g.g</w:t>
      </w:r>
      <w:r>
        <w:rPr>
          <w:position w:val="10"/>
          <w:sz w:val="14"/>
        </w:rPr>
        <w:t>-1 </w:t>
      </w:r>
      <w:r>
        <w:rPr>
          <w:sz w:val="22"/>
        </w:rPr>
        <w:t>de peso seco.d</w:t>
      </w:r>
      <w:r>
        <w:rPr>
          <w:position w:val="10"/>
          <w:sz w:val="14"/>
        </w:rPr>
        <w:t>-1</w:t>
      </w:r>
      <w:r>
        <w:rPr>
          <w:sz w:val="22"/>
        </w:rPr>
        <w:t>) se calculado según la ecuación de Olguín </w:t>
      </w:r>
      <w:r>
        <w:rPr>
          <w:i/>
          <w:sz w:val="22"/>
        </w:rPr>
        <w:t>et al</w:t>
      </w:r>
      <w:r>
        <w:rPr>
          <w:sz w:val="22"/>
        </w:rPr>
        <w:t>., (2007):</w:t>
      </w:r>
    </w:p>
    <w:p>
      <w:pPr>
        <w:pStyle w:val="BodyText"/>
        <w:spacing w:before="5"/>
        <w:rPr>
          <w:sz w:val="20"/>
        </w:rPr>
      </w:pPr>
    </w:p>
    <w:p>
      <w:pPr>
        <w:spacing w:before="0"/>
        <w:ind w:left="1742" w:right="1741" w:firstLine="0"/>
        <w:jc w:val="center"/>
        <w:rPr>
          <w:b/>
          <w:sz w:val="22"/>
        </w:rPr>
      </w:pPr>
      <w:r>
        <w:rPr>
          <w:b/>
          <w:sz w:val="22"/>
        </w:rPr>
        <w:t>TCR (día</w:t>
      </w:r>
      <w:r>
        <w:rPr>
          <w:b/>
          <w:position w:val="10"/>
          <w:sz w:val="14"/>
        </w:rPr>
        <w:t>-1</w:t>
      </w:r>
      <w:r>
        <w:rPr>
          <w:b/>
          <w:sz w:val="22"/>
        </w:rPr>
        <w:t>) = (Ln P</w:t>
      </w:r>
      <w:r>
        <w:rPr>
          <w:b/>
          <w:position w:val="-3"/>
          <w:sz w:val="18"/>
        </w:rPr>
        <w:t>f </w:t>
      </w:r>
      <w:r>
        <w:rPr>
          <w:b/>
          <w:sz w:val="22"/>
        </w:rPr>
        <w:t>– Ln P</w:t>
      </w:r>
      <w:r>
        <w:rPr>
          <w:b/>
          <w:position w:val="-3"/>
          <w:sz w:val="18"/>
        </w:rPr>
        <w:t>i</w:t>
      </w:r>
      <w:r>
        <w:rPr>
          <w:b/>
          <w:sz w:val="22"/>
        </w:rPr>
        <w:t>) / ∆t</w:t>
      </w:r>
    </w:p>
    <w:p>
      <w:pPr>
        <w:spacing w:line="266" w:lineRule="auto" w:before="229"/>
        <w:ind w:left="118" w:right="121" w:firstLine="0"/>
        <w:jc w:val="both"/>
        <w:rPr>
          <w:sz w:val="22"/>
        </w:rPr>
      </w:pPr>
      <w:r>
        <w:rPr>
          <w:sz w:val="22"/>
        </w:rPr>
        <w:t>Donde: </w:t>
      </w:r>
      <w:r>
        <w:rPr>
          <w:b/>
          <w:sz w:val="22"/>
        </w:rPr>
        <w:t>P</w:t>
      </w:r>
      <w:r>
        <w:rPr>
          <w:b/>
          <w:position w:val="-2"/>
          <w:sz w:val="14"/>
        </w:rPr>
        <w:t>f </w:t>
      </w:r>
      <w:r>
        <w:rPr>
          <w:sz w:val="22"/>
        </w:rPr>
        <w:t>y </w:t>
      </w:r>
      <w:r>
        <w:rPr>
          <w:b/>
          <w:sz w:val="22"/>
        </w:rPr>
        <w:t>P</w:t>
      </w:r>
      <w:r>
        <w:rPr>
          <w:b/>
          <w:position w:val="-2"/>
          <w:sz w:val="14"/>
        </w:rPr>
        <w:t>i </w:t>
      </w:r>
      <w:r>
        <w:rPr>
          <w:sz w:val="22"/>
        </w:rPr>
        <w:t>son pesos secos al inicio y final del experimento y ∆t es el periodo de tiempo del experimento.</w:t>
      </w:r>
    </w:p>
    <w:p>
      <w:pPr>
        <w:pStyle w:val="BodyText"/>
        <w:spacing w:before="5"/>
        <w:rPr>
          <w:sz w:val="18"/>
        </w:rPr>
      </w:pPr>
    </w:p>
    <w:p>
      <w:pPr>
        <w:spacing w:line="276" w:lineRule="auto" w:before="0"/>
        <w:ind w:left="118" w:right="113" w:firstLine="0"/>
        <w:jc w:val="both"/>
        <w:rPr>
          <w:sz w:val="22"/>
        </w:rPr>
      </w:pPr>
      <w:r>
        <w:rPr>
          <w:sz w:val="22"/>
        </w:rPr>
        <w:t>Al final de 7 días de tratamiento se observo que la cantidad de biomasa en el sistema al 12.5% del agua electrocoagulada disminuyo gradualmente (</w:t>
      </w:r>
      <w:r>
        <w:rPr>
          <w:b/>
          <w:sz w:val="22"/>
        </w:rPr>
        <w:t>Tabla.8</w:t>
      </w:r>
      <w:r>
        <w:rPr>
          <w:sz w:val="22"/>
        </w:rPr>
        <w:t>) ocasionado por la acumulación  de metales en la estructura vegetativa (Mufarrage, 2012; Cano, 2014; Rodríguez, 2016), no obstante estas variaciones de peso no fueron significativas (ANOVA P &gt;</w:t>
      </w:r>
      <w:r>
        <w:rPr>
          <w:spacing w:val="-22"/>
          <w:sz w:val="22"/>
        </w:rPr>
        <w:t> </w:t>
      </w:r>
      <w:r>
        <w:rPr>
          <w:sz w:val="22"/>
        </w:rPr>
        <w:t>0.05).</w:t>
      </w:r>
    </w:p>
    <w:p>
      <w:pPr>
        <w:pStyle w:val="BodyText"/>
        <w:rPr>
          <w:sz w:val="20"/>
        </w:rPr>
      </w:pPr>
    </w:p>
    <w:p>
      <w:pPr>
        <w:pStyle w:val="BodyText"/>
        <w:spacing w:before="8"/>
        <w:rPr>
          <w:sz w:val="11"/>
        </w:rPr>
      </w:pPr>
    </w:p>
    <w:tbl>
      <w:tblPr>
        <w:tblW w:w="0" w:type="auto"/>
        <w:jc w:val="left"/>
        <w:tblInd w:w="2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78"/>
        <w:gridCol w:w="3375"/>
      </w:tblGrid>
      <w:tr>
        <w:trPr>
          <w:trHeight w:val="437" w:hRule="exact"/>
        </w:trPr>
        <w:tc>
          <w:tcPr>
            <w:tcW w:w="5354" w:type="dxa"/>
            <w:gridSpan w:val="2"/>
            <w:tcBorders>
              <w:bottom w:val="single" w:sz="4" w:space="0" w:color="000000"/>
            </w:tcBorders>
          </w:tcPr>
          <w:p>
            <w:pPr>
              <w:pStyle w:val="TableParagraph"/>
              <w:spacing w:line="204" w:lineRule="exact"/>
              <w:ind w:left="108"/>
              <w:rPr>
                <w:sz w:val="20"/>
              </w:rPr>
            </w:pPr>
            <w:r>
              <w:rPr>
                <w:b/>
                <w:sz w:val="20"/>
              </w:rPr>
              <w:t>Tabla 8.  </w:t>
            </w:r>
            <w:r>
              <w:rPr>
                <w:sz w:val="20"/>
              </w:rPr>
              <w:t>Tasa de crecimiento relativo (TCR) en peso de</w:t>
            </w:r>
          </w:p>
          <w:p>
            <w:pPr>
              <w:pStyle w:val="TableParagraph"/>
              <w:spacing w:before="3"/>
              <w:ind w:left="108"/>
              <w:rPr>
                <w:sz w:val="20"/>
              </w:rPr>
            </w:pPr>
            <w:r>
              <w:rPr>
                <w:sz w:val="20"/>
              </w:rPr>
              <w:t>Typha latifolia L., durante la cinética de remoción.</w:t>
            </w:r>
          </w:p>
        </w:tc>
      </w:tr>
      <w:tr>
        <w:trPr>
          <w:trHeight w:val="471" w:hRule="exact"/>
        </w:trPr>
        <w:tc>
          <w:tcPr>
            <w:tcW w:w="1978" w:type="dxa"/>
            <w:tcBorders>
              <w:top w:val="single" w:sz="4" w:space="0" w:color="000000"/>
              <w:bottom w:val="single" w:sz="4" w:space="0" w:color="000000"/>
            </w:tcBorders>
          </w:tcPr>
          <w:p>
            <w:pPr>
              <w:pStyle w:val="TableParagraph"/>
              <w:spacing w:line="249" w:lineRule="exact"/>
              <w:ind w:left="415" w:right="-1470"/>
              <w:rPr>
                <w:b/>
                <w:sz w:val="22"/>
              </w:rPr>
            </w:pPr>
            <w:r>
              <w:rPr>
                <w:b/>
                <w:sz w:val="22"/>
              </w:rPr>
              <w:t>Tratamiento</w:t>
            </w:r>
          </w:p>
        </w:tc>
        <w:tc>
          <w:tcPr>
            <w:tcW w:w="3375" w:type="dxa"/>
            <w:tcBorders>
              <w:top w:val="single" w:sz="4" w:space="0" w:color="000000"/>
              <w:bottom w:val="single" w:sz="4" w:space="0" w:color="000000"/>
            </w:tcBorders>
          </w:tcPr>
          <w:p>
            <w:pPr>
              <w:pStyle w:val="TableParagraph"/>
              <w:spacing w:line="249" w:lineRule="exact"/>
              <w:ind w:left="300"/>
              <w:rPr>
                <w:b/>
                <w:sz w:val="22"/>
              </w:rPr>
            </w:pPr>
            <w:r>
              <w:rPr>
                <w:b/>
                <w:sz w:val="22"/>
              </w:rPr>
              <w:t>TCR (g.g</w:t>
            </w:r>
            <w:r>
              <w:rPr>
                <w:b/>
                <w:position w:val="10"/>
                <w:sz w:val="14"/>
              </w:rPr>
              <w:t>-1  </w:t>
            </w:r>
            <w:r>
              <w:rPr>
                <w:b/>
                <w:sz w:val="22"/>
              </w:rPr>
              <w:t>de peso seco.d</w:t>
            </w:r>
            <w:r>
              <w:rPr>
                <w:b/>
                <w:position w:val="10"/>
                <w:sz w:val="14"/>
              </w:rPr>
              <w:t>-1</w:t>
            </w:r>
            <w:r>
              <w:rPr>
                <w:b/>
                <w:sz w:val="22"/>
              </w:rPr>
              <w:t>)</w:t>
            </w:r>
          </w:p>
        </w:tc>
      </w:tr>
      <w:tr>
        <w:trPr>
          <w:trHeight w:val="266" w:hRule="exact"/>
        </w:trPr>
        <w:tc>
          <w:tcPr>
            <w:tcW w:w="1978" w:type="dxa"/>
            <w:tcBorders>
              <w:top w:val="single" w:sz="4" w:space="0" w:color="000000"/>
            </w:tcBorders>
          </w:tcPr>
          <w:p>
            <w:pPr>
              <w:pStyle w:val="TableParagraph"/>
              <w:spacing w:line="251" w:lineRule="exact"/>
              <w:ind w:left="884" w:right="772"/>
              <w:jc w:val="center"/>
              <w:rPr>
                <w:sz w:val="22"/>
              </w:rPr>
            </w:pPr>
            <w:r>
              <w:rPr>
                <w:sz w:val="22"/>
              </w:rPr>
              <w:t>D1</w:t>
            </w:r>
          </w:p>
        </w:tc>
        <w:tc>
          <w:tcPr>
            <w:tcW w:w="3375" w:type="dxa"/>
            <w:tcBorders>
              <w:top w:val="single" w:sz="4" w:space="0" w:color="000000"/>
            </w:tcBorders>
          </w:tcPr>
          <w:p>
            <w:pPr>
              <w:pStyle w:val="TableParagraph"/>
              <w:spacing w:line="251" w:lineRule="exact"/>
              <w:ind w:left="1449" w:right="1334"/>
              <w:jc w:val="center"/>
              <w:rPr>
                <w:sz w:val="22"/>
              </w:rPr>
            </w:pPr>
            <w:r>
              <w:rPr>
                <w:sz w:val="22"/>
              </w:rPr>
              <w:t>5.551</w:t>
            </w:r>
          </w:p>
        </w:tc>
      </w:tr>
      <w:tr>
        <w:trPr>
          <w:trHeight w:val="253" w:hRule="exact"/>
        </w:trPr>
        <w:tc>
          <w:tcPr>
            <w:tcW w:w="1978" w:type="dxa"/>
          </w:tcPr>
          <w:p>
            <w:pPr>
              <w:pStyle w:val="TableParagraph"/>
              <w:spacing w:line="241" w:lineRule="exact"/>
              <w:ind w:left="884" w:right="772"/>
              <w:jc w:val="center"/>
              <w:rPr>
                <w:sz w:val="22"/>
              </w:rPr>
            </w:pPr>
            <w:r>
              <w:rPr>
                <w:sz w:val="22"/>
              </w:rPr>
              <w:t>D3</w:t>
            </w:r>
          </w:p>
        </w:tc>
        <w:tc>
          <w:tcPr>
            <w:tcW w:w="3375" w:type="dxa"/>
          </w:tcPr>
          <w:p>
            <w:pPr>
              <w:pStyle w:val="TableParagraph"/>
              <w:spacing w:line="241" w:lineRule="exact"/>
              <w:ind w:left="1449" w:right="1334"/>
              <w:jc w:val="center"/>
              <w:rPr>
                <w:sz w:val="22"/>
              </w:rPr>
            </w:pPr>
            <w:r>
              <w:rPr>
                <w:sz w:val="22"/>
              </w:rPr>
              <w:t>1.834</w:t>
            </w:r>
          </w:p>
        </w:tc>
      </w:tr>
      <w:tr>
        <w:trPr>
          <w:trHeight w:val="253" w:hRule="exact"/>
        </w:trPr>
        <w:tc>
          <w:tcPr>
            <w:tcW w:w="1978" w:type="dxa"/>
          </w:tcPr>
          <w:p>
            <w:pPr>
              <w:pStyle w:val="TableParagraph"/>
              <w:spacing w:line="242" w:lineRule="exact"/>
              <w:ind w:left="884" w:right="772"/>
              <w:jc w:val="center"/>
              <w:rPr>
                <w:sz w:val="22"/>
              </w:rPr>
            </w:pPr>
            <w:r>
              <w:rPr>
                <w:sz w:val="22"/>
              </w:rPr>
              <w:t>D5</w:t>
            </w:r>
          </w:p>
        </w:tc>
        <w:tc>
          <w:tcPr>
            <w:tcW w:w="3375" w:type="dxa"/>
          </w:tcPr>
          <w:p>
            <w:pPr>
              <w:pStyle w:val="TableParagraph"/>
              <w:spacing w:line="242" w:lineRule="exact"/>
              <w:ind w:left="1449" w:right="1334"/>
              <w:jc w:val="center"/>
              <w:rPr>
                <w:sz w:val="22"/>
              </w:rPr>
            </w:pPr>
            <w:r>
              <w:rPr>
                <w:sz w:val="22"/>
              </w:rPr>
              <w:t>1.094</w:t>
            </w:r>
          </w:p>
        </w:tc>
      </w:tr>
      <w:tr>
        <w:trPr>
          <w:trHeight w:val="236" w:hRule="exact"/>
        </w:trPr>
        <w:tc>
          <w:tcPr>
            <w:tcW w:w="1978" w:type="dxa"/>
          </w:tcPr>
          <w:p>
            <w:pPr>
              <w:pStyle w:val="TableParagraph"/>
              <w:tabs>
                <w:tab w:pos="905" w:val="left" w:leader="none"/>
                <w:tab w:pos="3447" w:val="left" w:leader="none"/>
              </w:tabs>
              <w:spacing w:line="241" w:lineRule="exact"/>
              <w:ind w:left="-15" w:right="-1470"/>
              <w:rPr>
                <w:sz w:val="22"/>
              </w:rPr>
            </w:pPr>
            <w:r>
              <w:rPr>
                <w:w w:val="100"/>
                <w:sz w:val="22"/>
                <w:u w:val="single"/>
              </w:rPr>
              <w:t> </w:t>
            </w:r>
            <w:r>
              <w:rPr>
                <w:sz w:val="22"/>
                <w:u w:val="single"/>
              </w:rPr>
              <w:tab/>
              <w:t>D7</w:t>
              <w:tab/>
            </w:r>
          </w:p>
        </w:tc>
        <w:tc>
          <w:tcPr>
            <w:tcW w:w="3375" w:type="dxa"/>
          </w:tcPr>
          <w:p>
            <w:pPr>
              <w:pStyle w:val="TableParagraph"/>
              <w:tabs>
                <w:tab w:pos="3375" w:val="left" w:leader="none"/>
              </w:tabs>
              <w:spacing w:line="241" w:lineRule="exact"/>
              <w:ind w:left="1469"/>
              <w:rPr>
                <w:sz w:val="22"/>
              </w:rPr>
            </w:pPr>
            <w:r>
              <w:rPr>
                <w:sz w:val="22"/>
                <w:u w:val="single"/>
              </w:rPr>
              <w:t>0.786</w:t>
              <w:tab/>
            </w:r>
          </w:p>
        </w:tc>
      </w:tr>
    </w:tbl>
    <w:p>
      <w:pPr>
        <w:pStyle w:val="BodyText"/>
        <w:rPr>
          <w:sz w:val="20"/>
        </w:rPr>
      </w:pPr>
    </w:p>
    <w:p>
      <w:pPr>
        <w:pStyle w:val="BodyText"/>
        <w:rPr>
          <w:sz w:val="20"/>
        </w:rPr>
      </w:pPr>
    </w:p>
    <w:p>
      <w:pPr>
        <w:pStyle w:val="Heading2"/>
        <w:numPr>
          <w:ilvl w:val="2"/>
          <w:numId w:val="24"/>
        </w:numPr>
        <w:tabs>
          <w:tab w:pos="822" w:val="left" w:leader="none"/>
        </w:tabs>
        <w:spacing w:line="240" w:lineRule="auto" w:before="202" w:after="0"/>
        <w:ind w:left="822" w:right="0" w:hanging="704"/>
        <w:jc w:val="both"/>
      </w:pPr>
      <w:r>
        <w:rPr/>
        <w:t>Contenido de</w:t>
      </w:r>
      <w:r>
        <w:rPr>
          <w:spacing w:val="-3"/>
        </w:rPr>
        <w:t> Agua</w:t>
      </w:r>
    </w:p>
    <w:p>
      <w:pPr>
        <w:pStyle w:val="BodyText"/>
        <w:spacing w:before="5"/>
        <w:rPr>
          <w:b/>
        </w:rPr>
      </w:pPr>
    </w:p>
    <w:p>
      <w:pPr>
        <w:spacing w:line="276" w:lineRule="auto" w:before="0"/>
        <w:ind w:left="118" w:right="111" w:firstLine="0"/>
        <w:jc w:val="both"/>
        <w:rPr>
          <w:sz w:val="22"/>
        </w:rPr>
      </w:pPr>
      <w:r>
        <w:rPr>
          <w:sz w:val="22"/>
        </w:rPr>
        <w:t>El contenido relativo de agua (CRA) es otro parámetro indicativo de la tolerancia de la planta, ya que puede ser alterado bajo estrés por la presencia de los metales pesados (Ruíz, 2010). El tratamiento de fitorremediación (Fig.11) con </w:t>
      </w:r>
      <w:r>
        <w:rPr>
          <w:i/>
          <w:sz w:val="22"/>
        </w:rPr>
        <w:t>Typha latifolia L</w:t>
      </w:r>
      <w:r>
        <w:rPr>
          <w:sz w:val="22"/>
        </w:rPr>
        <w:t>., con dilución al 12.5% de agua electrocoagulada con las concentraciones de Pb (0.262 ml/L), Cu (1.25 ml/L), Cd (9 ml/L) y Zn  (5 ml/L); presento nuevamente una disminución (día 3) para posteriormente aumentar, dichos cambios no generaron un variación significativa (ANOVA P&gt;0.05). La presencia de metales en las plantas pueden reducir el potencial hídrico y la tasa de transpiración, también puede aumentar la resistencia al transporte difusivo, impactando significativamente la absorción de nutrientes y agua por la planta (Chatterjee &amp; Chatterjee, 2000, Fediuc y Erdei, 2002; Xiang et al.,</w:t>
      </w:r>
      <w:r>
        <w:rPr>
          <w:spacing w:val="-2"/>
          <w:sz w:val="22"/>
        </w:rPr>
        <w:t> </w:t>
      </w:r>
      <w:r>
        <w:rPr>
          <w:sz w:val="22"/>
        </w:rPr>
        <w:t>2009).</w:t>
      </w:r>
    </w:p>
    <w:p>
      <w:pPr>
        <w:spacing w:after="0" w:line="276" w:lineRule="auto"/>
        <w:jc w:val="both"/>
        <w:rPr>
          <w:sz w:val="22"/>
        </w:rPr>
        <w:sectPr>
          <w:footerReference w:type="default" r:id="rId68"/>
          <w:pgSz w:w="12240" w:h="15840"/>
          <w:pgMar w:footer="1420" w:header="0" w:top="1380" w:bottom="1620" w:left="1300" w:right="1300"/>
          <w:pgNumType w:start="51"/>
        </w:sectPr>
      </w:pPr>
    </w:p>
    <w:p>
      <w:pPr>
        <w:pStyle w:val="BodyText"/>
        <w:spacing w:before="8"/>
        <w:rPr>
          <w:rFonts w:ascii="Times New Roman"/>
          <w:sz w:val="14"/>
        </w:rPr>
      </w:pPr>
    </w:p>
    <w:tbl>
      <w:tblPr>
        <w:tblW w:w="0" w:type="auto"/>
        <w:jc w:val="left"/>
        <w:tblInd w:w="18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6"/>
      </w:tblGrid>
      <w:tr>
        <w:trPr>
          <w:trHeight w:val="1747" w:hRule="exact"/>
        </w:trPr>
        <w:tc>
          <w:tcPr>
            <w:tcW w:w="5106" w:type="dxa"/>
          </w:tcPr>
          <w:p>
            <w:pPr>
              <w:pStyle w:val="TableParagraph"/>
              <w:ind w:left="476"/>
              <w:rPr>
                <w:rFonts w:ascii="Times New Roman"/>
                <w:sz w:val="20"/>
              </w:rPr>
            </w:pPr>
            <w:r>
              <w:rPr>
                <w:rFonts w:ascii="Times New Roman"/>
                <w:sz w:val="20"/>
              </w:rPr>
              <w:drawing>
                <wp:inline distT="0" distB="0" distL="0" distR="0">
                  <wp:extent cx="2145379" cy="992124"/>
                  <wp:effectExtent l="0" t="0" r="0" b="0"/>
                  <wp:docPr id="83" name="image45.png" descr=""/>
                  <wp:cNvGraphicFramePr>
                    <a:graphicFrameLocks noChangeAspect="1"/>
                  </wp:cNvGraphicFramePr>
                  <a:graphic>
                    <a:graphicData uri="http://schemas.openxmlformats.org/drawingml/2006/picture">
                      <pic:pic>
                        <pic:nvPicPr>
                          <pic:cNvPr id="84" name="image45.png"/>
                          <pic:cNvPicPr/>
                        </pic:nvPicPr>
                        <pic:blipFill>
                          <a:blip r:embed="rId69" cstate="print"/>
                          <a:stretch>
                            <a:fillRect/>
                          </a:stretch>
                        </pic:blipFill>
                        <pic:spPr>
                          <a:xfrm>
                            <a:off x="0" y="0"/>
                            <a:ext cx="2145379" cy="992124"/>
                          </a:xfrm>
                          <a:prstGeom prst="rect">
                            <a:avLst/>
                          </a:prstGeom>
                        </pic:spPr>
                      </pic:pic>
                    </a:graphicData>
                  </a:graphic>
                </wp:inline>
              </w:drawing>
            </w:r>
            <w:r>
              <w:rPr>
                <w:rFonts w:ascii="Times New Roman"/>
                <w:sz w:val="20"/>
              </w:rPr>
            </w:r>
          </w:p>
          <w:p>
            <w:pPr>
              <w:pStyle w:val="TableParagraph"/>
              <w:spacing w:before="11"/>
              <w:rPr>
                <w:rFonts w:ascii="Times New Roman"/>
                <w:sz w:val="15"/>
              </w:rPr>
            </w:pPr>
          </w:p>
        </w:tc>
      </w:tr>
      <w:tr>
        <w:trPr>
          <w:trHeight w:val="647" w:hRule="exact"/>
        </w:trPr>
        <w:tc>
          <w:tcPr>
            <w:tcW w:w="5106" w:type="dxa"/>
          </w:tcPr>
          <w:p>
            <w:pPr>
              <w:pStyle w:val="TableParagraph"/>
              <w:spacing w:before="155"/>
              <w:ind w:left="200"/>
              <w:rPr>
                <w:i/>
                <w:sz w:val="20"/>
              </w:rPr>
            </w:pPr>
            <w:r>
              <w:rPr>
                <w:b/>
                <w:sz w:val="20"/>
              </w:rPr>
              <w:t>Fig.   11   </w:t>
            </w:r>
            <w:r>
              <w:rPr>
                <w:sz w:val="20"/>
              </w:rPr>
              <w:t>Contenidode   agua   para   </w:t>
            </w:r>
            <w:r>
              <w:rPr>
                <w:i/>
                <w:sz w:val="20"/>
              </w:rPr>
              <w:t>Typha  latifolia</w:t>
            </w:r>
          </w:p>
          <w:p>
            <w:pPr>
              <w:pStyle w:val="TableParagraph"/>
              <w:spacing w:before="36"/>
              <w:ind w:left="200"/>
              <w:rPr>
                <w:sz w:val="20"/>
              </w:rPr>
            </w:pPr>
            <w:r>
              <w:rPr>
                <w:sz w:val="20"/>
              </w:rPr>
              <w:t>duranta cineticas de remoción</w:t>
            </w:r>
          </w:p>
        </w:tc>
      </w:tr>
    </w:tbl>
    <w:p>
      <w:pPr>
        <w:spacing w:after="0"/>
        <w:rPr>
          <w:sz w:val="20"/>
        </w:rPr>
        <w:sectPr>
          <w:pgSz w:w="12240" w:h="15840"/>
          <w:pgMar w:header="0" w:footer="1420" w:top="1500" w:bottom="1620" w:left="1720" w:right="1300"/>
        </w:sectPr>
      </w:pPr>
    </w:p>
    <w:p>
      <w:pPr>
        <w:pStyle w:val="Heading2"/>
        <w:numPr>
          <w:ilvl w:val="0"/>
          <w:numId w:val="25"/>
        </w:numPr>
        <w:tabs>
          <w:tab w:pos="467" w:val="left" w:leader="none"/>
        </w:tabs>
        <w:spacing w:line="240" w:lineRule="auto" w:before="52" w:after="0"/>
        <w:ind w:left="466" w:right="0" w:hanging="348"/>
        <w:jc w:val="left"/>
      </w:pPr>
      <w:r>
        <w:rPr/>
        <w:t>CONCLUSIONES</w:t>
      </w:r>
    </w:p>
    <w:p>
      <w:pPr>
        <w:pStyle w:val="BodyText"/>
        <w:spacing w:before="6"/>
        <w:rPr>
          <w:b/>
          <w:sz w:val="33"/>
        </w:rPr>
      </w:pPr>
    </w:p>
    <w:p>
      <w:pPr>
        <w:pStyle w:val="ListParagraph"/>
        <w:numPr>
          <w:ilvl w:val="0"/>
          <w:numId w:val="26"/>
        </w:numPr>
        <w:tabs>
          <w:tab w:pos="467" w:val="left" w:leader="none"/>
        </w:tabs>
        <w:spacing w:line="240" w:lineRule="auto" w:before="0" w:after="0"/>
        <w:ind w:left="478" w:right="115" w:hanging="360"/>
        <w:jc w:val="both"/>
        <w:rPr>
          <w:rFonts w:ascii="Symbol" w:hAnsi="Symbol"/>
          <w:sz w:val="24"/>
        </w:rPr>
      </w:pPr>
      <w:r>
        <w:rPr>
          <w:sz w:val="24"/>
        </w:rPr>
        <w:t>Los probables mecanismos de eliminación de la mezcla de Cu, Cd, Pb y Zn en una solución simulada a los pozos de la mina son: 1) en la proximidad del cátodo por reducción directa como hidróxidos metálicos formados por la electrólisis del cátodo y 2) co -precipitado con hidróxido de aluminio. Las velocidades de eliminación durante 180 minutos de tratamiento electroquímico alcanzaron una eficacia del 100% en Zn, 98,3% Cu, 96,4 Pb y 78,7 Cd a un pH de 5,27, con un consumo de energía calculado de 26 Kwh /</w:t>
      </w:r>
      <w:r>
        <w:rPr>
          <w:spacing w:val="-19"/>
          <w:sz w:val="24"/>
        </w:rPr>
        <w:t> </w:t>
      </w:r>
      <w:r>
        <w:rPr>
          <w:sz w:val="24"/>
        </w:rPr>
        <w:t>m3.</w:t>
      </w:r>
    </w:p>
    <w:p>
      <w:pPr>
        <w:pStyle w:val="BodyText"/>
      </w:pPr>
    </w:p>
    <w:p>
      <w:pPr>
        <w:pStyle w:val="ListParagraph"/>
        <w:numPr>
          <w:ilvl w:val="0"/>
          <w:numId w:val="26"/>
        </w:numPr>
        <w:tabs>
          <w:tab w:pos="467" w:val="left" w:leader="none"/>
        </w:tabs>
        <w:spacing w:line="240" w:lineRule="auto" w:before="0" w:after="0"/>
        <w:ind w:left="478" w:right="112" w:hanging="360"/>
        <w:jc w:val="both"/>
        <w:rPr>
          <w:rFonts w:ascii="Symbol" w:hAnsi="Symbol"/>
          <w:sz w:val="24"/>
        </w:rPr>
      </w:pPr>
      <w:r>
        <w:rPr>
          <w:sz w:val="24"/>
        </w:rPr>
        <w:t>El presente estudio demostró que Typha latifolia es tolerante a las concentraciones residuales de la mezcla de metal de agua electrocoagulada. Los valores de FBC obtenidos indican que la raíz de la macrófita es apropiada para la fitostabilización y la fitoacumulación de los metales y que sólo el plomo se translocó</w:t>
      </w:r>
      <w:r>
        <w:rPr>
          <w:spacing w:val="-5"/>
          <w:sz w:val="24"/>
        </w:rPr>
        <w:t> </w:t>
      </w:r>
      <w:r>
        <w:rPr>
          <w:sz w:val="24"/>
        </w:rPr>
        <w:t>eficientemente.</w:t>
      </w:r>
    </w:p>
    <w:p>
      <w:pPr>
        <w:pStyle w:val="BodyText"/>
      </w:pPr>
    </w:p>
    <w:p>
      <w:pPr>
        <w:pStyle w:val="ListParagraph"/>
        <w:numPr>
          <w:ilvl w:val="0"/>
          <w:numId w:val="26"/>
        </w:numPr>
        <w:tabs>
          <w:tab w:pos="467" w:val="left" w:leader="none"/>
        </w:tabs>
        <w:spacing w:line="240" w:lineRule="auto" w:before="0" w:after="0"/>
        <w:ind w:left="478" w:right="114" w:hanging="360"/>
        <w:jc w:val="both"/>
        <w:rPr>
          <w:rFonts w:ascii="Symbol" w:hAnsi="Symbol"/>
          <w:sz w:val="24"/>
        </w:rPr>
      </w:pPr>
      <w:r>
        <w:rPr>
          <w:sz w:val="24"/>
        </w:rPr>
        <w:t>El sistema de fitorremediación aumentó la eliminación de la mezcla metálica. La combinación de procesos electroquímicos y fitorremediación es factible en el tratamiento de aguas residuales que contienen los metales probados en este estudio.</w:t>
      </w:r>
    </w:p>
    <w:p>
      <w:pPr>
        <w:spacing w:after="0" w:line="240" w:lineRule="auto"/>
        <w:jc w:val="both"/>
        <w:rPr>
          <w:rFonts w:ascii="Symbol" w:hAnsi="Symbol"/>
          <w:sz w:val="24"/>
        </w:rPr>
        <w:sectPr>
          <w:pgSz w:w="12240" w:h="15840"/>
          <w:pgMar w:header="0" w:footer="1420" w:top="1360" w:bottom="1620" w:left="1660" w:right="1300"/>
        </w:sectPr>
      </w:pPr>
    </w:p>
    <w:p>
      <w:pPr>
        <w:pStyle w:val="Heading3"/>
        <w:spacing w:before="54"/>
        <w:ind w:left="118" w:firstLine="0"/>
      </w:pPr>
      <w:r>
        <w:rPr/>
        <w:t>CONGRESOS</w:t>
      </w:r>
    </w:p>
    <w:p>
      <w:pPr>
        <w:pStyle w:val="BodyText"/>
        <w:rPr>
          <w:b/>
        </w:rPr>
      </w:pPr>
    </w:p>
    <w:p>
      <w:pPr>
        <w:pStyle w:val="ListParagraph"/>
        <w:numPr>
          <w:ilvl w:val="1"/>
          <w:numId w:val="25"/>
        </w:numPr>
        <w:tabs>
          <w:tab w:pos="827" w:val="left" w:leader="none"/>
        </w:tabs>
        <w:spacing w:line="240" w:lineRule="auto" w:before="0" w:after="0"/>
        <w:ind w:left="838" w:right="111" w:hanging="360"/>
        <w:jc w:val="left"/>
        <w:rPr>
          <w:b/>
          <w:sz w:val="22"/>
        </w:rPr>
      </w:pPr>
      <w:r>
        <w:rPr>
          <w:b/>
          <w:sz w:val="22"/>
        </w:rPr>
        <w:t>II Simposium de Ciencias Ambientales (1 de Diciembre 2014). Tecnológico de Estudios Superiores de</w:t>
      </w:r>
      <w:r>
        <w:rPr>
          <w:b/>
          <w:spacing w:val="-6"/>
          <w:sz w:val="22"/>
        </w:rPr>
        <w:t> </w:t>
      </w:r>
      <w:r>
        <w:rPr>
          <w:b/>
          <w:sz w:val="22"/>
        </w:rPr>
        <w:t>Jocotitlán.</w:t>
      </w:r>
    </w:p>
    <w:p>
      <w:pPr>
        <w:pStyle w:val="BodyText"/>
        <w:spacing w:before="11"/>
        <w:rPr>
          <w:b/>
          <w:sz w:val="20"/>
        </w:rPr>
      </w:pPr>
      <w:r>
        <w:rPr/>
        <w:drawing>
          <wp:anchor distT="0" distB="0" distL="0" distR="0" allowOverlap="1" layoutInCell="1" locked="0" behindDoc="0" simplePos="0" relativeHeight="2128">
            <wp:simplePos x="0" y="0"/>
            <wp:positionH relativeFrom="page">
              <wp:posOffset>901191</wp:posOffset>
            </wp:positionH>
            <wp:positionV relativeFrom="paragraph">
              <wp:posOffset>177905</wp:posOffset>
            </wp:positionV>
            <wp:extent cx="5943040" cy="6954869"/>
            <wp:effectExtent l="0" t="0" r="0" b="0"/>
            <wp:wrapTopAndBottom/>
            <wp:docPr id="85" name="image46.jpeg" descr=""/>
            <wp:cNvGraphicFramePr>
              <a:graphicFrameLocks noChangeAspect="1"/>
            </wp:cNvGraphicFramePr>
            <a:graphic>
              <a:graphicData uri="http://schemas.openxmlformats.org/drawingml/2006/picture">
                <pic:pic>
                  <pic:nvPicPr>
                    <pic:cNvPr id="86" name="image46.jpeg"/>
                    <pic:cNvPicPr/>
                  </pic:nvPicPr>
                  <pic:blipFill>
                    <a:blip r:embed="rId70" cstate="print"/>
                    <a:stretch>
                      <a:fillRect/>
                    </a:stretch>
                  </pic:blipFill>
                  <pic:spPr>
                    <a:xfrm>
                      <a:off x="0" y="0"/>
                      <a:ext cx="5943040" cy="6954869"/>
                    </a:xfrm>
                    <a:prstGeom prst="rect">
                      <a:avLst/>
                    </a:prstGeom>
                  </pic:spPr>
                </pic:pic>
              </a:graphicData>
            </a:graphic>
          </wp:anchor>
        </w:drawing>
      </w:r>
    </w:p>
    <w:p>
      <w:pPr>
        <w:spacing w:after="0"/>
        <w:rPr>
          <w:sz w:val="20"/>
        </w:rPr>
        <w:sectPr>
          <w:pgSz w:w="12240" w:h="15840"/>
          <w:pgMar w:header="0" w:footer="1420" w:top="1360" w:bottom="1680" w:left="1300" w:right="1300"/>
        </w:sectPr>
      </w:pPr>
    </w:p>
    <w:p>
      <w:pPr>
        <w:pStyle w:val="ListParagraph"/>
        <w:numPr>
          <w:ilvl w:val="1"/>
          <w:numId w:val="25"/>
        </w:numPr>
        <w:tabs>
          <w:tab w:pos="827" w:val="left" w:leader="none"/>
        </w:tabs>
        <w:spacing w:line="240" w:lineRule="auto" w:before="53" w:after="0"/>
        <w:ind w:left="838" w:right="311" w:hanging="360"/>
        <w:jc w:val="left"/>
        <w:rPr>
          <w:b/>
          <w:sz w:val="22"/>
        </w:rPr>
      </w:pPr>
      <w:r>
        <w:rPr>
          <w:b/>
          <w:sz w:val="22"/>
        </w:rPr>
        <w:t>XIV Congreso Internacional y XX Congreso Nacional de Ciencias Ambientales (3- 5 Junio 2015). Benemérita Universidad Autónoma de</w:t>
      </w:r>
      <w:r>
        <w:rPr>
          <w:b/>
          <w:spacing w:val="-15"/>
          <w:sz w:val="22"/>
        </w:rPr>
        <w:t> </w:t>
      </w:r>
      <w:r>
        <w:rPr>
          <w:b/>
          <w:sz w:val="22"/>
        </w:rPr>
        <w:t>Puebla.</w:t>
      </w:r>
    </w:p>
    <w:p>
      <w:pPr>
        <w:pStyle w:val="BodyText"/>
        <w:spacing w:before="10"/>
        <w:rPr>
          <w:b/>
          <w:sz w:val="20"/>
        </w:rPr>
      </w:pPr>
      <w:r>
        <w:rPr/>
        <w:drawing>
          <wp:anchor distT="0" distB="0" distL="0" distR="0" allowOverlap="1" layoutInCell="1" locked="0" behindDoc="0" simplePos="0" relativeHeight="2152">
            <wp:simplePos x="0" y="0"/>
            <wp:positionH relativeFrom="page">
              <wp:posOffset>901191</wp:posOffset>
            </wp:positionH>
            <wp:positionV relativeFrom="paragraph">
              <wp:posOffset>177637</wp:posOffset>
            </wp:positionV>
            <wp:extent cx="6059026" cy="7246620"/>
            <wp:effectExtent l="0" t="0" r="0" b="0"/>
            <wp:wrapTopAndBottom/>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71" cstate="print"/>
                    <a:stretch>
                      <a:fillRect/>
                    </a:stretch>
                  </pic:blipFill>
                  <pic:spPr>
                    <a:xfrm>
                      <a:off x="0" y="0"/>
                      <a:ext cx="6059026" cy="7246620"/>
                    </a:xfrm>
                    <a:prstGeom prst="rect">
                      <a:avLst/>
                    </a:prstGeom>
                  </pic:spPr>
                </pic:pic>
              </a:graphicData>
            </a:graphic>
          </wp:anchor>
        </w:drawing>
      </w:r>
    </w:p>
    <w:p>
      <w:pPr>
        <w:spacing w:after="0"/>
        <w:rPr>
          <w:sz w:val="20"/>
        </w:rPr>
        <w:sectPr>
          <w:pgSz w:w="12240" w:h="15840"/>
          <w:pgMar w:header="0" w:footer="1420" w:top="1360" w:bottom="1680" w:left="1300" w:right="1100"/>
        </w:sectPr>
      </w:pPr>
    </w:p>
    <w:p>
      <w:pPr>
        <w:pStyle w:val="ListParagraph"/>
        <w:numPr>
          <w:ilvl w:val="1"/>
          <w:numId w:val="25"/>
        </w:numPr>
        <w:tabs>
          <w:tab w:pos="827" w:val="left" w:leader="none"/>
        </w:tabs>
        <w:spacing w:line="240" w:lineRule="auto" w:before="68" w:after="0"/>
        <w:ind w:left="838" w:right="691" w:hanging="360"/>
        <w:jc w:val="both"/>
        <w:rPr>
          <w:b/>
          <w:sz w:val="22"/>
        </w:rPr>
      </w:pPr>
      <w:r>
        <w:rPr>
          <w:b/>
          <w:sz w:val="22"/>
        </w:rPr>
        <w:t>XXXI Congreso Nacional de la Sociedad Mexicana de Electroquímica y 9</w:t>
      </w:r>
      <w:r>
        <w:rPr>
          <w:b/>
          <w:position w:val="10"/>
          <w:sz w:val="14"/>
        </w:rPr>
        <w:t>th </w:t>
      </w:r>
      <w:r>
        <w:rPr>
          <w:b/>
          <w:sz w:val="22"/>
        </w:rPr>
        <w:t>Meeting of the Mexican Section of the Electrochemical Society. (30 Mayo a 3 Junio del 2016). Universidad Autónoma de Nuevo</w:t>
      </w:r>
      <w:r>
        <w:rPr>
          <w:b/>
          <w:spacing w:val="-12"/>
          <w:sz w:val="22"/>
        </w:rPr>
        <w:t> </w:t>
      </w:r>
      <w:r>
        <w:rPr>
          <w:b/>
          <w:sz w:val="22"/>
        </w:rPr>
        <w:t>León.</w:t>
      </w:r>
    </w:p>
    <w:p>
      <w:pPr>
        <w:pStyle w:val="BodyText"/>
        <w:spacing w:before="11"/>
        <w:rPr>
          <w:b/>
          <w:sz w:val="20"/>
        </w:rPr>
      </w:pPr>
      <w:r>
        <w:rPr/>
        <w:drawing>
          <wp:anchor distT="0" distB="0" distL="0" distR="0" allowOverlap="1" layoutInCell="1" locked="0" behindDoc="0" simplePos="0" relativeHeight="2176">
            <wp:simplePos x="0" y="0"/>
            <wp:positionH relativeFrom="page">
              <wp:posOffset>901191</wp:posOffset>
            </wp:positionH>
            <wp:positionV relativeFrom="paragraph">
              <wp:posOffset>178026</wp:posOffset>
            </wp:positionV>
            <wp:extent cx="6320031" cy="7186231"/>
            <wp:effectExtent l="0" t="0" r="0" b="0"/>
            <wp:wrapTopAndBottom/>
            <wp:docPr id="89" name="image48.jpeg" descr=""/>
            <wp:cNvGraphicFramePr>
              <a:graphicFrameLocks noChangeAspect="1"/>
            </wp:cNvGraphicFramePr>
            <a:graphic>
              <a:graphicData uri="http://schemas.openxmlformats.org/drawingml/2006/picture">
                <pic:pic>
                  <pic:nvPicPr>
                    <pic:cNvPr id="90" name="image48.jpeg"/>
                    <pic:cNvPicPr/>
                  </pic:nvPicPr>
                  <pic:blipFill>
                    <a:blip r:embed="rId72" cstate="print"/>
                    <a:stretch>
                      <a:fillRect/>
                    </a:stretch>
                  </pic:blipFill>
                  <pic:spPr>
                    <a:xfrm>
                      <a:off x="0" y="0"/>
                      <a:ext cx="6320031" cy="7186231"/>
                    </a:xfrm>
                    <a:prstGeom prst="rect">
                      <a:avLst/>
                    </a:prstGeom>
                  </pic:spPr>
                </pic:pic>
              </a:graphicData>
            </a:graphic>
          </wp:anchor>
        </w:drawing>
      </w:r>
    </w:p>
    <w:p>
      <w:pPr>
        <w:spacing w:after="0"/>
        <w:rPr>
          <w:sz w:val="20"/>
        </w:rPr>
        <w:sectPr>
          <w:pgSz w:w="12240" w:h="15840"/>
          <w:pgMar w:header="0" w:footer="1420" w:top="1320" w:bottom="1680" w:left="1300" w:right="720"/>
        </w:sectPr>
      </w:pPr>
    </w:p>
    <w:p>
      <w:pPr>
        <w:pStyle w:val="ListParagraph"/>
        <w:numPr>
          <w:ilvl w:val="1"/>
          <w:numId w:val="25"/>
        </w:numPr>
        <w:tabs>
          <w:tab w:pos="827" w:val="left" w:leader="none"/>
        </w:tabs>
        <w:spacing w:line="240" w:lineRule="auto" w:before="53" w:after="0"/>
        <w:ind w:left="838" w:right="452" w:hanging="360"/>
        <w:jc w:val="left"/>
        <w:rPr>
          <w:b/>
          <w:sz w:val="22"/>
        </w:rPr>
      </w:pPr>
      <w:r>
        <w:rPr>
          <w:b/>
          <w:sz w:val="22"/>
        </w:rPr>
        <w:t>XV Congreso Internacional y XXI Congreso Nacional de Ciencias Ambientales (15- 17 Junio 2016). Instituto Tecnológico del Valle de</w:t>
      </w:r>
      <w:r>
        <w:rPr>
          <w:b/>
          <w:spacing w:val="-16"/>
          <w:sz w:val="22"/>
        </w:rPr>
        <w:t> </w:t>
      </w:r>
      <w:r>
        <w:rPr>
          <w:b/>
          <w:sz w:val="22"/>
        </w:rPr>
        <w:t>Oaxaca.</w:t>
      </w:r>
    </w:p>
    <w:p>
      <w:pPr>
        <w:pStyle w:val="BodyText"/>
        <w:spacing w:before="1"/>
        <w:rPr>
          <w:b/>
          <w:sz w:val="19"/>
        </w:rPr>
      </w:pPr>
      <w:r>
        <w:rPr/>
        <w:drawing>
          <wp:anchor distT="0" distB="0" distL="0" distR="0" allowOverlap="1" layoutInCell="1" locked="0" behindDoc="0" simplePos="0" relativeHeight="2200">
            <wp:simplePos x="0" y="0"/>
            <wp:positionH relativeFrom="page">
              <wp:posOffset>901191</wp:posOffset>
            </wp:positionH>
            <wp:positionV relativeFrom="paragraph">
              <wp:posOffset>164264</wp:posOffset>
            </wp:positionV>
            <wp:extent cx="6163266" cy="7065454"/>
            <wp:effectExtent l="0" t="0" r="0" b="0"/>
            <wp:wrapTopAndBottom/>
            <wp:docPr id="91" name="image49.jpeg" descr=""/>
            <wp:cNvGraphicFramePr>
              <a:graphicFrameLocks noChangeAspect="1"/>
            </wp:cNvGraphicFramePr>
            <a:graphic>
              <a:graphicData uri="http://schemas.openxmlformats.org/drawingml/2006/picture">
                <pic:pic>
                  <pic:nvPicPr>
                    <pic:cNvPr id="92" name="image49.jpeg"/>
                    <pic:cNvPicPr/>
                  </pic:nvPicPr>
                  <pic:blipFill>
                    <a:blip r:embed="rId73" cstate="print"/>
                    <a:stretch>
                      <a:fillRect/>
                    </a:stretch>
                  </pic:blipFill>
                  <pic:spPr>
                    <a:xfrm>
                      <a:off x="0" y="0"/>
                      <a:ext cx="6163266" cy="7065454"/>
                    </a:xfrm>
                    <a:prstGeom prst="rect">
                      <a:avLst/>
                    </a:prstGeom>
                  </pic:spPr>
                </pic:pic>
              </a:graphicData>
            </a:graphic>
          </wp:anchor>
        </w:drawing>
      </w:r>
    </w:p>
    <w:p>
      <w:pPr>
        <w:spacing w:after="0"/>
        <w:rPr>
          <w:sz w:val="19"/>
        </w:rPr>
        <w:sectPr>
          <w:pgSz w:w="12240" w:h="15840"/>
          <w:pgMar w:header="0" w:footer="1420" w:top="1360" w:bottom="1680" w:left="1300" w:right="960"/>
        </w:sectPr>
      </w:pPr>
    </w:p>
    <w:p>
      <w:pPr>
        <w:pStyle w:val="Heading2"/>
        <w:numPr>
          <w:ilvl w:val="0"/>
          <w:numId w:val="25"/>
        </w:numPr>
        <w:tabs>
          <w:tab w:pos="467" w:val="left" w:leader="none"/>
        </w:tabs>
        <w:spacing w:line="240" w:lineRule="auto" w:before="35" w:after="0"/>
        <w:ind w:left="466" w:right="0" w:hanging="348"/>
        <w:jc w:val="left"/>
      </w:pPr>
      <w:r>
        <w:rPr/>
        <w:t>BIBLIOGRAFÍA</w:t>
      </w:r>
    </w:p>
    <w:p>
      <w:pPr>
        <w:pStyle w:val="BodyText"/>
        <w:spacing w:before="8"/>
        <w:rPr>
          <w:b/>
          <w:sz w:val="31"/>
        </w:rPr>
      </w:pPr>
    </w:p>
    <w:p>
      <w:pPr>
        <w:tabs>
          <w:tab w:pos="466" w:val="left" w:leader="none"/>
        </w:tabs>
        <w:spacing w:before="0"/>
        <w:ind w:left="118" w:right="114" w:firstLine="0"/>
        <w:jc w:val="left"/>
        <w:rPr>
          <w:sz w:val="20"/>
        </w:rPr>
      </w:pPr>
      <w:r>
        <w:rPr>
          <w:rFonts w:ascii="Symbol" w:hAnsi="Symbol"/>
          <w:sz w:val="24"/>
        </w:rPr>
        <w:t></w:t>
      </w:r>
      <w:r>
        <w:rPr>
          <w:rFonts w:ascii="Times New Roman" w:hAnsi="Times New Roman"/>
          <w:sz w:val="24"/>
        </w:rPr>
        <w:tab/>
      </w:r>
      <w:r>
        <w:rPr>
          <w:sz w:val="20"/>
        </w:rPr>
        <w:t>Cámara Minera de México. 2013. Informe Anual 2013. Letra Impresa GH.</w:t>
      </w:r>
      <w:r>
        <w:rPr>
          <w:spacing w:val="-24"/>
          <w:sz w:val="20"/>
        </w:rPr>
        <w:t> </w:t>
      </w:r>
      <w:r>
        <w:rPr>
          <w:sz w:val="20"/>
        </w:rPr>
        <w:t>México.</w:t>
      </w:r>
    </w:p>
    <w:p>
      <w:pPr>
        <w:pStyle w:val="BodyText"/>
        <w:spacing w:before="7"/>
        <w:rPr>
          <w:sz w:val="20"/>
        </w:rPr>
      </w:pPr>
    </w:p>
    <w:p>
      <w:pPr>
        <w:tabs>
          <w:tab w:pos="466" w:val="left" w:leader="none"/>
          <w:tab w:pos="1624" w:val="left" w:leader="none"/>
          <w:tab w:pos="2094" w:val="left" w:leader="none"/>
          <w:tab w:pos="3301" w:val="left" w:leader="none"/>
          <w:tab w:pos="4049" w:val="left" w:leader="none"/>
          <w:tab w:pos="4519" w:val="left" w:leader="none"/>
          <w:tab w:pos="5492" w:val="left" w:leader="none"/>
        </w:tabs>
        <w:spacing w:line="228" w:lineRule="exact" w:before="0"/>
        <w:ind w:left="478" w:right="114" w:hanging="360"/>
        <w:jc w:val="left"/>
        <w:rPr>
          <w:sz w:val="20"/>
        </w:rPr>
      </w:pPr>
      <w:r>
        <w:rPr>
          <w:rFonts w:ascii="Symbol" w:hAnsi="Symbol"/>
          <w:sz w:val="20"/>
        </w:rPr>
        <w:t></w:t>
      </w:r>
      <w:r>
        <w:rPr>
          <w:rFonts w:ascii="Times New Roman" w:hAnsi="Times New Roman"/>
          <w:sz w:val="20"/>
        </w:rPr>
        <w:tab/>
      </w:r>
      <w:r>
        <w:rPr>
          <w:sz w:val="20"/>
        </w:rPr>
        <w:t>Secretaria</w:t>
        <w:tab/>
        <w:t>de</w:t>
        <w:tab/>
        <w:t>Economía.</w:t>
        <w:tab/>
        <w:t>2014.</w:t>
        <w:tab/>
        <w:t>La</w:t>
        <w:tab/>
        <w:t>Minería.</w:t>
        <w:tab/>
      </w:r>
      <w:hyperlink r:id="rId74">
        <w:r>
          <w:rPr>
            <w:sz w:val="20"/>
          </w:rPr>
          <w:t>http://www.economia.gob.mx/comunidad-</w:t>
        </w:r>
      </w:hyperlink>
      <w:r>
        <w:rPr>
          <w:sz w:val="20"/>
        </w:rPr>
        <w:t> negocios/mineria</w:t>
      </w:r>
    </w:p>
    <w:p>
      <w:pPr>
        <w:pStyle w:val="BodyText"/>
        <w:spacing w:before="5"/>
        <w:rPr>
          <w:sz w:val="21"/>
        </w:rPr>
      </w:pPr>
    </w:p>
    <w:p>
      <w:pPr>
        <w:tabs>
          <w:tab w:pos="466" w:val="left" w:leader="none"/>
        </w:tabs>
        <w:spacing w:line="228" w:lineRule="exact" w:before="0"/>
        <w:ind w:left="478" w:right="123" w:hanging="360"/>
        <w:jc w:val="left"/>
        <w:rPr>
          <w:sz w:val="20"/>
        </w:rPr>
      </w:pPr>
      <w:r>
        <w:rPr>
          <w:rFonts w:ascii="Symbol" w:hAnsi="Symbol"/>
          <w:sz w:val="20"/>
        </w:rPr>
        <w:t></w:t>
      </w:r>
      <w:r>
        <w:rPr>
          <w:rFonts w:ascii="Times New Roman" w:hAnsi="Times New Roman"/>
          <w:sz w:val="20"/>
        </w:rPr>
        <w:tab/>
      </w:r>
      <w:r>
        <w:rPr>
          <w:sz w:val="20"/>
        </w:rPr>
        <w:t>Instituto</w:t>
      </w:r>
      <w:r>
        <w:rPr>
          <w:spacing w:val="35"/>
          <w:sz w:val="20"/>
        </w:rPr>
        <w:t> </w:t>
      </w:r>
      <w:r>
        <w:rPr>
          <w:sz w:val="20"/>
        </w:rPr>
        <w:t>Nacional</w:t>
      </w:r>
      <w:r>
        <w:rPr>
          <w:spacing w:val="37"/>
          <w:sz w:val="20"/>
        </w:rPr>
        <w:t> </w:t>
      </w:r>
      <w:r>
        <w:rPr>
          <w:sz w:val="20"/>
        </w:rPr>
        <w:t>de</w:t>
      </w:r>
      <w:r>
        <w:rPr>
          <w:spacing w:val="37"/>
          <w:sz w:val="20"/>
        </w:rPr>
        <w:t> </w:t>
      </w:r>
      <w:r>
        <w:rPr>
          <w:sz w:val="20"/>
        </w:rPr>
        <w:t>Estadística</w:t>
      </w:r>
      <w:r>
        <w:rPr>
          <w:spacing w:val="40"/>
          <w:sz w:val="20"/>
        </w:rPr>
        <w:t> </w:t>
      </w:r>
      <w:r>
        <w:rPr>
          <w:sz w:val="20"/>
        </w:rPr>
        <w:t>y</w:t>
      </w:r>
      <w:r>
        <w:rPr>
          <w:spacing w:val="32"/>
          <w:sz w:val="20"/>
        </w:rPr>
        <w:t> </w:t>
      </w:r>
      <w:r>
        <w:rPr>
          <w:sz w:val="20"/>
        </w:rPr>
        <w:t>Geografía.</w:t>
      </w:r>
      <w:r>
        <w:rPr>
          <w:spacing w:val="35"/>
          <w:sz w:val="20"/>
        </w:rPr>
        <w:t> </w:t>
      </w:r>
      <w:r>
        <w:rPr>
          <w:sz w:val="20"/>
        </w:rPr>
        <w:t>2013.</w:t>
      </w:r>
      <w:r>
        <w:rPr>
          <w:spacing w:val="38"/>
          <w:sz w:val="20"/>
        </w:rPr>
        <w:t> </w:t>
      </w:r>
      <w:r>
        <w:rPr>
          <w:sz w:val="20"/>
        </w:rPr>
        <w:t>La</w:t>
      </w:r>
      <w:r>
        <w:rPr>
          <w:spacing w:val="35"/>
          <w:sz w:val="20"/>
        </w:rPr>
        <w:t> </w:t>
      </w:r>
      <w:r>
        <w:rPr>
          <w:sz w:val="20"/>
        </w:rPr>
        <w:t>minería</w:t>
      </w:r>
      <w:r>
        <w:rPr>
          <w:spacing w:val="35"/>
          <w:sz w:val="20"/>
        </w:rPr>
        <w:t> </w:t>
      </w:r>
      <w:r>
        <w:rPr>
          <w:sz w:val="20"/>
        </w:rPr>
        <w:t>en</w:t>
      </w:r>
      <w:r>
        <w:rPr>
          <w:spacing w:val="35"/>
          <w:sz w:val="20"/>
        </w:rPr>
        <w:t> </w:t>
      </w:r>
      <w:r>
        <w:rPr>
          <w:sz w:val="20"/>
        </w:rPr>
        <w:t>México.</w:t>
      </w:r>
      <w:r>
        <w:rPr>
          <w:spacing w:val="35"/>
          <w:sz w:val="20"/>
        </w:rPr>
        <w:t> </w:t>
      </w:r>
      <w:r>
        <w:rPr>
          <w:sz w:val="20"/>
        </w:rPr>
        <w:t>Serie</w:t>
      </w:r>
      <w:r>
        <w:rPr>
          <w:spacing w:val="37"/>
          <w:sz w:val="20"/>
        </w:rPr>
        <w:t> </w:t>
      </w:r>
      <w:r>
        <w:rPr>
          <w:sz w:val="20"/>
        </w:rPr>
        <w:t>Estadísticas</w:t>
      </w:r>
      <w:r>
        <w:rPr>
          <w:w w:val="99"/>
          <w:sz w:val="20"/>
        </w:rPr>
        <w:t> </w:t>
      </w:r>
      <w:r>
        <w:rPr>
          <w:sz w:val="20"/>
        </w:rPr>
        <w:t>Sectoriales.146</w:t>
      </w:r>
      <w:r>
        <w:rPr>
          <w:spacing w:val="-7"/>
          <w:sz w:val="20"/>
        </w:rPr>
        <w:t> </w:t>
      </w:r>
      <w:r>
        <w:rPr>
          <w:sz w:val="20"/>
        </w:rPr>
        <w:t>p.</w:t>
      </w:r>
    </w:p>
    <w:p>
      <w:pPr>
        <w:pStyle w:val="BodyText"/>
        <w:spacing w:before="10"/>
        <w:rPr>
          <w:sz w:val="19"/>
        </w:rPr>
      </w:pPr>
    </w:p>
    <w:p>
      <w:pPr>
        <w:tabs>
          <w:tab w:pos="466" w:val="left" w:leader="none"/>
        </w:tabs>
        <w:spacing w:line="256" w:lineRule="auto" w:before="0"/>
        <w:ind w:left="478" w:right="475" w:hanging="360"/>
        <w:jc w:val="left"/>
        <w:rPr>
          <w:sz w:val="20"/>
        </w:rPr>
      </w:pPr>
      <w:r>
        <w:rPr>
          <w:rFonts w:ascii="Symbol" w:hAnsi="Symbol"/>
          <w:sz w:val="20"/>
        </w:rPr>
        <w:t></w:t>
      </w:r>
      <w:r>
        <w:rPr>
          <w:rFonts w:ascii="Times New Roman" w:hAnsi="Times New Roman"/>
          <w:sz w:val="20"/>
        </w:rPr>
        <w:tab/>
      </w:r>
      <w:r>
        <w:rPr>
          <w:sz w:val="20"/>
        </w:rPr>
        <w:t>Cámara Minera de México. 2013. Informe</w:t>
      </w:r>
      <w:r>
        <w:rPr>
          <w:spacing w:val="-13"/>
          <w:sz w:val="20"/>
        </w:rPr>
        <w:t> </w:t>
      </w:r>
      <w:r>
        <w:rPr>
          <w:sz w:val="20"/>
        </w:rPr>
        <w:t>anual</w:t>
      </w:r>
      <w:r>
        <w:rPr>
          <w:spacing w:val="-3"/>
          <w:sz w:val="20"/>
        </w:rPr>
        <w:t> </w:t>
      </w:r>
      <w:r>
        <w:rPr>
          <w:sz w:val="20"/>
        </w:rPr>
        <w:t>2013.</w:t>
      </w:r>
      <w:r>
        <w:rPr>
          <w:w w:val="99"/>
          <w:sz w:val="20"/>
        </w:rPr>
        <w:t> </w:t>
      </w:r>
      <w:hyperlink r:id="rId64">
        <w:r>
          <w:rPr>
            <w:color w:val="0000FF"/>
            <w:w w:val="95"/>
            <w:sz w:val="20"/>
            <w:u w:val="single" w:color="0000FF"/>
          </w:rPr>
          <w:t>http://www.camimex.org.mx/index.php/secciones1/publicaciones/informe-anual/informe-anual- </w:t>
        </w:r>
      </w:hyperlink>
      <w:hyperlink r:id="rId64">
        <w:r>
          <w:rPr>
            <w:color w:val="0000FF"/>
            <w:sz w:val="20"/>
            <w:u w:val="single" w:color="0000FF"/>
          </w:rPr>
          <w:t>2013/</w:t>
        </w:r>
      </w:hyperlink>
    </w:p>
    <w:p>
      <w:pPr>
        <w:pStyle w:val="BodyText"/>
        <w:spacing w:before="7"/>
        <w:rPr>
          <w:sz w:val="13"/>
        </w:rPr>
      </w:pPr>
    </w:p>
    <w:p>
      <w:pPr>
        <w:tabs>
          <w:tab w:pos="466" w:val="left" w:leader="none"/>
        </w:tabs>
        <w:spacing w:line="237" w:lineRule="auto" w:before="64"/>
        <w:ind w:left="478" w:right="114" w:hanging="360"/>
        <w:jc w:val="left"/>
        <w:rPr>
          <w:i/>
          <w:sz w:val="20"/>
        </w:rPr>
      </w:pPr>
      <w:r>
        <w:rPr>
          <w:rFonts w:ascii="Symbol" w:hAnsi="Symbol"/>
          <w:sz w:val="20"/>
        </w:rPr>
        <w:t></w:t>
      </w:r>
      <w:r>
        <w:rPr>
          <w:rFonts w:ascii="Times New Roman" w:hAnsi="Times New Roman"/>
          <w:sz w:val="20"/>
        </w:rPr>
        <w:tab/>
      </w:r>
      <w:r>
        <w:rPr>
          <w:sz w:val="20"/>
        </w:rPr>
        <w:t>Secretaria  de  Economía.  2013.  Reporte  de  coyuntura  de  la      </w:t>
      </w:r>
      <w:r>
        <w:rPr>
          <w:spacing w:val="8"/>
          <w:sz w:val="20"/>
        </w:rPr>
        <w:t> </w:t>
      </w:r>
      <w:r>
        <w:rPr>
          <w:sz w:val="20"/>
        </w:rPr>
        <w:t>industria </w:t>
      </w:r>
      <w:r>
        <w:rPr>
          <w:spacing w:val="32"/>
          <w:sz w:val="20"/>
        </w:rPr>
        <w:t> </w:t>
      </w:r>
      <w:r>
        <w:rPr>
          <w:sz w:val="20"/>
        </w:rPr>
        <w:t>minero-metalúrgica</w:t>
      </w:r>
      <w:r>
        <w:rPr>
          <w:w w:val="99"/>
          <w:sz w:val="20"/>
        </w:rPr>
        <w:t> </w:t>
      </w:r>
      <w:r>
        <w:rPr>
          <w:sz w:val="20"/>
        </w:rPr>
        <w:t>mexicana. </w:t>
      </w:r>
      <w:hyperlink r:id="rId75">
        <w:r>
          <w:rPr>
            <w:i/>
            <w:sz w:val="20"/>
          </w:rPr>
          <w:t>http://www.economia.gob.mx/files/comunidad_negocios/industria_comercio/reported_coyuntura_</w:t>
        </w:r>
      </w:hyperlink>
      <w:r>
        <w:rPr>
          <w:i/>
          <w:sz w:val="20"/>
        </w:rPr>
        <w:t> </w:t>
      </w:r>
      <w:r>
        <w:rPr>
          <w:i/>
          <w:sz w:val="20"/>
        </w:rPr>
        <w:t>mineria_nacional</w:t>
      </w:r>
    </w:p>
    <w:p>
      <w:pPr>
        <w:pStyle w:val="BodyText"/>
        <w:rPr>
          <w:i/>
          <w:sz w:val="22"/>
        </w:rPr>
      </w:pPr>
    </w:p>
    <w:p>
      <w:pPr>
        <w:tabs>
          <w:tab w:pos="466" w:val="left" w:leader="none"/>
        </w:tabs>
        <w:spacing w:line="228" w:lineRule="exact" w:before="0"/>
        <w:ind w:left="478" w:right="2989" w:hanging="360"/>
        <w:jc w:val="left"/>
        <w:rPr>
          <w:sz w:val="20"/>
        </w:rPr>
      </w:pPr>
      <w:r>
        <w:rPr>
          <w:rFonts w:ascii="Symbol" w:hAnsi="Symbol"/>
          <w:sz w:val="20"/>
        </w:rPr>
        <w:t></w:t>
      </w:r>
      <w:r>
        <w:rPr>
          <w:rFonts w:ascii="Times New Roman" w:hAnsi="Times New Roman"/>
          <w:sz w:val="20"/>
        </w:rPr>
        <w:tab/>
      </w:r>
      <w:r>
        <w:rPr>
          <w:sz w:val="20"/>
        </w:rPr>
        <w:t>García Ilse (2015). Mineras: ¿Impunidad con permiso</w:t>
      </w:r>
      <w:r>
        <w:rPr>
          <w:spacing w:val="-15"/>
          <w:sz w:val="20"/>
        </w:rPr>
        <w:t> </w:t>
      </w:r>
      <w:r>
        <w:rPr>
          <w:sz w:val="20"/>
        </w:rPr>
        <w:t>del</w:t>
      </w:r>
      <w:r>
        <w:rPr>
          <w:spacing w:val="-2"/>
          <w:sz w:val="20"/>
        </w:rPr>
        <w:t> </w:t>
      </w:r>
      <w:r>
        <w:rPr>
          <w:sz w:val="20"/>
        </w:rPr>
        <w:t>estado?</w:t>
      </w:r>
      <w:r>
        <w:rPr>
          <w:w w:val="99"/>
          <w:sz w:val="20"/>
        </w:rPr>
        <w:t> </w:t>
      </w:r>
      <w:hyperlink r:id="rId76">
        <w:r>
          <w:rPr>
            <w:color w:val="0000FF"/>
            <w:sz w:val="20"/>
            <w:u w:val="single" w:color="0000FF"/>
          </w:rPr>
          <w:t>http://www.sinembargo.mx/01-05-2015/1329409</w:t>
        </w:r>
        <w:r>
          <w:rPr>
            <w:color w:val="0000FF"/>
            <w:spacing w:val="40"/>
            <w:sz w:val="20"/>
            <w:u w:val="single" w:color="0000FF"/>
          </w:rPr>
          <w:t> </w:t>
        </w:r>
        <w:r>
          <w:rPr>
            <w:color w:val="0000FF"/>
            <w:sz w:val="20"/>
            <w:u w:val="single" w:color="0000FF"/>
          </w:rPr>
          <w:t>(16</w:t>
        </w:r>
        <w:r>
          <w:rPr>
            <w:sz w:val="20"/>
          </w:rPr>
          <w:t>/</w:t>
        </w:r>
      </w:hyperlink>
      <w:r>
        <w:rPr>
          <w:sz w:val="20"/>
        </w:rPr>
        <w:t>Oct/2015)</w:t>
      </w:r>
    </w:p>
    <w:p>
      <w:pPr>
        <w:pStyle w:val="BodyText"/>
        <w:spacing w:before="10"/>
        <w:rPr>
          <w:sz w:val="19"/>
        </w:rPr>
      </w:pPr>
    </w:p>
    <w:p>
      <w:pPr>
        <w:tabs>
          <w:tab w:pos="466" w:val="left" w:leader="none"/>
        </w:tabs>
        <w:spacing w:before="0"/>
        <w:ind w:left="478" w:right="2945" w:hanging="360"/>
        <w:jc w:val="left"/>
        <w:rPr>
          <w:sz w:val="20"/>
        </w:rPr>
      </w:pPr>
      <w:r>
        <w:rPr>
          <w:rFonts w:ascii="Symbol" w:hAnsi="Symbol"/>
          <w:sz w:val="20"/>
        </w:rPr>
        <w:t></w:t>
      </w:r>
      <w:r>
        <w:rPr>
          <w:rFonts w:ascii="Times New Roman" w:hAnsi="Times New Roman"/>
          <w:sz w:val="20"/>
        </w:rPr>
        <w:tab/>
      </w:r>
      <w:r>
        <w:rPr>
          <w:sz w:val="20"/>
        </w:rPr>
        <w:t>Behre Dolbear (2014). Ranking of contries for</w:t>
      </w:r>
      <w:r>
        <w:rPr>
          <w:spacing w:val="-17"/>
          <w:sz w:val="20"/>
        </w:rPr>
        <w:t> </w:t>
      </w:r>
      <w:r>
        <w:rPr>
          <w:sz w:val="20"/>
        </w:rPr>
        <w:t>mining</w:t>
      </w:r>
      <w:r>
        <w:rPr>
          <w:spacing w:val="-3"/>
          <w:sz w:val="20"/>
        </w:rPr>
        <w:t> </w:t>
      </w:r>
      <w:r>
        <w:rPr>
          <w:sz w:val="20"/>
        </w:rPr>
        <w:t>investment.</w:t>
      </w:r>
      <w:r>
        <w:rPr>
          <w:w w:val="99"/>
          <w:sz w:val="20"/>
        </w:rPr>
        <w:t> </w:t>
      </w:r>
      <w:hyperlink r:id="rId77">
        <w:r>
          <w:rPr>
            <w:sz w:val="20"/>
          </w:rPr>
          <w:t>http://www.dolbear.com/news-resources/documents</w:t>
        </w:r>
      </w:hyperlink>
      <w:r>
        <w:rPr>
          <w:spacing w:val="-15"/>
          <w:sz w:val="20"/>
        </w:rPr>
        <w:t> </w:t>
      </w:r>
      <w:r>
        <w:rPr>
          <w:sz w:val="20"/>
        </w:rPr>
        <w:t>(4/Nov/2014).</w:t>
      </w:r>
    </w:p>
    <w:p>
      <w:pPr>
        <w:pStyle w:val="BodyText"/>
        <w:spacing w:before="11"/>
        <w:rPr>
          <w:sz w:val="21"/>
        </w:rPr>
      </w:pPr>
    </w:p>
    <w:p>
      <w:pPr>
        <w:tabs>
          <w:tab w:pos="466" w:val="left" w:leader="none"/>
        </w:tabs>
        <w:spacing w:line="228" w:lineRule="exact" w:before="0"/>
        <w:ind w:left="478" w:right="116" w:hanging="360"/>
        <w:jc w:val="left"/>
        <w:rPr>
          <w:sz w:val="20"/>
        </w:rPr>
      </w:pPr>
      <w:r>
        <w:rPr>
          <w:rFonts w:ascii="Symbol" w:hAnsi="Symbol"/>
          <w:sz w:val="20"/>
        </w:rPr>
        <w:t></w:t>
      </w:r>
      <w:r>
        <w:rPr>
          <w:rFonts w:ascii="Times New Roman" w:hAnsi="Times New Roman"/>
          <w:sz w:val="20"/>
        </w:rPr>
        <w:tab/>
      </w:r>
      <w:r>
        <w:rPr>
          <w:sz w:val="20"/>
        </w:rPr>
        <w:t>Guadarrama, Jorge. (2014) ¿Hacia  dónde  va  la  industria minera de   </w:t>
      </w:r>
      <w:r>
        <w:rPr>
          <w:spacing w:val="49"/>
          <w:sz w:val="20"/>
        </w:rPr>
        <w:t> </w:t>
      </w:r>
      <w:r>
        <w:rPr>
          <w:sz w:val="20"/>
        </w:rPr>
        <w:t>México?</w:t>
      </w:r>
      <w:r>
        <w:rPr>
          <w:spacing w:val="44"/>
          <w:sz w:val="20"/>
        </w:rPr>
        <w:t> </w:t>
      </w:r>
      <w:r>
        <w:rPr>
          <w:sz w:val="20"/>
        </w:rPr>
        <w:t>Forbes-México.</w:t>
      </w:r>
      <w:r>
        <w:rPr>
          <w:w w:val="99"/>
          <w:sz w:val="20"/>
        </w:rPr>
        <w:t> </w:t>
      </w:r>
      <w:hyperlink r:id="rId78">
        <w:r>
          <w:rPr>
            <w:sz w:val="20"/>
          </w:rPr>
          <w:t>http://www.forbes.com.mx/hacia-donde-va-la-industria-minera-de-mexico/</w:t>
        </w:r>
      </w:hyperlink>
      <w:r>
        <w:rPr>
          <w:spacing w:val="-25"/>
          <w:sz w:val="20"/>
        </w:rPr>
        <w:t> </w:t>
      </w:r>
      <w:r>
        <w:rPr>
          <w:sz w:val="20"/>
        </w:rPr>
        <w:t>(11/Nov/2014).</w:t>
      </w:r>
    </w:p>
    <w:p>
      <w:pPr>
        <w:pStyle w:val="BodyText"/>
        <w:spacing w:before="9"/>
        <w:rPr>
          <w:sz w:val="22"/>
        </w:rPr>
      </w:pPr>
    </w:p>
    <w:p>
      <w:pPr>
        <w:tabs>
          <w:tab w:pos="466" w:val="left" w:leader="none"/>
        </w:tabs>
        <w:spacing w:line="273" w:lineRule="auto" w:before="0"/>
        <w:ind w:left="478" w:right="124" w:hanging="360"/>
        <w:jc w:val="left"/>
        <w:rPr>
          <w:sz w:val="20"/>
        </w:rPr>
      </w:pPr>
      <w:r>
        <w:rPr>
          <w:rFonts w:ascii="Symbol" w:hAnsi="Symbol"/>
          <w:sz w:val="20"/>
        </w:rPr>
        <w:t></w:t>
      </w:r>
      <w:r>
        <w:rPr>
          <w:rFonts w:ascii="Times New Roman" w:hAnsi="Times New Roman"/>
          <w:sz w:val="20"/>
        </w:rPr>
        <w:tab/>
      </w:r>
      <w:r>
        <w:rPr>
          <w:sz w:val="20"/>
        </w:rPr>
        <w:t>Guillén,</w:t>
      </w:r>
      <w:r>
        <w:rPr>
          <w:spacing w:val="37"/>
          <w:sz w:val="20"/>
        </w:rPr>
        <w:t> </w:t>
      </w:r>
      <w:r>
        <w:rPr>
          <w:sz w:val="20"/>
        </w:rPr>
        <w:t>A.</w:t>
      </w:r>
      <w:r>
        <w:rPr>
          <w:spacing w:val="35"/>
          <w:sz w:val="20"/>
        </w:rPr>
        <w:t> </w:t>
      </w:r>
      <w:r>
        <w:rPr>
          <w:sz w:val="20"/>
        </w:rPr>
        <w:t>(2013).</w:t>
      </w:r>
      <w:r>
        <w:rPr>
          <w:spacing w:val="37"/>
          <w:sz w:val="20"/>
        </w:rPr>
        <w:t> </w:t>
      </w:r>
      <w:r>
        <w:rPr>
          <w:sz w:val="20"/>
        </w:rPr>
        <w:t>Embajada</w:t>
      </w:r>
      <w:r>
        <w:rPr>
          <w:spacing w:val="34"/>
          <w:sz w:val="20"/>
        </w:rPr>
        <w:t> </w:t>
      </w:r>
      <w:r>
        <w:rPr>
          <w:sz w:val="20"/>
        </w:rPr>
        <w:t>canadiense</w:t>
      </w:r>
      <w:r>
        <w:rPr>
          <w:spacing w:val="37"/>
          <w:sz w:val="20"/>
        </w:rPr>
        <w:t> </w:t>
      </w:r>
      <w:r>
        <w:rPr>
          <w:sz w:val="20"/>
        </w:rPr>
        <w:t>encubrió</w:t>
      </w:r>
      <w:r>
        <w:rPr>
          <w:spacing w:val="37"/>
          <w:sz w:val="20"/>
        </w:rPr>
        <w:t> </w:t>
      </w:r>
      <w:r>
        <w:rPr>
          <w:sz w:val="20"/>
        </w:rPr>
        <w:t>a</w:t>
      </w:r>
      <w:r>
        <w:rPr>
          <w:spacing w:val="34"/>
          <w:sz w:val="20"/>
        </w:rPr>
        <w:t> </w:t>
      </w:r>
      <w:r>
        <w:rPr>
          <w:sz w:val="20"/>
        </w:rPr>
        <w:t>minera</w:t>
      </w:r>
      <w:r>
        <w:rPr>
          <w:spacing w:val="37"/>
          <w:sz w:val="20"/>
        </w:rPr>
        <w:t> </w:t>
      </w:r>
      <w:r>
        <w:rPr>
          <w:sz w:val="20"/>
        </w:rPr>
        <w:t>vinculada</w:t>
      </w:r>
      <w:r>
        <w:rPr>
          <w:spacing w:val="36"/>
          <w:sz w:val="20"/>
        </w:rPr>
        <w:t> </w:t>
      </w:r>
      <w:r>
        <w:rPr>
          <w:sz w:val="20"/>
        </w:rPr>
        <w:t>a</w:t>
      </w:r>
      <w:r>
        <w:rPr>
          <w:spacing w:val="37"/>
          <w:sz w:val="20"/>
        </w:rPr>
        <w:t> </w:t>
      </w:r>
      <w:r>
        <w:rPr>
          <w:sz w:val="20"/>
        </w:rPr>
        <w:t>asesinato</w:t>
      </w:r>
      <w:r>
        <w:rPr>
          <w:spacing w:val="36"/>
          <w:sz w:val="20"/>
        </w:rPr>
        <w:t> </w:t>
      </w:r>
      <w:r>
        <w:rPr>
          <w:sz w:val="20"/>
        </w:rPr>
        <w:t>de</w:t>
      </w:r>
      <w:r>
        <w:rPr>
          <w:spacing w:val="34"/>
          <w:sz w:val="20"/>
        </w:rPr>
        <w:t> </w:t>
      </w:r>
      <w:r>
        <w:rPr>
          <w:sz w:val="20"/>
        </w:rPr>
        <w:t>Marino</w:t>
      </w:r>
      <w:r>
        <w:rPr>
          <w:w w:val="99"/>
          <w:sz w:val="20"/>
        </w:rPr>
        <w:t> </w:t>
      </w:r>
      <w:r>
        <w:rPr>
          <w:sz w:val="20"/>
        </w:rPr>
        <w:t>Abarca.</w:t>
      </w:r>
    </w:p>
    <w:p>
      <w:pPr>
        <w:spacing w:before="2"/>
        <w:ind w:left="478" w:right="114" w:firstLine="0"/>
        <w:jc w:val="left"/>
        <w:rPr>
          <w:sz w:val="20"/>
        </w:rPr>
      </w:pPr>
      <w:hyperlink r:id="rId79">
        <w:r>
          <w:rPr>
            <w:color w:val="0000FF"/>
            <w:sz w:val="20"/>
            <w:u w:val="single" w:color="0000FF"/>
          </w:rPr>
          <w:t>http://www.proceso.com.mx/?p=341143</w:t>
        </w:r>
      </w:hyperlink>
      <w:r>
        <w:rPr>
          <w:color w:val="0000FF"/>
          <w:sz w:val="20"/>
          <w:u w:val="single" w:color="0000FF"/>
        </w:rPr>
        <w:t> </w:t>
      </w:r>
      <w:r>
        <w:rPr>
          <w:sz w:val="20"/>
        </w:rPr>
        <w:t>(21/Oct/2015)</w:t>
      </w:r>
    </w:p>
    <w:p>
      <w:pPr>
        <w:pStyle w:val="BodyText"/>
        <w:spacing w:before="6"/>
        <w:rPr>
          <w:sz w:val="20"/>
        </w:rPr>
      </w:pPr>
    </w:p>
    <w:p>
      <w:pPr>
        <w:tabs>
          <w:tab w:pos="466" w:val="left" w:leader="none"/>
        </w:tabs>
        <w:spacing w:line="237" w:lineRule="auto" w:before="0"/>
        <w:ind w:left="478" w:right="1152" w:hanging="360"/>
        <w:jc w:val="left"/>
        <w:rPr>
          <w:sz w:val="20"/>
        </w:rPr>
      </w:pPr>
      <w:r>
        <w:rPr>
          <w:rFonts w:ascii="Symbol" w:hAnsi="Symbol"/>
          <w:sz w:val="20"/>
        </w:rPr>
        <w:t></w:t>
      </w:r>
      <w:r>
        <w:rPr>
          <w:rFonts w:ascii="Times New Roman" w:hAnsi="Times New Roman"/>
          <w:sz w:val="20"/>
        </w:rPr>
        <w:tab/>
      </w:r>
      <w:r>
        <w:rPr>
          <w:sz w:val="20"/>
        </w:rPr>
        <w:t>Lucas N. 2014. Wirikuta: la historia no contada de un</w:t>
      </w:r>
      <w:r>
        <w:rPr>
          <w:spacing w:val="-17"/>
          <w:sz w:val="20"/>
        </w:rPr>
        <w:t> </w:t>
      </w:r>
      <w:r>
        <w:rPr>
          <w:sz w:val="20"/>
        </w:rPr>
        <w:t>conflicto</w:t>
      </w:r>
      <w:r>
        <w:rPr>
          <w:spacing w:val="-2"/>
          <w:sz w:val="20"/>
        </w:rPr>
        <w:t> </w:t>
      </w:r>
      <w:r>
        <w:rPr>
          <w:sz w:val="20"/>
        </w:rPr>
        <w:t>minero</w:t>
      </w:r>
      <w:r>
        <w:rPr>
          <w:w w:val="99"/>
          <w:sz w:val="20"/>
        </w:rPr>
        <w:t> </w:t>
      </w:r>
      <w:hyperlink r:id="rId80">
        <w:r>
          <w:rPr>
            <w:color w:val="0000FF"/>
            <w:w w:val="95"/>
            <w:sz w:val="20"/>
            <w:u w:val="single" w:color="0000FF"/>
          </w:rPr>
          <w:t>http://www.elfinanciero.com.mx/archivo/wirikuta-la-historia-no-contada-de-un-conflicto- </w:t>
        </w:r>
      </w:hyperlink>
      <w:hyperlink r:id="rId80">
        <w:r>
          <w:rPr>
            <w:color w:val="0000FF"/>
            <w:sz w:val="20"/>
            <w:u w:val="single" w:color="0000FF"/>
          </w:rPr>
          <w:t>minero.html </w:t>
        </w:r>
      </w:hyperlink>
      <w:r>
        <w:rPr>
          <w:sz w:val="20"/>
        </w:rPr>
        <w:t>(17/Oct/</w:t>
      </w:r>
      <w:r>
        <w:rPr>
          <w:spacing w:val="-9"/>
          <w:sz w:val="20"/>
        </w:rPr>
        <w:t> </w:t>
      </w:r>
      <w:r>
        <w:rPr>
          <w:sz w:val="20"/>
        </w:rPr>
        <w:t>2015)</w:t>
      </w:r>
    </w:p>
    <w:p>
      <w:pPr>
        <w:pStyle w:val="BodyText"/>
        <w:spacing w:before="9"/>
        <w:rPr>
          <w:sz w:val="21"/>
        </w:rPr>
      </w:pPr>
    </w:p>
    <w:p>
      <w:pPr>
        <w:tabs>
          <w:tab w:pos="466" w:val="left" w:leader="none"/>
          <w:tab w:pos="4218" w:val="left" w:leader="none"/>
        </w:tabs>
        <w:spacing w:line="228" w:lineRule="exact" w:before="0"/>
        <w:ind w:left="478" w:right="1313" w:hanging="360"/>
        <w:jc w:val="left"/>
        <w:rPr>
          <w:sz w:val="20"/>
        </w:rPr>
      </w:pPr>
      <w:r>
        <w:rPr>
          <w:rFonts w:ascii="Symbol" w:hAnsi="Symbol"/>
          <w:sz w:val="20"/>
        </w:rPr>
        <w:t></w:t>
      </w:r>
      <w:r>
        <w:rPr>
          <w:rFonts w:ascii="Times New Roman" w:hAnsi="Times New Roman"/>
          <w:sz w:val="20"/>
        </w:rPr>
        <w:tab/>
      </w:r>
      <w:r>
        <w:rPr>
          <w:sz w:val="20"/>
        </w:rPr>
        <w:t>Vértiz de la Fuente C. 2014. Documenta Vilchez  la lucha huichol contra</w:t>
      </w:r>
      <w:r>
        <w:rPr>
          <w:spacing w:val="-23"/>
          <w:sz w:val="20"/>
        </w:rPr>
        <w:t> </w:t>
      </w:r>
      <w:r>
        <w:rPr>
          <w:sz w:val="20"/>
        </w:rPr>
        <w:t>las</w:t>
      </w:r>
      <w:r>
        <w:rPr>
          <w:spacing w:val="-2"/>
          <w:sz w:val="20"/>
        </w:rPr>
        <w:t> </w:t>
      </w:r>
      <w:r>
        <w:rPr>
          <w:sz w:val="20"/>
        </w:rPr>
        <w:t>mineras.</w:t>
      </w:r>
      <w:r>
        <w:rPr>
          <w:w w:val="99"/>
          <w:sz w:val="20"/>
        </w:rPr>
        <w:t> </w:t>
      </w:r>
      <w:hyperlink r:id="rId81">
        <w:r>
          <w:rPr>
            <w:color w:val="0000FF"/>
            <w:sz w:val="20"/>
            <w:u w:val="single" w:color="0000FF"/>
          </w:rPr>
          <w:t>http://www.proceso.com.mx/?p=373483</w:t>
        </w:r>
      </w:hyperlink>
      <w:r>
        <w:rPr>
          <w:color w:val="0000FF"/>
          <w:sz w:val="20"/>
        </w:rPr>
        <w:tab/>
      </w:r>
      <w:r>
        <w:rPr>
          <w:sz w:val="20"/>
        </w:rPr>
        <w:t>(18/Oct/2015)</w:t>
      </w:r>
    </w:p>
    <w:p>
      <w:pPr>
        <w:pStyle w:val="BodyText"/>
        <w:rPr>
          <w:sz w:val="20"/>
        </w:rPr>
      </w:pPr>
    </w:p>
    <w:p>
      <w:pPr>
        <w:pStyle w:val="BodyText"/>
        <w:spacing w:before="1"/>
        <w:rPr>
          <w:sz w:val="20"/>
        </w:rPr>
      </w:pPr>
    </w:p>
    <w:p>
      <w:pPr>
        <w:tabs>
          <w:tab w:pos="466" w:val="left" w:leader="none"/>
        </w:tabs>
        <w:spacing w:before="0"/>
        <w:ind w:left="478" w:right="119" w:hanging="360"/>
        <w:jc w:val="left"/>
        <w:rPr>
          <w:sz w:val="20"/>
        </w:rPr>
      </w:pPr>
      <w:r>
        <w:rPr>
          <w:rFonts w:ascii="Symbol" w:hAnsi="Symbol"/>
          <w:sz w:val="20"/>
        </w:rPr>
        <w:t></w:t>
      </w:r>
      <w:r>
        <w:rPr>
          <w:rFonts w:ascii="Times New Roman" w:hAnsi="Times New Roman"/>
          <w:sz w:val="20"/>
        </w:rPr>
        <w:tab/>
      </w:r>
      <w:r>
        <w:rPr>
          <w:sz w:val="20"/>
        </w:rPr>
        <w:t>Pérez, M. 2015.         </w:t>
      </w:r>
      <w:r>
        <w:rPr>
          <w:spacing w:val="37"/>
          <w:sz w:val="20"/>
        </w:rPr>
        <w:t> </w:t>
      </w:r>
      <w:r>
        <w:rPr>
          <w:sz w:val="20"/>
        </w:rPr>
        <w:t>Tribunal se niega a cumplir resolución en conflicto con minera en</w:t>
      </w:r>
      <w:r>
        <w:rPr>
          <w:spacing w:val="33"/>
          <w:sz w:val="20"/>
        </w:rPr>
        <w:t> </w:t>
      </w:r>
      <w:r>
        <w:rPr>
          <w:sz w:val="20"/>
        </w:rPr>
        <w:t>Durango:</w:t>
      </w:r>
      <w:r>
        <w:rPr>
          <w:w w:val="99"/>
          <w:sz w:val="20"/>
        </w:rPr>
        <w:t> </w:t>
      </w:r>
      <w:r>
        <w:rPr>
          <w:sz w:val="20"/>
        </w:rPr>
        <w:t>ejidatarios.</w:t>
      </w:r>
    </w:p>
    <w:p>
      <w:pPr>
        <w:spacing w:before="1"/>
        <w:ind w:left="478" w:right="751" w:firstLine="0"/>
        <w:jc w:val="left"/>
        <w:rPr>
          <w:sz w:val="20"/>
        </w:rPr>
      </w:pPr>
      <w:hyperlink r:id="rId82">
        <w:r>
          <w:rPr>
            <w:color w:val="0000FF"/>
            <w:w w:val="95"/>
            <w:sz w:val="20"/>
            <w:u w:val="single" w:color="0000FF"/>
          </w:rPr>
          <w:t>http://www.jornada.unam.mx/ultimas/2015/01/22/tribunal-se-niega-a-cumplir-resolucion-en-</w:t>
        </w:r>
      </w:hyperlink>
      <w:r>
        <w:rPr>
          <w:color w:val="0000FF"/>
          <w:w w:val="95"/>
          <w:sz w:val="20"/>
          <w:u w:val="single" w:color="0000FF"/>
        </w:rPr>
        <w:t> </w:t>
      </w:r>
      <w:hyperlink r:id="rId82">
        <w:r>
          <w:rPr>
            <w:color w:val="0000FF"/>
            <w:sz w:val="20"/>
            <w:u w:val="single" w:color="0000FF"/>
          </w:rPr>
          <w:t>conflicto-con-minera-en-durango-ejidatarios-1915.html</w:t>
        </w:r>
      </w:hyperlink>
      <w:r>
        <w:rPr>
          <w:color w:val="0000FF"/>
          <w:sz w:val="20"/>
          <w:u w:val="single" w:color="0000FF"/>
        </w:rPr>
        <w:t> </w:t>
      </w:r>
      <w:r>
        <w:rPr>
          <w:sz w:val="20"/>
        </w:rPr>
        <w:t>(21/Oct/2015)</w:t>
      </w:r>
    </w:p>
    <w:p>
      <w:pPr>
        <w:pStyle w:val="BodyText"/>
        <w:spacing w:before="10"/>
        <w:rPr>
          <w:sz w:val="19"/>
        </w:rPr>
      </w:pPr>
    </w:p>
    <w:p>
      <w:pPr>
        <w:tabs>
          <w:tab w:pos="466" w:val="left" w:leader="none"/>
        </w:tabs>
        <w:spacing w:before="1"/>
        <w:ind w:left="478" w:right="127" w:hanging="360"/>
        <w:jc w:val="left"/>
        <w:rPr>
          <w:sz w:val="20"/>
        </w:rPr>
      </w:pPr>
      <w:r>
        <w:rPr>
          <w:rFonts w:ascii="Symbol" w:hAnsi="Symbol"/>
          <w:sz w:val="20"/>
        </w:rPr>
        <w:t></w:t>
      </w:r>
      <w:r>
        <w:rPr>
          <w:rFonts w:ascii="Times New Roman" w:hAnsi="Times New Roman"/>
          <w:sz w:val="20"/>
        </w:rPr>
        <w:tab/>
      </w:r>
      <w:r>
        <w:rPr>
          <w:sz w:val="20"/>
        </w:rPr>
        <w:t>Ramírez,</w:t>
      </w:r>
      <w:r>
        <w:rPr>
          <w:spacing w:val="15"/>
          <w:sz w:val="20"/>
        </w:rPr>
        <w:t> </w:t>
      </w:r>
      <w:r>
        <w:rPr>
          <w:sz w:val="20"/>
        </w:rPr>
        <w:t>E.</w:t>
      </w:r>
      <w:r>
        <w:rPr>
          <w:spacing w:val="15"/>
          <w:sz w:val="20"/>
        </w:rPr>
        <w:t> </w:t>
      </w:r>
      <w:r>
        <w:rPr>
          <w:sz w:val="20"/>
        </w:rPr>
        <w:t>2011.</w:t>
      </w:r>
      <w:r>
        <w:rPr>
          <w:spacing w:val="15"/>
          <w:sz w:val="20"/>
        </w:rPr>
        <w:t> </w:t>
      </w:r>
      <w:r>
        <w:rPr>
          <w:sz w:val="20"/>
        </w:rPr>
        <w:t>Para</w:t>
      </w:r>
      <w:r>
        <w:rPr>
          <w:spacing w:val="15"/>
          <w:sz w:val="20"/>
        </w:rPr>
        <w:t> </w:t>
      </w:r>
      <w:r>
        <w:rPr>
          <w:sz w:val="20"/>
        </w:rPr>
        <w:t>las</w:t>
      </w:r>
      <w:r>
        <w:rPr>
          <w:spacing w:val="14"/>
          <w:sz w:val="20"/>
        </w:rPr>
        <w:t> </w:t>
      </w:r>
      <w:r>
        <w:rPr>
          <w:sz w:val="20"/>
        </w:rPr>
        <w:t>mineras,</w:t>
      </w:r>
      <w:r>
        <w:rPr>
          <w:spacing w:val="13"/>
          <w:sz w:val="20"/>
        </w:rPr>
        <w:t> </w:t>
      </w:r>
      <w:r>
        <w:rPr>
          <w:sz w:val="20"/>
        </w:rPr>
        <w:t>otro</w:t>
      </w:r>
      <w:r>
        <w:rPr>
          <w:spacing w:val="15"/>
          <w:sz w:val="20"/>
        </w:rPr>
        <w:t> </w:t>
      </w:r>
      <w:r>
        <w:rPr>
          <w:sz w:val="20"/>
        </w:rPr>
        <w:t>buen</w:t>
      </w:r>
      <w:r>
        <w:rPr>
          <w:spacing w:val="15"/>
          <w:sz w:val="20"/>
        </w:rPr>
        <w:t> </w:t>
      </w:r>
      <w:r>
        <w:rPr>
          <w:sz w:val="20"/>
        </w:rPr>
        <w:t>año</w:t>
      </w:r>
      <w:r>
        <w:rPr>
          <w:spacing w:val="17"/>
          <w:sz w:val="20"/>
        </w:rPr>
        <w:t> </w:t>
      </w:r>
      <w:r>
        <w:rPr>
          <w:sz w:val="20"/>
        </w:rPr>
        <w:t>pero</w:t>
      </w:r>
      <w:r>
        <w:rPr>
          <w:spacing w:val="12"/>
          <w:sz w:val="20"/>
        </w:rPr>
        <w:t> </w:t>
      </w:r>
      <w:r>
        <w:rPr>
          <w:sz w:val="20"/>
        </w:rPr>
        <w:t>sin</w:t>
      </w:r>
      <w:r>
        <w:rPr>
          <w:spacing w:val="15"/>
          <w:sz w:val="20"/>
        </w:rPr>
        <w:t> </w:t>
      </w:r>
      <w:r>
        <w:rPr>
          <w:sz w:val="20"/>
        </w:rPr>
        <w:t>equidad</w:t>
      </w:r>
      <w:r>
        <w:rPr>
          <w:spacing w:val="14"/>
          <w:sz w:val="20"/>
        </w:rPr>
        <w:t> </w:t>
      </w:r>
      <w:r>
        <w:rPr>
          <w:sz w:val="20"/>
        </w:rPr>
        <w:t>para</w:t>
      </w:r>
      <w:r>
        <w:rPr>
          <w:spacing w:val="14"/>
          <w:sz w:val="20"/>
        </w:rPr>
        <w:t> </w:t>
      </w:r>
      <w:r>
        <w:rPr>
          <w:sz w:val="20"/>
        </w:rPr>
        <w:t>trabajadores.</w:t>
      </w:r>
      <w:r>
        <w:rPr>
          <w:spacing w:val="15"/>
          <w:sz w:val="20"/>
        </w:rPr>
        <w:t> </w:t>
      </w:r>
      <w:r>
        <w:rPr>
          <w:sz w:val="20"/>
        </w:rPr>
        <w:t>Revista</w:t>
      </w:r>
      <w:r>
        <w:rPr>
          <w:w w:val="99"/>
          <w:sz w:val="20"/>
        </w:rPr>
        <w:t> </w:t>
      </w:r>
      <w:r>
        <w:rPr>
          <w:sz w:val="20"/>
        </w:rPr>
        <w:t>Fortuna.</w:t>
      </w:r>
    </w:p>
    <w:p>
      <w:pPr>
        <w:spacing w:before="0"/>
        <w:ind w:left="478" w:right="616" w:firstLine="0"/>
        <w:jc w:val="left"/>
        <w:rPr>
          <w:sz w:val="20"/>
        </w:rPr>
      </w:pPr>
      <w:hyperlink r:id="rId83">
        <w:r>
          <w:rPr>
            <w:w w:val="95"/>
            <w:sz w:val="20"/>
          </w:rPr>
          <w:t>http://revistafortuna.com.mx/contenido/2011/02/17/para-las-mineras-otro-buen-ano-pero-sin-</w:t>
        </w:r>
      </w:hyperlink>
      <w:r>
        <w:rPr>
          <w:w w:val="95"/>
          <w:sz w:val="20"/>
        </w:rPr>
        <w:t> </w:t>
      </w:r>
      <w:r>
        <w:rPr>
          <w:sz w:val="20"/>
        </w:rPr>
        <w:t>equidad-para-trabajadores/ (4/Nov/2014)</w:t>
      </w:r>
    </w:p>
    <w:p>
      <w:pPr>
        <w:pStyle w:val="BodyText"/>
        <w:spacing w:before="8"/>
        <w:rPr>
          <w:sz w:val="21"/>
        </w:rPr>
      </w:pPr>
    </w:p>
    <w:p>
      <w:pPr>
        <w:tabs>
          <w:tab w:pos="466" w:val="left" w:leader="none"/>
        </w:tabs>
        <w:spacing w:line="228" w:lineRule="exact" w:before="1"/>
        <w:ind w:left="478" w:right="149" w:hanging="360"/>
        <w:jc w:val="left"/>
        <w:rPr>
          <w:sz w:val="20"/>
        </w:rPr>
      </w:pPr>
      <w:r>
        <w:rPr>
          <w:rFonts w:ascii="Symbol" w:hAnsi="Symbol"/>
          <w:sz w:val="20"/>
        </w:rPr>
        <w:t></w:t>
      </w:r>
      <w:r>
        <w:rPr>
          <w:rFonts w:ascii="Times New Roman" w:hAnsi="Times New Roman"/>
          <w:sz w:val="20"/>
        </w:rPr>
        <w:tab/>
      </w:r>
      <w:r>
        <w:rPr>
          <w:sz w:val="20"/>
        </w:rPr>
        <w:t>Flores, N. 2008.inseguridad laboral en Cananea.</w:t>
      </w:r>
      <w:r>
        <w:rPr>
          <w:spacing w:val="-20"/>
          <w:sz w:val="20"/>
        </w:rPr>
        <w:t> </w:t>
      </w:r>
      <w:r>
        <w:rPr>
          <w:sz w:val="20"/>
        </w:rPr>
        <w:t>Revista</w:t>
      </w:r>
      <w:r>
        <w:rPr>
          <w:spacing w:val="-4"/>
          <w:sz w:val="20"/>
        </w:rPr>
        <w:t> </w:t>
      </w:r>
      <w:r>
        <w:rPr>
          <w:sz w:val="20"/>
        </w:rPr>
        <w:t>Fortuna.</w:t>
      </w:r>
      <w:r>
        <w:rPr>
          <w:w w:val="99"/>
          <w:sz w:val="20"/>
        </w:rPr>
        <w:t> </w:t>
      </w:r>
      <w:hyperlink r:id="rId84">
        <w:r>
          <w:rPr>
            <w:sz w:val="20"/>
          </w:rPr>
          <w:t>http://revistafortuna.com.mx/contenido/2008/01/15/inseguridad-laboral-en-cananea/</w:t>
        </w:r>
      </w:hyperlink>
      <w:r>
        <w:rPr>
          <w:spacing w:val="19"/>
          <w:sz w:val="20"/>
        </w:rPr>
        <w:t> </w:t>
      </w:r>
      <w:r>
        <w:rPr>
          <w:sz w:val="20"/>
        </w:rPr>
        <w:t>(4/Nov/2014)</w:t>
      </w:r>
    </w:p>
    <w:p>
      <w:pPr>
        <w:spacing w:after="0" w:line="228" w:lineRule="exact"/>
        <w:jc w:val="left"/>
        <w:rPr>
          <w:sz w:val="20"/>
        </w:rPr>
        <w:sectPr>
          <w:pgSz w:w="12240" w:h="15840"/>
          <w:pgMar w:header="0" w:footer="1420" w:top="1380" w:bottom="1680" w:left="1660" w:right="1300"/>
        </w:sectPr>
      </w:pPr>
    </w:p>
    <w:p>
      <w:pPr>
        <w:tabs>
          <w:tab w:pos="466" w:val="left" w:leader="none"/>
        </w:tabs>
        <w:spacing w:line="228" w:lineRule="exact" w:before="166"/>
        <w:ind w:left="478" w:right="125" w:hanging="360"/>
        <w:jc w:val="left"/>
        <w:rPr>
          <w:sz w:val="20"/>
        </w:rPr>
      </w:pPr>
      <w:r>
        <w:rPr>
          <w:rFonts w:ascii="Symbol" w:hAnsi="Symbol"/>
          <w:sz w:val="20"/>
        </w:rPr>
        <w:t></w:t>
      </w:r>
      <w:r>
        <w:rPr>
          <w:rFonts w:ascii="Times New Roman" w:hAnsi="Times New Roman"/>
          <w:sz w:val="20"/>
        </w:rPr>
        <w:tab/>
      </w:r>
      <w:r>
        <w:rPr>
          <w:sz w:val="20"/>
        </w:rPr>
        <w:t>González, S. 2013. México, uno de los países de AL con más problemas con mineras: </w:t>
      </w:r>
      <w:r>
        <w:rPr>
          <w:spacing w:val="40"/>
          <w:sz w:val="20"/>
        </w:rPr>
        <w:t> </w:t>
      </w:r>
      <w:r>
        <w:rPr>
          <w:sz w:val="20"/>
        </w:rPr>
        <w:t>Cepal.</w:t>
      </w:r>
      <w:r>
        <w:rPr>
          <w:spacing w:val="6"/>
          <w:sz w:val="20"/>
        </w:rPr>
        <w:t> </w:t>
      </w:r>
      <w:r>
        <w:rPr>
          <w:sz w:val="20"/>
        </w:rPr>
        <w:t>La</w:t>
      </w:r>
      <w:r>
        <w:rPr>
          <w:w w:val="99"/>
          <w:sz w:val="20"/>
        </w:rPr>
        <w:t> </w:t>
      </w:r>
      <w:r>
        <w:rPr>
          <w:sz w:val="20"/>
        </w:rPr>
        <w:t>Jornada.</w:t>
      </w:r>
    </w:p>
    <w:p>
      <w:pPr>
        <w:spacing w:line="227" w:lineRule="exact" w:before="0"/>
        <w:ind w:left="478" w:right="114" w:firstLine="0"/>
        <w:jc w:val="left"/>
        <w:rPr>
          <w:sz w:val="20"/>
        </w:rPr>
      </w:pPr>
      <w:hyperlink r:id="rId85">
        <w:r>
          <w:rPr>
            <w:sz w:val="20"/>
          </w:rPr>
          <w:t>http://www.jornada.unam.mx/2013/10/20/economia/024n1eco</w:t>
        </w:r>
      </w:hyperlink>
      <w:r>
        <w:rPr>
          <w:sz w:val="20"/>
        </w:rPr>
        <w:t>  (4/Nov/2014)</w:t>
      </w:r>
    </w:p>
    <w:p>
      <w:pPr>
        <w:pStyle w:val="BodyText"/>
        <w:rPr>
          <w:sz w:val="20"/>
        </w:rPr>
      </w:pPr>
    </w:p>
    <w:p>
      <w:pPr>
        <w:pStyle w:val="BodyText"/>
        <w:spacing w:before="11"/>
        <w:rPr>
          <w:sz w:val="19"/>
        </w:rPr>
      </w:pPr>
    </w:p>
    <w:p>
      <w:pPr>
        <w:tabs>
          <w:tab w:pos="466" w:val="left" w:leader="none"/>
        </w:tabs>
        <w:spacing w:line="256" w:lineRule="auto" w:before="0"/>
        <w:ind w:left="478" w:right="227" w:hanging="360"/>
        <w:jc w:val="left"/>
        <w:rPr>
          <w:sz w:val="20"/>
        </w:rPr>
      </w:pPr>
      <w:r>
        <w:rPr>
          <w:rFonts w:ascii="Symbol" w:hAnsi="Symbol"/>
          <w:sz w:val="20"/>
        </w:rPr>
        <w:t></w:t>
      </w:r>
      <w:r>
        <w:rPr>
          <w:rFonts w:ascii="Times New Roman" w:hAnsi="Times New Roman"/>
          <w:sz w:val="20"/>
        </w:rPr>
        <w:tab/>
      </w:r>
      <w:r>
        <w:rPr>
          <w:sz w:val="20"/>
        </w:rPr>
        <w:t>Carrillo, S.V. 2013. El impacto social y ambiental de la minería en México.</w:t>
      </w:r>
      <w:r>
        <w:rPr>
          <w:spacing w:val="-20"/>
          <w:sz w:val="20"/>
        </w:rPr>
        <w:t> </w:t>
      </w:r>
      <w:r>
        <w:rPr>
          <w:sz w:val="20"/>
        </w:rPr>
        <w:t>México</w:t>
      </w:r>
      <w:r>
        <w:rPr>
          <w:spacing w:val="-1"/>
          <w:sz w:val="20"/>
        </w:rPr>
        <w:t> </w:t>
      </w:r>
      <w:r>
        <w:rPr>
          <w:sz w:val="20"/>
        </w:rPr>
        <w:t>Social.</w:t>
      </w:r>
      <w:r>
        <w:rPr>
          <w:w w:val="99"/>
          <w:sz w:val="20"/>
        </w:rPr>
        <w:t> </w:t>
      </w:r>
      <w:hyperlink r:id="rId86">
        <w:r>
          <w:rPr>
            <w:color w:val="0000FF"/>
            <w:w w:val="95"/>
            <w:sz w:val="20"/>
            <w:u w:val="single" w:color="0000FF"/>
          </w:rPr>
          <w:t>http://blectores.mexicosocial.org/2013/06/el-impacto-social-y-ambiental-de-la-mineria-en-mexico/ </w:t>
        </w:r>
      </w:hyperlink>
      <w:r>
        <w:rPr>
          <w:sz w:val="20"/>
        </w:rPr>
        <w:t>(4/Nov/2014)</w:t>
      </w:r>
    </w:p>
    <w:p>
      <w:pPr>
        <w:pStyle w:val="BodyText"/>
        <w:spacing w:before="2"/>
        <w:rPr>
          <w:sz w:val="17"/>
        </w:rPr>
      </w:pPr>
    </w:p>
    <w:p>
      <w:pPr>
        <w:tabs>
          <w:tab w:pos="466" w:val="left" w:leader="none"/>
        </w:tabs>
        <w:spacing w:line="264" w:lineRule="exact" w:before="0"/>
        <w:ind w:left="118" w:right="0" w:firstLine="0"/>
        <w:jc w:val="left"/>
        <w:rPr>
          <w:sz w:val="13"/>
        </w:rPr>
      </w:pPr>
      <w:r>
        <w:rPr>
          <w:rFonts w:ascii="Symbol" w:hAnsi="Symbol"/>
          <w:sz w:val="20"/>
        </w:rPr>
        <w:t></w:t>
      </w:r>
      <w:r>
        <w:rPr>
          <w:rFonts w:ascii="Times New Roman" w:hAnsi="Times New Roman"/>
          <w:sz w:val="20"/>
        </w:rPr>
        <w:tab/>
      </w:r>
      <w:r>
        <w:rPr>
          <w:sz w:val="20"/>
        </w:rPr>
        <w:t>Organización Internacional del Trabajo. (1991). Seguridad y salud en minería a   </w:t>
      </w:r>
      <w:r>
        <w:rPr>
          <w:spacing w:val="10"/>
          <w:sz w:val="20"/>
        </w:rPr>
        <w:t> </w:t>
      </w:r>
      <w:r>
        <w:rPr>
          <w:sz w:val="20"/>
        </w:rPr>
        <w:t>cielo abierto. </w:t>
      </w:r>
      <w:r>
        <w:rPr>
          <w:spacing w:val="5"/>
          <w:sz w:val="20"/>
        </w:rPr>
        <w:t>1</w:t>
      </w:r>
      <w:r>
        <w:rPr>
          <w:spacing w:val="5"/>
          <w:position w:val="10"/>
          <w:sz w:val="13"/>
        </w:rPr>
        <w:t>er</w:t>
      </w:r>
    </w:p>
    <w:p>
      <w:pPr>
        <w:spacing w:line="228" w:lineRule="exact" w:before="0"/>
        <w:ind w:left="478" w:right="114" w:firstLine="0"/>
        <w:jc w:val="left"/>
        <w:rPr>
          <w:sz w:val="20"/>
        </w:rPr>
      </w:pPr>
      <w:r>
        <w:rPr>
          <w:sz w:val="20"/>
        </w:rPr>
        <w:t>edición, Ginebra Suiza.</w:t>
      </w:r>
    </w:p>
    <w:p>
      <w:pPr>
        <w:pStyle w:val="BodyText"/>
        <w:spacing w:before="8"/>
        <w:rPr>
          <w:sz w:val="21"/>
        </w:rPr>
      </w:pPr>
    </w:p>
    <w:p>
      <w:pPr>
        <w:tabs>
          <w:tab w:pos="466" w:val="left" w:leader="none"/>
        </w:tabs>
        <w:spacing w:line="228" w:lineRule="exact" w:before="1"/>
        <w:ind w:left="478" w:right="121" w:hanging="360"/>
        <w:jc w:val="left"/>
        <w:rPr>
          <w:sz w:val="20"/>
        </w:rPr>
      </w:pPr>
      <w:r>
        <w:rPr>
          <w:rFonts w:ascii="Symbol" w:hAnsi="Symbol"/>
          <w:sz w:val="20"/>
        </w:rPr>
        <w:t></w:t>
      </w:r>
      <w:r>
        <w:rPr>
          <w:rFonts w:ascii="Times New Roman" w:hAnsi="Times New Roman"/>
          <w:sz w:val="20"/>
        </w:rPr>
        <w:tab/>
      </w:r>
      <w:r>
        <w:rPr>
          <w:sz w:val="20"/>
        </w:rPr>
        <w:t>Acosta </w:t>
      </w:r>
      <w:r>
        <w:rPr>
          <w:spacing w:val="4"/>
          <w:sz w:val="20"/>
        </w:rPr>
        <w:t>W. </w:t>
      </w:r>
      <w:r>
        <w:rPr>
          <w:sz w:val="20"/>
        </w:rPr>
        <w:t>(2014). Minería  y efectos  en la salud:  una revisión  bibliométrica. Tesis  </w:t>
      </w:r>
      <w:r>
        <w:rPr>
          <w:spacing w:val="26"/>
          <w:sz w:val="20"/>
        </w:rPr>
        <w:t> </w:t>
      </w:r>
      <w:r>
        <w:rPr>
          <w:sz w:val="20"/>
        </w:rPr>
        <w:t>de</w:t>
      </w:r>
      <w:r>
        <w:rPr>
          <w:spacing w:val="27"/>
          <w:sz w:val="20"/>
        </w:rPr>
        <w:t> </w:t>
      </w:r>
      <w:r>
        <w:rPr>
          <w:sz w:val="20"/>
        </w:rPr>
        <w:t>maestría</w:t>
      </w:r>
      <w:r>
        <w:rPr>
          <w:w w:val="99"/>
          <w:sz w:val="20"/>
        </w:rPr>
        <w:t> </w:t>
      </w:r>
      <w:r>
        <w:rPr>
          <w:sz w:val="20"/>
        </w:rPr>
        <w:t>Universidad Nacional de Colombia,</w:t>
      </w:r>
      <w:r>
        <w:rPr>
          <w:spacing w:val="-10"/>
          <w:sz w:val="20"/>
        </w:rPr>
        <w:t> </w:t>
      </w:r>
      <w:r>
        <w:rPr>
          <w:sz w:val="20"/>
        </w:rPr>
        <w:t>Colombia.</w:t>
      </w:r>
    </w:p>
    <w:p>
      <w:pPr>
        <w:pStyle w:val="BodyText"/>
        <w:spacing w:before="6"/>
        <w:rPr>
          <w:sz w:val="21"/>
        </w:rPr>
      </w:pPr>
    </w:p>
    <w:p>
      <w:pPr>
        <w:tabs>
          <w:tab w:pos="466" w:val="left" w:leader="none"/>
        </w:tabs>
        <w:spacing w:line="228" w:lineRule="exact" w:before="0"/>
        <w:ind w:left="478" w:right="127" w:hanging="360"/>
        <w:jc w:val="left"/>
        <w:rPr>
          <w:sz w:val="20"/>
        </w:rPr>
      </w:pPr>
      <w:r>
        <w:rPr>
          <w:rFonts w:ascii="Symbol" w:hAnsi="Symbol"/>
          <w:sz w:val="20"/>
        </w:rPr>
        <w:t></w:t>
      </w:r>
      <w:r>
        <w:rPr>
          <w:rFonts w:ascii="Times New Roman" w:hAnsi="Times New Roman"/>
          <w:sz w:val="20"/>
        </w:rPr>
        <w:tab/>
      </w:r>
      <w:r>
        <w:rPr>
          <w:sz w:val="20"/>
        </w:rPr>
        <w:t>Alianza</w:t>
      </w:r>
      <w:r>
        <w:rPr>
          <w:spacing w:val="41"/>
          <w:sz w:val="20"/>
        </w:rPr>
        <w:t> </w:t>
      </w:r>
      <w:r>
        <w:rPr>
          <w:sz w:val="20"/>
        </w:rPr>
        <w:t>Mundial</w:t>
      </w:r>
      <w:r>
        <w:rPr>
          <w:spacing w:val="39"/>
          <w:sz w:val="20"/>
        </w:rPr>
        <w:t> </w:t>
      </w:r>
      <w:r>
        <w:rPr>
          <w:sz w:val="20"/>
        </w:rPr>
        <w:t>de</w:t>
      </w:r>
      <w:r>
        <w:rPr>
          <w:spacing w:val="39"/>
          <w:sz w:val="20"/>
        </w:rPr>
        <w:t> </w:t>
      </w:r>
      <w:r>
        <w:rPr>
          <w:sz w:val="20"/>
        </w:rPr>
        <w:t>Derecho</w:t>
      </w:r>
      <w:r>
        <w:rPr>
          <w:spacing w:val="41"/>
          <w:sz w:val="20"/>
        </w:rPr>
        <w:t> </w:t>
      </w:r>
      <w:r>
        <w:rPr>
          <w:sz w:val="20"/>
        </w:rPr>
        <w:t>Ambiental</w:t>
      </w:r>
      <w:r>
        <w:rPr>
          <w:spacing w:val="39"/>
          <w:sz w:val="20"/>
        </w:rPr>
        <w:t> </w:t>
      </w:r>
      <w:r>
        <w:rPr>
          <w:sz w:val="20"/>
        </w:rPr>
        <w:t>(ELAW).</w:t>
      </w:r>
      <w:r>
        <w:rPr>
          <w:spacing w:val="39"/>
          <w:sz w:val="20"/>
        </w:rPr>
        <w:t> </w:t>
      </w:r>
      <w:r>
        <w:rPr>
          <w:sz w:val="20"/>
        </w:rPr>
        <w:t>2010.</w:t>
      </w:r>
      <w:r>
        <w:rPr>
          <w:spacing w:val="39"/>
          <w:sz w:val="20"/>
        </w:rPr>
        <w:t> </w:t>
      </w:r>
      <w:r>
        <w:rPr>
          <w:sz w:val="20"/>
        </w:rPr>
        <w:t>Guía</w:t>
      </w:r>
      <w:r>
        <w:rPr>
          <w:spacing w:val="41"/>
          <w:sz w:val="20"/>
        </w:rPr>
        <w:t> </w:t>
      </w:r>
      <w:r>
        <w:rPr>
          <w:sz w:val="20"/>
        </w:rPr>
        <w:t>para</w:t>
      </w:r>
      <w:r>
        <w:rPr>
          <w:spacing w:val="41"/>
          <w:sz w:val="20"/>
        </w:rPr>
        <w:t> </w:t>
      </w:r>
      <w:r>
        <w:rPr>
          <w:sz w:val="20"/>
        </w:rPr>
        <w:t>Evaluar</w:t>
      </w:r>
      <w:r>
        <w:rPr>
          <w:spacing w:val="43"/>
          <w:sz w:val="20"/>
        </w:rPr>
        <w:t> </w:t>
      </w:r>
      <w:r>
        <w:rPr>
          <w:sz w:val="20"/>
        </w:rPr>
        <w:t>EIAs</w:t>
      </w:r>
      <w:r>
        <w:rPr>
          <w:spacing w:val="41"/>
          <w:sz w:val="20"/>
        </w:rPr>
        <w:t> </w:t>
      </w:r>
      <w:r>
        <w:rPr>
          <w:sz w:val="20"/>
        </w:rPr>
        <w:t>de</w:t>
      </w:r>
      <w:r>
        <w:rPr>
          <w:spacing w:val="41"/>
          <w:sz w:val="20"/>
        </w:rPr>
        <w:t> </w:t>
      </w:r>
      <w:r>
        <w:rPr>
          <w:sz w:val="20"/>
        </w:rPr>
        <w:t>proyectos</w:t>
      </w:r>
      <w:r>
        <w:rPr>
          <w:w w:val="99"/>
          <w:sz w:val="20"/>
        </w:rPr>
        <w:t> </w:t>
      </w:r>
      <w:r>
        <w:rPr>
          <w:sz w:val="20"/>
        </w:rPr>
        <w:t>mineros. Oregon. U.S.A. 132</w:t>
      </w:r>
      <w:r>
        <w:rPr>
          <w:spacing w:val="-12"/>
          <w:sz w:val="20"/>
        </w:rPr>
        <w:t> </w:t>
      </w:r>
      <w:r>
        <w:rPr>
          <w:sz w:val="20"/>
        </w:rPr>
        <w:t>pg.</w:t>
      </w:r>
    </w:p>
    <w:p>
      <w:pPr>
        <w:pStyle w:val="BodyText"/>
        <w:spacing w:before="5"/>
        <w:rPr>
          <w:sz w:val="21"/>
        </w:rPr>
      </w:pPr>
    </w:p>
    <w:p>
      <w:pPr>
        <w:tabs>
          <w:tab w:pos="466" w:val="left" w:leader="none"/>
        </w:tabs>
        <w:spacing w:line="228" w:lineRule="exact" w:before="0"/>
        <w:ind w:left="478" w:right="126" w:hanging="360"/>
        <w:jc w:val="left"/>
        <w:rPr>
          <w:sz w:val="20"/>
        </w:rPr>
      </w:pPr>
      <w:r>
        <w:rPr>
          <w:rFonts w:ascii="Symbol" w:hAnsi="Symbol"/>
          <w:sz w:val="20"/>
        </w:rPr>
        <w:t></w:t>
      </w:r>
      <w:r>
        <w:rPr>
          <w:rFonts w:ascii="Times New Roman" w:hAnsi="Times New Roman"/>
          <w:sz w:val="20"/>
        </w:rPr>
        <w:tab/>
      </w:r>
      <w:r>
        <w:rPr>
          <w:sz w:val="20"/>
        </w:rPr>
        <w:t>Banco Interamericano de Desarrollo (BID). 2013. Gestión del impacto de la explotación </w:t>
      </w:r>
      <w:r>
        <w:rPr>
          <w:spacing w:val="52"/>
          <w:sz w:val="20"/>
        </w:rPr>
        <w:t> </w:t>
      </w:r>
      <w:r>
        <w:rPr>
          <w:sz w:val="20"/>
        </w:rPr>
        <w:t>minera</w:t>
      </w:r>
      <w:r>
        <w:rPr>
          <w:spacing w:val="9"/>
          <w:sz w:val="20"/>
        </w:rPr>
        <w:t> </w:t>
      </w:r>
      <w:r>
        <w:rPr>
          <w:sz w:val="20"/>
        </w:rPr>
        <w:t>a</w:t>
      </w:r>
      <w:r>
        <w:rPr>
          <w:w w:val="99"/>
          <w:sz w:val="20"/>
        </w:rPr>
        <w:t> </w:t>
      </w:r>
      <w:r>
        <w:rPr>
          <w:sz w:val="20"/>
        </w:rPr>
        <w:t>cielo abierto en América</w:t>
      </w:r>
      <w:r>
        <w:rPr>
          <w:spacing w:val="-8"/>
          <w:sz w:val="20"/>
        </w:rPr>
        <w:t> </w:t>
      </w:r>
      <w:r>
        <w:rPr>
          <w:sz w:val="20"/>
        </w:rPr>
        <w:t>Latina.</w:t>
      </w:r>
    </w:p>
    <w:p>
      <w:pPr>
        <w:pStyle w:val="BodyText"/>
        <w:spacing w:before="5"/>
        <w:rPr>
          <w:sz w:val="21"/>
        </w:rPr>
      </w:pPr>
    </w:p>
    <w:p>
      <w:pPr>
        <w:tabs>
          <w:tab w:pos="466" w:val="left" w:leader="none"/>
        </w:tabs>
        <w:spacing w:line="228" w:lineRule="exact" w:before="0"/>
        <w:ind w:left="478" w:right="124" w:hanging="360"/>
        <w:jc w:val="left"/>
        <w:rPr>
          <w:sz w:val="20"/>
        </w:rPr>
      </w:pPr>
      <w:r>
        <w:rPr>
          <w:rFonts w:ascii="Symbol" w:hAnsi="Symbol"/>
          <w:sz w:val="20"/>
        </w:rPr>
        <w:t></w:t>
      </w:r>
      <w:r>
        <w:rPr>
          <w:rFonts w:ascii="Times New Roman" w:hAnsi="Times New Roman"/>
          <w:sz w:val="20"/>
        </w:rPr>
        <w:tab/>
      </w:r>
      <w:r>
        <w:rPr>
          <w:sz w:val="20"/>
        </w:rPr>
        <w:t>Oyarzun</w:t>
      </w:r>
      <w:r>
        <w:rPr>
          <w:spacing w:val="15"/>
          <w:sz w:val="20"/>
        </w:rPr>
        <w:t> </w:t>
      </w:r>
      <w:r>
        <w:rPr>
          <w:sz w:val="20"/>
        </w:rPr>
        <w:t>R.,</w:t>
      </w:r>
      <w:r>
        <w:rPr>
          <w:spacing w:val="18"/>
          <w:sz w:val="20"/>
        </w:rPr>
        <w:t> </w:t>
      </w:r>
      <w:r>
        <w:rPr>
          <w:sz w:val="20"/>
        </w:rPr>
        <w:t>P.</w:t>
      </w:r>
      <w:r>
        <w:rPr>
          <w:spacing w:val="16"/>
          <w:sz w:val="20"/>
        </w:rPr>
        <w:t> </w:t>
      </w:r>
      <w:r>
        <w:rPr>
          <w:sz w:val="20"/>
        </w:rPr>
        <w:t>Higueras,</w:t>
      </w:r>
      <w:r>
        <w:rPr>
          <w:spacing w:val="18"/>
          <w:sz w:val="20"/>
        </w:rPr>
        <w:t> </w:t>
      </w:r>
      <w:r>
        <w:rPr>
          <w:sz w:val="20"/>
        </w:rPr>
        <w:t>J.</w:t>
      </w:r>
      <w:r>
        <w:rPr>
          <w:spacing w:val="16"/>
          <w:sz w:val="20"/>
        </w:rPr>
        <w:t> </w:t>
      </w:r>
      <w:r>
        <w:rPr>
          <w:sz w:val="20"/>
        </w:rPr>
        <w:t>Lillo.</w:t>
      </w:r>
      <w:r>
        <w:rPr>
          <w:spacing w:val="18"/>
          <w:sz w:val="20"/>
        </w:rPr>
        <w:t> </w:t>
      </w:r>
      <w:r>
        <w:rPr>
          <w:sz w:val="20"/>
        </w:rPr>
        <w:t>2011.</w:t>
      </w:r>
      <w:r>
        <w:rPr>
          <w:spacing w:val="18"/>
          <w:sz w:val="20"/>
        </w:rPr>
        <w:t> </w:t>
      </w:r>
      <w:r>
        <w:rPr>
          <w:sz w:val="20"/>
        </w:rPr>
        <w:t>Minería</w:t>
      </w:r>
      <w:r>
        <w:rPr>
          <w:spacing w:val="18"/>
          <w:sz w:val="20"/>
        </w:rPr>
        <w:t> </w:t>
      </w:r>
      <w:r>
        <w:rPr>
          <w:sz w:val="20"/>
        </w:rPr>
        <w:t>Ambiental</w:t>
      </w:r>
      <w:r>
        <w:rPr>
          <w:spacing w:val="17"/>
          <w:sz w:val="20"/>
        </w:rPr>
        <w:t> </w:t>
      </w:r>
      <w:r>
        <w:rPr>
          <w:sz w:val="20"/>
        </w:rPr>
        <w:t>una</w:t>
      </w:r>
      <w:r>
        <w:rPr>
          <w:spacing w:val="16"/>
          <w:sz w:val="20"/>
        </w:rPr>
        <w:t> </w:t>
      </w:r>
      <w:r>
        <w:rPr>
          <w:sz w:val="20"/>
        </w:rPr>
        <w:t>introducción</w:t>
      </w:r>
      <w:r>
        <w:rPr>
          <w:spacing w:val="18"/>
          <w:sz w:val="20"/>
        </w:rPr>
        <w:t> </w:t>
      </w:r>
      <w:r>
        <w:rPr>
          <w:sz w:val="20"/>
        </w:rPr>
        <w:t>a</w:t>
      </w:r>
      <w:r>
        <w:rPr>
          <w:spacing w:val="18"/>
          <w:sz w:val="20"/>
        </w:rPr>
        <w:t> </w:t>
      </w:r>
      <w:r>
        <w:rPr>
          <w:sz w:val="20"/>
        </w:rPr>
        <w:t>los</w:t>
      </w:r>
      <w:r>
        <w:rPr>
          <w:spacing w:val="17"/>
          <w:sz w:val="20"/>
        </w:rPr>
        <w:t> </w:t>
      </w:r>
      <w:r>
        <w:rPr>
          <w:sz w:val="20"/>
        </w:rPr>
        <w:t>impactos</w:t>
      </w:r>
      <w:r>
        <w:rPr>
          <w:spacing w:val="19"/>
          <w:sz w:val="20"/>
        </w:rPr>
        <w:t> </w:t>
      </w:r>
      <w:r>
        <w:rPr>
          <w:sz w:val="20"/>
        </w:rPr>
        <w:t>y</w:t>
      </w:r>
      <w:r>
        <w:rPr>
          <w:spacing w:val="12"/>
          <w:sz w:val="20"/>
        </w:rPr>
        <w:t> </w:t>
      </w:r>
      <w:r>
        <w:rPr>
          <w:sz w:val="20"/>
        </w:rPr>
        <w:t>su</w:t>
      </w:r>
      <w:r>
        <w:rPr>
          <w:w w:val="99"/>
          <w:sz w:val="20"/>
        </w:rPr>
        <w:t> </w:t>
      </w:r>
      <w:r>
        <w:rPr>
          <w:sz w:val="20"/>
        </w:rPr>
        <w:t>remediación. Ed. GEMM,</w:t>
      </w:r>
      <w:r>
        <w:rPr>
          <w:spacing w:val="-10"/>
          <w:sz w:val="20"/>
        </w:rPr>
        <w:t> </w:t>
      </w:r>
      <w:r>
        <w:rPr>
          <w:sz w:val="20"/>
        </w:rPr>
        <w:t>España.</w:t>
      </w:r>
    </w:p>
    <w:p>
      <w:pPr>
        <w:pStyle w:val="BodyText"/>
        <w:rPr>
          <w:sz w:val="20"/>
        </w:rPr>
      </w:pPr>
    </w:p>
    <w:p>
      <w:pPr>
        <w:tabs>
          <w:tab w:pos="466" w:val="left" w:leader="none"/>
          <w:tab w:pos="1378" w:val="left" w:leader="none"/>
          <w:tab w:pos="1826" w:val="left" w:leader="none"/>
          <w:tab w:pos="2584" w:val="left" w:leader="none"/>
          <w:tab w:pos="3651" w:val="left" w:leader="none"/>
          <w:tab w:pos="4577" w:val="left" w:leader="none"/>
          <w:tab w:pos="5212" w:val="left" w:leader="none"/>
          <w:tab w:pos="5694" w:val="left" w:leader="none"/>
          <w:tab w:pos="6718" w:val="left" w:leader="none"/>
          <w:tab w:pos="7900" w:val="left" w:leader="none"/>
          <w:tab w:pos="8380" w:val="left" w:leader="none"/>
        </w:tabs>
        <w:spacing w:line="237" w:lineRule="auto" w:before="0"/>
        <w:ind w:left="478" w:right="122" w:hanging="360"/>
        <w:jc w:val="left"/>
        <w:rPr>
          <w:sz w:val="20"/>
        </w:rPr>
      </w:pPr>
      <w:r>
        <w:rPr>
          <w:rFonts w:ascii="Symbol" w:hAnsi="Symbol"/>
          <w:sz w:val="20"/>
        </w:rPr>
        <w:t></w:t>
      </w:r>
      <w:r>
        <w:rPr>
          <w:rFonts w:ascii="Times New Roman" w:hAnsi="Times New Roman"/>
          <w:sz w:val="20"/>
        </w:rPr>
        <w:tab/>
      </w:r>
      <w:r>
        <w:rPr>
          <w:sz w:val="20"/>
        </w:rPr>
        <w:t>Enciso,</w:t>
        <w:tab/>
        <w:t>A.</w:t>
        <w:tab/>
        <w:t>2011.</w:t>
        <w:tab/>
        <w:t>Actividad</w:t>
        <w:tab/>
        <w:t>minera,</w:t>
        <w:tab/>
        <w:t>veta</w:t>
        <w:tab/>
        <w:t>de</w:t>
        <w:tab/>
        <w:t>desastre</w:t>
        <w:tab/>
        <w:t>ambiental.</w:t>
        <w:tab/>
        <w:t>La</w:t>
        <w:tab/>
      </w:r>
      <w:r>
        <w:rPr>
          <w:w w:val="95"/>
          <w:sz w:val="20"/>
        </w:rPr>
        <w:t>Jornada. </w:t>
      </w:r>
      <w:hyperlink r:id="rId87">
        <w:r>
          <w:rPr>
            <w:color w:val="0000FF"/>
            <w:sz w:val="20"/>
            <w:u w:val="single" w:color="0000FF"/>
          </w:rPr>
          <w:t>http://www.jornada.unam.mx/2011/12/30/index.php?section=sociedad&amp;article=036n1soc </w:t>
        </w:r>
      </w:hyperlink>
      <w:r>
        <w:rPr>
          <w:sz w:val="20"/>
        </w:rPr>
        <w:t>(15/Nov/2014)</w:t>
      </w:r>
    </w:p>
    <w:p>
      <w:pPr>
        <w:pStyle w:val="BodyText"/>
        <w:spacing w:before="4"/>
      </w:pPr>
    </w:p>
    <w:p>
      <w:pPr>
        <w:tabs>
          <w:tab w:pos="466" w:val="left" w:leader="none"/>
        </w:tabs>
        <w:spacing w:line="228" w:lineRule="exact" w:before="0"/>
        <w:ind w:left="478" w:right="3957" w:hanging="360"/>
        <w:jc w:val="left"/>
        <w:rPr>
          <w:sz w:val="20"/>
        </w:rPr>
      </w:pPr>
      <w:r>
        <w:rPr>
          <w:rFonts w:ascii="Symbol" w:hAnsi="Symbol"/>
          <w:sz w:val="20"/>
        </w:rPr>
        <w:t></w:t>
      </w:r>
      <w:r>
        <w:rPr>
          <w:rFonts w:ascii="Times New Roman" w:hAnsi="Times New Roman"/>
          <w:sz w:val="20"/>
        </w:rPr>
        <w:tab/>
      </w:r>
      <w:r>
        <w:rPr>
          <w:sz w:val="20"/>
        </w:rPr>
        <w:t>Rodríguez, A. 2013. Minería</w:t>
      </w:r>
      <w:r>
        <w:rPr>
          <w:spacing w:val="-17"/>
          <w:sz w:val="20"/>
        </w:rPr>
        <w:t> </w:t>
      </w:r>
      <w:r>
        <w:rPr>
          <w:sz w:val="20"/>
        </w:rPr>
        <w:t>salvaje.</w:t>
      </w:r>
      <w:r>
        <w:rPr>
          <w:spacing w:val="-3"/>
          <w:sz w:val="20"/>
        </w:rPr>
        <w:t> </w:t>
      </w:r>
      <w:r>
        <w:rPr>
          <w:sz w:val="20"/>
        </w:rPr>
        <w:t>Proceso.</w:t>
      </w:r>
      <w:r>
        <w:rPr>
          <w:w w:val="99"/>
          <w:sz w:val="20"/>
        </w:rPr>
        <w:t> </w:t>
      </w:r>
      <w:hyperlink r:id="rId88">
        <w:r>
          <w:rPr>
            <w:color w:val="0000FF"/>
            <w:sz w:val="20"/>
            <w:u w:val="single" w:color="0000FF"/>
          </w:rPr>
          <w:t>http://www.proceso.com.mx/?p=361133</w:t>
        </w:r>
        <w:r>
          <w:rPr>
            <w:color w:val="0000FF"/>
            <w:spacing w:val="-9"/>
            <w:sz w:val="20"/>
            <w:u w:val="single" w:color="0000FF"/>
          </w:rPr>
          <w:t> </w:t>
        </w:r>
      </w:hyperlink>
      <w:r>
        <w:rPr>
          <w:sz w:val="20"/>
        </w:rPr>
        <w:t>(15/Nov/2014)</w:t>
      </w:r>
    </w:p>
    <w:p>
      <w:pPr>
        <w:pStyle w:val="BodyText"/>
        <w:spacing w:before="5"/>
        <w:rPr>
          <w:sz w:val="21"/>
        </w:rPr>
      </w:pPr>
    </w:p>
    <w:p>
      <w:pPr>
        <w:tabs>
          <w:tab w:pos="466" w:val="left" w:leader="none"/>
        </w:tabs>
        <w:spacing w:line="228" w:lineRule="exact" w:before="0"/>
        <w:ind w:left="478" w:right="123" w:hanging="360"/>
        <w:jc w:val="left"/>
        <w:rPr>
          <w:sz w:val="20"/>
        </w:rPr>
      </w:pPr>
      <w:r>
        <w:rPr>
          <w:rFonts w:ascii="Symbol" w:hAnsi="Symbol"/>
          <w:sz w:val="20"/>
        </w:rPr>
        <w:t></w:t>
      </w:r>
      <w:r>
        <w:rPr>
          <w:rFonts w:ascii="Times New Roman" w:hAnsi="Times New Roman"/>
          <w:sz w:val="20"/>
        </w:rPr>
        <w:tab/>
      </w:r>
      <w:r>
        <w:rPr>
          <w:sz w:val="20"/>
        </w:rPr>
        <w:t>Villalpando,</w:t>
      </w:r>
      <w:r>
        <w:rPr>
          <w:spacing w:val="18"/>
          <w:sz w:val="20"/>
        </w:rPr>
        <w:t> </w:t>
      </w:r>
      <w:r>
        <w:rPr>
          <w:sz w:val="20"/>
        </w:rPr>
        <w:t>R.</w:t>
      </w:r>
      <w:r>
        <w:rPr>
          <w:spacing w:val="19"/>
          <w:sz w:val="20"/>
        </w:rPr>
        <w:t> </w:t>
      </w:r>
      <w:r>
        <w:rPr>
          <w:sz w:val="20"/>
        </w:rPr>
        <w:t>Ejidatarios</w:t>
      </w:r>
      <w:r>
        <w:rPr>
          <w:spacing w:val="22"/>
          <w:sz w:val="20"/>
        </w:rPr>
        <w:t> </w:t>
      </w:r>
      <w:r>
        <w:rPr>
          <w:sz w:val="20"/>
        </w:rPr>
        <w:t>de</w:t>
      </w:r>
      <w:r>
        <w:rPr>
          <w:spacing w:val="18"/>
          <w:sz w:val="20"/>
        </w:rPr>
        <w:t> </w:t>
      </w:r>
      <w:r>
        <w:rPr>
          <w:sz w:val="20"/>
        </w:rPr>
        <w:t>Chihuahua</w:t>
      </w:r>
      <w:r>
        <w:rPr>
          <w:spacing w:val="18"/>
          <w:sz w:val="20"/>
        </w:rPr>
        <w:t> </w:t>
      </w:r>
      <w:r>
        <w:rPr>
          <w:sz w:val="20"/>
        </w:rPr>
        <w:t>exigen</w:t>
      </w:r>
      <w:r>
        <w:rPr>
          <w:spacing w:val="18"/>
          <w:sz w:val="20"/>
        </w:rPr>
        <w:t> </w:t>
      </w:r>
      <w:r>
        <w:rPr>
          <w:sz w:val="20"/>
        </w:rPr>
        <w:t>revisar</w:t>
      </w:r>
      <w:r>
        <w:rPr>
          <w:spacing w:val="19"/>
          <w:sz w:val="20"/>
        </w:rPr>
        <w:t> </w:t>
      </w:r>
      <w:r>
        <w:rPr>
          <w:sz w:val="20"/>
        </w:rPr>
        <w:t>caso</w:t>
      </w:r>
      <w:r>
        <w:rPr>
          <w:spacing w:val="18"/>
          <w:sz w:val="20"/>
        </w:rPr>
        <w:t> </w:t>
      </w:r>
      <w:r>
        <w:rPr>
          <w:sz w:val="20"/>
        </w:rPr>
        <w:t>de</w:t>
      </w:r>
      <w:r>
        <w:rPr>
          <w:spacing w:val="18"/>
          <w:sz w:val="20"/>
        </w:rPr>
        <w:t> </w:t>
      </w:r>
      <w:r>
        <w:rPr>
          <w:sz w:val="20"/>
        </w:rPr>
        <w:t>la</w:t>
      </w:r>
      <w:r>
        <w:rPr>
          <w:spacing w:val="18"/>
          <w:sz w:val="20"/>
        </w:rPr>
        <w:t> </w:t>
      </w:r>
      <w:r>
        <w:rPr>
          <w:sz w:val="20"/>
        </w:rPr>
        <w:t>minera</w:t>
      </w:r>
      <w:r>
        <w:rPr>
          <w:spacing w:val="18"/>
          <w:sz w:val="20"/>
        </w:rPr>
        <w:t> </w:t>
      </w:r>
      <w:r>
        <w:rPr>
          <w:sz w:val="20"/>
        </w:rPr>
        <w:t>Dolores.</w:t>
      </w:r>
      <w:r>
        <w:rPr>
          <w:spacing w:val="18"/>
          <w:sz w:val="20"/>
        </w:rPr>
        <w:t> </w:t>
      </w:r>
      <w:r>
        <w:rPr>
          <w:sz w:val="20"/>
        </w:rPr>
        <w:t>La</w:t>
      </w:r>
      <w:r>
        <w:rPr>
          <w:spacing w:val="18"/>
          <w:sz w:val="20"/>
        </w:rPr>
        <w:t> </w:t>
      </w:r>
      <w:r>
        <w:rPr>
          <w:sz w:val="20"/>
        </w:rPr>
        <w:t>Jornada.</w:t>
      </w:r>
      <w:r>
        <w:rPr>
          <w:w w:val="99"/>
          <w:sz w:val="20"/>
        </w:rPr>
        <w:t> </w:t>
      </w:r>
      <w:hyperlink r:id="rId89">
        <w:r>
          <w:rPr>
            <w:sz w:val="20"/>
          </w:rPr>
          <w:t>http://www.jornada.unam.mx/2011/12/31/estados/024n1est</w:t>
        </w:r>
      </w:hyperlink>
      <w:r>
        <w:rPr>
          <w:spacing w:val="38"/>
          <w:sz w:val="20"/>
        </w:rPr>
        <w:t> </w:t>
      </w:r>
      <w:r>
        <w:rPr>
          <w:sz w:val="20"/>
        </w:rPr>
        <w:t>(15/Nov/2014)</w:t>
      </w:r>
    </w:p>
    <w:p>
      <w:pPr>
        <w:pStyle w:val="BodyText"/>
        <w:spacing w:before="5"/>
        <w:rPr>
          <w:sz w:val="21"/>
        </w:rPr>
      </w:pPr>
    </w:p>
    <w:p>
      <w:pPr>
        <w:tabs>
          <w:tab w:pos="466" w:val="left" w:leader="none"/>
        </w:tabs>
        <w:spacing w:line="228" w:lineRule="exact" w:before="0"/>
        <w:ind w:left="478" w:right="1611" w:hanging="360"/>
        <w:jc w:val="left"/>
        <w:rPr>
          <w:sz w:val="20"/>
        </w:rPr>
      </w:pPr>
      <w:r>
        <w:rPr>
          <w:rFonts w:ascii="Symbol" w:hAnsi="Symbol"/>
          <w:sz w:val="20"/>
        </w:rPr>
        <w:t></w:t>
      </w:r>
      <w:r>
        <w:rPr>
          <w:rFonts w:ascii="Times New Roman" w:hAnsi="Times New Roman"/>
          <w:sz w:val="20"/>
        </w:rPr>
        <w:tab/>
      </w:r>
      <w:r>
        <w:rPr>
          <w:sz w:val="20"/>
        </w:rPr>
        <w:t>Olson, G. 2011. Viven en la minera San Xavier el temor a cielo</w:t>
      </w:r>
      <w:r>
        <w:rPr>
          <w:spacing w:val="-23"/>
          <w:sz w:val="20"/>
        </w:rPr>
        <w:t> </w:t>
      </w:r>
      <w:r>
        <w:rPr>
          <w:sz w:val="20"/>
        </w:rPr>
        <w:t>abierto.</w:t>
      </w:r>
      <w:r>
        <w:rPr>
          <w:spacing w:val="-1"/>
          <w:sz w:val="20"/>
        </w:rPr>
        <w:t> </w:t>
      </w:r>
      <w:r>
        <w:rPr>
          <w:sz w:val="20"/>
        </w:rPr>
        <w:t>Excélsior.</w:t>
      </w:r>
      <w:r>
        <w:rPr>
          <w:w w:val="99"/>
          <w:sz w:val="20"/>
        </w:rPr>
        <w:t> </w:t>
      </w:r>
      <w:hyperlink r:id="rId90">
        <w:r>
          <w:rPr>
            <w:sz w:val="20"/>
          </w:rPr>
          <w:t>http://www.excelsior.com.mx/2011/05/17/nacional/737299</w:t>
        </w:r>
      </w:hyperlink>
      <w:r>
        <w:rPr>
          <w:spacing w:val="-18"/>
          <w:sz w:val="20"/>
        </w:rPr>
        <w:t> </w:t>
      </w:r>
      <w:r>
        <w:rPr>
          <w:sz w:val="20"/>
        </w:rPr>
        <w:t>(15/Nov/2014)</w:t>
      </w:r>
    </w:p>
    <w:p>
      <w:pPr>
        <w:pStyle w:val="BodyText"/>
        <w:rPr>
          <w:sz w:val="20"/>
        </w:rPr>
      </w:pPr>
    </w:p>
    <w:p>
      <w:pPr>
        <w:tabs>
          <w:tab w:pos="466" w:val="left" w:leader="none"/>
        </w:tabs>
        <w:spacing w:line="237" w:lineRule="auto" w:before="0"/>
        <w:ind w:left="478" w:right="475" w:hanging="360"/>
        <w:jc w:val="left"/>
        <w:rPr>
          <w:sz w:val="20"/>
        </w:rPr>
      </w:pPr>
      <w:r>
        <w:rPr>
          <w:rFonts w:ascii="Symbol" w:hAnsi="Symbol"/>
          <w:sz w:val="20"/>
        </w:rPr>
        <w:t></w:t>
      </w:r>
      <w:r>
        <w:rPr>
          <w:rFonts w:ascii="Times New Roman" w:hAnsi="Times New Roman"/>
          <w:sz w:val="20"/>
        </w:rPr>
        <w:tab/>
      </w:r>
      <w:r>
        <w:rPr>
          <w:sz w:val="20"/>
        </w:rPr>
        <w:t>Tiznado, C. 2013. Oculto minera gigantesco derrame de cianuro.</w:t>
      </w:r>
      <w:r>
        <w:rPr>
          <w:spacing w:val="-24"/>
          <w:sz w:val="20"/>
        </w:rPr>
        <w:t> </w:t>
      </w:r>
      <w:r>
        <w:rPr>
          <w:sz w:val="20"/>
        </w:rPr>
        <w:t>Dossier</w:t>
      </w:r>
      <w:r>
        <w:rPr>
          <w:spacing w:val="-4"/>
          <w:sz w:val="20"/>
        </w:rPr>
        <w:t> </w:t>
      </w:r>
      <w:r>
        <w:rPr>
          <w:sz w:val="20"/>
        </w:rPr>
        <w:t>Político.</w:t>
      </w:r>
      <w:r>
        <w:rPr>
          <w:w w:val="99"/>
          <w:sz w:val="20"/>
        </w:rPr>
        <w:t> </w:t>
      </w:r>
      <w:hyperlink r:id="rId91">
        <w:r>
          <w:rPr>
            <w:w w:val="95"/>
            <w:sz w:val="20"/>
          </w:rPr>
          <w:t>http://www.dossierpolitico.com/vernoticiasanteriores.php?artid=133447&amp;relacion=dossierpolitico&amp;</w:t>
        </w:r>
      </w:hyperlink>
      <w:r>
        <w:rPr>
          <w:w w:val="95"/>
          <w:sz w:val="20"/>
        </w:rPr>
        <w:t> </w:t>
      </w:r>
      <w:r>
        <w:rPr>
          <w:sz w:val="20"/>
        </w:rPr>
        <w:t>criterio=cen</w:t>
      </w:r>
      <w:r>
        <w:rPr>
          <w:spacing w:val="-10"/>
          <w:sz w:val="20"/>
        </w:rPr>
        <w:t> </w:t>
      </w:r>
      <w:r>
        <w:rPr>
          <w:sz w:val="20"/>
        </w:rPr>
        <w:t>(15/Nov/2014)</w:t>
      </w:r>
    </w:p>
    <w:p>
      <w:pPr>
        <w:pStyle w:val="BodyText"/>
        <w:spacing w:before="2"/>
        <w:rPr>
          <w:sz w:val="20"/>
        </w:rPr>
      </w:pPr>
    </w:p>
    <w:p>
      <w:pPr>
        <w:tabs>
          <w:tab w:pos="466" w:val="left" w:leader="none"/>
        </w:tabs>
        <w:spacing w:line="256" w:lineRule="auto" w:before="0"/>
        <w:ind w:left="478" w:right="650" w:hanging="360"/>
        <w:jc w:val="left"/>
        <w:rPr>
          <w:sz w:val="20"/>
        </w:rPr>
      </w:pPr>
      <w:r>
        <w:rPr>
          <w:rFonts w:ascii="Symbol" w:hAnsi="Symbol"/>
          <w:sz w:val="20"/>
        </w:rPr>
        <w:t></w:t>
      </w:r>
      <w:r>
        <w:rPr>
          <w:rFonts w:ascii="Times New Roman" w:hAnsi="Times New Roman"/>
          <w:sz w:val="20"/>
        </w:rPr>
        <w:tab/>
      </w:r>
      <w:r>
        <w:rPr>
          <w:sz w:val="20"/>
        </w:rPr>
        <w:t>Miranda, F. f. Larios, R. Alanís. 2014. En Sonora, “peor desastre” ambiental</w:t>
      </w:r>
      <w:r>
        <w:rPr>
          <w:spacing w:val="-30"/>
          <w:sz w:val="20"/>
        </w:rPr>
        <w:t> </w:t>
      </w:r>
      <w:r>
        <w:rPr>
          <w:sz w:val="20"/>
        </w:rPr>
        <w:t>minero.</w:t>
      </w:r>
      <w:r>
        <w:rPr>
          <w:spacing w:val="-4"/>
          <w:sz w:val="20"/>
        </w:rPr>
        <w:t> </w:t>
      </w:r>
      <w:r>
        <w:rPr>
          <w:sz w:val="20"/>
        </w:rPr>
        <w:t>Milenio.</w:t>
      </w:r>
      <w:r>
        <w:rPr>
          <w:w w:val="99"/>
          <w:sz w:val="20"/>
        </w:rPr>
        <w:t> </w:t>
      </w:r>
      <w:hyperlink r:id="rId92">
        <w:r>
          <w:rPr>
            <w:sz w:val="20"/>
          </w:rPr>
          <w:t>http://www.milenio.com/estados/derrame_Sonora-contaminacion_rio_Sonora-</w:t>
        </w:r>
      </w:hyperlink>
      <w:r>
        <w:rPr>
          <w:sz w:val="20"/>
        </w:rPr>
        <w:t> derrame_minero_0_361763832.html(15/Nov/2014)</w:t>
      </w:r>
    </w:p>
    <w:p>
      <w:pPr>
        <w:pStyle w:val="BodyText"/>
        <w:spacing w:before="7"/>
        <w:rPr>
          <w:sz w:val="20"/>
        </w:rPr>
      </w:pPr>
    </w:p>
    <w:p>
      <w:pPr>
        <w:tabs>
          <w:tab w:pos="466" w:val="left" w:leader="none"/>
        </w:tabs>
        <w:spacing w:line="228" w:lineRule="exact" w:before="0"/>
        <w:ind w:left="478" w:right="122" w:hanging="360"/>
        <w:jc w:val="left"/>
        <w:rPr>
          <w:sz w:val="20"/>
        </w:rPr>
      </w:pPr>
      <w:r>
        <w:rPr>
          <w:rFonts w:ascii="Symbol" w:hAnsi="Symbol"/>
          <w:sz w:val="20"/>
        </w:rPr>
        <w:t></w:t>
      </w:r>
      <w:r>
        <w:rPr>
          <w:rFonts w:ascii="Times New Roman" w:hAnsi="Times New Roman"/>
          <w:sz w:val="20"/>
        </w:rPr>
        <w:tab/>
      </w:r>
      <w:r>
        <w:rPr>
          <w:sz w:val="20"/>
        </w:rPr>
        <w:t>Enciso,</w:t>
      </w:r>
      <w:r>
        <w:rPr>
          <w:spacing w:val="38"/>
          <w:sz w:val="20"/>
        </w:rPr>
        <w:t> </w:t>
      </w:r>
      <w:r>
        <w:rPr>
          <w:sz w:val="20"/>
        </w:rPr>
        <w:t>A.</w:t>
      </w:r>
      <w:r>
        <w:rPr>
          <w:spacing w:val="38"/>
          <w:sz w:val="20"/>
        </w:rPr>
        <w:t> </w:t>
      </w:r>
      <w:r>
        <w:rPr>
          <w:sz w:val="20"/>
        </w:rPr>
        <w:t>2014.</w:t>
      </w:r>
      <w:r>
        <w:rPr>
          <w:spacing w:val="35"/>
          <w:sz w:val="20"/>
        </w:rPr>
        <w:t> </w:t>
      </w:r>
      <w:r>
        <w:rPr>
          <w:sz w:val="20"/>
        </w:rPr>
        <w:t>“Descuido”</w:t>
      </w:r>
      <w:r>
        <w:rPr>
          <w:spacing w:val="36"/>
          <w:sz w:val="20"/>
        </w:rPr>
        <w:t> </w:t>
      </w:r>
      <w:r>
        <w:rPr>
          <w:sz w:val="20"/>
        </w:rPr>
        <w:t>de</w:t>
      </w:r>
      <w:r>
        <w:rPr>
          <w:spacing w:val="37"/>
          <w:sz w:val="20"/>
        </w:rPr>
        <w:t> </w:t>
      </w:r>
      <w:r>
        <w:rPr>
          <w:sz w:val="20"/>
        </w:rPr>
        <w:t>la</w:t>
      </w:r>
      <w:r>
        <w:rPr>
          <w:spacing w:val="35"/>
          <w:sz w:val="20"/>
        </w:rPr>
        <w:t> </w:t>
      </w:r>
      <w:r>
        <w:rPr>
          <w:sz w:val="20"/>
        </w:rPr>
        <w:t>empresa,</w:t>
      </w:r>
      <w:r>
        <w:rPr>
          <w:spacing w:val="35"/>
          <w:sz w:val="20"/>
        </w:rPr>
        <w:t> </w:t>
      </w:r>
      <w:r>
        <w:rPr>
          <w:sz w:val="20"/>
        </w:rPr>
        <w:t>causa</w:t>
      </w:r>
      <w:r>
        <w:rPr>
          <w:spacing w:val="38"/>
          <w:sz w:val="20"/>
        </w:rPr>
        <w:t> </w:t>
      </w:r>
      <w:r>
        <w:rPr>
          <w:sz w:val="20"/>
        </w:rPr>
        <w:t>del</w:t>
      </w:r>
      <w:r>
        <w:rPr>
          <w:spacing w:val="37"/>
          <w:sz w:val="20"/>
        </w:rPr>
        <w:t> </w:t>
      </w:r>
      <w:r>
        <w:rPr>
          <w:sz w:val="20"/>
        </w:rPr>
        <w:t>derrame</w:t>
      </w:r>
      <w:r>
        <w:rPr>
          <w:spacing w:val="35"/>
          <w:sz w:val="20"/>
        </w:rPr>
        <w:t> </w:t>
      </w:r>
      <w:r>
        <w:rPr>
          <w:sz w:val="20"/>
        </w:rPr>
        <w:t>en</w:t>
      </w:r>
      <w:r>
        <w:rPr>
          <w:spacing w:val="35"/>
          <w:sz w:val="20"/>
        </w:rPr>
        <w:t> </w:t>
      </w:r>
      <w:r>
        <w:rPr>
          <w:sz w:val="20"/>
        </w:rPr>
        <w:t>Sonora:</w:t>
      </w:r>
      <w:r>
        <w:rPr>
          <w:spacing w:val="38"/>
          <w:sz w:val="20"/>
        </w:rPr>
        <w:t> </w:t>
      </w:r>
      <w:r>
        <w:rPr>
          <w:sz w:val="20"/>
        </w:rPr>
        <w:t>SEMARNAT.</w:t>
      </w:r>
      <w:r>
        <w:rPr>
          <w:spacing w:val="36"/>
          <w:sz w:val="20"/>
        </w:rPr>
        <w:t> </w:t>
      </w:r>
      <w:r>
        <w:rPr>
          <w:sz w:val="20"/>
        </w:rPr>
        <w:t>L</w:t>
      </w:r>
      <w:r>
        <w:rPr>
          <w:spacing w:val="35"/>
          <w:sz w:val="20"/>
        </w:rPr>
        <w:t> </w:t>
      </w:r>
      <w:r>
        <w:rPr>
          <w:sz w:val="20"/>
        </w:rPr>
        <w:t>a</w:t>
      </w:r>
      <w:r>
        <w:rPr>
          <w:w w:val="99"/>
          <w:sz w:val="20"/>
        </w:rPr>
        <w:t> </w:t>
      </w:r>
      <w:r>
        <w:rPr>
          <w:sz w:val="20"/>
        </w:rPr>
        <w:t>Jornada. </w:t>
      </w:r>
      <w:hyperlink r:id="rId93">
        <w:r>
          <w:rPr>
            <w:sz w:val="20"/>
          </w:rPr>
          <w:t>http://www.jornada.unam.mx/2014/08/27/politica/003n1pol</w:t>
        </w:r>
      </w:hyperlink>
      <w:r>
        <w:rPr>
          <w:spacing w:val="-24"/>
          <w:sz w:val="20"/>
        </w:rPr>
        <w:t> </w:t>
      </w:r>
      <w:r>
        <w:rPr>
          <w:sz w:val="20"/>
        </w:rPr>
        <w:t>(15/Nov/2014)</w:t>
      </w:r>
    </w:p>
    <w:p>
      <w:pPr>
        <w:pStyle w:val="BodyText"/>
        <w:spacing w:before="10"/>
        <w:rPr>
          <w:sz w:val="19"/>
        </w:rPr>
      </w:pPr>
    </w:p>
    <w:p>
      <w:pPr>
        <w:tabs>
          <w:tab w:pos="466" w:val="left" w:leader="none"/>
        </w:tabs>
        <w:spacing w:before="0"/>
        <w:ind w:left="478" w:right="123" w:hanging="360"/>
        <w:jc w:val="left"/>
        <w:rPr>
          <w:sz w:val="20"/>
        </w:rPr>
      </w:pPr>
      <w:r>
        <w:rPr>
          <w:rFonts w:ascii="Symbol" w:hAnsi="Symbol"/>
          <w:sz w:val="20"/>
        </w:rPr>
        <w:t></w:t>
      </w:r>
      <w:r>
        <w:rPr>
          <w:rFonts w:ascii="Times New Roman" w:hAnsi="Times New Roman"/>
          <w:sz w:val="20"/>
        </w:rPr>
        <w:tab/>
      </w:r>
      <w:r>
        <w:rPr>
          <w:sz w:val="20"/>
        </w:rPr>
        <w:t>Jiménez,  M.  2014.  Sonora:  ahora  descarrila  tren  con  ácido  sulfúrico  de  Grupo </w:t>
      </w:r>
      <w:r>
        <w:rPr>
          <w:spacing w:val="44"/>
          <w:sz w:val="20"/>
        </w:rPr>
        <w:t> </w:t>
      </w:r>
      <w:r>
        <w:rPr>
          <w:sz w:val="20"/>
        </w:rPr>
        <w:t>México. </w:t>
      </w:r>
      <w:r>
        <w:rPr>
          <w:spacing w:val="3"/>
          <w:sz w:val="20"/>
        </w:rPr>
        <w:t> </w:t>
      </w:r>
      <w:r>
        <w:rPr>
          <w:sz w:val="20"/>
        </w:rPr>
        <w:t>La</w:t>
      </w:r>
      <w:r>
        <w:rPr>
          <w:w w:val="99"/>
          <w:sz w:val="20"/>
        </w:rPr>
        <w:t> </w:t>
      </w:r>
      <w:r>
        <w:rPr>
          <w:sz w:val="20"/>
        </w:rPr>
        <w:t>Jornada. </w:t>
      </w:r>
      <w:hyperlink r:id="rId94">
        <w:r>
          <w:rPr>
            <w:sz w:val="20"/>
          </w:rPr>
          <w:t>http://www.proceso.com.mx/?p=380449</w:t>
        </w:r>
      </w:hyperlink>
      <w:r>
        <w:rPr>
          <w:spacing w:val="-15"/>
          <w:sz w:val="20"/>
        </w:rPr>
        <w:t> </w:t>
      </w:r>
      <w:r>
        <w:rPr>
          <w:sz w:val="20"/>
        </w:rPr>
        <w:t>(15/Nov/2014)</w:t>
      </w:r>
    </w:p>
    <w:p>
      <w:pPr>
        <w:spacing w:after="0"/>
        <w:jc w:val="left"/>
        <w:rPr>
          <w:sz w:val="20"/>
        </w:rPr>
        <w:sectPr>
          <w:pgSz w:w="12240" w:h="15840"/>
          <w:pgMar w:header="0" w:footer="1420" w:top="1500" w:bottom="1680" w:left="1660" w:right="1300"/>
        </w:sectPr>
      </w:pPr>
    </w:p>
    <w:p>
      <w:pPr>
        <w:spacing w:line="228" w:lineRule="exact" w:before="55"/>
        <w:ind w:left="478" w:right="121" w:hanging="360"/>
        <w:jc w:val="both"/>
        <w:rPr>
          <w:sz w:val="20"/>
        </w:rPr>
      </w:pPr>
      <w:r>
        <w:rPr>
          <w:rFonts w:ascii="Symbol" w:hAnsi="Symbol"/>
          <w:sz w:val="20"/>
        </w:rPr>
        <w:t></w:t>
      </w:r>
      <w:r>
        <w:rPr>
          <w:rFonts w:ascii="Times New Roman" w:hAnsi="Times New Roman"/>
          <w:sz w:val="20"/>
        </w:rPr>
        <w:t> </w:t>
      </w:r>
      <w:r>
        <w:rPr>
          <w:sz w:val="20"/>
        </w:rPr>
        <w:t>Maldonado, S. y Enciso, A. 2014. Emergencia ambiental en Durango por mina que derramo  cianuro. La Jornada. </w:t>
      </w:r>
      <w:hyperlink r:id="rId96">
        <w:r>
          <w:rPr>
            <w:sz w:val="20"/>
          </w:rPr>
          <w:t>http://www.jornada.unam.mx/2014/08/14/sociedad/038n1soc</w:t>
        </w:r>
      </w:hyperlink>
      <w:r>
        <w:rPr>
          <w:spacing w:val="-23"/>
          <w:sz w:val="20"/>
        </w:rPr>
        <w:t> </w:t>
      </w:r>
      <w:r>
        <w:rPr>
          <w:sz w:val="20"/>
        </w:rPr>
        <w:t>(15/Nov/2014)</w:t>
      </w:r>
    </w:p>
    <w:p>
      <w:pPr>
        <w:pStyle w:val="BodyText"/>
        <w:spacing w:before="10"/>
        <w:rPr>
          <w:sz w:val="19"/>
        </w:rPr>
      </w:pPr>
    </w:p>
    <w:p>
      <w:pPr>
        <w:tabs>
          <w:tab w:pos="466" w:val="left" w:leader="none"/>
        </w:tabs>
        <w:spacing w:line="240" w:lineRule="auto" w:before="0"/>
        <w:ind w:left="478" w:right="122" w:hanging="360"/>
        <w:jc w:val="left"/>
        <w:rPr>
          <w:sz w:val="20"/>
        </w:rPr>
      </w:pPr>
      <w:r>
        <w:rPr>
          <w:rFonts w:ascii="Symbol" w:hAnsi="Symbol"/>
          <w:sz w:val="20"/>
        </w:rPr>
        <w:t></w:t>
      </w:r>
      <w:r>
        <w:rPr>
          <w:rFonts w:ascii="Times New Roman" w:hAnsi="Times New Roman"/>
          <w:sz w:val="20"/>
        </w:rPr>
        <w:tab/>
      </w:r>
      <w:r>
        <w:rPr>
          <w:sz w:val="20"/>
        </w:rPr>
        <w:t>CEMDA.</w:t>
      </w:r>
      <w:r>
        <w:rPr>
          <w:spacing w:val="18"/>
          <w:sz w:val="20"/>
        </w:rPr>
        <w:t> </w:t>
      </w:r>
      <w:r>
        <w:rPr>
          <w:sz w:val="20"/>
        </w:rPr>
        <w:t>(2014).</w:t>
      </w:r>
      <w:r>
        <w:rPr>
          <w:spacing w:val="18"/>
          <w:sz w:val="20"/>
        </w:rPr>
        <w:t> </w:t>
      </w:r>
      <w:r>
        <w:rPr>
          <w:sz w:val="20"/>
        </w:rPr>
        <w:t>Proyecto</w:t>
      </w:r>
      <w:r>
        <w:rPr>
          <w:spacing w:val="18"/>
          <w:sz w:val="20"/>
        </w:rPr>
        <w:t> </w:t>
      </w:r>
      <w:r>
        <w:rPr>
          <w:sz w:val="20"/>
        </w:rPr>
        <w:t>minero</w:t>
      </w:r>
      <w:r>
        <w:rPr>
          <w:spacing w:val="18"/>
          <w:sz w:val="20"/>
        </w:rPr>
        <w:t> </w:t>
      </w:r>
      <w:r>
        <w:rPr>
          <w:sz w:val="20"/>
        </w:rPr>
        <w:t>propuesto</w:t>
      </w:r>
      <w:r>
        <w:rPr>
          <w:spacing w:val="18"/>
          <w:sz w:val="20"/>
        </w:rPr>
        <w:t> </w:t>
      </w:r>
      <w:r>
        <w:rPr>
          <w:sz w:val="20"/>
        </w:rPr>
        <w:t>podría</w:t>
      </w:r>
      <w:r>
        <w:rPr>
          <w:spacing w:val="18"/>
          <w:sz w:val="20"/>
        </w:rPr>
        <w:t> </w:t>
      </w:r>
      <w:r>
        <w:rPr>
          <w:sz w:val="20"/>
        </w:rPr>
        <w:t>extraer</w:t>
      </w:r>
      <w:r>
        <w:rPr>
          <w:spacing w:val="19"/>
          <w:sz w:val="20"/>
        </w:rPr>
        <w:t> </w:t>
      </w:r>
      <w:r>
        <w:rPr>
          <w:sz w:val="20"/>
        </w:rPr>
        <w:t>350</w:t>
      </w:r>
      <w:r>
        <w:rPr>
          <w:spacing w:val="18"/>
          <w:sz w:val="20"/>
        </w:rPr>
        <w:t> </w:t>
      </w:r>
      <w:r>
        <w:rPr>
          <w:sz w:val="20"/>
        </w:rPr>
        <w:t>millones</w:t>
      </w:r>
      <w:r>
        <w:rPr>
          <w:spacing w:val="19"/>
          <w:sz w:val="20"/>
        </w:rPr>
        <w:t> </w:t>
      </w:r>
      <w:r>
        <w:rPr>
          <w:sz w:val="20"/>
        </w:rPr>
        <w:t>de</w:t>
      </w:r>
      <w:r>
        <w:rPr>
          <w:spacing w:val="18"/>
          <w:sz w:val="20"/>
        </w:rPr>
        <w:t> </w:t>
      </w:r>
      <w:r>
        <w:rPr>
          <w:sz w:val="20"/>
        </w:rPr>
        <w:t>toneladas</w:t>
      </w:r>
      <w:r>
        <w:rPr>
          <w:spacing w:val="20"/>
          <w:sz w:val="20"/>
        </w:rPr>
        <w:t> </w:t>
      </w:r>
      <w:r>
        <w:rPr>
          <w:sz w:val="20"/>
        </w:rPr>
        <w:t>de</w:t>
      </w:r>
      <w:r>
        <w:rPr>
          <w:spacing w:val="18"/>
          <w:sz w:val="20"/>
        </w:rPr>
        <w:t> </w:t>
      </w:r>
      <w:r>
        <w:rPr>
          <w:sz w:val="20"/>
        </w:rPr>
        <w:t>arena</w:t>
      </w:r>
      <w:r>
        <w:rPr>
          <w:w w:val="99"/>
          <w:sz w:val="20"/>
        </w:rPr>
        <w:t> </w:t>
      </w:r>
      <w:r>
        <w:rPr>
          <w:sz w:val="20"/>
        </w:rPr>
        <w:t>fosfática del fondo marino en BCS. Centro Mexicano de Desarrollo Ambiental. </w:t>
      </w:r>
      <w:hyperlink r:id="rId97">
        <w:r>
          <w:rPr>
            <w:sz w:val="20"/>
          </w:rPr>
          <w:t>http://www.cemda.org.mx/10/proyecto-minero-propuesto-podria-extraer-350-millones-de-</w:t>
        </w:r>
      </w:hyperlink>
    </w:p>
    <w:p>
      <w:pPr>
        <w:spacing w:before="34"/>
        <w:ind w:left="478" w:right="114" w:firstLine="0"/>
        <w:jc w:val="left"/>
        <w:rPr>
          <w:sz w:val="20"/>
        </w:rPr>
      </w:pPr>
      <w:r>
        <w:rPr>
          <w:sz w:val="20"/>
        </w:rPr>
        <w:t>toneladas-de-arena-fosfatica-del-fondo-marino-en-bcs/ (15/Nov/2014)</w:t>
      </w:r>
    </w:p>
    <w:p>
      <w:pPr>
        <w:pStyle w:val="BodyText"/>
        <w:spacing w:before="11"/>
        <w:rPr>
          <w:sz w:val="25"/>
        </w:rPr>
      </w:pPr>
    </w:p>
    <w:p>
      <w:pPr>
        <w:spacing w:line="273" w:lineRule="auto" w:before="0"/>
        <w:ind w:left="478" w:right="124" w:hanging="360"/>
        <w:jc w:val="both"/>
        <w:rPr>
          <w:sz w:val="20"/>
        </w:rPr>
      </w:pPr>
      <w:r>
        <w:rPr>
          <w:rFonts w:ascii="Symbol" w:hAnsi="Symbol"/>
          <w:sz w:val="20"/>
        </w:rPr>
        <w:t></w:t>
      </w:r>
      <w:r>
        <w:rPr>
          <w:rFonts w:ascii="Times New Roman" w:hAnsi="Times New Roman"/>
          <w:sz w:val="20"/>
        </w:rPr>
        <w:t> </w:t>
      </w:r>
      <w:r>
        <w:rPr>
          <w:sz w:val="20"/>
        </w:rPr>
        <w:t>Enciso, A. (2015) alertan de graves daños al medio marino con proyecto minero Don Diego en  BCS.</w:t>
      </w:r>
    </w:p>
    <w:p>
      <w:pPr>
        <w:spacing w:before="2"/>
        <w:ind w:left="478" w:right="114" w:firstLine="0"/>
        <w:jc w:val="left"/>
        <w:rPr>
          <w:sz w:val="20"/>
        </w:rPr>
      </w:pPr>
      <w:hyperlink r:id="rId98">
        <w:r>
          <w:rPr>
            <w:color w:val="0000FF"/>
            <w:sz w:val="20"/>
            <w:u w:val="single" w:color="0000FF"/>
          </w:rPr>
          <w:t>http://www.jornada.unam.mx/2015/04/15/sociedad/035n2soc</w:t>
        </w:r>
      </w:hyperlink>
      <w:r>
        <w:rPr>
          <w:color w:val="0000FF"/>
          <w:sz w:val="20"/>
          <w:u w:val="single" w:color="0000FF"/>
        </w:rPr>
        <w:t> </w:t>
      </w:r>
      <w:r>
        <w:rPr>
          <w:sz w:val="20"/>
        </w:rPr>
        <w:t>(21/Oct/2015)</w:t>
      </w:r>
    </w:p>
    <w:p>
      <w:pPr>
        <w:pStyle w:val="BodyText"/>
        <w:spacing w:before="9"/>
        <w:rPr>
          <w:sz w:val="25"/>
        </w:rPr>
      </w:pPr>
    </w:p>
    <w:p>
      <w:pPr>
        <w:tabs>
          <w:tab w:pos="466" w:val="left" w:leader="none"/>
        </w:tabs>
        <w:spacing w:line="273" w:lineRule="auto" w:before="0"/>
        <w:ind w:left="478" w:right="536" w:hanging="360"/>
        <w:jc w:val="left"/>
        <w:rPr>
          <w:sz w:val="20"/>
        </w:rPr>
      </w:pPr>
      <w:r>
        <w:rPr>
          <w:rFonts w:ascii="Symbol" w:hAnsi="Symbol"/>
          <w:sz w:val="20"/>
        </w:rPr>
        <w:t></w:t>
      </w:r>
      <w:r>
        <w:rPr>
          <w:rFonts w:ascii="Times New Roman" w:hAnsi="Times New Roman"/>
          <w:sz w:val="20"/>
        </w:rPr>
        <w:tab/>
      </w:r>
      <w:r>
        <w:rPr>
          <w:sz w:val="20"/>
        </w:rPr>
        <w:t>Morales T.A. (2012). La mina Caballo Blanco no operara en Veracruz, asegura</w:t>
      </w:r>
      <w:r>
        <w:rPr>
          <w:spacing w:val="-23"/>
          <w:sz w:val="20"/>
        </w:rPr>
        <w:t> </w:t>
      </w:r>
      <w:r>
        <w:rPr>
          <w:sz w:val="20"/>
        </w:rPr>
        <w:t>Javier</w:t>
      </w:r>
      <w:r>
        <w:rPr>
          <w:spacing w:val="-4"/>
          <w:sz w:val="20"/>
        </w:rPr>
        <w:t> </w:t>
      </w:r>
      <w:r>
        <w:rPr>
          <w:sz w:val="20"/>
        </w:rPr>
        <w:t>Duarte.</w:t>
      </w:r>
      <w:r>
        <w:rPr>
          <w:w w:val="99"/>
          <w:sz w:val="20"/>
        </w:rPr>
        <w:t> </w:t>
      </w:r>
      <w:hyperlink r:id="rId99">
        <w:r>
          <w:rPr>
            <w:color w:val="0000FF"/>
            <w:sz w:val="20"/>
            <w:u w:val="single" w:color="0000FF"/>
          </w:rPr>
          <w:t>http://www.jornada.unam.mx/2012/02/27/estados/030n1est</w:t>
        </w:r>
        <w:r>
          <w:rPr>
            <w:color w:val="0000FF"/>
            <w:spacing w:val="44"/>
            <w:sz w:val="20"/>
            <w:u w:val="single" w:color="0000FF"/>
          </w:rPr>
          <w:t> </w:t>
        </w:r>
      </w:hyperlink>
      <w:r>
        <w:rPr>
          <w:sz w:val="20"/>
        </w:rPr>
        <w:t>(21/Oct/2015)</w:t>
      </w:r>
    </w:p>
    <w:p>
      <w:pPr>
        <w:pStyle w:val="BodyText"/>
        <w:spacing w:before="3"/>
        <w:rPr>
          <w:sz w:val="19"/>
        </w:rPr>
      </w:pPr>
    </w:p>
    <w:p>
      <w:pPr>
        <w:tabs>
          <w:tab w:pos="466" w:val="left" w:leader="none"/>
        </w:tabs>
        <w:spacing w:line="228" w:lineRule="exact" w:before="0"/>
        <w:ind w:left="478" w:right="2342" w:hanging="360"/>
        <w:jc w:val="left"/>
        <w:rPr>
          <w:sz w:val="20"/>
        </w:rPr>
      </w:pPr>
      <w:r>
        <w:rPr>
          <w:rFonts w:ascii="Symbol" w:hAnsi="Symbol"/>
          <w:sz w:val="20"/>
        </w:rPr>
        <w:t></w:t>
      </w:r>
      <w:r>
        <w:rPr>
          <w:rFonts w:ascii="Times New Roman" w:hAnsi="Times New Roman"/>
          <w:sz w:val="20"/>
        </w:rPr>
        <w:tab/>
      </w:r>
      <w:r>
        <w:rPr>
          <w:sz w:val="20"/>
        </w:rPr>
        <w:t>Carabias, J. (2013).  El proyecto minero</w:t>
      </w:r>
      <w:r>
        <w:rPr>
          <w:spacing w:val="-18"/>
          <w:sz w:val="20"/>
        </w:rPr>
        <w:t> </w:t>
      </w:r>
      <w:r>
        <w:rPr>
          <w:sz w:val="20"/>
        </w:rPr>
        <w:t>Caballo</w:t>
      </w:r>
      <w:r>
        <w:rPr>
          <w:spacing w:val="-2"/>
          <w:sz w:val="20"/>
        </w:rPr>
        <w:t> </w:t>
      </w:r>
      <w:r>
        <w:rPr>
          <w:sz w:val="20"/>
        </w:rPr>
        <w:t>Blanco.</w:t>
      </w:r>
      <w:r>
        <w:rPr>
          <w:w w:val="99"/>
          <w:sz w:val="20"/>
        </w:rPr>
        <w:t> </w:t>
      </w:r>
      <w:hyperlink r:id="rId100">
        <w:r>
          <w:rPr>
            <w:sz w:val="20"/>
          </w:rPr>
          <w:t>http://www.afectadosambientales.org/mina-caballo-blanco/</w:t>
        </w:r>
      </w:hyperlink>
      <w:r>
        <w:rPr>
          <w:spacing w:val="-16"/>
          <w:sz w:val="20"/>
        </w:rPr>
        <w:t> </w:t>
      </w:r>
      <w:r>
        <w:rPr>
          <w:sz w:val="20"/>
        </w:rPr>
        <w:t>(21/Oct/2015)</w:t>
      </w:r>
    </w:p>
    <w:p>
      <w:pPr>
        <w:pStyle w:val="BodyText"/>
        <w:spacing w:before="5"/>
        <w:rPr>
          <w:sz w:val="21"/>
        </w:rPr>
      </w:pPr>
    </w:p>
    <w:p>
      <w:pPr>
        <w:spacing w:line="228" w:lineRule="exact" w:before="0"/>
        <w:ind w:left="478" w:right="121" w:hanging="360"/>
        <w:jc w:val="both"/>
        <w:rPr>
          <w:sz w:val="20"/>
        </w:rPr>
      </w:pPr>
      <w:r>
        <w:rPr>
          <w:rFonts w:ascii="Symbol" w:hAnsi="Symbol"/>
          <w:sz w:val="20"/>
        </w:rPr>
        <w:t></w:t>
      </w:r>
      <w:r>
        <w:rPr>
          <w:rFonts w:ascii="Times New Roman" w:hAnsi="Times New Roman"/>
          <w:sz w:val="20"/>
        </w:rPr>
        <w:t> </w:t>
      </w:r>
      <w:r>
        <w:rPr>
          <w:sz w:val="20"/>
        </w:rPr>
        <w:t>Porta, J., M. López-Acevedo, C. Ronquero. 1999. Edafología para la agricultura y el medio ambiente. Ed. Mundi-Prensa. España, 849</w:t>
      </w:r>
      <w:r>
        <w:rPr>
          <w:spacing w:val="-8"/>
          <w:sz w:val="20"/>
        </w:rPr>
        <w:t> </w:t>
      </w:r>
      <w:r>
        <w:rPr>
          <w:sz w:val="20"/>
        </w:rPr>
        <w:t>pg.</w:t>
      </w:r>
    </w:p>
    <w:p>
      <w:pPr>
        <w:pStyle w:val="BodyText"/>
        <w:spacing w:before="7"/>
        <w:rPr>
          <w:sz w:val="19"/>
        </w:rPr>
      </w:pPr>
    </w:p>
    <w:p>
      <w:pPr>
        <w:spacing w:before="0"/>
        <w:ind w:left="478" w:right="114" w:hanging="360"/>
        <w:jc w:val="both"/>
        <w:rPr>
          <w:sz w:val="20"/>
        </w:rPr>
      </w:pPr>
      <w:r>
        <w:rPr>
          <w:rFonts w:ascii="Symbol" w:hAnsi="Symbol"/>
          <w:sz w:val="20"/>
        </w:rPr>
        <w:t></w:t>
      </w:r>
      <w:r>
        <w:rPr>
          <w:rFonts w:ascii="Times New Roman" w:hAnsi="Times New Roman"/>
          <w:sz w:val="20"/>
        </w:rPr>
        <w:t>  </w:t>
      </w:r>
      <w:r>
        <w:rPr>
          <w:sz w:val="20"/>
        </w:rPr>
        <w:t>Vante, N. 2003. </w:t>
      </w:r>
      <w:r>
        <w:rPr>
          <w:i/>
          <w:sz w:val="20"/>
        </w:rPr>
        <w:t>Electroquímica y electrocatálisis. , </w:t>
      </w:r>
      <w:r>
        <w:rPr>
          <w:sz w:val="20"/>
        </w:rPr>
        <w:t>Alonso-Vante, Vol. Ia, Primera edición virtual y en papel, e-libro.net, Buenos Aires, mayo de 2003.</w:t>
      </w:r>
    </w:p>
    <w:p>
      <w:pPr>
        <w:pStyle w:val="BodyText"/>
        <w:spacing w:before="8"/>
        <w:rPr>
          <w:sz w:val="21"/>
        </w:rPr>
      </w:pPr>
    </w:p>
    <w:p>
      <w:pPr>
        <w:spacing w:line="228" w:lineRule="exact" w:before="1"/>
        <w:ind w:left="478" w:right="114" w:hanging="360"/>
        <w:jc w:val="both"/>
        <w:rPr>
          <w:sz w:val="20"/>
        </w:rPr>
      </w:pPr>
      <w:r>
        <w:rPr>
          <w:rFonts w:ascii="Symbol" w:hAnsi="Symbol"/>
          <w:sz w:val="20"/>
        </w:rPr>
        <w:t></w:t>
      </w:r>
      <w:r>
        <w:rPr>
          <w:rFonts w:ascii="Times New Roman" w:hAnsi="Times New Roman"/>
          <w:sz w:val="20"/>
        </w:rPr>
        <w:t> </w:t>
      </w:r>
      <w:r>
        <w:rPr>
          <w:sz w:val="20"/>
        </w:rPr>
        <w:t>Barrera C., B. Bilyeu, G. Roa, L. Bernal. 2011. Physicochemical Aspects of Electrocoagulation. Separation &amp; Purification Reviews, 40: 1, 1-24.</w:t>
      </w:r>
    </w:p>
    <w:p>
      <w:pPr>
        <w:pStyle w:val="BodyText"/>
        <w:rPr>
          <w:sz w:val="20"/>
        </w:rPr>
      </w:pPr>
    </w:p>
    <w:p>
      <w:pPr>
        <w:spacing w:line="237" w:lineRule="auto" w:before="0"/>
        <w:ind w:left="478" w:right="122" w:hanging="360"/>
        <w:jc w:val="both"/>
        <w:rPr>
          <w:sz w:val="20"/>
        </w:rPr>
      </w:pPr>
      <w:r>
        <w:rPr>
          <w:rFonts w:ascii="Symbol" w:hAnsi="Symbol"/>
          <w:sz w:val="20"/>
        </w:rPr>
        <w:t></w:t>
      </w:r>
      <w:r>
        <w:rPr>
          <w:rFonts w:ascii="Times New Roman" w:hAnsi="Times New Roman"/>
          <w:sz w:val="20"/>
        </w:rPr>
        <w:t> </w:t>
      </w:r>
      <w:r>
        <w:rPr>
          <w:sz w:val="20"/>
        </w:rPr>
        <w:t>Hani M.A. 2009. Utilización de un sistema hibrido basado en filtración con membrana y electrodooxidación avanzada para depurar efluentes complejos. Tesis de Ingeniería. Facultad de Ingeniería, Universidad de Concepción. Uruguay.</w:t>
      </w:r>
    </w:p>
    <w:p>
      <w:pPr>
        <w:pStyle w:val="BodyText"/>
        <w:spacing w:before="4"/>
        <w:rPr>
          <w:sz w:val="20"/>
        </w:rPr>
      </w:pPr>
    </w:p>
    <w:p>
      <w:pPr>
        <w:spacing w:line="237" w:lineRule="auto" w:before="0"/>
        <w:ind w:left="478" w:right="123" w:hanging="360"/>
        <w:jc w:val="both"/>
        <w:rPr>
          <w:sz w:val="20"/>
        </w:rPr>
      </w:pPr>
      <w:r>
        <w:rPr>
          <w:rFonts w:ascii="Symbol" w:hAnsi="Symbol"/>
          <w:sz w:val="20"/>
        </w:rPr>
        <w:t></w:t>
      </w:r>
      <w:r>
        <w:rPr>
          <w:rFonts w:ascii="Times New Roman" w:hAnsi="Times New Roman"/>
          <w:sz w:val="20"/>
        </w:rPr>
        <w:t> </w:t>
      </w:r>
      <w:r>
        <w:rPr>
          <w:sz w:val="20"/>
        </w:rPr>
        <w:t>Cantera L.A. 2013. Automatización del proceso de tratamiento de agua pluvial por el método de electrocoagulación. Tesis de Ingeniería. Escuela Superior de Ingeniería Mecánica y eléctrica,  IPN.</w:t>
      </w:r>
    </w:p>
    <w:p>
      <w:pPr>
        <w:pStyle w:val="BodyText"/>
        <w:spacing w:before="4"/>
        <w:rPr>
          <w:sz w:val="20"/>
        </w:rPr>
      </w:pPr>
    </w:p>
    <w:p>
      <w:pPr>
        <w:spacing w:line="237" w:lineRule="auto" w:before="0"/>
        <w:ind w:left="478" w:right="117" w:hanging="360"/>
        <w:jc w:val="both"/>
        <w:rPr>
          <w:sz w:val="20"/>
        </w:rPr>
      </w:pPr>
      <w:r>
        <w:rPr>
          <w:rFonts w:ascii="Symbol" w:hAnsi="Symbol"/>
          <w:sz w:val="20"/>
        </w:rPr>
        <w:t></w:t>
      </w:r>
      <w:r>
        <w:rPr>
          <w:rFonts w:ascii="Times New Roman" w:hAnsi="Times New Roman"/>
          <w:sz w:val="20"/>
        </w:rPr>
        <w:t>   </w:t>
      </w:r>
      <w:r>
        <w:rPr>
          <w:sz w:val="20"/>
        </w:rPr>
        <w:t>Abbas, F.M., H.K. Lim, Y. Yusup, T. Teng, M. Bakar, K.S. Cheah. 2013. Treatment of Terasil Red  R and Cibacron Red Rwastewater using extracted aluminium from red earth:factorial design. J. Environ. Manage. 122,</w:t>
      </w:r>
      <w:r>
        <w:rPr>
          <w:spacing w:val="-11"/>
          <w:sz w:val="20"/>
        </w:rPr>
        <w:t> </w:t>
      </w:r>
      <w:r>
        <w:rPr>
          <w:sz w:val="20"/>
        </w:rPr>
        <w:t>121–129.</w:t>
      </w:r>
    </w:p>
    <w:p>
      <w:pPr>
        <w:pStyle w:val="BodyText"/>
        <w:rPr>
          <w:sz w:val="20"/>
        </w:rPr>
      </w:pPr>
    </w:p>
    <w:p>
      <w:pPr>
        <w:pStyle w:val="BodyText"/>
        <w:spacing w:before="3"/>
        <w:rPr>
          <w:sz w:val="23"/>
        </w:rPr>
      </w:pPr>
    </w:p>
    <w:p>
      <w:pPr>
        <w:spacing w:line="237" w:lineRule="auto" w:before="0"/>
        <w:ind w:left="478" w:right="118" w:hanging="360"/>
        <w:jc w:val="both"/>
        <w:rPr>
          <w:sz w:val="20"/>
        </w:rPr>
      </w:pPr>
      <w:r>
        <w:rPr>
          <w:rFonts w:ascii="Symbol" w:hAnsi="Symbol"/>
          <w:sz w:val="20"/>
        </w:rPr>
        <w:t></w:t>
      </w:r>
      <w:r>
        <w:rPr>
          <w:rFonts w:ascii="Times New Roman" w:hAnsi="Times New Roman"/>
          <w:sz w:val="20"/>
        </w:rPr>
        <w:t> </w:t>
      </w:r>
      <w:r>
        <w:rPr>
          <w:sz w:val="20"/>
        </w:rPr>
        <w:t>Gu, Z., Z. Liao, M. Schulz, J.R. Davis, J.C. Baygent, J. Farrell. 2009. Estimating dosing rates and energy consumption forelectrocoagulation using iron and aluminum electrodes. Ind.Eng. Chem. Res. 48 (6), 3112–3117.</w:t>
      </w:r>
    </w:p>
    <w:p>
      <w:pPr>
        <w:pStyle w:val="BodyText"/>
        <w:spacing w:before="4"/>
        <w:rPr>
          <w:sz w:val="20"/>
        </w:rPr>
      </w:pPr>
    </w:p>
    <w:p>
      <w:pPr>
        <w:spacing w:line="237" w:lineRule="auto" w:before="0"/>
        <w:ind w:left="478" w:right="120" w:hanging="360"/>
        <w:jc w:val="both"/>
        <w:rPr>
          <w:sz w:val="20"/>
        </w:rPr>
      </w:pPr>
      <w:r>
        <w:rPr>
          <w:rFonts w:ascii="Symbol" w:hAnsi="Symbol"/>
          <w:sz w:val="20"/>
        </w:rPr>
        <w:t></w:t>
      </w:r>
      <w:r>
        <w:rPr>
          <w:rFonts w:ascii="Times New Roman" w:hAnsi="Times New Roman"/>
          <w:sz w:val="20"/>
        </w:rPr>
        <w:t> </w:t>
      </w:r>
      <w:r>
        <w:rPr>
          <w:sz w:val="20"/>
        </w:rPr>
        <w:t>Kabdas I., T. Arslan, T. Ölmez-Hancı, I. Arslan-Alaton, O. Tünay. 2009. Complexing agent and heavy metal removals frommetal plating effluent by electrocoagulation with stainlesssteel electrodes. J. Hazard. Mater. 165 (1–3),</w:t>
      </w:r>
      <w:r>
        <w:rPr>
          <w:spacing w:val="-13"/>
          <w:sz w:val="20"/>
        </w:rPr>
        <w:t> </w:t>
      </w:r>
      <w:r>
        <w:rPr>
          <w:sz w:val="20"/>
        </w:rPr>
        <w:t>838–845.</w:t>
      </w:r>
    </w:p>
    <w:p>
      <w:pPr>
        <w:spacing w:before="1"/>
        <w:ind w:left="478" w:right="114" w:firstLine="0"/>
        <w:jc w:val="left"/>
        <w:rPr>
          <w:sz w:val="20"/>
        </w:rPr>
      </w:pPr>
      <w:r>
        <w:rPr>
          <w:sz w:val="20"/>
        </w:rPr>
        <w:t>35</w:t>
      </w:r>
    </w:p>
    <w:p>
      <w:pPr>
        <w:spacing w:line="237" w:lineRule="auto" w:before="3"/>
        <w:ind w:left="478" w:right="118" w:hanging="360"/>
        <w:jc w:val="both"/>
        <w:rPr>
          <w:sz w:val="20"/>
        </w:rPr>
      </w:pPr>
      <w:r>
        <w:rPr>
          <w:rFonts w:ascii="Symbol" w:hAnsi="Symbol"/>
          <w:sz w:val="20"/>
        </w:rPr>
        <w:t></w:t>
      </w:r>
      <w:r>
        <w:rPr>
          <w:rFonts w:ascii="Times New Roman" w:hAnsi="Times New Roman"/>
          <w:sz w:val="20"/>
        </w:rPr>
        <w:t> </w:t>
      </w:r>
      <w:r>
        <w:rPr>
          <w:sz w:val="20"/>
        </w:rPr>
        <w:t>Piña M. A. Domínguez, C.A. González, F. Prieto, A. Guevara y J.E. García. 2011. Revisión de variables de diseño y condiciones de operación en la electrocoagulación. Rev. Mex.Ing. Quím. vol.10 no.2. México.</w:t>
      </w:r>
    </w:p>
    <w:p>
      <w:pPr>
        <w:spacing w:after="0" w:line="237" w:lineRule="auto"/>
        <w:jc w:val="both"/>
        <w:rPr>
          <w:sz w:val="20"/>
        </w:rPr>
        <w:sectPr>
          <w:footerReference w:type="default" r:id="rId95"/>
          <w:pgSz w:w="12240" w:h="15840"/>
          <w:pgMar w:footer="1480" w:header="0" w:top="1380" w:bottom="1680" w:left="1660" w:right="1300"/>
        </w:sectPr>
      </w:pPr>
    </w:p>
    <w:p>
      <w:pPr>
        <w:spacing w:line="237" w:lineRule="auto" w:before="38"/>
        <w:ind w:left="478" w:right="115" w:hanging="360"/>
        <w:jc w:val="both"/>
        <w:rPr>
          <w:sz w:val="20"/>
        </w:rPr>
      </w:pPr>
      <w:r>
        <w:rPr>
          <w:rFonts w:ascii="Symbol" w:hAnsi="Symbol"/>
          <w:sz w:val="20"/>
        </w:rPr>
        <w:t></w:t>
      </w:r>
      <w:r>
        <w:rPr>
          <w:rFonts w:ascii="Times New Roman" w:hAnsi="Times New Roman"/>
          <w:sz w:val="20"/>
        </w:rPr>
        <w:t> </w:t>
      </w:r>
      <w:r>
        <w:rPr>
          <w:sz w:val="20"/>
        </w:rPr>
        <w:t>Zodi, S., O Potier, F. Lapicque and J. Leclerc, 2010. “Treatment of the industrial wastewaters by electrocoagulation: Optimization of coupled electrochemical and sedimentation processes”, Desalination, vol. 261, No. 1-2 (October), pp. 186-190</w:t>
      </w:r>
    </w:p>
    <w:p>
      <w:pPr>
        <w:pStyle w:val="BodyText"/>
        <w:spacing w:before="10"/>
        <w:rPr>
          <w:sz w:val="21"/>
        </w:rPr>
      </w:pPr>
    </w:p>
    <w:p>
      <w:pPr>
        <w:spacing w:line="226" w:lineRule="exact" w:before="1"/>
        <w:ind w:left="478" w:right="123" w:hanging="360"/>
        <w:jc w:val="both"/>
        <w:rPr>
          <w:sz w:val="20"/>
        </w:rPr>
      </w:pPr>
      <w:r>
        <w:rPr>
          <w:rFonts w:ascii="Symbol" w:hAnsi="Symbol"/>
          <w:sz w:val="20"/>
        </w:rPr>
        <w:t></w:t>
      </w:r>
      <w:r>
        <w:rPr>
          <w:rFonts w:ascii="Times New Roman" w:hAnsi="Times New Roman"/>
          <w:sz w:val="20"/>
        </w:rPr>
        <w:t>   </w:t>
      </w:r>
      <w:r>
        <w:rPr>
          <w:sz w:val="20"/>
        </w:rPr>
        <w:t>Morales Posada N.B., Acosta Niño G.E. 2010. Sistema de electrocoagulación como tratamiento   de aguas residuales galvánicas. </w:t>
      </w:r>
      <w:r>
        <w:rPr>
          <w:i/>
          <w:sz w:val="20"/>
        </w:rPr>
        <w:t>Ciencia e Ingeniería Neogranadina 20</w:t>
      </w:r>
      <w:r>
        <w:rPr>
          <w:sz w:val="20"/>
        </w:rPr>
        <w:t>,</w:t>
      </w:r>
      <w:r>
        <w:rPr>
          <w:spacing w:val="-19"/>
          <w:sz w:val="20"/>
        </w:rPr>
        <w:t> </w:t>
      </w:r>
      <w:r>
        <w:rPr>
          <w:sz w:val="20"/>
        </w:rPr>
        <w:t>33–44.</w:t>
      </w:r>
    </w:p>
    <w:p>
      <w:pPr>
        <w:pStyle w:val="BodyText"/>
        <w:spacing w:before="8"/>
        <w:rPr>
          <w:sz w:val="21"/>
        </w:rPr>
      </w:pPr>
    </w:p>
    <w:p>
      <w:pPr>
        <w:spacing w:line="228" w:lineRule="exact" w:before="0"/>
        <w:ind w:left="478" w:right="121" w:hanging="360"/>
        <w:jc w:val="both"/>
        <w:rPr>
          <w:sz w:val="20"/>
        </w:rPr>
      </w:pPr>
      <w:r>
        <w:rPr>
          <w:rFonts w:ascii="Symbol" w:hAnsi="Symbol"/>
          <w:sz w:val="20"/>
        </w:rPr>
        <w:t></w:t>
      </w:r>
      <w:r>
        <w:rPr>
          <w:rFonts w:ascii="Times New Roman" w:hAnsi="Times New Roman"/>
          <w:sz w:val="20"/>
        </w:rPr>
        <w:t> </w:t>
      </w:r>
      <w:r>
        <w:rPr>
          <w:sz w:val="20"/>
        </w:rPr>
        <w:t>Meas Y., J.A Ramirez, M.A. Villalon, and T.W Chapman,. 2010. Industrial wastewaters treated by electrocoagulation, Electrochimica Acta, vol. 55, No. 27 (November), pp. 8165-8171</w:t>
      </w:r>
    </w:p>
    <w:p>
      <w:pPr>
        <w:pStyle w:val="BodyText"/>
        <w:rPr>
          <w:sz w:val="20"/>
        </w:rPr>
      </w:pPr>
    </w:p>
    <w:p>
      <w:pPr>
        <w:spacing w:line="237" w:lineRule="auto" w:before="0"/>
        <w:ind w:left="478" w:right="114" w:hanging="360"/>
        <w:jc w:val="both"/>
        <w:rPr>
          <w:sz w:val="20"/>
        </w:rPr>
      </w:pPr>
      <w:r>
        <w:rPr>
          <w:rFonts w:ascii="Symbol" w:hAnsi="Symbol"/>
          <w:sz w:val="20"/>
        </w:rPr>
        <w:t></w:t>
      </w:r>
      <w:r>
        <w:rPr>
          <w:rFonts w:ascii="Times New Roman" w:hAnsi="Times New Roman"/>
          <w:sz w:val="20"/>
        </w:rPr>
        <w:t> </w:t>
      </w:r>
      <w:r>
        <w:rPr>
          <w:sz w:val="20"/>
        </w:rPr>
        <w:t>Zaroual, Z., H. Chaair, A.H . Essadki, K. El Ass and Azzi, M. 2009. Optimizing the removal of trivalent chromium by electrocoagulation using experimental design, Chemical Engineering Journal, vol. 148, No. 2-3 (May), pp.</w:t>
      </w:r>
      <w:r>
        <w:rPr>
          <w:spacing w:val="-16"/>
          <w:sz w:val="20"/>
        </w:rPr>
        <w:t> </w:t>
      </w:r>
      <w:r>
        <w:rPr>
          <w:sz w:val="20"/>
        </w:rPr>
        <w:t>488-495</w:t>
      </w:r>
    </w:p>
    <w:p>
      <w:pPr>
        <w:pStyle w:val="BodyText"/>
        <w:spacing w:before="4"/>
        <w:rPr>
          <w:sz w:val="20"/>
        </w:rPr>
      </w:pPr>
    </w:p>
    <w:p>
      <w:pPr>
        <w:spacing w:line="237" w:lineRule="auto" w:before="0"/>
        <w:ind w:left="478" w:right="118" w:hanging="360"/>
        <w:jc w:val="both"/>
        <w:rPr>
          <w:sz w:val="20"/>
        </w:rPr>
      </w:pPr>
      <w:r>
        <w:rPr>
          <w:rFonts w:ascii="Symbol" w:hAnsi="Symbol"/>
          <w:sz w:val="20"/>
        </w:rPr>
        <w:t></w:t>
      </w:r>
      <w:r>
        <w:rPr>
          <w:rFonts w:ascii="Times New Roman" w:hAnsi="Times New Roman"/>
          <w:sz w:val="20"/>
        </w:rPr>
        <w:t> </w:t>
      </w:r>
      <w:r>
        <w:rPr>
          <w:sz w:val="20"/>
        </w:rPr>
        <w:t>Rivera, M. L., A.Domínguez, M. Soberanis, S. Castrejón y J.García. 2009. La electrocoagulación (EC): una alternativa para el tratamiento de agua contaminada con Arsénico. Gaceta del IMTA (Instituto Mexicano de Tecnología del Agua). Num. 21. México.</w:t>
      </w:r>
    </w:p>
    <w:p>
      <w:pPr>
        <w:pStyle w:val="BodyText"/>
        <w:rPr>
          <w:sz w:val="20"/>
        </w:rPr>
      </w:pPr>
    </w:p>
    <w:p>
      <w:pPr>
        <w:pStyle w:val="BodyText"/>
        <w:spacing w:before="8"/>
      </w:pPr>
    </w:p>
    <w:p>
      <w:pPr>
        <w:spacing w:line="228" w:lineRule="exact" w:before="1"/>
        <w:ind w:left="478" w:right="123" w:hanging="360"/>
        <w:jc w:val="both"/>
        <w:rPr>
          <w:sz w:val="20"/>
        </w:rPr>
      </w:pPr>
      <w:r>
        <w:rPr>
          <w:rFonts w:ascii="Symbol" w:hAnsi="Symbol"/>
          <w:sz w:val="20"/>
        </w:rPr>
        <w:t></w:t>
      </w:r>
      <w:r>
        <w:rPr>
          <w:rFonts w:ascii="Times New Roman" w:hAnsi="Times New Roman"/>
          <w:sz w:val="20"/>
        </w:rPr>
        <w:t> </w:t>
      </w:r>
      <w:r>
        <w:rPr>
          <w:sz w:val="20"/>
        </w:rPr>
        <w:t>Mercado, D.I., G. González, H. Valencia. 2013. Remoción de Níquel y DQO presente en aguas residuales de la industria automotriz mediante electrocoagulación. Revista EIA. Colombia.</w:t>
      </w:r>
    </w:p>
    <w:p>
      <w:pPr>
        <w:pStyle w:val="BodyText"/>
        <w:spacing w:before="5"/>
        <w:rPr>
          <w:sz w:val="21"/>
        </w:rPr>
      </w:pPr>
    </w:p>
    <w:p>
      <w:pPr>
        <w:spacing w:line="228" w:lineRule="exact" w:before="0"/>
        <w:ind w:left="478" w:right="125" w:hanging="360"/>
        <w:jc w:val="both"/>
        <w:rPr>
          <w:sz w:val="20"/>
        </w:rPr>
      </w:pPr>
      <w:r>
        <w:rPr>
          <w:rFonts w:ascii="Symbol" w:hAnsi="Symbol"/>
          <w:sz w:val="20"/>
        </w:rPr>
        <w:t></w:t>
      </w:r>
      <w:r>
        <w:rPr>
          <w:rFonts w:ascii="Times New Roman" w:hAnsi="Times New Roman"/>
          <w:sz w:val="20"/>
        </w:rPr>
        <w:t> </w:t>
      </w:r>
      <w:r>
        <w:rPr>
          <w:sz w:val="20"/>
        </w:rPr>
        <w:t>Martínez V.J. 2010. Remoción de As, F, Cr, Pb y Cd del agua subterránea por el proceso de electrocoagulación. Tesis Maestría, CINVESTAV.</w:t>
      </w:r>
    </w:p>
    <w:p>
      <w:pPr>
        <w:pStyle w:val="BodyText"/>
        <w:spacing w:before="10"/>
        <w:rPr>
          <w:sz w:val="19"/>
        </w:rPr>
      </w:pPr>
    </w:p>
    <w:p>
      <w:pPr>
        <w:spacing w:before="0"/>
        <w:ind w:left="478" w:right="121" w:hanging="360"/>
        <w:jc w:val="both"/>
        <w:rPr>
          <w:sz w:val="20"/>
        </w:rPr>
      </w:pPr>
      <w:r>
        <w:rPr>
          <w:rFonts w:ascii="Symbol" w:hAnsi="Symbol"/>
          <w:sz w:val="20"/>
        </w:rPr>
        <w:t></w:t>
      </w:r>
      <w:r>
        <w:rPr>
          <w:rFonts w:ascii="Times New Roman" w:hAnsi="Times New Roman"/>
          <w:sz w:val="20"/>
        </w:rPr>
        <w:t> </w:t>
      </w:r>
      <w:r>
        <w:rPr>
          <w:sz w:val="20"/>
        </w:rPr>
        <w:t>Holt P. K., G. W. Barton and C. A Mitchell. 2005. The future for electrocoagulation as a localized water treatment technology. Chemosphere Vol.59, No. 3 (apr. 2005); p.355–367.</w:t>
      </w:r>
    </w:p>
    <w:p>
      <w:pPr>
        <w:pStyle w:val="BodyText"/>
        <w:spacing w:before="10"/>
        <w:rPr>
          <w:sz w:val="19"/>
        </w:rPr>
      </w:pPr>
    </w:p>
    <w:p>
      <w:pPr>
        <w:spacing w:before="1"/>
        <w:ind w:left="478" w:right="117" w:hanging="360"/>
        <w:jc w:val="both"/>
        <w:rPr>
          <w:sz w:val="20"/>
        </w:rPr>
      </w:pPr>
      <w:r>
        <w:rPr>
          <w:rFonts w:ascii="Symbol" w:hAnsi="Symbol"/>
          <w:sz w:val="20"/>
        </w:rPr>
        <w:t></w:t>
      </w:r>
      <w:r>
        <w:rPr>
          <w:rFonts w:ascii="Times New Roman" w:hAnsi="Times New Roman"/>
          <w:sz w:val="20"/>
        </w:rPr>
        <w:t> </w:t>
      </w:r>
      <w:r>
        <w:rPr>
          <w:sz w:val="20"/>
        </w:rPr>
        <w:t>Chou, </w:t>
      </w:r>
      <w:r>
        <w:rPr>
          <w:spacing w:val="2"/>
          <w:sz w:val="20"/>
        </w:rPr>
        <w:t>W.; </w:t>
      </w:r>
      <w:r>
        <w:rPr>
          <w:sz w:val="20"/>
        </w:rPr>
        <w:t>Wang, C.; Chang, </w:t>
      </w:r>
      <w:r>
        <w:rPr>
          <w:spacing w:val="4"/>
          <w:sz w:val="20"/>
        </w:rPr>
        <w:t>W. </w:t>
      </w:r>
      <w:r>
        <w:rPr>
          <w:sz w:val="20"/>
        </w:rPr>
        <w:t>and Chang, S. 2010. Adsorption treatment of oxide chemical mechanical polishing wastewater from a semiconductor manufacturing plant by  electrocoagulation, Journal of Hazardous Materials, vol. 180, No. 1-3 (August), pp.</w:t>
      </w:r>
      <w:r>
        <w:rPr>
          <w:spacing w:val="-29"/>
          <w:sz w:val="20"/>
        </w:rPr>
        <w:t> </w:t>
      </w:r>
      <w:r>
        <w:rPr>
          <w:sz w:val="20"/>
        </w:rPr>
        <w:t>217-224.</w:t>
      </w:r>
    </w:p>
    <w:p>
      <w:pPr>
        <w:pStyle w:val="BodyText"/>
        <w:spacing w:before="1"/>
        <w:rPr>
          <w:sz w:val="20"/>
        </w:rPr>
      </w:pPr>
    </w:p>
    <w:p>
      <w:pPr>
        <w:spacing w:line="228" w:lineRule="exact" w:before="0"/>
        <w:ind w:left="478" w:right="125" w:hanging="360"/>
        <w:jc w:val="both"/>
        <w:rPr>
          <w:sz w:val="20"/>
        </w:rPr>
      </w:pPr>
      <w:r>
        <w:rPr>
          <w:rFonts w:ascii="Symbol" w:hAnsi="Symbol"/>
          <w:sz w:val="20"/>
        </w:rPr>
        <w:t></w:t>
      </w:r>
      <w:r>
        <w:rPr>
          <w:rFonts w:ascii="Times New Roman" w:hAnsi="Times New Roman"/>
          <w:sz w:val="20"/>
        </w:rPr>
        <w:t> </w:t>
      </w:r>
      <w:r>
        <w:rPr>
          <w:sz w:val="20"/>
        </w:rPr>
        <w:t>Pantoja, E.T. 2012. Aplicación de electrocoagulación y floculación  sobre  el  tratamiento  del  drenaje ácido de minas de carbón. Tesis. Universidad del Valle.</w:t>
      </w:r>
      <w:r>
        <w:rPr>
          <w:spacing w:val="-15"/>
          <w:sz w:val="20"/>
        </w:rPr>
        <w:t> </w:t>
      </w:r>
      <w:r>
        <w:rPr>
          <w:sz w:val="20"/>
        </w:rPr>
        <w:t>Colombia.</w:t>
      </w:r>
    </w:p>
    <w:p>
      <w:pPr>
        <w:spacing w:line="243" w:lineRule="exact" w:before="0"/>
        <w:ind w:left="118" w:right="0" w:firstLine="0"/>
        <w:jc w:val="left"/>
        <w:rPr>
          <w:rFonts w:ascii="Symbol" w:hAnsi="Symbol"/>
          <w:sz w:val="20"/>
        </w:rPr>
      </w:pPr>
      <w:r>
        <w:rPr>
          <w:rFonts w:ascii="Symbol" w:hAnsi="Symbol"/>
          <w:w w:val="99"/>
          <w:sz w:val="20"/>
        </w:rPr>
        <w:t></w:t>
      </w:r>
    </w:p>
    <w:p>
      <w:pPr>
        <w:spacing w:line="237" w:lineRule="auto" w:before="2"/>
        <w:ind w:left="478" w:right="115" w:hanging="360"/>
        <w:jc w:val="both"/>
        <w:rPr>
          <w:sz w:val="20"/>
        </w:rPr>
      </w:pPr>
      <w:r>
        <w:rPr>
          <w:rFonts w:ascii="Symbol" w:hAnsi="Symbol"/>
          <w:sz w:val="20"/>
        </w:rPr>
        <w:t></w:t>
      </w:r>
      <w:r>
        <w:rPr>
          <w:rFonts w:ascii="Times New Roman" w:hAnsi="Times New Roman"/>
          <w:sz w:val="20"/>
        </w:rPr>
        <w:t> </w:t>
      </w:r>
      <w:r>
        <w:rPr>
          <w:sz w:val="20"/>
        </w:rPr>
        <w:t>Piña, M., Domínguez, M., González, R., Prieto, F., Guevara, A., García, J.E. 2011. Revisión de variables de diseño y condiciones de operación  en  la  electrocoagulación.  </w:t>
      </w:r>
      <w:r>
        <w:rPr>
          <w:color w:val="800000"/>
          <w:sz w:val="20"/>
        </w:rPr>
        <w:t>Rev.  Mex.  Ing.  Quím vol.10 no.2 México ago.</w:t>
      </w:r>
      <w:r>
        <w:rPr>
          <w:color w:val="800000"/>
          <w:spacing w:val="-11"/>
          <w:sz w:val="20"/>
        </w:rPr>
        <w:t> </w:t>
      </w:r>
      <w:r>
        <w:rPr>
          <w:color w:val="800000"/>
          <w:sz w:val="20"/>
        </w:rPr>
        <w:t>2011.</w:t>
      </w:r>
    </w:p>
    <w:p>
      <w:pPr>
        <w:spacing w:line="244" w:lineRule="exact" w:before="0"/>
        <w:ind w:left="118" w:right="0" w:firstLine="0"/>
        <w:jc w:val="left"/>
        <w:rPr>
          <w:rFonts w:ascii="Symbol" w:hAnsi="Symbol"/>
          <w:sz w:val="20"/>
        </w:rPr>
      </w:pPr>
      <w:r>
        <w:rPr>
          <w:rFonts w:ascii="Symbol" w:hAnsi="Symbol"/>
          <w:color w:val="800000"/>
          <w:w w:val="99"/>
          <w:sz w:val="20"/>
        </w:rPr>
        <w:t></w:t>
      </w:r>
    </w:p>
    <w:p>
      <w:pPr>
        <w:spacing w:before="0"/>
        <w:ind w:left="478" w:right="125" w:hanging="360"/>
        <w:jc w:val="both"/>
        <w:rPr>
          <w:sz w:val="20"/>
        </w:rPr>
      </w:pPr>
      <w:r>
        <w:rPr>
          <w:rFonts w:ascii="Symbol" w:hAnsi="Symbol"/>
          <w:sz w:val="20"/>
        </w:rPr>
        <w:t></w:t>
      </w:r>
      <w:r>
        <w:rPr>
          <w:rFonts w:ascii="Times New Roman" w:hAnsi="Times New Roman"/>
          <w:sz w:val="20"/>
        </w:rPr>
        <w:t> </w:t>
      </w:r>
      <w:r>
        <w:rPr>
          <w:sz w:val="20"/>
        </w:rPr>
        <w:t>Hanay, Ö. and Hasar, H. 2011. Effect of anions on removing Cu2+, Mn2+ and Zn2+ in electrocoagulation process using aluminum electrodes, Journal of Hazardous Materials, vol. 189, No. 1-2 (May), pp. 572- 576.</w:t>
      </w:r>
    </w:p>
    <w:p>
      <w:pPr>
        <w:pStyle w:val="BodyText"/>
        <w:spacing w:before="10"/>
        <w:rPr>
          <w:sz w:val="19"/>
        </w:rPr>
      </w:pPr>
    </w:p>
    <w:p>
      <w:pPr>
        <w:spacing w:before="1"/>
        <w:ind w:left="478" w:right="114" w:hanging="360"/>
        <w:jc w:val="both"/>
        <w:rPr>
          <w:sz w:val="20"/>
        </w:rPr>
      </w:pPr>
      <w:r>
        <w:rPr>
          <w:rFonts w:ascii="Symbol" w:hAnsi="Symbol"/>
          <w:sz w:val="20"/>
        </w:rPr>
        <w:t></w:t>
      </w:r>
      <w:r>
        <w:rPr>
          <w:rFonts w:ascii="Times New Roman" w:hAnsi="Times New Roman"/>
          <w:sz w:val="20"/>
        </w:rPr>
        <w:t>  </w:t>
      </w:r>
      <w:r>
        <w:rPr>
          <w:sz w:val="20"/>
        </w:rPr>
        <w:t>Prica M., S. Adamovic, B. Dalmacija, L. Rajic, J. Trickovic, S. Rapajic, M. Becelic-Tomin. </w:t>
      </w:r>
      <w:r>
        <w:rPr>
          <w:i/>
          <w:sz w:val="20"/>
        </w:rPr>
        <w:t>2014.   </w:t>
      </w:r>
      <w:r>
        <w:rPr>
          <w:sz w:val="20"/>
        </w:rPr>
        <w:t>The electrocoagulation/flotation study: Theremoval of heavy metals from the waste fountain solution.</w:t>
      </w:r>
    </w:p>
    <w:p>
      <w:pPr>
        <w:pStyle w:val="BodyText"/>
        <w:rPr>
          <w:sz w:val="20"/>
        </w:rPr>
      </w:pPr>
    </w:p>
    <w:p>
      <w:pPr>
        <w:pStyle w:val="BodyText"/>
        <w:spacing w:before="1"/>
        <w:rPr>
          <w:sz w:val="23"/>
        </w:rPr>
      </w:pPr>
    </w:p>
    <w:p>
      <w:pPr>
        <w:spacing w:before="0"/>
        <w:ind w:left="478" w:right="121" w:hanging="360"/>
        <w:jc w:val="both"/>
        <w:rPr>
          <w:sz w:val="20"/>
        </w:rPr>
      </w:pPr>
      <w:r>
        <w:rPr>
          <w:rFonts w:ascii="Symbol" w:hAnsi="Symbol"/>
          <w:sz w:val="20"/>
        </w:rPr>
        <w:t></w:t>
      </w:r>
      <w:r>
        <w:rPr>
          <w:rFonts w:ascii="Times New Roman" w:hAnsi="Times New Roman"/>
          <w:sz w:val="20"/>
        </w:rPr>
        <w:t>   </w:t>
      </w:r>
      <w:r>
        <w:rPr>
          <w:sz w:val="20"/>
        </w:rPr>
        <w:t>Al Aji B., Y. Yavuz, A. Savas_ Koparal.  2012. Electrocoagulation of heavy metals containing   model wastewater using monopolar iron electrodes. Separation and Purification Technology 86 (2012)</w:t>
      </w:r>
      <w:r>
        <w:rPr>
          <w:spacing w:val="-4"/>
          <w:sz w:val="20"/>
        </w:rPr>
        <w:t> </w:t>
      </w:r>
      <w:r>
        <w:rPr>
          <w:sz w:val="20"/>
        </w:rPr>
        <w:t>248–254.</w:t>
      </w:r>
    </w:p>
    <w:p>
      <w:pPr>
        <w:spacing w:after="0"/>
        <w:jc w:val="both"/>
        <w:rPr>
          <w:sz w:val="20"/>
        </w:rPr>
        <w:sectPr>
          <w:footerReference w:type="default" r:id="rId101"/>
          <w:pgSz w:w="12240" w:h="15840"/>
          <w:pgMar w:footer="1480" w:header="0" w:top="1380" w:bottom="1680" w:left="1660" w:right="1300"/>
          <w:pgNumType w:start="61"/>
        </w:sectPr>
      </w:pPr>
    </w:p>
    <w:p>
      <w:pPr>
        <w:spacing w:line="237" w:lineRule="auto" w:before="38"/>
        <w:ind w:left="478" w:right="114" w:hanging="360"/>
        <w:jc w:val="both"/>
        <w:rPr>
          <w:sz w:val="20"/>
        </w:rPr>
      </w:pPr>
      <w:r>
        <w:rPr>
          <w:rFonts w:ascii="Symbol" w:hAnsi="Symbol"/>
          <w:sz w:val="20"/>
        </w:rPr>
        <w:t></w:t>
      </w:r>
      <w:r>
        <w:rPr>
          <w:rFonts w:ascii="Times New Roman" w:hAnsi="Times New Roman"/>
          <w:sz w:val="20"/>
        </w:rPr>
        <w:t> </w:t>
      </w:r>
      <w:r>
        <w:rPr>
          <w:sz w:val="20"/>
        </w:rPr>
        <w:t>Wen-Jang Chen , Wen-Ta Su, Hsiu-Ying Hsu. 2012. Continuous flow electrocoagulation for MSG wastewater treatment using polymer coagulants via mixture-process design and response-surface methods. Journal of the Taiwan Institute of Chemical Engineers 43 (2012) 246–255.</w:t>
      </w:r>
    </w:p>
    <w:p>
      <w:pPr>
        <w:pStyle w:val="BodyText"/>
        <w:spacing w:before="9"/>
        <w:rPr>
          <w:sz w:val="21"/>
        </w:rPr>
      </w:pPr>
    </w:p>
    <w:p>
      <w:pPr>
        <w:spacing w:line="228" w:lineRule="exact" w:before="0"/>
        <w:ind w:left="478" w:right="117" w:hanging="360"/>
        <w:jc w:val="both"/>
        <w:rPr>
          <w:sz w:val="20"/>
        </w:rPr>
      </w:pPr>
      <w:r>
        <w:rPr>
          <w:rFonts w:ascii="Symbol" w:hAnsi="Symbol"/>
          <w:sz w:val="20"/>
        </w:rPr>
        <w:t></w:t>
      </w:r>
      <w:r>
        <w:rPr>
          <w:rFonts w:ascii="Times New Roman" w:hAnsi="Times New Roman"/>
          <w:sz w:val="20"/>
        </w:rPr>
        <w:t>   </w:t>
      </w:r>
      <w:r>
        <w:rPr>
          <w:sz w:val="20"/>
        </w:rPr>
        <w:t>Barrera, C., V. Lugo, G. Roa, R. Natividad, S.A. Martínez. 2011. Enhancing the electrochemical    Cr (VI) reduction in aqueous solution. Journal of Hazardous Materials 185 (2011)</w:t>
      </w:r>
      <w:r>
        <w:rPr>
          <w:spacing w:val="-22"/>
          <w:sz w:val="20"/>
        </w:rPr>
        <w:t> </w:t>
      </w:r>
      <w:r>
        <w:rPr>
          <w:sz w:val="20"/>
        </w:rPr>
        <w:t>1362–1368</w:t>
      </w:r>
    </w:p>
    <w:p>
      <w:pPr>
        <w:spacing w:line="227" w:lineRule="exact" w:before="0"/>
        <w:ind w:left="478" w:right="114" w:firstLine="0"/>
        <w:jc w:val="left"/>
        <w:rPr>
          <w:sz w:val="20"/>
        </w:rPr>
      </w:pPr>
      <w:r>
        <w:rPr>
          <w:sz w:val="20"/>
        </w:rPr>
        <w:t>36.</w:t>
      </w:r>
    </w:p>
    <w:p>
      <w:pPr>
        <w:pStyle w:val="BodyText"/>
        <w:spacing w:before="10"/>
        <w:rPr>
          <w:sz w:val="19"/>
        </w:rPr>
      </w:pPr>
    </w:p>
    <w:p>
      <w:pPr>
        <w:pStyle w:val="ListParagraph"/>
        <w:numPr>
          <w:ilvl w:val="0"/>
          <w:numId w:val="26"/>
        </w:numPr>
        <w:tabs>
          <w:tab w:pos="467" w:val="left" w:leader="none"/>
        </w:tabs>
        <w:spacing w:line="271" w:lineRule="auto" w:before="1" w:after="0"/>
        <w:ind w:left="478" w:right="124" w:hanging="360"/>
        <w:jc w:val="both"/>
        <w:rPr>
          <w:rFonts w:ascii="Symbol" w:hAnsi="Symbol"/>
          <w:b/>
          <w:sz w:val="20"/>
        </w:rPr>
      </w:pPr>
      <w:r>
        <w:rPr>
          <w:b/>
          <w:sz w:val="20"/>
        </w:rPr>
        <w:t>Instituto Nacional de Ecología (INE). 2002. Tecnologías de remediación para suelos contaminados.</w:t>
      </w:r>
      <w:r>
        <w:rPr>
          <w:b/>
          <w:spacing w:val="-7"/>
          <w:sz w:val="20"/>
        </w:rPr>
        <w:t> </w:t>
      </w:r>
      <w:r>
        <w:rPr>
          <w:b/>
          <w:sz w:val="20"/>
        </w:rPr>
        <w:t>México.</w:t>
      </w:r>
    </w:p>
    <w:p>
      <w:pPr>
        <w:pStyle w:val="ListParagraph"/>
        <w:numPr>
          <w:ilvl w:val="0"/>
          <w:numId w:val="26"/>
        </w:numPr>
        <w:tabs>
          <w:tab w:pos="467" w:val="left" w:leader="none"/>
        </w:tabs>
        <w:spacing w:line="271" w:lineRule="auto" w:before="6" w:after="0"/>
        <w:ind w:left="478" w:right="124" w:hanging="360"/>
        <w:jc w:val="both"/>
        <w:rPr>
          <w:rFonts w:ascii="Symbol" w:hAnsi="Symbol"/>
          <w:b/>
          <w:sz w:val="20"/>
        </w:rPr>
      </w:pPr>
      <w:r>
        <w:rPr>
          <w:b/>
          <w:sz w:val="20"/>
        </w:rPr>
        <w:t>Peñuela, G., y J. Morató. 2008. Manual de tecnologías sostenibles en tratamiento de aguas. EUROPEAID Co-operation office.</w:t>
      </w:r>
      <w:r>
        <w:rPr>
          <w:b/>
          <w:spacing w:val="-11"/>
          <w:sz w:val="20"/>
        </w:rPr>
        <w:t> </w:t>
      </w:r>
      <w:r>
        <w:rPr>
          <w:b/>
          <w:sz w:val="20"/>
        </w:rPr>
        <w:t>España.</w:t>
      </w:r>
    </w:p>
    <w:p>
      <w:pPr>
        <w:pStyle w:val="BodyText"/>
        <w:rPr>
          <w:b/>
          <w:sz w:val="20"/>
        </w:rPr>
      </w:pPr>
    </w:p>
    <w:p>
      <w:pPr>
        <w:pStyle w:val="BodyText"/>
        <w:spacing w:before="2"/>
        <w:rPr>
          <w:b/>
          <w:sz w:val="18"/>
        </w:rPr>
      </w:pPr>
    </w:p>
    <w:p>
      <w:pPr>
        <w:pStyle w:val="ListParagraph"/>
        <w:numPr>
          <w:ilvl w:val="0"/>
          <w:numId w:val="26"/>
        </w:numPr>
        <w:tabs>
          <w:tab w:pos="522" w:val="left" w:leader="none"/>
        </w:tabs>
        <w:spacing w:line="237" w:lineRule="auto" w:before="1" w:after="0"/>
        <w:ind w:left="478" w:right="124" w:hanging="360"/>
        <w:jc w:val="both"/>
        <w:rPr>
          <w:rFonts w:ascii="Symbol" w:hAnsi="Symbol"/>
          <w:sz w:val="20"/>
        </w:rPr>
      </w:pPr>
      <w:r>
        <w:rPr>
          <w:sz w:val="20"/>
        </w:rPr>
        <w:t>Levin, M. A. y Gealt M. A. 1997. Visión general del biotratamiento y su futuro En: Levin M. A., Gealt M. A. Editors. Biotratamiento de Residuos Tóxicos y Peligrosos. McGraw Hill / Interamericana, Madrid, España. pp. 1 –</w:t>
      </w:r>
      <w:r>
        <w:rPr>
          <w:spacing w:val="-9"/>
          <w:sz w:val="20"/>
        </w:rPr>
        <w:t> </w:t>
      </w:r>
      <w:r>
        <w:rPr>
          <w:sz w:val="20"/>
        </w:rPr>
        <w:t>19.</w:t>
      </w:r>
    </w:p>
    <w:p>
      <w:pPr>
        <w:pStyle w:val="BodyText"/>
        <w:spacing w:before="4"/>
        <w:rPr>
          <w:sz w:val="20"/>
        </w:rPr>
      </w:pPr>
    </w:p>
    <w:p>
      <w:pPr>
        <w:pStyle w:val="ListParagraph"/>
        <w:numPr>
          <w:ilvl w:val="0"/>
          <w:numId w:val="26"/>
        </w:numPr>
        <w:tabs>
          <w:tab w:pos="467" w:val="left" w:leader="none"/>
        </w:tabs>
        <w:spacing w:line="237" w:lineRule="auto" w:before="0" w:after="0"/>
        <w:ind w:left="478" w:right="123" w:hanging="360"/>
        <w:jc w:val="both"/>
        <w:rPr>
          <w:rFonts w:ascii="Symbol" w:hAnsi="Symbol"/>
          <w:sz w:val="20"/>
        </w:rPr>
      </w:pPr>
      <w:r>
        <w:rPr>
          <w:sz w:val="20"/>
        </w:rPr>
        <w:t>Araujo, I.A. Gómez, M. Barrera, N. Angulo, G. Morillo, C. Cárdenas, L. Herrera. 2008.  Surfactantes biológicos en la biorremediacion de aguas contaminadas con crudo liviano. Interciencia, 4 (33).</w:t>
      </w:r>
      <w:r>
        <w:rPr>
          <w:spacing w:val="-6"/>
          <w:sz w:val="20"/>
        </w:rPr>
        <w:t> </w:t>
      </w:r>
      <w:r>
        <w:rPr>
          <w:sz w:val="20"/>
        </w:rPr>
        <w:t>245-250.</w:t>
      </w:r>
    </w:p>
    <w:p>
      <w:pPr>
        <w:pStyle w:val="BodyText"/>
        <w:spacing w:before="1"/>
        <w:rPr>
          <w:sz w:val="28"/>
        </w:rPr>
      </w:pPr>
    </w:p>
    <w:p>
      <w:pPr>
        <w:pStyle w:val="ListParagraph"/>
        <w:numPr>
          <w:ilvl w:val="0"/>
          <w:numId w:val="26"/>
        </w:numPr>
        <w:tabs>
          <w:tab w:pos="466" w:val="left" w:leader="none"/>
          <w:tab w:pos="467" w:val="left" w:leader="none"/>
        </w:tabs>
        <w:spacing w:line="240" w:lineRule="auto" w:before="0" w:after="0"/>
        <w:ind w:left="466" w:right="0" w:hanging="348"/>
        <w:jc w:val="left"/>
        <w:rPr>
          <w:rFonts w:ascii="Symbol"/>
          <w:sz w:val="20"/>
        </w:rPr>
      </w:pPr>
      <w:r>
        <w:rPr>
          <w:sz w:val="20"/>
        </w:rPr>
        <w:t>Nature Reviews Microbiology. 2010. Oil spills: microorganisms to the rescue?. Vol. (8), 462</w:t>
      </w:r>
      <w:r>
        <w:rPr>
          <w:spacing w:val="-29"/>
          <w:sz w:val="20"/>
        </w:rPr>
        <w:t> </w:t>
      </w:r>
      <w:r>
        <w:rPr>
          <w:sz w:val="20"/>
        </w:rPr>
        <w:t>p.</w:t>
      </w:r>
    </w:p>
    <w:p>
      <w:pPr>
        <w:pStyle w:val="BodyText"/>
        <w:spacing w:before="9"/>
        <w:rPr>
          <w:sz w:val="19"/>
        </w:rPr>
      </w:pPr>
    </w:p>
    <w:p>
      <w:pPr>
        <w:pStyle w:val="ListParagraph"/>
        <w:numPr>
          <w:ilvl w:val="0"/>
          <w:numId w:val="26"/>
        </w:numPr>
        <w:tabs>
          <w:tab w:pos="467" w:val="left" w:leader="none"/>
        </w:tabs>
        <w:spacing w:line="240" w:lineRule="auto" w:before="0" w:after="0"/>
        <w:ind w:left="478" w:right="124" w:hanging="360"/>
        <w:jc w:val="both"/>
        <w:rPr>
          <w:rFonts w:ascii="Symbol" w:hAnsi="Symbol"/>
          <w:sz w:val="20"/>
        </w:rPr>
      </w:pPr>
      <w:r>
        <w:rPr>
          <w:sz w:val="20"/>
        </w:rPr>
        <w:t>Martinez, A., Pérez, Ma., Pinto, J., Gurrola, B., Osorio, A. 2011. Biorremediación de suelos contaminados con hidrocarburos empleando lodos residuales como fuente alterna de nutrientes. Rev. Int. Contam. Ambie. 27(3) 241-252,</w:t>
      </w:r>
      <w:r>
        <w:rPr>
          <w:spacing w:val="-11"/>
          <w:sz w:val="20"/>
        </w:rPr>
        <w:t> </w:t>
      </w:r>
      <w:r>
        <w:rPr>
          <w:sz w:val="20"/>
        </w:rPr>
        <w:t>2011</w:t>
      </w:r>
    </w:p>
    <w:p>
      <w:pPr>
        <w:pStyle w:val="BodyText"/>
        <w:spacing w:before="10"/>
        <w:rPr>
          <w:sz w:val="19"/>
        </w:rPr>
      </w:pPr>
    </w:p>
    <w:p>
      <w:pPr>
        <w:pStyle w:val="ListParagraph"/>
        <w:numPr>
          <w:ilvl w:val="0"/>
          <w:numId w:val="26"/>
        </w:numPr>
        <w:tabs>
          <w:tab w:pos="467" w:val="left" w:leader="none"/>
        </w:tabs>
        <w:spacing w:line="240" w:lineRule="auto" w:before="1" w:after="0"/>
        <w:ind w:left="478" w:right="123" w:hanging="360"/>
        <w:jc w:val="both"/>
        <w:rPr>
          <w:rFonts w:ascii="Symbol" w:hAnsi="Symbol"/>
          <w:sz w:val="20"/>
        </w:rPr>
      </w:pPr>
      <w:r>
        <w:rPr>
          <w:sz w:val="20"/>
        </w:rPr>
        <w:t>Cotón, E. y A. Vile. 2006. Solucionando grandes problemas ambientales con la ayuda de pequeños amigos: las técnicas de biorremediación. Ecosistema, 003 (15).</w:t>
      </w:r>
      <w:r>
        <w:rPr>
          <w:spacing w:val="-12"/>
          <w:sz w:val="20"/>
        </w:rPr>
        <w:t> </w:t>
      </w:r>
      <w:r>
        <w:rPr>
          <w:sz w:val="20"/>
        </w:rPr>
        <w:t>147-156.</w:t>
      </w:r>
    </w:p>
    <w:p>
      <w:pPr>
        <w:pStyle w:val="BodyText"/>
        <w:spacing w:before="10"/>
        <w:rPr>
          <w:sz w:val="19"/>
        </w:rPr>
      </w:pPr>
    </w:p>
    <w:p>
      <w:pPr>
        <w:pStyle w:val="ListParagraph"/>
        <w:numPr>
          <w:ilvl w:val="0"/>
          <w:numId w:val="26"/>
        </w:numPr>
        <w:tabs>
          <w:tab w:pos="467" w:val="left" w:leader="none"/>
        </w:tabs>
        <w:spacing w:line="240" w:lineRule="auto" w:before="1" w:after="0"/>
        <w:ind w:left="478" w:right="119" w:hanging="360"/>
        <w:jc w:val="both"/>
        <w:rPr>
          <w:rFonts w:ascii="Symbol"/>
          <w:sz w:val="20"/>
        </w:rPr>
      </w:pPr>
      <w:r>
        <w:rPr>
          <w:sz w:val="20"/>
        </w:rPr>
        <w:t>Benitez, P. I. L. 2008. Evaluacion de la distribucion de metals pesados en las plantas acuaticas jacinto de agua (Eichornia crassipes) y tul (Typha), utilizadas en la planta de tratamiento de  aguas residuals en la Cerra, Villa de Canales por medio de fluorescencia de rayos x. Tesis, Universidad de San Carlos de</w:t>
      </w:r>
      <w:r>
        <w:rPr>
          <w:spacing w:val="-9"/>
          <w:sz w:val="20"/>
        </w:rPr>
        <w:t> </w:t>
      </w:r>
      <w:r>
        <w:rPr>
          <w:sz w:val="20"/>
        </w:rPr>
        <w:t>Guatemala.</w:t>
      </w:r>
    </w:p>
    <w:p>
      <w:pPr>
        <w:pStyle w:val="BodyText"/>
        <w:spacing w:before="4"/>
        <w:rPr>
          <w:sz w:val="20"/>
        </w:rPr>
      </w:pPr>
    </w:p>
    <w:p>
      <w:pPr>
        <w:pStyle w:val="ListParagraph"/>
        <w:numPr>
          <w:ilvl w:val="0"/>
          <w:numId w:val="26"/>
        </w:numPr>
        <w:tabs>
          <w:tab w:pos="466" w:val="left" w:leader="none"/>
          <w:tab w:pos="467" w:val="left" w:leader="none"/>
        </w:tabs>
        <w:spacing w:line="240" w:lineRule="auto" w:before="0" w:after="0"/>
        <w:ind w:left="466" w:right="0" w:hanging="348"/>
        <w:jc w:val="left"/>
        <w:rPr>
          <w:rFonts w:ascii="Symbol"/>
          <w:sz w:val="20"/>
        </w:rPr>
      </w:pPr>
      <w:r>
        <w:rPr>
          <w:sz w:val="20"/>
        </w:rPr>
        <w:t>Greipsson, S., 2011. Phytoremediation. Nat. Educ. Knowl. 2,</w:t>
      </w:r>
      <w:r>
        <w:rPr>
          <w:spacing w:val="-15"/>
          <w:sz w:val="20"/>
        </w:rPr>
        <w:t> </w:t>
      </w:r>
      <w:r>
        <w:rPr>
          <w:sz w:val="20"/>
        </w:rPr>
        <w:t>7.</w:t>
      </w:r>
    </w:p>
    <w:p>
      <w:pPr>
        <w:pStyle w:val="BodyText"/>
        <w:rPr>
          <w:sz w:val="20"/>
        </w:rPr>
      </w:pPr>
    </w:p>
    <w:p>
      <w:pPr>
        <w:pStyle w:val="ListParagraph"/>
        <w:numPr>
          <w:ilvl w:val="0"/>
          <w:numId w:val="26"/>
        </w:numPr>
        <w:tabs>
          <w:tab w:pos="467" w:val="left" w:leader="none"/>
        </w:tabs>
        <w:spacing w:line="240" w:lineRule="auto" w:before="0" w:after="0"/>
        <w:ind w:left="478" w:right="111" w:hanging="360"/>
        <w:jc w:val="both"/>
        <w:rPr>
          <w:rFonts w:ascii="Symbol" w:hAnsi="Symbol"/>
          <w:sz w:val="20"/>
        </w:rPr>
      </w:pPr>
      <w:r>
        <w:rPr>
          <w:sz w:val="20"/>
        </w:rPr>
        <w:t>Vithanage, M., Dabrowska, B.B., Mukherjee, B., Sandhi, A., Bhattacharya, P., 2012. Arsenic uptake by plants and possible phytoremediation applications: a brief overview. Environ. </w:t>
      </w:r>
      <w:r>
        <w:rPr>
          <w:spacing w:val="2"/>
          <w:sz w:val="20"/>
        </w:rPr>
        <w:t>Chem. </w:t>
      </w:r>
      <w:r>
        <w:rPr>
          <w:sz w:val="20"/>
        </w:rPr>
        <w:t>Lett. 10,</w:t>
      </w:r>
      <w:r>
        <w:rPr>
          <w:spacing w:val="-6"/>
          <w:sz w:val="20"/>
        </w:rPr>
        <w:t> </w:t>
      </w:r>
      <w:r>
        <w:rPr>
          <w:sz w:val="20"/>
        </w:rPr>
        <w:t>217–224.</w:t>
      </w:r>
    </w:p>
    <w:p>
      <w:pPr>
        <w:pStyle w:val="BodyText"/>
        <w:spacing w:before="1"/>
        <w:rPr>
          <w:sz w:val="20"/>
        </w:rPr>
      </w:pPr>
    </w:p>
    <w:p>
      <w:pPr>
        <w:pStyle w:val="ListParagraph"/>
        <w:numPr>
          <w:ilvl w:val="0"/>
          <w:numId w:val="26"/>
        </w:numPr>
        <w:tabs>
          <w:tab w:pos="467" w:val="left" w:leader="none"/>
        </w:tabs>
        <w:spacing w:line="273" w:lineRule="auto" w:before="0" w:after="0"/>
        <w:ind w:left="478" w:right="120" w:hanging="360"/>
        <w:jc w:val="both"/>
        <w:rPr>
          <w:rFonts w:ascii="Symbol" w:hAnsi="Symbol"/>
          <w:sz w:val="20"/>
        </w:rPr>
      </w:pPr>
      <w:r>
        <w:rPr>
          <w:sz w:val="20"/>
        </w:rPr>
        <w:t>Alarcón, A. y R. Ferrera-Cerrato. 2013. Biorrremediación de suelos y agua contaminadas con compuestos orgánicos e inorgánicos. Ed. Trillas-Colegio de Posgraduados.</w:t>
      </w:r>
      <w:r>
        <w:rPr>
          <w:spacing w:val="-19"/>
          <w:sz w:val="20"/>
        </w:rPr>
        <w:t> </w:t>
      </w:r>
      <w:r>
        <w:rPr>
          <w:sz w:val="20"/>
        </w:rPr>
        <w:t>México.</w:t>
      </w:r>
    </w:p>
    <w:p>
      <w:pPr>
        <w:pStyle w:val="BodyText"/>
        <w:spacing w:before="4"/>
        <w:rPr>
          <w:sz w:val="17"/>
        </w:rPr>
      </w:pPr>
    </w:p>
    <w:p>
      <w:pPr>
        <w:pStyle w:val="ListParagraph"/>
        <w:numPr>
          <w:ilvl w:val="0"/>
          <w:numId w:val="26"/>
        </w:numPr>
        <w:tabs>
          <w:tab w:pos="467" w:val="left" w:leader="none"/>
        </w:tabs>
        <w:spacing w:line="276" w:lineRule="auto" w:before="1" w:after="0"/>
        <w:ind w:left="478" w:right="113" w:hanging="360"/>
        <w:jc w:val="both"/>
        <w:rPr>
          <w:rFonts w:ascii="Symbol" w:hAnsi="Symbol"/>
          <w:sz w:val="20"/>
        </w:rPr>
      </w:pPr>
      <w:r>
        <w:rPr>
          <w:sz w:val="20"/>
        </w:rPr>
        <w:t>Campos, V.M. 2010. Fitorremediación de contaminates persistentes: una aproximación biotecnológica utilizando Chopo (</w:t>
      </w:r>
      <w:r>
        <w:rPr>
          <w:i/>
          <w:sz w:val="20"/>
        </w:rPr>
        <w:t>populus spp.)</w:t>
      </w:r>
      <w:r>
        <w:rPr>
          <w:sz w:val="20"/>
        </w:rPr>
        <w:t>. Tesis Doctoral. Universidad Politécnica de Madrid.</w:t>
      </w:r>
    </w:p>
    <w:p>
      <w:pPr>
        <w:pStyle w:val="BodyText"/>
        <w:rPr>
          <w:sz w:val="19"/>
        </w:rPr>
      </w:pPr>
    </w:p>
    <w:p>
      <w:pPr>
        <w:pStyle w:val="ListParagraph"/>
        <w:numPr>
          <w:ilvl w:val="0"/>
          <w:numId w:val="26"/>
        </w:numPr>
        <w:tabs>
          <w:tab w:pos="467" w:val="left" w:leader="none"/>
        </w:tabs>
        <w:spacing w:line="228" w:lineRule="exact" w:before="1" w:after="0"/>
        <w:ind w:left="478" w:right="118" w:hanging="360"/>
        <w:jc w:val="both"/>
        <w:rPr>
          <w:rFonts w:ascii="Symbol" w:hAnsi="Symbol"/>
          <w:sz w:val="20"/>
        </w:rPr>
      </w:pPr>
      <w:r>
        <w:rPr>
          <w:sz w:val="20"/>
        </w:rPr>
        <w:t>Casal, I., J. L. García, J. M. Guisán, J. M. Martínez-Zapater, F. Rojo. 2004. Biotecnología y medio ambiente. Sociedad Española de Biotecnología, 72</w:t>
      </w:r>
      <w:r>
        <w:rPr>
          <w:spacing w:val="-13"/>
          <w:sz w:val="20"/>
        </w:rPr>
        <w:t> </w:t>
      </w:r>
      <w:r>
        <w:rPr>
          <w:sz w:val="20"/>
        </w:rPr>
        <w:t>pp.</w:t>
      </w:r>
    </w:p>
    <w:p>
      <w:pPr>
        <w:spacing w:after="0" w:line="228" w:lineRule="exact"/>
        <w:jc w:val="both"/>
        <w:rPr>
          <w:rFonts w:ascii="Symbol" w:hAnsi="Symbol"/>
          <w:sz w:val="20"/>
        </w:rPr>
        <w:sectPr>
          <w:pgSz w:w="12240" w:h="15840"/>
          <w:pgMar w:header="0" w:footer="1480" w:top="1380" w:bottom="1680" w:left="1660" w:right="1300"/>
        </w:sectPr>
      </w:pPr>
    </w:p>
    <w:p>
      <w:pPr>
        <w:pStyle w:val="ListParagraph"/>
        <w:numPr>
          <w:ilvl w:val="0"/>
          <w:numId w:val="26"/>
        </w:numPr>
        <w:tabs>
          <w:tab w:pos="467" w:val="left" w:leader="none"/>
        </w:tabs>
        <w:spacing w:line="228" w:lineRule="exact" w:before="55" w:after="0"/>
        <w:ind w:left="478" w:right="125" w:hanging="360"/>
        <w:jc w:val="both"/>
        <w:rPr>
          <w:rFonts w:ascii="Symbol" w:hAnsi="Symbol"/>
          <w:sz w:val="20"/>
        </w:rPr>
      </w:pPr>
      <w:r>
        <w:rPr>
          <w:sz w:val="20"/>
        </w:rPr>
        <w:t>Nuñes, R.A., Y. Meas, R. Ortega, E. Olguín. 2004. Remediación: fundamentos y aplicaciones. Ciencia.</w:t>
      </w:r>
      <w:r>
        <w:rPr>
          <w:spacing w:val="-6"/>
          <w:sz w:val="20"/>
        </w:rPr>
        <w:t> </w:t>
      </w:r>
      <w:r>
        <w:rPr>
          <w:sz w:val="20"/>
        </w:rPr>
        <w:t>69-83.</w:t>
      </w:r>
    </w:p>
    <w:p>
      <w:pPr>
        <w:pStyle w:val="BodyText"/>
        <w:spacing w:before="5"/>
        <w:rPr>
          <w:sz w:val="21"/>
        </w:rPr>
      </w:pPr>
    </w:p>
    <w:p>
      <w:pPr>
        <w:pStyle w:val="ListParagraph"/>
        <w:numPr>
          <w:ilvl w:val="0"/>
          <w:numId w:val="26"/>
        </w:numPr>
        <w:tabs>
          <w:tab w:pos="467" w:val="left" w:leader="none"/>
        </w:tabs>
        <w:spacing w:line="228" w:lineRule="exact" w:before="0" w:after="0"/>
        <w:ind w:left="478" w:right="119" w:hanging="360"/>
        <w:jc w:val="both"/>
        <w:rPr>
          <w:rFonts w:ascii="Symbol" w:hAnsi="Symbol"/>
          <w:sz w:val="20"/>
        </w:rPr>
      </w:pPr>
      <w:r>
        <w:rPr>
          <w:sz w:val="20"/>
        </w:rPr>
        <w:t>Thangavel, P., Subhuram, C. V. 2004. Phytoextraction – Role of hyper accumulators in metal contaminated soils. Proceedings of the Indian National Science Academy. Part B.</w:t>
      </w:r>
      <w:r>
        <w:rPr>
          <w:spacing w:val="-23"/>
          <w:sz w:val="20"/>
        </w:rPr>
        <w:t> </w:t>
      </w:r>
      <w:r>
        <w:rPr>
          <w:sz w:val="20"/>
        </w:rPr>
        <w:t>70(1):109-130.</w:t>
      </w:r>
    </w:p>
    <w:p>
      <w:pPr>
        <w:pStyle w:val="BodyText"/>
        <w:spacing w:before="10"/>
        <w:rPr>
          <w:sz w:val="19"/>
        </w:rPr>
      </w:pPr>
    </w:p>
    <w:p>
      <w:pPr>
        <w:pStyle w:val="ListParagraph"/>
        <w:numPr>
          <w:ilvl w:val="0"/>
          <w:numId w:val="26"/>
        </w:numPr>
        <w:tabs>
          <w:tab w:pos="467" w:val="left" w:leader="none"/>
        </w:tabs>
        <w:spacing w:line="273" w:lineRule="auto" w:before="0" w:after="0"/>
        <w:ind w:left="478" w:right="125" w:hanging="360"/>
        <w:jc w:val="both"/>
        <w:rPr>
          <w:rFonts w:ascii="Symbol"/>
          <w:sz w:val="20"/>
        </w:rPr>
      </w:pPr>
      <w:r>
        <w:rPr>
          <w:sz w:val="20"/>
        </w:rPr>
        <w:t>Ghosh, M., Singh, S. P. 2005. A review on phytoremediation of heavy metals and utilization of its by-products. Applied Ecology and Environmental Research. 3:</w:t>
      </w:r>
      <w:r>
        <w:rPr>
          <w:spacing w:val="-20"/>
          <w:sz w:val="20"/>
        </w:rPr>
        <w:t> </w:t>
      </w:r>
      <w:r>
        <w:rPr>
          <w:sz w:val="20"/>
        </w:rPr>
        <w:t>1-18.</w:t>
      </w:r>
    </w:p>
    <w:p>
      <w:pPr>
        <w:pStyle w:val="ListParagraph"/>
        <w:numPr>
          <w:ilvl w:val="0"/>
          <w:numId w:val="26"/>
        </w:numPr>
        <w:tabs>
          <w:tab w:pos="467" w:val="left" w:leader="none"/>
        </w:tabs>
        <w:spacing w:line="237" w:lineRule="auto" w:before="3" w:after="0"/>
        <w:ind w:left="478" w:right="116" w:hanging="360"/>
        <w:jc w:val="both"/>
        <w:rPr>
          <w:rFonts w:ascii="Symbol"/>
          <w:sz w:val="20"/>
        </w:rPr>
      </w:pPr>
      <w:r>
        <w:rPr>
          <w:sz w:val="20"/>
        </w:rPr>
        <w:t>Chandra, S. K., Kamala, C. T., Chary, N. S., Balaram, V., Garcia, G. 2005. Potential of Hemidesmus indicus for phytoextraction of lead from industrially contaminated soils. Chemosphere.</w:t>
      </w:r>
      <w:r>
        <w:rPr>
          <w:spacing w:val="-6"/>
          <w:sz w:val="20"/>
        </w:rPr>
        <w:t> </w:t>
      </w:r>
      <w:r>
        <w:rPr>
          <w:sz w:val="20"/>
        </w:rPr>
        <w:t>58:507-514.</w:t>
      </w:r>
    </w:p>
    <w:p>
      <w:pPr>
        <w:pStyle w:val="BodyText"/>
        <w:spacing w:before="9"/>
        <w:rPr>
          <w:sz w:val="21"/>
        </w:rPr>
      </w:pPr>
    </w:p>
    <w:p>
      <w:pPr>
        <w:pStyle w:val="ListParagraph"/>
        <w:numPr>
          <w:ilvl w:val="0"/>
          <w:numId w:val="26"/>
        </w:numPr>
        <w:tabs>
          <w:tab w:pos="467" w:val="left" w:leader="none"/>
        </w:tabs>
        <w:spacing w:line="228" w:lineRule="exact" w:before="0" w:after="0"/>
        <w:ind w:left="478" w:right="117" w:hanging="360"/>
        <w:jc w:val="both"/>
        <w:rPr>
          <w:rFonts w:ascii="Symbol"/>
          <w:sz w:val="20"/>
        </w:rPr>
      </w:pPr>
      <w:r>
        <w:rPr>
          <w:sz w:val="20"/>
        </w:rPr>
        <w:t>Zhuang, P., Yang, Q. </w:t>
      </w:r>
      <w:r>
        <w:rPr>
          <w:spacing w:val="2"/>
          <w:sz w:val="20"/>
        </w:rPr>
        <w:t>W., </w:t>
      </w:r>
      <w:r>
        <w:rPr>
          <w:sz w:val="20"/>
        </w:rPr>
        <w:t>Wang, H. B., Shu, </w:t>
      </w:r>
      <w:r>
        <w:rPr>
          <w:spacing w:val="4"/>
          <w:sz w:val="20"/>
        </w:rPr>
        <w:t>W.</w:t>
      </w:r>
      <w:r>
        <w:rPr>
          <w:spacing w:val="-38"/>
          <w:sz w:val="20"/>
        </w:rPr>
        <w:t> </w:t>
      </w:r>
      <w:r>
        <w:rPr>
          <w:sz w:val="20"/>
        </w:rPr>
        <w:t>S. 2007. Phytoextraction of Heavy Metals by Eight Plant Species in the Field. Water, Air, &amp; Soil Pollution. 184:</w:t>
      </w:r>
      <w:r>
        <w:rPr>
          <w:spacing w:val="-19"/>
          <w:sz w:val="20"/>
        </w:rPr>
        <w:t> </w:t>
      </w:r>
      <w:r>
        <w:rPr>
          <w:sz w:val="20"/>
        </w:rPr>
        <w:t>235-242.</w:t>
      </w:r>
    </w:p>
    <w:p>
      <w:pPr>
        <w:pStyle w:val="BodyText"/>
        <w:rPr>
          <w:sz w:val="20"/>
        </w:rPr>
      </w:pPr>
    </w:p>
    <w:p>
      <w:pPr>
        <w:pStyle w:val="BodyText"/>
        <w:spacing w:before="1"/>
        <w:rPr>
          <w:sz w:val="20"/>
        </w:rPr>
      </w:pPr>
    </w:p>
    <w:p>
      <w:pPr>
        <w:pStyle w:val="ListParagraph"/>
        <w:numPr>
          <w:ilvl w:val="0"/>
          <w:numId w:val="26"/>
        </w:numPr>
        <w:tabs>
          <w:tab w:pos="467" w:val="left" w:leader="none"/>
        </w:tabs>
        <w:spacing w:line="237" w:lineRule="auto" w:before="0" w:after="0"/>
        <w:ind w:left="478" w:right="117" w:hanging="360"/>
        <w:jc w:val="both"/>
        <w:rPr>
          <w:rFonts w:ascii="Symbol"/>
          <w:sz w:val="20"/>
        </w:rPr>
      </w:pPr>
      <w:r>
        <w:rPr>
          <w:sz w:val="20"/>
        </w:rPr>
        <w:t>Zhuang, P., Ye, Z. H., Lan, C. Y., Xie, Z. </w:t>
      </w:r>
      <w:r>
        <w:rPr>
          <w:spacing w:val="2"/>
          <w:sz w:val="20"/>
        </w:rPr>
        <w:t>W., </w:t>
      </w:r>
      <w:r>
        <w:rPr>
          <w:sz w:val="20"/>
        </w:rPr>
        <w:t>Shu, </w:t>
      </w:r>
      <w:r>
        <w:rPr>
          <w:spacing w:val="5"/>
          <w:sz w:val="20"/>
        </w:rPr>
        <w:t>W. </w:t>
      </w:r>
      <w:r>
        <w:rPr>
          <w:sz w:val="20"/>
        </w:rPr>
        <w:t>S. 2005. Chemically assisted phytoextraction of heavy metal contaminated soils using three plant species. Plant and Soil. 276: 153-162.</w:t>
      </w:r>
    </w:p>
    <w:p>
      <w:pPr>
        <w:pStyle w:val="BodyText"/>
        <w:spacing w:before="4"/>
        <w:rPr>
          <w:sz w:val="20"/>
        </w:rPr>
      </w:pPr>
    </w:p>
    <w:p>
      <w:pPr>
        <w:pStyle w:val="ListParagraph"/>
        <w:numPr>
          <w:ilvl w:val="0"/>
          <w:numId w:val="26"/>
        </w:numPr>
        <w:tabs>
          <w:tab w:pos="467" w:val="left" w:leader="none"/>
        </w:tabs>
        <w:spacing w:line="237" w:lineRule="auto" w:before="0" w:after="0"/>
        <w:ind w:left="478" w:right="123" w:hanging="360"/>
        <w:jc w:val="both"/>
        <w:rPr>
          <w:rFonts w:ascii="Symbol" w:hAnsi="Symbol"/>
          <w:sz w:val="20"/>
        </w:rPr>
      </w:pPr>
      <w:r>
        <w:rPr>
          <w:sz w:val="20"/>
        </w:rPr>
        <w:t>Rafati, M., Khorasani, N., Moattar, F., Shirvany, A., Moraghebi, F., Hosseinzadeh, S., 2011. Phytoremediation potential of Populus alba and Morus alba for cadmium,chromuim and nickel absorption from polluted soil. Int. J. Environ. Res. 5,</w:t>
      </w:r>
      <w:r>
        <w:rPr>
          <w:spacing w:val="-15"/>
          <w:sz w:val="20"/>
        </w:rPr>
        <w:t> </w:t>
      </w:r>
      <w:r>
        <w:rPr>
          <w:sz w:val="20"/>
        </w:rPr>
        <w:t>961–970.</w:t>
      </w:r>
    </w:p>
    <w:p>
      <w:pPr>
        <w:pStyle w:val="BodyText"/>
        <w:spacing w:before="2"/>
        <w:rPr>
          <w:sz w:val="20"/>
        </w:rPr>
      </w:pPr>
    </w:p>
    <w:p>
      <w:pPr>
        <w:pStyle w:val="ListParagraph"/>
        <w:numPr>
          <w:ilvl w:val="0"/>
          <w:numId w:val="26"/>
        </w:numPr>
        <w:tabs>
          <w:tab w:pos="466" w:val="left" w:leader="none"/>
          <w:tab w:pos="467" w:val="left" w:leader="none"/>
        </w:tabs>
        <w:spacing w:line="240" w:lineRule="auto" w:before="0" w:after="0"/>
        <w:ind w:left="466" w:right="0" w:hanging="348"/>
        <w:jc w:val="left"/>
        <w:rPr>
          <w:rFonts w:ascii="Symbol"/>
          <w:sz w:val="20"/>
        </w:rPr>
      </w:pPr>
      <w:r>
        <w:rPr>
          <w:sz w:val="20"/>
        </w:rPr>
        <w:t>Vidali, M. 2001. Biorremediatio. An overview. Pure and Applied Chemistry, 7 (73).</w:t>
      </w:r>
      <w:r>
        <w:rPr>
          <w:spacing w:val="-18"/>
          <w:sz w:val="20"/>
        </w:rPr>
        <w:t> </w:t>
      </w:r>
      <w:r>
        <w:rPr>
          <w:sz w:val="20"/>
        </w:rPr>
        <w:t>1163-1172.</w:t>
      </w:r>
    </w:p>
    <w:p>
      <w:pPr>
        <w:pStyle w:val="BodyText"/>
        <w:spacing w:before="4"/>
        <w:rPr>
          <w:sz w:val="21"/>
        </w:rPr>
      </w:pPr>
    </w:p>
    <w:p>
      <w:pPr>
        <w:pStyle w:val="ListParagraph"/>
        <w:numPr>
          <w:ilvl w:val="0"/>
          <w:numId w:val="26"/>
        </w:numPr>
        <w:tabs>
          <w:tab w:pos="467" w:val="left" w:leader="none"/>
        </w:tabs>
        <w:spacing w:line="228" w:lineRule="exact" w:before="1" w:after="0"/>
        <w:ind w:left="478" w:right="122" w:hanging="360"/>
        <w:jc w:val="both"/>
        <w:rPr>
          <w:rFonts w:ascii="Symbol"/>
          <w:sz w:val="20"/>
        </w:rPr>
      </w:pPr>
      <w:r>
        <w:rPr>
          <w:sz w:val="20"/>
        </w:rPr>
        <w:t>Cherian, S., Oliveira, M. 2005. Transgenic plants in phytoremediation: recent advances and new possibilities. Environmental Science &amp; Technology. 39:</w:t>
      </w:r>
      <w:r>
        <w:rPr>
          <w:spacing w:val="-20"/>
          <w:sz w:val="20"/>
        </w:rPr>
        <w:t> </w:t>
      </w:r>
      <w:r>
        <w:rPr>
          <w:sz w:val="20"/>
        </w:rPr>
        <w:t>9377-9390.</w:t>
      </w:r>
    </w:p>
    <w:p>
      <w:pPr>
        <w:pStyle w:val="BodyText"/>
        <w:spacing w:before="6"/>
        <w:rPr>
          <w:sz w:val="21"/>
        </w:rPr>
      </w:pPr>
    </w:p>
    <w:p>
      <w:pPr>
        <w:pStyle w:val="ListParagraph"/>
        <w:numPr>
          <w:ilvl w:val="0"/>
          <w:numId w:val="26"/>
        </w:numPr>
        <w:tabs>
          <w:tab w:pos="467" w:val="left" w:leader="none"/>
        </w:tabs>
        <w:spacing w:line="228" w:lineRule="exact" w:before="0" w:after="0"/>
        <w:ind w:left="478" w:right="123" w:hanging="360"/>
        <w:jc w:val="both"/>
        <w:rPr>
          <w:rFonts w:ascii="Symbol"/>
          <w:sz w:val="20"/>
        </w:rPr>
      </w:pPr>
      <w:r>
        <w:rPr>
          <w:sz w:val="20"/>
        </w:rPr>
        <w:t>Li, M. S., Luo, Y. P., Su, Z. Y. 2007. Heavy metal concentrations in soils and plant accumulation in a restored manganese mineland in Guangxi, South China. Environmental Pollution. 147:</w:t>
      </w:r>
      <w:r>
        <w:rPr>
          <w:spacing w:val="-21"/>
          <w:sz w:val="20"/>
        </w:rPr>
        <w:t> </w:t>
      </w:r>
      <w:r>
        <w:rPr>
          <w:sz w:val="20"/>
        </w:rPr>
        <w:t>168-175.</w:t>
      </w:r>
    </w:p>
    <w:p>
      <w:pPr>
        <w:pStyle w:val="BodyText"/>
        <w:spacing w:before="10"/>
        <w:rPr>
          <w:sz w:val="19"/>
        </w:rPr>
      </w:pPr>
    </w:p>
    <w:p>
      <w:pPr>
        <w:pStyle w:val="ListParagraph"/>
        <w:numPr>
          <w:ilvl w:val="0"/>
          <w:numId w:val="26"/>
        </w:numPr>
        <w:tabs>
          <w:tab w:pos="467" w:val="left" w:leader="none"/>
        </w:tabs>
        <w:spacing w:line="240" w:lineRule="auto" w:before="0" w:after="0"/>
        <w:ind w:left="478" w:right="118" w:hanging="360"/>
        <w:jc w:val="both"/>
        <w:rPr>
          <w:rFonts w:ascii="Symbol"/>
          <w:sz w:val="20"/>
        </w:rPr>
      </w:pPr>
      <w:r>
        <w:rPr>
          <w:sz w:val="20"/>
        </w:rPr>
        <w:t>Mendez, M. O., Maier, R. M. 2008. Phytostabilization of Mine Tailings in Arid and Semiarid Environments-An Emerging Remediation Technology. Environ Health Perspect. 116:</w:t>
      </w:r>
      <w:r>
        <w:rPr>
          <w:spacing w:val="-26"/>
          <w:sz w:val="20"/>
        </w:rPr>
        <w:t> </w:t>
      </w:r>
      <w:r>
        <w:rPr>
          <w:sz w:val="20"/>
        </w:rPr>
        <w:t>278-283.</w:t>
      </w:r>
    </w:p>
    <w:p>
      <w:pPr>
        <w:pStyle w:val="BodyText"/>
        <w:spacing w:before="10"/>
        <w:rPr>
          <w:sz w:val="19"/>
        </w:rPr>
      </w:pPr>
    </w:p>
    <w:p>
      <w:pPr>
        <w:pStyle w:val="ListParagraph"/>
        <w:numPr>
          <w:ilvl w:val="0"/>
          <w:numId w:val="26"/>
        </w:numPr>
        <w:tabs>
          <w:tab w:pos="467" w:val="left" w:leader="none"/>
        </w:tabs>
        <w:spacing w:line="240" w:lineRule="auto" w:before="1" w:after="0"/>
        <w:ind w:left="478" w:right="113" w:hanging="360"/>
        <w:jc w:val="both"/>
        <w:rPr>
          <w:rFonts w:ascii="Symbol" w:hAnsi="Symbol"/>
          <w:sz w:val="20"/>
        </w:rPr>
      </w:pPr>
      <w:r>
        <w:rPr>
          <w:sz w:val="20"/>
        </w:rPr>
        <w:t>Wu, G., Kang, H., Zhang, X., Shao, H., Chu, L., Ruan, C., 2010. A critical review on the </w:t>
      </w:r>
      <w:r>
        <w:rPr>
          <w:spacing w:val="2"/>
          <w:sz w:val="20"/>
        </w:rPr>
        <w:t>bio-</w:t>
      </w:r>
      <w:r>
        <w:rPr>
          <w:spacing w:val="59"/>
          <w:sz w:val="20"/>
        </w:rPr>
        <w:t> </w:t>
      </w:r>
      <w:r>
        <w:rPr>
          <w:sz w:val="20"/>
        </w:rPr>
        <w:t>removal of hazardous heavy metals from contaminated soils: issues, progress, eco-environmental concerns and opportunities. J. Hazard. Mater. 174,</w:t>
      </w:r>
      <w:r>
        <w:rPr>
          <w:spacing w:val="-10"/>
          <w:sz w:val="20"/>
        </w:rPr>
        <w:t> </w:t>
      </w:r>
      <w:r>
        <w:rPr>
          <w:sz w:val="20"/>
        </w:rPr>
        <w:t>1–8.</w:t>
      </w:r>
    </w:p>
    <w:p>
      <w:pPr>
        <w:pStyle w:val="BodyText"/>
        <w:spacing w:before="1"/>
        <w:rPr>
          <w:sz w:val="20"/>
        </w:rPr>
      </w:pPr>
    </w:p>
    <w:p>
      <w:pPr>
        <w:pStyle w:val="ListParagraph"/>
        <w:numPr>
          <w:ilvl w:val="0"/>
          <w:numId w:val="26"/>
        </w:numPr>
        <w:tabs>
          <w:tab w:pos="467" w:val="left" w:leader="none"/>
        </w:tabs>
        <w:spacing w:line="240" w:lineRule="auto" w:before="0" w:after="0"/>
        <w:ind w:left="478" w:right="127" w:hanging="360"/>
        <w:jc w:val="both"/>
        <w:rPr>
          <w:rFonts w:ascii="Symbol" w:hAnsi="Symbol"/>
          <w:sz w:val="20"/>
        </w:rPr>
      </w:pPr>
      <w:r>
        <w:rPr>
          <w:sz w:val="20"/>
        </w:rPr>
        <w:t>Singh, S., 2012. Phytoremediation: a sustainable alternative for environmental challenges. Int. J. Gr. Herb. Chem. 1,</w:t>
      </w:r>
      <w:r>
        <w:rPr>
          <w:spacing w:val="-8"/>
          <w:sz w:val="20"/>
        </w:rPr>
        <w:t> </w:t>
      </w:r>
      <w:r>
        <w:rPr>
          <w:sz w:val="20"/>
        </w:rPr>
        <w:t>133–139.</w:t>
      </w:r>
    </w:p>
    <w:p>
      <w:pPr>
        <w:pStyle w:val="BodyText"/>
        <w:spacing w:before="10"/>
        <w:rPr>
          <w:sz w:val="19"/>
        </w:rPr>
      </w:pPr>
    </w:p>
    <w:p>
      <w:pPr>
        <w:pStyle w:val="ListParagraph"/>
        <w:numPr>
          <w:ilvl w:val="0"/>
          <w:numId w:val="26"/>
        </w:numPr>
        <w:tabs>
          <w:tab w:pos="467" w:val="left" w:leader="none"/>
        </w:tabs>
        <w:spacing w:line="240" w:lineRule="auto" w:before="1" w:after="0"/>
        <w:ind w:left="478" w:right="111" w:hanging="360"/>
        <w:jc w:val="both"/>
        <w:rPr>
          <w:rFonts w:ascii="Symbol"/>
          <w:sz w:val="20"/>
        </w:rPr>
      </w:pPr>
      <w:r>
        <w:rPr>
          <w:sz w:val="20"/>
        </w:rPr>
        <w:t>Prasad, M. N. V., Freitas, H. M. O. 2003. Metal hyperaccumulation in plants- biodiversity prospecting for phytoremediation technology. Journal of Molecular Biology &amp; Genetics. 6: 276- 312.</w:t>
      </w:r>
    </w:p>
    <w:p>
      <w:pPr>
        <w:pStyle w:val="BodyText"/>
        <w:spacing w:before="10"/>
        <w:rPr>
          <w:sz w:val="19"/>
        </w:rPr>
      </w:pPr>
    </w:p>
    <w:p>
      <w:pPr>
        <w:pStyle w:val="ListParagraph"/>
        <w:numPr>
          <w:ilvl w:val="0"/>
          <w:numId w:val="26"/>
        </w:numPr>
        <w:tabs>
          <w:tab w:pos="467" w:val="left" w:leader="none"/>
        </w:tabs>
        <w:spacing w:line="240" w:lineRule="auto" w:before="1" w:after="0"/>
        <w:ind w:left="478" w:right="114" w:hanging="360"/>
        <w:jc w:val="both"/>
        <w:rPr>
          <w:rFonts w:ascii="Symbol"/>
          <w:sz w:val="20"/>
        </w:rPr>
      </w:pPr>
      <w:r>
        <w:rPr>
          <w:sz w:val="20"/>
        </w:rPr>
        <w:t>Burken, J. G., Ma., X. 2006. Phytoremediation of volatile organic compounds. En: Phytoremediation Rhizoremediation. Springer Netherlands (ed). ISBN 978-1-4020-4952-1. 199- 216.</w:t>
      </w:r>
    </w:p>
    <w:p>
      <w:pPr>
        <w:pStyle w:val="BodyText"/>
        <w:spacing w:before="1"/>
        <w:rPr>
          <w:sz w:val="20"/>
        </w:rPr>
      </w:pPr>
    </w:p>
    <w:p>
      <w:pPr>
        <w:pStyle w:val="ListParagraph"/>
        <w:numPr>
          <w:ilvl w:val="0"/>
          <w:numId w:val="26"/>
        </w:numPr>
        <w:tabs>
          <w:tab w:pos="467" w:val="left" w:leader="none"/>
        </w:tabs>
        <w:spacing w:line="240" w:lineRule="auto" w:before="0" w:after="0"/>
        <w:ind w:left="478" w:right="116" w:hanging="360"/>
        <w:jc w:val="both"/>
        <w:rPr>
          <w:rFonts w:ascii="Symbol"/>
          <w:sz w:val="20"/>
        </w:rPr>
      </w:pPr>
      <w:r>
        <w:rPr>
          <w:sz w:val="20"/>
        </w:rPr>
        <w:t>Padmavathiamma, P. K., Li, L. Y. 2007. Phytoremediation Technology: Hyper-accumulation Metals in Plants. Water, Air, &amp; Soil Pollution. 184:</w:t>
      </w:r>
      <w:r>
        <w:rPr>
          <w:spacing w:val="-23"/>
          <w:sz w:val="20"/>
        </w:rPr>
        <w:t> </w:t>
      </w:r>
      <w:r>
        <w:rPr>
          <w:sz w:val="20"/>
        </w:rPr>
        <w:t>105-126.</w:t>
      </w:r>
    </w:p>
    <w:p>
      <w:pPr>
        <w:spacing w:after="0" w:line="240" w:lineRule="auto"/>
        <w:jc w:val="both"/>
        <w:rPr>
          <w:rFonts w:ascii="Symbol"/>
          <w:sz w:val="20"/>
        </w:rPr>
        <w:sectPr>
          <w:pgSz w:w="12240" w:h="15840"/>
          <w:pgMar w:header="0" w:footer="1480" w:top="1380" w:bottom="1680" w:left="1660" w:right="1300"/>
        </w:sectPr>
      </w:pPr>
    </w:p>
    <w:p>
      <w:pPr>
        <w:pStyle w:val="ListParagraph"/>
        <w:numPr>
          <w:ilvl w:val="0"/>
          <w:numId w:val="26"/>
        </w:numPr>
        <w:tabs>
          <w:tab w:pos="467" w:val="left" w:leader="none"/>
        </w:tabs>
        <w:spacing w:line="240" w:lineRule="auto" w:before="34" w:after="0"/>
        <w:ind w:left="478" w:right="117" w:hanging="360"/>
        <w:jc w:val="both"/>
        <w:rPr>
          <w:rFonts w:ascii="Symbol"/>
          <w:sz w:val="20"/>
        </w:rPr>
      </w:pPr>
      <w:r>
        <w:rPr>
          <w:sz w:val="20"/>
        </w:rPr>
        <w:t>Denys, S., Rollin, C., Guillot, F., Baroudi, H. 2006. </w:t>
      </w:r>
      <w:r>
        <w:rPr>
          <w:i/>
          <w:sz w:val="20"/>
        </w:rPr>
        <w:t>In-Situ </w:t>
      </w:r>
      <w:r>
        <w:rPr>
          <w:sz w:val="20"/>
        </w:rPr>
        <w:t>Phytoremediation of Pahs  Contaminated Soils Following a Bioremediation Treatment. Water, Air, &amp; Soil Pollution. 6: 299- 315.</w:t>
      </w:r>
    </w:p>
    <w:p>
      <w:pPr>
        <w:pStyle w:val="ListParagraph"/>
        <w:numPr>
          <w:ilvl w:val="0"/>
          <w:numId w:val="26"/>
        </w:numPr>
        <w:tabs>
          <w:tab w:pos="467" w:val="left" w:leader="none"/>
        </w:tabs>
        <w:spacing w:line="226" w:lineRule="exact" w:before="21" w:after="0"/>
        <w:ind w:left="478" w:right="116" w:hanging="360"/>
        <w:jc w:val="both"/>
        <w:rPr>
          <w:rFonts w:ascii="Symbol"/>
          <w:sz w:val="20"/>
        </w:rPr>
      </w:pPr>
      <w:r>
        <w:rPr>
          <w:sz w:val="20"/>
        </w:rPr>
        <w:t>Zhang, B., </w:t>
      </w:r>
      <w:r>
        <w:rPr>
          <w:spacing w:val="3"/>
          <w:sz w:val="20"/>
        </w:rPr>
        <w:t>Wu, </w:t>
      </w:r>
      <w:r>
        <w:rPr>
          <w:sz w:val="20"/>
        </w:rPr>
        <w:t>Z., Cheng, S., He, F., Wang, Y., Gao, Y. 2007. Primary study on phytodegradation of Bisphenol A by </w:t>
      </w:r>
      <w:r>
        <w:rPr>
          <w:i/>
          <w:sz w:val="20"/>
        </w:rPr>
        <w:t>Elodea nuttallii</w:t>
      </w:r>
      <w:r>
        <w:rPr>
          <w:sz w:val="20"/>
        </w:rPr>
        <w:t>. Wuhan University Journal of Natural Sciences. 12:</w:t>
      </w:r>
      <w:r>
        <w:rPr>
          <w:spacing w:val="-19"/>
          <w:sz w:val="20"/>
        </w:rPr>
        <w:t> </w:t>
      </w:r>
      <w:r>
        <w:rPr>
          <w:sz w:val="20"/>
        </w:rPr>
        <w:t>1118-1124.</w:t>
      </w:r>
    </w:p>
    <w:p>
      <w:pPr>
        <w:pStyle w:val="BodyText"/>
        <w:spacing w:before="8"/>
        <w:rPr>
          <w:sz w:val="21"/>
        </w:rPr>
      </w:pPr>
    </w:p>
    <w:p>
      <w:pPr>
        <w:pStyle w:val="ListParagraph"/>
        <w:numPr>
          <w:ilvl w:val="0"/>
          <w:numId w:val="26"/>
        </w:numPr>
        <w:tabs>
          <w:tab w:pos="467" w:val="left" w:leader="none"/>
        </w:tabs>
        <w:spacing w:line="228" w:lineRule="exact" w:before="0" w:after="0"/>
        <w:ind w:left="478" w:right="126" w:hanging="360"/>
        <w:jc w:val="both"/>
        <w:rPr>
          <w:rFonts w:ascii="Symbol" w:hAnsi="Symbol"/>
          <w:sz w:val="20"/>
        </w:rPr>
      </w:pPr>
      <w:r>
        <w:rPr>
          <w:sz w:val="20"/>
        </w:rPr>
        <w:t>Mukhopadhyay, S., Maiti, S.K., 2010. Phytoremediation of metal enriched mine waste: a review. Global J. Environ. Res. 4,</w:t>
      </w:r>
      <w:r>
        <w:rPr>
          <w:spacing w:val="-15"/>
          <w:sz w:val="20"/>
        </w:rPr>
        <w:t> </w:t>
      </w:r>
      <w:r>
        <w:rPr>
          <w:sz w:val="20"/>
        </w:rPr>
        <w:t>135–150.</w:t>
      </w:r>
    </w:p>
    <w:p>
      <w:pPr>
        <w:pStyle w:val="BodyText"/>
        <w:spacing w:before="10"/>
        <w:rPr>
          <w:sz w:val="19"/>
        </w:rPr>
      </w:pPr>
    </w:p>
    <w:p>
      <w:pPr>
        <w:pStyle w:val="ListParagraph"/>
        <w:numPr>
          <w:ilvl w:val="0"/>
          <w:numId w:val="26"/>
        </w:numPr>
        <w:tabs>
          <w:tab w:pos="467" w:val="left" w:leader="none"/>
        </w:tabs>
        <w:spacing w:line="240" w:lineRule="auto" w:before="0" w:after="0"/>
        <w:ind w:left="478" w:right="124" w:hanging="360"/>
        <w:jc w:val="both"/>
        <w:rPr>
          <w:rFonts w:ascii="Symbol" w:hAnsi="Symbol"/>
          <w:sz w:val="20"/>
        </w:rPr>
      </w:pPr>
      <w:r>
        <w:rPr>
          <w:sz w:val="20"/>
        </w:rPr>
        <w:t>Yadav, R., Arora, P., Kumar, S., Chaudhury, A., 2010. Perspectives for genetic engineering of poplars for enhanced phytoremediation abilities. Ecotoxicology 19,</w:t>
      </w:r>
      <w:r>
        <w:rPr>
          <w:spacing w:val="-17"/>
          <w:sz w:val="20"/>
        </w:rPr>
        <w:t> </w:t>
      </w:r>
      <w:r>
        <w:rPr>
          <w:sz w:val="20"/>
        </w:rPr>
        <w:t>1574–1588.</w:t>
      </w:r>
    </w:p>
    <w:p>
      <w:pPr>
        <w:pStyle w:val="BodyText"/>
        <w:spacing w:before="10"/>
        <w:rPr>
          <w:sz w:val="19"/>
        </w:rPr>
      </w:pPr>
    </w:p>
    <w:p>
      <w:pPr>
        <w:pStyle w:val="ListParagraph"/>
        <w:numPr>
          <w:ilvl w:val="0"/>
          <w:numId w:val="26"/>
        </w:numPr>
        <w:tabs>
          <w:tab w:pos="467" w:val="left" w:leader="none"/>
        </w:tabs>
        <w:spacing w:line="240" w:lineRule="auto" w:before="1" w:after="0"/>
        <w:ind w:left="478" w:right="114" w:hanging="360"/>
        <w:jc w:val="both"/>
        <w:rPr>
          <w:rFonts w:ascii="Symbol" w:hAnsi="Symbol"/>
          <w:sz w:val="20"/>
        </w:rPr>
      </w:pPr>
      <w:r>
        <w:rPr>
          <w:sz w:val="20"/>
        </w:rPr>
        <w:t>Carpena, R. O., Bernal, M. P. 2007. Claves de la fitorremediación: fitotecnologías para la recuperación de suelos. Ecosistemas. 16:</w:t>
      </w:r>
      <w:r>
        <w:rPr>
          <w:spacing w:val="-15"/>
          <w:sz w:val="20"/>
        </w:rPr>
        <w:t> </w:t>
      </w:r>
      <w:r>
        <w:rPr>
          <w:sz w:val="20"/>
        </w:rPr>
        <w:t>1-3.</w:t>
      </w:r>
    </w:p>
    <w:p>
      <w:pPr>
        <w:pStyle w:val="BodyText"/>
        <w:spacing w:before="11"/>
        <w:rPr>
          <w:sz w:val="19"/>
        </w:rPr>
      </w:pPr>
    </w:p>
    <w:p>
      <w:pPr>
        <w:pStyle w:val="ListParagraph"/>
        <w:numPr>
          <w:ilvl w:val="0"/>
          <w:numId w:val="26"/>
        </w:numPr>
        <w:tabs>
          <w:tab w:pos="467" w:val="left" w:leader="none"/>
        </w:tabs>
        <w:spacing w:line="240" w:lineRule="auto" w:before="0" w:after="0"/>
        <w:ind w:left="478" w:right="124" w:hanging="360"/>
        <w:jc w:val="both"/>
        <w:rPr>
          <w:rFonts w:ascii="Symbol" w:hAnsi="Symbol"/>
          <w:sz w:val="20"/>
        </w:rPr>
      </w:pPr>
      <w:r>
        <w:rPr>
          <w:sz w:val="20"/>
        </w:rPr>
        <w:t>Machado, J. 2007. Plantas que retienen metales pesados y eficiencia de energía y la economía en el proceso de conversión de la cavitación.. Tesis de Ingeniería Hidrológica.</w:t>
      </w:r>
      <w:r>
        <w:rPr>
          <w:spacing w:val="-23"/>
          <w:sz w:val="20"/>
        </w:rPr>
        <w:t> </w:t>
      </w:r>
      <w:r>
        <w:rPr>
          <w:sz w:val="20"/>
        </w:rPr>
        <w:t>UAM-Iztapalapa.</w:t>
      </w:r>
    </w:p>
    <w:p>
      <w:pPr>
        <w:pStyle w:val="BodyText"/>
        <w:spacing w:before="10"/>
        <w:rPr>
          <w:sz w:val="19"/>
        </w:rPr>
      </w:pPr>
    </w:p>
    <w:p>
      <w:pPr>
        <w:pStyle w:val="ListParagraph"/>
        <w:numPr>
          <w:ilvl w:val="0"/>
          <w:numId w:val="26"/>
        </w:numPr>
        <w:tabs>
          <w:tab w:pos="467" w:val="left" w:leader="none"/>
        </w:tabs>
        <w:spacing w:line="240" w:lineRule="auto" w:before="1" w:after="0"/>
        <w:ind w:left="478" w:right="122" w:hanging="360"/>
        <w:jc w:val="both"/>
        <w:rPr>
          <w:rFonts w:ascii="Symbol"/>
          <w:sz w:val="20"/>
        </w:rPr>
      </w:pPr>
      <w:r>
        <w:rPr>
          <w:sz w:val="20"/>
        </w:rPr>
        <w:t>Cho, C., Yavuz-Corapcioglu, M., Park, S., Sung, K. 2008. Effects of Grasses on the Fate of VOCs in Contaminated Soil and Air. Water, Air, &amp; Soil Pollution.</w:t>
      </w:r>
      <w:r>
        <w:rPr>
          <w:spacing w:val="-22"/>
          <w:sz w:val="20"/>
        </w:rPr>
        <w:t> </w:t>
      </w:r>
      <w:r>
        <w:rPr>
          <w:sz w:val="20"/>
        </w:rPr>
        <w:t>187:243-250.</w:t>
      </w:r>
    </w:p>
    <w:p>
      <w:pPr>
        <w:pStyle w:val="BodyText"/>
        <w:spacing w:before="10"/>
        <w:rPr>
          <w:sz w:val="19"/>
        </w:rPr>
      </w:pPr>
    </w:p>
    <w:p>
      <w:pPr>
        <w:pStyle w:val="ListParagraph"/>
        <w:numPr>
          <w:ilvl w:val="0"/>
          <w:numId w:val="26"/>
        </w:numPr>
        <w:tabs>
          <w:tab w:pos="467" w:val="left" w:leader="none"/>
        </w:tabs>
        <w:spacing w:line="240" w:lineRule="auto" w:before="1" w:after="0"/>
        <w:ind w:left="478" w:right="126" w:hanging="360"/>
        <w:jc w:val="both"/>
        <w:rPr>
          <w:rFonts w:ascii="Symbol"/>
          <w:sz w:val="20"/>
        </w:rPr>
      </w:pPr>
      <w:r>
        <w:rPr>
          <w:sz w:val="20"/>
        </w:rPr>
        <w:t>Reeves, R. D. 2006. Hyperaccumulation of trace elements by plants. En: Phytoremediation of Metal-Contaminated Soils. Springer Netherlands (ed). ISBN 978-1-4020-4686-5.</w:t>
      </w:r>
      <w:r>
        <w:rPr>
          <w:spacing w:val="-22"/>
          <w:sz w:val="20"/>
        </w:rPr>
        <w:t> </w:t>
      </w:r>
      <w:r>
        <w:rPr>
          <w:sz w:val="20"/>
        </w:rPr>
        <w:t>25-52</w:t>
      </w:r>
    </w:p>
    <w:p>
      <w:pPr>
        <w:pStyle w:val="BodyText"/>
        <w:spacing w:before="8"/>
        <w:rPr>
          <w:sz w:val="21"/>
        </w:rPr>
      </w:pPr>
    </w:p>
    <w:p>
      <w:pPr>
        <w:pStyle w:val="ListParagraph"/>
        <w:numPr>
          <w:ilvl w:val="0"/>
          <w:numId w:val="26"/>
        </w:numPr>
        <w:tabs>
          <w:tab w:pos="467" w:val="left" w:leader="none"/>
        </w:tabs>
        <w:spacing w:line="228" w:lineRule="exact" w:before="1" w:after="0"/>
        <w:ind w:left="478" w:right="116" w:hanging="360"/>
        <w:jc w:val="both"/>
        <w:rPr>
          <w:rFonts w:ascii="Symbol"/>
          <w:sz w:val="20"/>
        </w:rPr>
      </w:pPr>
      <w:r>
        <w:rPr>
          <w:sz w:val="20"/>
        </w:rPr>
        <w:t>Padmavathiamma, P. K., Li, L. Y. 2007. Phytoremediation Technology: Hyper-accumulation Metals in Plants. Water, Air, &amp; Soil Pollution. 184:</w:t>
      </w:r>
      <w:r>
        <w:rPr>
          <w:spacing w:val="-23"/>
          <w:sz w:val="20"/>
        </w:rPr>
        <w:t> </w:t>
      </w:r>
      <w:r>
        <w:rPr>
          <w:sz w:val="20"/>
        </w:rPr>
        <w:t>105-126.</w:t>
      </w:r>
    </w:p>
    <w:p>
      <w:pPr>
        <w:pStyle w:val="BodyText"/>
        <w:spacing w:before="7"/>
        <w:rPr>
          <w:sz w:val="21"/>
        </w:rPr>
      </w:pPr>
    </w:p>
    <w:p>
      <w:pPr>
        <w:pStyle w:val="ListParagraph"/>
        <w:numPr>
          <w:ilvl w:val="0"/>
          <w:numId w:val="26"/>
        </w:numPr>
        <w:tabs>
          <w:tab w:pos="467" w:val="left" w:leader="none"/>
        </w:tabs>
        <w:spacing w:line="226" w:lineRule="exact" w:before="0" w:after="0"/>
        <w:ind w:left="478" w:right="122" w:hanging="360"/>
        <w:jc w:val="both"/>
        <w:rPr>
          <w:rFonts w:ascii="Symbol"/>
          <w:sz w:val="20"/>
        </w:rPr>
      </w:pPr>
      <w:r>
        <w:rPr>
          <w:sz w:val="20"/>
        </w:rPr>
        <w:t>Gadd, G.M. 2009. Biosorption: critical review of scientific rationale, environmental importance and significance for pollution treatment </w:t>
      </w:r>
      <w:r>
        <w:rPr>
          <w:i/>
          <w:sz w:val="20"/>
        </w:rPr>
        <w:t>J Chem Technol Biot </w:t>
      </w:r>
      <w:r>
        <w:rPr>
          <w:sz w:val="20"/>
        </w:rPr>
        <w:t>84(1):</w:t>
      </w:r>
      <w:r>
        <w:rPr>
          <w:spacing w:val="-16"/>
          <w:sz w:val="20"/>
        </w:rPr>
        <w:t> </w:t>
      </w:r>
      <w:r>
        <w:rPr>
          <w:sz w:val="20"/>
        </w:rPr>
        <w:t>13-28.</w:t>
      </w:r>
    </w:p>
    <w:p>
      <w:pPr>
        <w:pStyle w:val="BodyText"/>
        <w:spacing w:before="3"/>
        <w:rPr>
          <w:sz w:val="20"/>
        </w:rPr>
      </w:pPr>
    </w:p>
    <w:p>
      <w:pPr>
        <w:pStyle w:val="ListParagraph"/>
        <w:numPr>
          <w:ilvl w:val="0"/>
          <w:numId w:val="26"/>
        </w:numPr>
        <w:tabs>
          <w:tab w:pos="467" w:val="left" w:leader="none"/>
        </w:tabs>
        <w:spacing w:line="237" w:lineRule="auto" w:before="0" w:after="0"/>
        <w:ind w:left="478" w:right="116" w:hanging="360"/>
        <w:jc w:val="both"/>
        <w:rPr>
          <w:rFonts w:ascii="Symbol" w:hAnsi="Symbol"/>
          <w:sz w:val="20"/>
        </w:rPr>
      </w:pPr>
      <w:r>
        <w:rPr>
          <w:sz w:val="20"/>
        </w:rPr>
        <w:t>Delgadillo, A.- C. González,  F. Prieto,  J. Villagómez , y O.  Acevedo. 2011. Fitorremediación:  una alternativa para eliminar la contaminación. Tropical and Subtropical Agroecosystems, 14 (2011): 597-</w:t>
      </w:r>
      <w:r>
        <w:rPr>
          <w:spacing w:val="-9"/>
          <w:sz w:val="20"/>
        </w:rPr>
        <w:t> </w:t>
      </w:r>
      <w:r>
        <w:rPr>
          <w:sz w:val="20"/>
        </w:rPr>
        <w:t>612</w:t>
      </w:r>
    </w:p>
    <w:p>
      <w:pPr>
        <w:pStyle w:val="BodyText"/>
        <w:spacing w:before="1"/>
        <w:rPr>
          <w:sz w:val="23"/>
        </w:rPr>
      </w:pPr>
    </w:p>
    <w:p>
      <w:pPr>
        <w:pStyle w:val="ListParagraph"/>
        <w:numPr>
          <w:ilvl w:val="0"/>
          <w:numId w:val="26"/>
        </w:numPr>
        <w:tabs>
          <w:tab w:pos="467" w:val="left" w:leader="none"/>
        </w:tabs>
        <w:spacing w:line="273" w:lineRule="auto" w:before="0" w:after="0"/>
        <w:ind w:left="478" w:right="115" w:hanging="360"/>
        <w:jc w:val="both"/>
        <w:rPr>
          <w:rFonts w:ascii="Symbol"/>
          <w:sz w:val="20"/>
        </w:rPr>
      </w:pPr>
      <w:r>
        <w:rPr>
          <w:sz w:val="20"/>
        </w:rPr>
        <w:t>Doty, S.L. 2008. Enhancing phytorremediation though the use of transgenic and endophytes. New Phytol.</w:t>
      </w:r>
    </w:p>
    <w:p>
      <w:pPr>
        <w:pStyle w:val="BodyText"/>
        <w:spacing w:before="4"/>
        <w:rPr>
          <w:sz w:val="17"/>
        </w:rPr>
      </w:pPr>
    </w:p>
    <w:p>
      <w:pPr>
        <w:pStyle w:val="ListParagraph"/>
        <w:numPr>
          <w:ilvl w:val="0"/>
          <w:numId w:val="26"/>
        </w:numPr>
        <w:tabs>
          <w:tab w:pos="466" w:val="left" w:leader="none"/>
          <w:tab w:pos="467" w:val="left" w:leader="none"/>
        </w:tabs>
        <w:spacing w:line="240" w:lineRule="auto" w:before="1" w:after="0"/>
        <w:ind w:left="466" w:right="0" w:hanging="348"/>
        <w:jc w:val="left"/>
        <w:rPr>
          <w:rFonts w:ascii="Symbol"/>
          <w:sz w:val="20"/>
        </w:rPr>
      </w:pPr>
      <w:r>
        <w:rPr>
          <w:sz w:val="20"/>
        </w:rPr>
        <w:t>Doty, S.L., James, C.A., Moore, A.L., Vajzovic, A., Singleton, G.J., Ma, C., Khan, Z.,Xin, G.,</w:t>
      </w:r>
      <w:r>
        <w:rPr>
          <w:spacing w:val="2"/>
          <w:sz w:val="20"/>
        </w:rPr>
        <w:t> </w:t>
      </w:r>
      <w:r>
        <w:rPr>
          <w:sz w:val="20"/>
        </w:rPr>
        <w:t>Kang,</w:t>
      </w:r>
    </w:p>
    <w:p>
      <w:pPr>
        <w:spacing w:line="276" w:lineRule="auto" w:before="35"/>
        <w:ind w:left="478" w:right="123" w:firstLine="0"/>
        <w:jc w:val="left"/>
        <w:rPr>
          <w:sz w:val="20"/>
        </w:rPr>
      </w:pPr>
      <w:r>
        <w:rPr>
          <w:sz w:val="20"/>
        </w:rPr>
        <w:t>J. W.2007. Enhanced phytorremediation of volatile enviromental pollution with trangenic tree. Proc. Natl. Acad. Sci.</w:t>
      </w:r>
    </w:p>
    <w:p>
      <w:pPr>
        <w:pStyle w:val="BodyText"/>
        <w:spacing w:before="5"/>
        <w:rPr>
          <w:sz w:val="17"/>
        </w:rPr>
      </w:pPr>
    </w:p>
    <w:p>
      <w:pPr>
        <w:pStyle w:val="ListParagraph"/>
        <w:numPr>
          <w:ilvl w:val="0"/>
          <w:numId w:val="26"/>
        </w:numPr>
        <w:tabs>
          <w:tab w:pos="466" w:val="left" w:leader="none"/>
          <w:tab w:pos="467" w:val="left" w:leader="none"/>
        </w:tabs>
        <w:spacing w:line="240" w:lineRule="auto" w:before="0" w:after="0"/>
        <w:ind w:left="466" w:right="0" w:hanging="348"/>
        <w:jc w:val="left"/>
        <w:rPr>
          <w:rFonts w:ascii="Symbol"/>
          <w:sz w:val="20"/>
        </w:rPr>
      </w:pPr>
      <w:r>
        <w:rPr>
          <w:sz w:val="20"/>
        </w:rPr>
        <w:t>Superfund Green Remediation Strategy, 2008. http:</w:t>
      </w:r>
      <w:r>
        <w:rPr>
          <w:spacing w:val="-25"/>
          <w:sz w:val="20"/>
        </w:rPr>
        <w:t> </w:t>
      </w:r>
      <w:r>
        <w:rPr>
          <w:sz w:val="20"/>
        </w:rPr>
        <w:t>//</w:t>
      </w:r>
      <w:hyperlink r:id="rId102">
        <w:r>
          <w:rPr>
            <w:sz w:val="20"/>
          </w:rPr>
          <w:t>www.epa.gov/superfund/greenremediation</w:t>
        </w:r>
      </w:hyperlink>
    </w:p>
    <w:p>
      <w:pPr>
        <w:pStyle w:val="BodyText"/>
        <w:spacing w:before="7"/>
        <w:rPr>
          <w:sz w:val="19"/>
        </w:rPr>
      </w:pPr>
    </w:p>
    <w:p>
      <w:pPr>
        <w:pStyle w:val="ListParagraph"/>
        <w:numPr>
          <w:ilvl w:val="0"/>
          <w:numId w:val="26"/>
        </w:numPr>
        <w:tabs>
          <w:tab w:pos="467" w:val="left" w:leader="none"/>
        </w:tabs>
        <w:spacing w:line="240" w:lineRule="auto" w:before="0" w:after="0"/>
        <w:ind w:left="478" w:right="115" w:hanging="360"/>
        <w:jc w:val="both"/>
        <w:rPr>
          <w:rFonts w:ascii="Symbol" w:hAnsi="Symbol"/>
          <w:sz w:val="20"/>
        </w:rPr>
      </w:pPr>
      <w:r>
        <w:rPr>
          <w:sz w:val="20"/>
        </w:rPr>
        <w:t>Glass D.J. </w:t>
      </w:r>
      <w:r>
        <w:rPr>
          <w:i/>
          <w:sz w:val="20"/>
        </w:rPr>
        <w:t>Economic potential of phytoremediation. In: Phytoremediation of Toxic Metals — Using </w:t>
      </w:r>
      <w:r>
        <w:rPr>
          <w:i/>
          <w:sz w:val="20"/>
        </w:rPr>
        <w:t>Plants to Clean Up the Environment. </w:t>
      </w:r>
      <w:r>
        <w:rPr>
          <w:sz w:val="20"/>
        </w:rPr>
        <w:t>2000. Ed. Raskin, I., B.D. Ensley. Pp. 15–33. Wiley, New York.</w:t>
      </w:r>
    </w:p>
    <w:p>
      <w:pPr>
        <w:pStyle w:val="BodyText"/>
        <w:spacing w:before="10"/>
        <w:rPr>
          <w:sz w:val="19"/>
        </w:rPr>
      </w:pPr>
    </w:p>
    <w:p>
      <w:pPr>
        <w:pStyle w:val="ListParagraph"/>
        <w:numPr>
          <w:ilvl w:val="0"/>
          <w:numId w:val="26"/>
        </w:numPr>
        <w:tabs>
          <w:tab w:pos="467" w:val="left" w:leader="none"/>
        </w:tabs>
        <w:spacing w:line="240" w:lineRule="auto" w:before="1" w:after="0"/>
        <w:ind w:left="478" w:right="115" w:hanging="360"/>
        <w:jc w:val="both"/>
        <w:rPr>
          <w:rFonts w:ascii="Symbol" w:hAnsi="Symbol"/>
          <w:sz w:val="20"/>
        </w:rPr>
      </w:pPr>
      <w:r>
        <w:rPr>
          <w:sz w:val="20"/>
        </w:rPr>
        <w:t>Glass D.J. </w:t>
      </w:r>
      <w:r>
        <w:rPr>
          <w:i/>
          <w:sz w:val="20"/>
        </w:rPr>
        <w:t>U.S. and international markets for phytoremediation</w:t>
      </w:r>
      <w:r>
        <w:rPr>
          <w:sz w:val="20"/>
        </w:rPr>
        <w:t>. 1999–2000. Report, D. Glass Assoc. Inc., Needham,</w:t>
      </w:r>
      <w:r>
        <w:rPr>
          <w:spacing w:val="-12"/>
          <w:sz w:val="20"/>
        </w:rPr>
        <w:t> </w:t>
      </w:r>
      <w:r>
        <w:rPr>
          <w:sz w:val="20"/>
        </w:rPr>
        <w:t>Massachusetts</w:t>
      </w:r>
    </w:p>
    <w:p>
      <w:pPr>
        <w:pStyle w:val="BodyText"/>
        <w:spacing w:before="8"/>
        <w:rPr>
          <w:sz w:val="19"/>
        </w:rPr>
      </w:pPr>
    </w:p>
    <w:p>
      <w:pPr>
        <w:pStyle w:val="ListParagraph"/>
        <w:numPr>
          <w:ilvl w:val="0"/>
          <w:numId w:val="26"/>
        </w:numPr>
        <w:tabs>
          <w:tab w:pos="467" w:val="left" w:leader="none"/>
        </w:tabs>
        <w:spacing w:line="240" w:lineRule="auto" w:before="0" w:after="0"/>
        <w:ind w:left="478" w:right="113" w:hanging="360"/>
        <w:jc w:val="both"/>
        <w:rPr>
          <w:rFonts w:ascii="Symbol" w:hAnsi="Symbol"/>
          <w:sz w:val="20"/>
        </w:rPr>
      </w:pPr>
      <w:r>
        <w:rPr>
          <w:sz w:val="20"/>
        </w:rPr>
        <w:t>Ernst, </w:t>
      </w:r>
      <w:r>
        <w:rPr>
          <w:spacing w:val="5"/>
          <w:sz w:val="20"/>
        </w:rPr>
        <w:t>W. </w:t>
      </w:r>
      <w:r>
        <w:rPr>
          <w:sz w:val="20"/>
        </w:rPr>
        <w:t>H. O. </w:t>
      </w:r>
      <w:r>
        <w:rPr>
          <w:i/>
          <w:sz w:val="20"/>
        </w:rPr>
        <w:t>Revolution of metal hyperaccumulation and phytoremediation hype</w:t>
      </w:r>
      <w:r>
        <w:rPr>
          <w:sz w:val="20"/>
        </w:rPr>
        <w:t>. 2000. New Phytol. Vol. 146: 357 –</w:t>
      </w:r>
      <w:r>
        <w:rPr>
          <w:spacing w:val="-8"/>
          <w:sz w:val="20"/>
        </w:rPr>
        <w:t> </w:t>
      </w:r>
      <w:r>
        <w:rPr>
          <w:sz w:val="20"/>
        </w:rPr>
        <w:t>358.</w:t>
      </w:r>
    </w:p>
    <w:p>
      <w:pPr>
        <w:spacing w:after="0" w:line="240" w:lineRule="auto"/>
        <w:jc w:val="both"/>
        <w:rPr>
          <w:rFonts w:ascii="Symbol" w:hAnsi="Symbol"/>
          <w:sz w:val="20"/>
        </w:rPr>
        <w:sectPr>
          <w:pgSz w:w="12240" w:h="15840"/>
          <w:pgMar w:header="0" w:footer="1480" w:top="1380" w:bottom="1680" w:left="1660" w:right="1300"/>
        </w:sectPr>
      </w:pPr>
    </w:p>
    <w:p>
      <w:pPr>
        <w:pStyle w:val="ListParagraph"/>
        <w:numPr>
          <w:ilvl w:val="0"/>
          <w:numId w:val="26"/>
        </w:numPr>
        <w:tabs>
          <w:tab w:pos="467" w:val="left" w:leader="none"/>
        </w:tabs>
        <w:spacing w:line="228" w:lineRule="exact" w:before="55" w:after="0"/>
        <w:ind w:left="478" w:right="118" w:hanging="360"/>
        <w:jc w:val="both"/>
        <w:rPr>
          <w:rFonts w:ascii="Symbol" w:hAnsi="Symbol"/>
          <w:sz w:val="20"/>
        </w:rPr>
      </w:pPr>
      <w:r>
        <w:rPr>
          <w:sz w:val="20"/>
        </w:rPr>
        <w:t>Ali, H., E. Khan, M. Anwar-Sajad. 2013. Phytoremediation of heavy metals (concepts and applications). Chemosphere 91 (2013)</w:t>
      </w:r>
      <w:r>
        <w:rPr>
          <w:spacing w:val="-13"/>
          <w:sz w:val="20"/>
        </w:rPr>
        <w:t> </w:t>
      </w:r>
      <w:r>
        <w:rPr>
          <w:sz w:val="20"/>
        </w:rPr>
        <w:t>869–881.</w:t>
      </w:r>
    </w:p>
    <w:p>
      <w:pPr>
        <w:pStyle w:val="BodyText"/>
        <w:spacing w:before="7"/>
        <w:rPr>
          <w:sz w:val="21"/>
        </w:rPr>
      </w:pPr>
    </w:p>
    <w:p>
      <w:pPr>
        <w:pStyle w:val="ListParagraph"/>
        <w:numPr>
          <w:ilvl w:val="0"/>
          <w:numId w:val="26"/>
        </w:numPr>
        <w:tabs>
          <w:tab w:pos="466" w:val="left" w:leader="none"/>
          <w:tab w:pos="467" w:val="left" w:leader="none"/>
        </w:tabs>
        <w:spacing w:line="226" w:lineRule="exact" w:before="0" w:after="0"/>
        <w:ind w:left="478" w:right="268" w:hanging="360"/>
        <w:jc w:val="left"/>
        <w:rPr>
          <w:rFonts w:ascii="Symbol" w:hAnsi="Symbol"/>
          <w:sz w:val="20"/>
        </w:rPr>
      </w:pPr>
      <w:r>
        <w:rPr>
          <w:sz w:val="20"/>
        </w:rPr>
        <w:t>Olguín, E.J. y Sánchez-Galván, G. 2010. Aquatic phytoremediation: novel insights in tropical</w:t>
      </w:r>
      <w:r>
        <w:rPr>
          <w:spacing w:val="-31"/>
          <w:sz w:val="20"/>
        </w:rPr>
        <w:t> </w:t>
      </w:r>
      <w:r>
        <w:rPr>
          <w:sz w:val="20"/>
        </w:rPr>
        <w:t>and subtropical regions. </w:t>
      </w:r>
      <w:r>
        <w:rPr>
          <w:i/>
          <w:sz w:val="20"/>
        </w:rPr>
        <w:t>Pure Appl Chem</w:t>
      </w:r>
      <w:r>
        <w:rPr>
          <w:i/>
          <w:spacing w:val="-11"/>
          <w:sz w:val="20"/>
        </w:rPr>
        <w:t> </w:t>
      </w:r>
      <w:r>
        <w:rPr>
          <w:sz w:val="20"/>
        </w:rPr>
        <w:t>82(1):27-38.</w:t>
      </w:r>
    </w:p>
    <w:p>
      <w:pPr>
        <w:pStyle w:val="BodyText"/>
        <w:spacing w:before="6"/>
        <w:rPr>
          <w:sz w:val="21"/>
        </w:rPr>
      </w:pPr>
    </w:p>
    <w:p>
      <w:pPr>
        <w:pStyle w:val="ListParagraph"/>
        <w:numPr>
          <w:ilvl w:val="0"/>
          <w:numId w:val="26"/>
        </w:numPr>
        <w:tabs>
          <w:tab w:pos="467" w:val="left" w:leader="none"/>
        </w:tabs>
        <w:spacing w:line="228" w:lineRule="exact" w:before="0" w:after="0"/>
        <w:ind w:left="478" w:right="121" w:hanging="360"/>
        <w:jc w:val="both"/>
        <w:rPr>
          <w:rFonts w:ascii="Symbol" w:hAnsi="Symbol"/>
          <w:sz w:val="20"/>
        </w:rPr>
      </w:pPr>
      <w:r>
        <w:rPr>
          <w:sz w:val="20"/>
        </w:rPr>
        <w:t>Raskin, I., B. D. Ensley. 2000. </w:t>
      </w:r>
      <w:r>
        <w:rPr>
          <w:i/>
          <w:sz w:val="20"/>
        </w:rPr>
        <w:t>Phytoremediation of toxic metals: using plants to clean up the </w:t>
      </w:r>
      <w:r>
        <w:rPr>
          <w:i/>
          <w:sz w:val="20"/>
        </w:rPr>
        <w:t>environment</w:t>
      </w:r>
      <w:r>
        <w:rPr>
          <w:sz w:val="20"/>
        </w:rPr>
        <w:t>. New York: Wiley-Interscience. Pp. 1 –</w:t>
      </w:r>
      <w:r>
        <w:rPr>
          <w:spacing w:val="-12"/>
          <w:sz w:val="20"/>
        </w:rPr>
        <w:t> </w:t>
      </w:r>
      <w:r>
        <w:rPr>
          <w:sz w:val="20"/>
        </w:rPr>
        <w:t>304.</w:t>
      </w:r>
    </w:p>
    <w:p>
      <w:pPr>
        <w:pStyle w:val="BodyText"/>
        <w:spacing w:before="10"/>
        <w:rPr>
          <w:sz w:val="19"/>
        </w:rPr>
      </w:pPr>
    </w:p>
    <w:p>
      <w:pPr>
        <w:pStyle w:val="ListParagraph"/>
        <w:numPr>
          <w:ilvl w:val="0"/>
          <w:numId w:val="26"/>
        </w:numPr>
        <w:tabs>
          <w:tab w:pos="467" w:val="left" w:leader="none"/>
        </w:tabs>
        <w:spacing w:line="240" w:lineRule="auto" w:before="0" w:after="0"/>
        <w:ind w:left="478" w:right="118" w:hanging="360"/>
        <w:jc w:val="both"/>
        <w:rPr>
          <w:rFonts w:ascii="Symbol" w:hAnsi="Symbol"/>
          <w:sz w:val="20"/>
        </w:rPr>
      </w:pPr>
      <w:r>
        <w:rPr>
          <w:sz w:val="20"/>
        </w:rPr>
        <w:t>Ye, Z. H., A. J. M. Baker, M. H. Wong, A. J. Willis.1997. </w:t>
      </w:r>
      <w:r>
        <w:rPr>
          <w:i/>
          <w:sz w:val="20"/>
        </w:rPr>
        <w:t>Zinc, lead and cadmium tolerance, uptake </w:t>
      </w:r>
      <w:r>
        <w:rPr>
          <w:i/>
          <w:sz w:val="20"/>
        </w:rPr>
        <w:t>and accumulation by Typha latifolia</w:t>
      </w:r>
      <w:r>
        <w:rPr>
          <w:sz w:val="20"/>
        </w:rPr>
        <w:t>. 1997. New Phytol. 136: 469 –</w:t>
      </w:r>
      <w:r>
        <w:rPr>
          <w:spacing w:val="-21"/>
          <w:sz w:val="20"/>
        </w:rPr>
        <w:t> </w:t>
      </w:r>
      <w:r>
        <w:rPr>
          <w:sz w:val="20"/>
        </w:rPr>
        <w:t>480.</w:t>
      </w:r>
    </w:p>
    <w:p>
      <w:pPr>
        <w:pStyle w:val="BodyText"/>
        <w:spacing w:before="10"/>
        <w:rPr>
          <w:sz w:val="19"/>
        </w:rPr>
      </w:pPr>
    </w:p>
    <w:p>
      <w:pPr>
        <w:pStyle w:val="ListParagraph"/>
        <w:numPr>
          <w:ilvl w:val="0"/>
          <w:numId w:val="26"/>
        </w:numPr>
        <w:tabs>
          <w:tab w:pos="467" w:val="left" w:leader="none"/>
          <w:tab w:pos="4344" w:val="left" w:leader="none"/>
        </w:tabs>
        <w:spacing w:line="240" w:lineRule="auto" w:before="1" w:after="0"/>
        <w:ind w:left="478" w:right="120" w:hanging="360"/>
        <w:jc w:val="both"/>
        <w:rPr>
          <w:rFonts w:ascii="Symbol" w:hAnsi="Symbol"/>
          <w:sz w:val="20"/>
        </w:rPr>
      </w:pPr>
      <w:r>
        <w:rPr>
          <w:sz w:val="20"/>
        </w:rPr>
        <w:t>Instituto      de    </w:t>
      </w:r>
      <w:r>
        <w:rPr>
          <w:spacing w:val="53"/>
          <w:sz w:val="20"/>
        </w:rPr>
        <w:t> </w:t>
      </w:r>
      <w:r>
        <w:rPr>
          <w:sz w:val="20"/>
        </w:rPr>
        <w:t>Biología.      2010.</w:t>
        <w:tab/>
        <w:t>“</w:t>
      </w:r>
      <w:r>
        <w:rPr>
          <w:i/>
          <w:sz w:val="20"/>
        </w:rPr>
        <w:t>Typha      latifolia      L</w:t>
      </w:r>
      <w:r>
        <w:rPr>
          <w:sz w:val="20"/>
        </w:rPr>
        <w:t>”,      colecciones      biológicas.</w:t>
      </w:r>
      <w:r>
        <w:rPr>
          <w:w w:val="99"/>
          <w:sz w:val="20"/>
        </w:rPr>
        <w:t> </w:t>
      </w:r>
      <w:r>
        <w:rPr>
          <w:sz w:val="20"/>
        </w:rPr>
        <w:t>(</w:t>
      </w:r>
      <w:hyperlink r:id="rId103">
        <w:r>
          <w:rPr>
            <w:sz w:val="20"/>
            <w:u w:val="single"/>
          </w:rPr>
          <w:t>http://unibio.unam.mx/collections/specimens/urn/IBUNAM</w:t>
        </w:r>
      </w:hyperlink>
      <w:r>
        <w:rPr>
          <w:sz w:val="20"/>
        </w:rPr>
        <w:t>).</w:t>
      </w:r>
    </w:p>
    <w:p>
      <w:pPr>
        <w:pStyle w:val="BodyText"/>
        <w:spacing w:before="9"/>
        <w:rPr>
          <w:sz w:val="19"/>
        </w:rPr>
      </w:pPr>
    </w:p>
    <w:p>
      <w:pPr>
        <w:pStyle w:val="ListParagraph"/>
        <w:numPr>
          <w:ilvl w:val="0"/>
          <w:numId w:val="26"/>
        </w:numPr>
        <w:tabs>
          <w:tab w:pos="467" w:val="left" w:leader="none"/>
        </w:tabs>
        <w:spacing w:line="240" w:lineRule="auto" w:before="0" w:after="0"/>
        <w:ind w:left="478" w:right="113" w:hanging="360"/>
        <w:jc w:val="both"/>
        <w:rPr>
          <w:rFonts w:ascii="Symbol"/>
          <w:sz w:val="20"/>
        </w:rPr>
      </w:pPr>
      <w:r>
        <w:rPr>
          <w:sz w:val="20"/>
        </w:rPr>
        <w:t>Smith, G.S</w:t>
      </w:r>
      <w:r>
        <w:rPr>
          <w:b/>
          <w:sz w:val="20"/>
        </w:rPr>
        <w:t>. </w:t>
      </w:r>
      <w:r>
        <w:rPr>
          <w:sz w:val="20"/>
        </w:rPr>
        <w:t>"</w:t>
      </w:r>
      <w:r>
        <w:rPr>
          <w:i/>
          <w:sz w:val="20"/>
        </w:rPr>
        <w:t>Typhaceae". </w:t>
      </w:r>
      <w:r>
        <w:rPr>
          <w:sz w:val="20"/>
        </w:rPr>
        <w:t>2009. En: Flora of North America Vol. 22. Oxford University Press. Online at:</w:t>
      </w:r>
      <w:r>
        <w:rPr>
          <w:spacing w:val="-4"/>
          <w:sz w:val="20"/>
        </w:rPr>
        <w:t> </w:t>
      </w:r>
      <w:hyperlink r:id="rId104">
        <w:r>
          <w:rPr>
            <w:sz w:val="20"/>
            <w:u w:val="single"/>
          </w:rPr>
          <w:t>www.EFloras.org</w:t>
        </w:r>
        <w:r>
          <w:rPr>
            <w:sz w:val="20"/>
          </w:rPr>
          <w:t>.</w:t>
        </w:r>
      </w:hyperlink>
    </w:p>
    <w:p>
      <w:pPr>
        <w:pStyle w:val="BodyText"/>
        <w:spacing w:before="10"/>
        <w:rPr>
          <w:sz w:val="19"/>
        </w:rPr>
      </w:pPr>
    </w:p>
    <w:p>
      <w:pPr>
        <w:pStyle w:val="ListParagraph"/>
        <w:numPr>
          <w:ilvl w:val="0"/>
          <w:numId w:val="26"/>
        </w:numPr>
        <w:tabs>
          <w:tab w:pos="467" w:val="left" w:leader="none"/>
        </w:tabs>
        <w:spacing w:line="273" w:lineRule="auto" w:before="1" w:after="0"/>
        <w:ind w:left="478" w:right="126" w:hanging="360"/>
        <w:jc w:val="both"/>
        <w:rPr>
          <w:rFonts w:ascii="Symbol" w:hAnsi="Symbol"/>
          <w:sz w:val="20"/>
        </w:rPr>
      </w:pPr>
      <w:r>
        <w:rPr>
          <w:sz w:val="20"/>
        </w:rPr>
        <w:t>Forcada, N. 2010. Estudio de la implantación de piscinas ecológicas en las piscinas municipales de Cataluña. Universidad Politécnica de</w:t>
      </w:r>
      <w:r>
        <w:rPr>
          <w:spacing w:val="-11"/>
          <w:sz w:val="20"/>
        </w:rPr>
        <w:t> </w:t>
      </w:r>
      <w:r>
        <w:rPr>
          <w:sz w:val="20"/>
        </w:rPr>
        <w:t>Cataluña</w:t>
      </w:r>
    </w:p>
    <w:p>
      <w:pPr>
        <w:pStyle w:val="ListParagraph"/>
        <w:numPr>
          <w:ilvl w:val="0"/>
          <w:numId w:val="26"/>
        </w:numPr>
        <w:tabs>
          <w:tab w:pos="467" w:val="left" w:leader="none"/>
        </w:tabs>
        <w:spacing w:line="240" w:lineRule="auto" w:before="1" w:after="0"/>
        <w:ind w:left="478" w:right="122" w:hanging="360"/>
        <w:jc w:val="both"/>
        <w:rPr>
          <w:rFonts w:ascii="Symbol"/>
          <w:sz w:val="20"/>
        </w:rPr>
      </w:pPr>
      <w:r>
        <w:rPr>
          <w:sz w:val="20"/>
        </w:rPr>
        <w:t>Smith, G.S. 1967. Experimental and natural hybrids in North America Typha (Typhaceae). Amer. Mild. Nat. 78 (2):</w:t>
      </w:r>
      <w:r>
        <w:rPr>
          <w:spacing w:val="-9"/>
          <w:sz w:val="20"/>
        </w:rPr>
        <w:t> </w:t>
      </w:r>
      <w:r>
        <w:rPr>
          <w:sz w:val="20"/>
        </w:rPr>
        <w:t>257-287.</w:t>
      </w:r>
    </w:p>
    <w:p>
      <w:pPr>
        <w:pStyle w:val="BodyText"/>
        <w:spacing w:before="8"/>
        <w:rPr>
          <w:sz w:val="19"/>
        </w:rPr>
      </w:pPr>
    </w:p>
    <w:p>
      <w:pPr>
        <w:pStyle w:val="ListParagraph"/>
        <w:numPr>
          <w:ilvl w:val="0"/>
          <w:numId w:val="26"/>
        </w:numPr>
        <w:tabs>
          <w:tab w:pos="467" w:val="left" w:leader="none"/>
        </w:tabs>
        <w:spacing w:line="240" w:lineRule="auto" w:before="0" w:after="0"/>
        <w:ind w:left="478" w:right="114" w:hanging="360"/>
        <w:jc w:val="both"/>
        <w:rPr>
          <w:rFonts w:ascii="Symbol" w:hAnsi="Symbol"/>
          <w:sz w:val="20"/>
        </w:rPr>
      </w:pPr>
      <w:r>
        <w:rPr>
          <w:sz w:val="20"/>
        </w:rPr>
        <w:t>Tejada, J.C. 2010. Diseño de un humedal para la remoción de Cd, As y Cr con plantas de </w:t>
      </w:r>
      <w:r>
        <w:rPr>
          <w:i/>
          <w:sz w:val="20"/>
        </w:rPr>
        <w:t>Typha </w:t>
      </w:r>
      <w:r>
        <w:rPr>
          <w:i/>
          <w:sz w:val="20"/>
        </w:rPr>
        <w:t>latifolia </w:t>
      </w:r>
      <w:r>
        <w:rPr>
          <w:sz w:val="20"/>
        </w:rPr>
        <w:t>(Espadaña). Tesis de Maestría en Ciencias Ambientales, Facultad  de  Ciencias  Químicas, Ingeniería y Medicina, San Luis Potosí,</w:t>
      </w:r>
      <w:r>
        <w:rPr>
          <w:spacing w:val="-18"/>
          <w:sz w:val="20"/>
        </w:rPr>
        <w:t> </w:t>
      </w:r>
      <w:r>
        <w:rPr>
          <w:sz w:val="20"/>
        </w:rPr>
        <w:t>México.</w:t>
      </w:r>
    </w:p>
    <w:p>
      <w:pPr>
        <w:pStyle w:val="BodyText"/>
        <w:spacing w:before="10"/>
        <w:rPr>
          <w:sz w:val="19"/>
        </w:rPr>
      </w:pPr>
    </w:p>
    <w:p>
      <w:pPr>
        <w:pStyle w:val="ListParagraph"/>
        <w:numPr>
          <w:ilvl w:val="0"/>
          <w:numId w:val="26"/>
        </w:numPr>
        <w:tabs>
          <w:tab w:pos="467" w:val="left" w:leader="none"/>
        </w:tabs>
        <w:spacing w:line="240" w:lineRule="auto" w:before="1" w:after="0"/>
        <w:ind w:left="478" w:right="120" w:hanging="360"/>
        <w:jc w:val="both"/>
        <w:rPr>
          <w:rFonts w:ascii="Symbol" w:hAnsi="Symbol"/>
          <w:sz w:val="20"/>
        </w:rPr>
      </w:pPr>
      <w:r>
        <w:rPr>
          <w:sz w:val="20"/>
        </w:rPr>
        <w:t>Chandra P. V., N. Singh, R. P. Singh, D.P. Singh. 2011. Rhizoremediation potential of spontaneously grown Typha latifolia onfly ash basins: Study from the field. Ecological Engineering 71 (2014)</w:t>
      </w:r>
      <w:r>
        <w:rPr>
          <w:spacing w:val="-5"/>
          <w:sz w:val="20"/>
        </w:rPr>
        <w:t> </w:t>
      </w:r>
      <w:r>
        <w:rPr>
          <w:sz w:val="20"/>
        </w:rPr>
        <w:t>722–727.</w:t>
      </w:r>
    </w:p>
    <w:p>
      <w:pPr>
        <w:pStyle w:val="BodyText"/>
        <w:spacing w:before="10"/>
        <w:rPr>
          <w:sz w:val="19"/>
        </w:rPr>
      </w:pPr>
    </w:p>
    <w:p>
      <w:pPr>
        <w:pStyle w:val="ListParagraph"/>
        <w:numPr>
          <w:ilvl w:val="0"/>
          <w:numId w:val="26"/>
        </w:numPr>
        <w:tabs>
          <w:tab w:pos="467" w:val="left" w:leader="none"/>
        </w:tabs>
        <w:spacing w:line="240" w:lineRule="auto" w:before="1" w:after="0"/>
        <w:ind w:left="478" w:right="116" w:hanging="360"/>
        <w:jc w:val="both"/>
        <w:rPr>
          <w:rFonts w:ascii="Symbol" w:hAnsi="Symbol"/>
          <w:sz w:val="20"/>
        </w:rPr>
      </w:pPr>
      <w:r>
        <w:rPr>
          <w:sz w:val="20"/>
        </w:rPr>
        <w:t>Zohra, B. S., X. Laffray, A. Ashoour, H. Ayadi, L. Aleya. 2014. Metal accumulation and distribution in the organs of Reeds andCattails in a constructed treatment wetland (Etueffont, France). Ecological Engineering 64.</w:t>
      </w:r>
      <w:r>
        <w:rPr>
          <w:spacing w:val="-11"/>
          <w:sz w:val="20"/>
        </w:rPr>
        <w:t> </w:t>
      </w:r>
      <w:r>
        <w:rPr>
          <w:sz w:val="20"/>
        </w:rPr>
        <w:t>1–17.</w:t>
      </w:r>
    </w:p>
    <w:p>
      <w:pPr>
        <w:pStyle w:val="BodyText"/>
        <w:spacing w:before="10"/>
        <w:rPr>
          <w:sz w:val="19"/>
        </w:rPr>
      </w:pPr>
    </w:p>
    <w:p>
      <w:pPr>
        <w:pStyle w:val="ListParagraph"/>
        <w:numPr>
          <w:ilvl w:val="0"/>
          <w:numId w:val="26"/>
        </w:numPr>
        <w:tabs>
          <w:tab w:pos="467" w:val="left" w:leader="none"/>
        </w:tabs>
        <w:spacing w:line="240" w:lineRule="auto" w:before="1" w:after="0"/>
        <w:ind w:left="478" w:right="115" w:hanging="360"/>
        <w:jc w:val="both"/>
        <w:rPr>
          <w:rFonts w:ascii="Symbol" w:hAnsi="Symbol"/>
          <w:sz w:val="20"/>
        </w:rPr>
      </w:pPr>
      <w:r>
        <w:rPr>
          <w:sz w:val="20"/>
        </w:rPr>
        <w:t>Klinka, A., A. Macioła, M. Wisłockab, J. Krawczykc. 2013. Metal accumulation and distribution in the organs of Typha latifolia L. (cattail) and their potential use in bioindication. Limnologica 43. 164–168.</w:t>
      </w:r>
    </w:p>
    <w:p>
      <w:pPr>
        <w:pStyle w:val="BodyText"/>
        <w:spacing w:before="1"/>
        <w:rPr>
          <w:sz w:val="20"/>
        </w:rPr>
      </w:pPr>
    </w:p>
    <w:p>
      <w:pPr>
        <w:pStyle w:val="ListParagraph"/>
        <w:numPr>
          <w:ilvl w:val="0"/>
          <w:numId w:val="26"/>
        </w:numPr>
        <w:tabs>
          <w:tab w:pos="467" w:val="left" w:leader="none"/>
        </w:tabs>
        <w:spacing w:line="240" w:lineRule="auto" w:before="0" w:after="0"/>
        <w:ind w:left="478" w:right="113" w:hanging="360"/>
        <w:jc w:val="both"/>
        <w:rPr>
          <w:rFonts w:ascii="Symbol" w:hAnsi="Symbol"/>
          <w:sz w:val="20"/>
        </w:rPr>
      </w:pPr>
      <w:r>
        <w:rPr>
          <w:sz w:val="20"/>
        </w:rPr>
        <w:t>Dordio A., C. Duarte., M. Barreiros., A.J. Carvalho., A.P. Pinto., C. da Costa. 2009. Toxicity and removal efficiency of pharmaceutical metabolite clofibric acid by Typha spp. – Potential use for phytoremediation?.  Bioresource Technology 100.</w:t>
      </w:r>
      <w:r>
        <w:rPr>
          <w:spacing w:val="41"/>
          <w:sz w:val="20"/>
        </w:rPr>
        <w:t> </w:t>
      </w:r>
      <w:r>
        <w:rPr>
          <w:sz w:val="20"/>
        </w:rPr>
        <w:t>1156–1161.</w:t>
      </w:r>
    </w:p>
    <w:p>
      <w:pPr>
        <w:pStyle w:val="BodyText"/>
        <w:spacing w:before="1"/>
        <w:rPr>
          <w:sz w:val="23"/>
        </w:rPr>
      </w:pPr>
    </w:p>
    <w:p>
      <w:pPr>
        <w:pStyle w:val="ListParagraph"/>
        <w:numPr>
          <w:ilvl w:val="0"/>
          <w:numId w:val="26"/>
        </w:numPr>
        <w:tabs>
          <w:tab w:pos="467" w:val="left" w:leader="none"/>
        </w:tabs>
        <w:spacing w:line="240" w:lineRule="auto" w:before="0" w:after="0"/>
        <w:ind w:left="478" w:right="125" w:hanging="360"/>
        <w:jc w:val="both"/>
        <w:rPr>
          <w:rFonts w:ascii="Symbol" w:hAnsi="Symbol"/>
          <w:sz w:val="20"/>
        </w:rPr>
      </w:pPr>
      <w:r>
        <w:rPr>
          <w:sz w:val="20"/>
        </w:rPr>
        <w:t>Mollard F.P O., M.C. Roy, A. L. Foot. 2013. Typha latifolia plant performance and stand biomass in wetlands affected by surface oil sands mining. Ecological Engineering 58 (2013) 26–</w:t>
      </w:r>
      <w:r>
        <w:rPr>
          <w:spacing w:val="-24"/>
          <w:sz w:val="20"/>
        </w:rPr>
        <w:t> </w:t>
      </w:r>
      <w:r>
        <w:rPr>
          <w:sz w:val="20"/>
        </w:rPr>
        <w:t>34.</w:t>
      </w:r>
    </w:p>
    <w:p>
      <w:pPr>
        <w:pStyle w:val="BodyText"/>
        <w:spacing w:before="8"/>
        <w:rPr>
          <w:sz w:val="21"/>
        </w:rPr>
      </w:pPr>
    </w:p>
    <w:p>
      <w:pPr>
        <w:pStyle w:val="ListParagraph"/>
        <w:numPr>
          <w:ilvl w:val="0"/>
          <w:numId w:val="26"/>
        </w:numPr>
        <w:tabs>
          <w:tab w:pos="467" w:val="left" w:leader="none"/>
        </w:tabs>
        <w:spacing w:line="228" w:lineRule="exact" w:before="1" w:after="0"/>
        <w:ind w:left="478" w:right="119" w:hanging="360"/>
        <w:jc w:val="both"/>
        <w:rPr>
          <w:rFonts w:ascii="Symbol" w:hAnsi="Symbol"/>
          <w:sz w:val="20"/>
        </w:rPr>
      </w:pPr>
      <w:r>
        <w:rPr>
          <w:sz w:val="20"/>
        </w:rPr>
        <w:t>Lyubenova L., P. Schröder. 2011. Plants for waste water treatment – Effects of heavy metals on the detoxification system of Typha latifolia. Bioresource Technology 102 (2011)</w:t>
      </w:r>
      <w:r>
        <w:rPr>
          <w:spacing w:val="-20"/>
          <w:sz w:val="20"/>
        </w:rPr>
        <w:t> </w:t>
      </w:r>
      <w:r>
        <w:rPr>
          <w:sz w:val="20"/>
        </w:rPr>
        <w:t>996–1004.</w:t>
      </w:r>
    </w:p>
    <w:p>
      <w:pPr>
        <w:pStyle w:val="BodyText"/>
        <w:rPr>
          <w:sz w:val="20"/>
        </w:rPr>
      </w:pPr>
    </w:p>
    <w:p>
      <w:pPr>
        <w:pStyle w:val="ListParagraph"/>
        <w:numPr>
          <w:ilvl w:val="0"/>
          <w:numId w:val="26"/>
        </w:numPr>
        <w:tabs>
          <w:tab w:pos="467" w:val="left" w:leader="none"/>
        </w:tabs>
        <w:spacing w:line="237" w:lineRule="auto" w:before="0" w:after="0"/>
        <w:ind w:left="478" w:right="116" w:hanging="360"/>
        <w:jc w:val="both"/>
        <w:rPr>
          <w:rFonts w:ascii="Symbol" w:hAnsi="Symbol"/>
          <w:sz w:val="20"/>
        </w:rPr>
      </w:pPr>
      <w:r>
        <w:rPr>
          <w:sz w:val="20"/>
        </w:rPr>
        <w:t>Ma X., y C. Wang. 2009. Impacts of the physiochemical properties of chlorinated solvents on the sorption of trichloroethylene to the roots of Typha latifolia. Environmental Pollution 157 1019– 1023.</w:t>
      </w:r>
    </w:p>
    <w:p>
      <w:pPr>
        <w:spacing w:after="0" w:line="237" w:lineRule="auto"/>
        <w:jc w:val="both"/>
        <w:rPr>
          <w:rFonts w:ascii="Symbol" w:hAnsi="Symbol"/>
          <w:sz w:val="20"/>
        </w:rPr>
        <w:sectPr>
          <w:pgSz w:w="12240" w:h="15840"/>
          <w:pgMar w:header="0" w:footer="1480" w:top="1380" w:bottom="1680" w:left="1660" w:right="1300"/>
        </w:sectPr>
      </w:pPr>
    </w:p>
    <w:p>
      <w:pPr>
        <w:pStyle w:val="ListParagraph"/>
        <w:numPr>
          <w:ilvl w:val="0"/>
          <w:numId w:val="26"/>
        </w:numPr>
        <w:tabs>
          <w:tab w:pos="467" w:val="left" w:leader="none"/>
        </w:tabs>
        <w:spacing w:line="237" w:lineRule="auto" w:before="38" w:after="0"/>
        <w:ind w:left="478" w:right="117" w:hanging="360"/>
        <w:jc w:val="both"/>
        <w:rPr>
          <w:rFonts w:ascii="Symbol" w:hAnsi="Symbol"/>
          <w:sz w:val="20"/>
        </w:rPr>
      </w:pPr>
      <w:r>
        <w:rPr>
          <w:sz w:val="20"/>
        </w:rPr>
        <w:t>Sadhna, T., B. Kumari, S.N. Singh. 2008. Evaluation of metal mobility/immobility in </w:t>
      </w:r>
      <w:r>
        <w:rPr>
          <w:spacing w:val="3"/>
          <w:sz w:val="20"/>
        </w:rPr>
        <w:t>fly </w:t>
      </w:r>
      <w:r>
        <w:rPr>
          <w:sz w:val="20"/>
        </w:rPr>
        <w:t>ash induced by bacterial strains isolated from the rhizospheric zone of Typha latifolia growing on  fly ash dumps. Bioresource Technology 99 .</w:t>
      </w:r>
      <w:r>
        <w:rPr>
          <w:spacing w:val="-12"/>
          <w:sz w:val="20"/>
        </w:rPr>
        <w:t> </w:t>
      </w:r>
      <w:r>
        <w:rPr>
          <w:sz w:val="20"/>
        </w:rPr>
        <w:t>1305–1310.</w:t>
      </w:r>
    </w:p>
    <w:p>
      <w:pPr>
        <w:pStyle w:val="BodyText"/>
        <w:spacing w:before="11"/>
        <w:rPr>
          <w:sz w:val="19"/>
        </w:rPr>
      </w:pPr>
    </w:p>
    <w:p>
      <w:pPr>
        <w:pStyle w:val="ListParagraph"/>
        <w:numPr>
          <w:ilvl w:val="0"/>
          <w:numId w:val="26"/>
        </w:numPr>
        <w:tabs>
          <w:tab w:pos="467" w:val="left" w:leader="none"/>
        </w:tabs>
        <w:spacing w:line="240" w:lineRule="auto" w:before="0" w:after="0"/>
        <w:ind w:left="478" w:right="114" w:hanging="360"/>
        <w:jc w:val="both"/>
        <w:rPr>
          <w:rFonts w:ascii="Symbol" w:hAnsi="Symbol"/>
          <w:sz w:val="20"/>
        </w:rPr>
      </w:pPr>
      <w:r>
        <w:rPr>
          <w:sz w:val="20"/>
        </w:rPr>
        <w:t>Sasmaz A., E. Obek, H. Hasar. </w:t>
      </w:r>
      <w:r>
        <w:rPr>
          <w:i/>
          <w:sz w:val="20"/>
        </w:rPr>
        <w:t>2008. </w:t>
      </w:r>
      <w:r>
        <w:rPr>
          <w:sz w:val="20"/>
        </w:rPr>
        <w:t>The accumulation of heavy metals in </w:t>
      </w:r>
      <w:r>
        <w:rPr>
          <w:i/>
          <w:sz w:val="20"/>
        </w:rPr>
        <w:t>Typha latifolia </w:t>
      </w:r>
      <w:r>
        <w:rPr>
          <w:sz w:val="20"/>
        </w:rPr>
        <w:t>L.  grown in a stream carrying secondary effluent. Ecological engineering 3 3 ( 2 0 0 8 )</w:t>
      </w:r>
      <w:r>
        <w:rPr>
          <w:spacing w:val="-17"/>
          <w:sz w:val="20"/>
        </w:rPr>
        <w:t> </w:t>
      </w:r>
      <w:r>
        <w:rPr>
          <w:sz w:val="20"/>
        </w:rPr>
        <w:t>278–284.</w:t>
      </w:r>
    </w:p>
    <w:p>
      <w:pPr>
        <w:pStyle w:val="BodyText"/>
        <w:spacing w:before="3"/>
        <w:rPr>
          <w:sz w:val="20"/>
        </w:rPr>
      </w:pPr>
    </w:p>
    <w:p>
      <w:pPr>
        <w:pStyle w:val="ListParagraph"/>
        <w:numPr>
          <w:ilvl w:val="0"/>
          <w:numId w:val="26"/>
        </w:numPr>
        <w:tabs>
          <w:tab w:pos="467" w:val="left" w:leader="none"/>
        </w:tabs>
        <w:spacing w:line="237" w:lineRule="auto" w:before="0" w:after="0"/>
        <w:ind w:left="478" w:right="116" w:hanging="360"/>
        <w:jc w:val="both"/>
        <w:rPr>
          <w:rFonts w:ascii="Symbol"/>
          <w:sz w:val="20"/>
        </w:rPr>
      </w:pPr>
      <w:r>
        <w:rPr>
          <w:sz w:val="20"/>
        </w:rPr>
        <w:t>Manios T., E. I. Stentiford, P. A. Millner . 2003. The effect of heavy metals accumulation on the chlorophyll concentration of Typha latifolia plants, growing in a substrate containing sewage sludge compost and watered with metaliferus water. Ecological Engineering 20.</w:t>
      </w:r>
      <w:r>
        <w:rPr>
          <w:spacing w:val="31"/>
          <w:sz w:val="20"/>
        </w:rPr>
        <w:t> </w:t>
      </w:r>
      <w:r>
        <w:rPr>
          <w:sz w:val="20"/>
        </w:rPr>
        <w:t>65-/74.</w:t>
      </w:r>
    </w:p>
    <w:p>
      <w:pPr>
        <w:pStyle w:val="BodyText"/>
        <w:spacing w:before="8"/>
        <w:rPr>
          <w:sz w:val="25"/>
        </w:rPr>
      </w:pPr>
    </w:p>
    <w:p>
      <w:pPr>
        <w:pStyle w:val="ListParagraph"/>
        <w:numPr>
          <w:ilvl w:val="0"/>
          <w:numId w:val="26"/>
        </w:numPr>
        <w:tabs>
          <w:tab w:pos="467" w:val="left" w:leader="none"/>
        </w:tabs>
        <w:spacing w:line="228" w:lineRule="exact" w:before="1" w:after="0"/>
        <w:ind w:left="478" w:right="121" w:hanging="360"/>
        <w:jc w:val="both"/>
        <w:rPr>
          <w:rFonts w:ascii="Symbol" w:hAnsi="Symbol"/>
          <w:sz w:val="20"/>
        </w:rPr>
      </w:pPr>
      <w:r>
        <w:rPr>
          <w:sz w:val="20"/>
        </w:rPr>
        <w:t>Sistema Estatal de Aéreas Naturales Protegidas en Estado de México. 2014. </w:t>
      </w:r>
      <w:hyperlink r:id="rId66">
        <w:r>
          <w:rPr>
            <w:color w:val="0000FF"/>
            <w:sz w:val="20"/>
            <w:u w:val="single" w:color="0000FF"/>
          </w:rPr>
          <w:t>http://areasnaturales.edomex.gob.mx/alameda_poniente</w:t>
        </w:r>
        <w:r>
          <w:rPr>
            <w:sz w:val="20"/>
          </w:rPr>
          <w:t>.</w:t>
        </w:r>
      </w:hyperlink>
    </w:p>
    <w:p>
      <w:pPr>
        <w:pStyle w:val="BodyText"/>
        <w:spacing w:before="5"/>
        <w:rPr>
          <w:sz w:val="21"/>
        </w:rPr>
      </w:pPr>
    </w:p>
    <w:p>
      <w:pPr>
        <w:pStyle w:val="ListParagraph"/>
        <w:numPr>
          <w:ilvl w:val="0"/>
          <w:numId w:val="26"/>
        </w:numPr>
        <w:tabs>
          <w:tab w:pos="467" w:val="left" w:leader="none"/>
        </w:tabs>
        <w:spacing w:line="228" w:lineRule="exact" w:before="0" w:after="0"/>
        <w:ind w:left="478" w:right="125" w:hanging="360"/>
        <w:jc w:val="both"/>
        <w:rPr>
          <w:rFonts w:ascii="Symbol"/>
          <w:sz w:val="20"/>
        </w:rPr>
      </w:pPr>
      <w:r>
        <w:rPr>
          <w:sz w:val="20"/>
        </w:rPr>
        <w:t>Murashige, T. and Skoog, F. 1962. A revided medium for rapid growth and bioassay with tobacco tissue culture. Physiologycal plantarum. 15(3):</w:t>
      </w:r>
      <w:r>
        <w:rPr>
          <w:spacing w:val="-16"/>
          <w:sz w:val="20"/>
        </w:rPr>
        <w:t> </w:t>
      </w:r>
      <w:r>
        <w:rPr>
          <w:sz w:val="20"/>
        </w:rPr>
        <w:t>473-497.</w:t>
      </w:r>
    </w:p>
    <w:sectPr>
      <w:pgSz w:w="12240" w:h="15840"/>
      <w:pgMar w:header="0" w:footer="1480" w:top="1380" w:bottom="1680" w:left="16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679993pt;margin-top:706.976013pt;width:9.6pt;height:13.05pt;mso-position-horizontal-relative:page;mso-position-vertical-relative:page;z-index:-71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72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20020pt;margin-top:706.976013pt;width:15.3pt;height:13.05pt;mso-position-horizontal-relative:page;mso-position-vertical-relative:page;z-index:-71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68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71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92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71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87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71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82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71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7177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71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bullet"/>
      <w:lvlText w:val=""/>
      <w:lvlJc w:val="left"/>
      <w:pPr>
        <w:ind w:left="478" w:hanging="348"/>
      </w:pPr>
      <w:rPr>
        <w:rFonts w:hint="default"/>
        <w:w w:val="100"/>
      </w:rPr>
    </w:lvl>
    <w:lvl w:ilvl="1">
      <w:start w:val="1"/>
      <w:numFmt w:val="bullet"/>
      <w:lvlText w:val="•"/>
      <w:lvlJc w:val="left"/>
      <w:pPr>
        <w:ind w:left="1360" w:hanging="348"/>
      </w:pPr>
      <w:rPr>
        <w:rFonts w:hint="default"/>
      </w:rPr>
    </w:lvl>
    <w:lvl w:ilvl="2">
      <w:start w:val="1"/>
      <w:numFmt w:val="bullet"/>
      <w:lvlText w:val="•"/>
      <w:lvlJc w:val="left"/>
      <w:pPr>
        <w:ind w:left="2240" w:hanging="348"/>
      </w:pPr>
      <w:rPr>
        <w:rFonts w:hint="default"/>
      </w:rPr>
    </w:lvl>
    <w:lvl w:ilvl="3">
      <w:start w:val="1"/>
      <w:numFmt w:val="bullet"/>
      <w:lvlText w:val="•"/>
      <w:lvlJc w:val="left"/>
      <w:pPr>
        <w:ind w:left="3120" w:hanging="348"/>
      </w:pPr>
      <w:rPr>
        <w:rFonts w:hint="default"/>
      </w:rPr>
    </w:lvl>
    <w:lvl w:ilvl="4">
      <w:start w:val="1"/>
      <w:numFmt w:val="bullet"/>
      <w:lvlText w:val="•"/>
      <w:lvlJc w:val="left"/>
      <w:pPr>
        <w:ind w:left="4000" w:hanging="348"/>
      </w:pPr>
      <w:rPr>
        <w:rFonts w:hint="default"/>
      </w:rPr>
    </w:lvl>
    <w:lvl w:ilvl="5">
      <w:start w:val="1"/>
      <w:numFmt w:val="bullet"/>
      <w:lvlText w:val="•"/>
      <w:lvlJc w:val="left"/>
      <w:pPr>
        <w:ind w:left="4880" w:hanging="348"/>
      </w:pPr>
      <w:rPr>
        <w:rFonts w:hint="default"/>
      </w:rPr>
    </w:lvl>
    <w:lvl w:ilvl="6">
      <w:start w:val="1"/>
      <w:numFmt w:val="bullet"/>
      <w:lvlText w:val="•"/>
      <w:lvlJc w:val="left"/>
      <w:pPr>
        <w:ind w:left="5760" w:hanging="348"/>
      </w:pPr>
      <w:rPr>
        <w:rFonts w:hint="default"/>
      </w:rPr>
    </w:lvl>
    <w:lvl w:ilvl="7">
      <w:start w:val="1"/>
      <w:numFmt w:val="bullet"/>
      <w:lvlText w:val="•"/>
      <w:lvlJc w:val="left"/>
      <w:pPr>
        <w:ind w:left="6640" w:hanging="348"/>
      </w:pPr>
      <w:rPr>
        <w:rFonts w:hint="default"/>
      </w:rPr>
    </w:lvl>
    <w:lvl w:ilvl="8">
      <w:start w:val="1"/>
      <w:numFmt w:val="bullet"/>
      <w:lvlText w:val="•"/>
      <w:lvlJc w:val="left"/>
      <w:pPr>
        <w:ind w:left="7520" w:hanging="348"/>
      </w:pPr>
      <w:rPr>
        <w:rFonts w:hint="default"/>
      </w:rPr>
    </w:lvl>
  </w:abstractNum>
  <w:abstractNum w:abstractNumId="24">
    <w:multiLevelType w:val="hybridMultilevel"/>
    <w:lvl w:ilvl="0">
      <w:start w:val="8"/>
      <w:numFmt w:val="decimal"/>
      <w:lvlText w:val="%1."/>
      <w:lvlJc w:val="left"/>
      <w:pPr>
        <w:ind w:left="466" w:hanging="348"/>
        <w:jc w:val="left"/>
      </w:pPr>
      <w:rPr>
        <w:rFonts w:hint="default" w:ascii="Arial" w:hAnsi="Arial" w:eastAsia="Arial" w:cs="Arial"/>
        <w:b/>
        <w:bCs/>
        <w:spacing w:val="-1"/>
        <w:w w:val="100"/>
        <w:sz w:val="28"/>
        <w:szCs w:val="28"/>
      </w:rPr>
    </w:lvl>
    <w:lvl w:ilvl="1">
      <w:start w:val="1"/>
      <w:numFmt w:val="decimal"/>
      <w:lvlText w:val="%2)"/>
      <w:lvlJc w:val="left"/>
      <w:pPr>
        <w:ind w:left="838" w:hanging="348"/>
        <w:jc w:val="left"/>
      </w:pPr>
      <w:rPr>
        <w:rFonts w:hint="default" w:ascii="Arial" w:hAnsi="Arial" w:eastAsia="Arial" w:cs="Arial"/>
        <w:b/>
        <w:bCs/>
        <w:spacing w:val="-1"/>
        <w:w w:val="100"/>
        <w:sz w:val="22"/>
        <w:szCs w:val="22"/>
      </w:rPr>
    </w:lvl>
    <w:lvl w:ilvl="2">
      <w:start w:val="1"/>
      <w:numFmt w:val="bullet"/>
      <w:lvlText w:val="•"/>
      <w:lvlJc w:val="left"/>
      <w:pPr>
        <w:ind w:left="1777" w:hanging="348"/>
      </w:pPr>
      <w:rPr>
        <w:rFonts w:hint="default"/>
      </w:rPr>
    </w:lvl>
    <w:lvl w:ilvl="3">
      <w:start w:val="1"/>
      <w:numFmt w:val="bullet"/>
      <w:lvlText w:val="•"/>
      <w:lvlJc w:val="left"/>
      <w:pPr>
        <w:ind w:left="2715" w:hanging="348"/>
      </w:pPr>
      <w:rPr>
        <w:rFonts w:hint="default"/>
      </w:rPr>
    </w:lvl>
    <w:lvl w:ilvl="4">
      <w:start w:val="1"/>
      <w:numFmt w:val="bullet"/>
      <w:lvlText w:val="•"/>
      <w:lvlJc w:val="left"/>
      <w:pPr>
        <w:ind w:left="3653" w:hanging="348"/>
      </w:pPr>
      <w:rPr>
        <w:rFonts w:hint="default"/>
      </w:rPr>
    </w:lvl>
    <w:lvl w:ilvl="5">
      <w:start w:val="1"/>
      <w:numFmt w:val="bullet"/>
      <w:lvlText w:val="•"/>
      <w:lvlJc w:val="left"/>
      <w:pPr>
        <w:ind w:left="4591" w:hanging="348"/>
      </w:pPr>
      <w:rPr>
        <w:rFonts w:hint="default"/>
      </w:rPr>
    </w:lvl>
    <w:lvl w:ilvl="6">
      <w:start w:val="1"/>
      <w:numFmt w:val="bullet"/>
      <w:lvlText w:val="•"/>
      <w:lvlJc w:val="left"/>
      <w:pPr>
        <w:ind w:left="5528" w:hanging="348"/>
      </w:pPr>
      <w:rPr>
        <w:rFonts w:hint="default"/>
      </w:rPr>
    </w:lvl>
    <w:lvl w:ilvl="7">
      <w:start w:val="1"/>
      <w:numFmt w:val="bullet"/>
      <w:lvlText w:val="•"/>
      <w:lvlJc w:val="left"/>
      <w:pPr>
        <w:ind w:left="6466" w:hanging="348"/>
      </w:pPr>
      <w:rPr>
        <w:rFonts w:hint="default"/>
      </w:rPr>
    </w:lvl>
    <w:lvl w:ilvl="8">
      <w:start w:val="1"/>
      <w:numFmt w:val="bullet"/>
      <w:lvlText w:val="•"/>
      <w:lvlJc w:val="left"/>
      <w:pPr>
        <w:ind w:left="7404" w:hanging="348"/>
      </w:pPr>
      <w:rPr>
        <w:rFonts w:hint="default"/>
      </w:rPr>
    </w:lvl>
  </w:abstractNum>
  <w:abstractNum w:abstractNumId="23">
    <w:multiLevelType w:val="hybridMultilevel"/>
    <w:lvl w:ilvl="0">
      <w:start w:val="7"/>
      <w:numFmt w:val="decimal"/>
      <w:lvlText w:val="%1"/>
      <w:lvlJc w:val="left"/>
      <w:pPr>
        <w:ind w:left="589" w:hanging="471"/>
        <w:jc w:val="left"/>
      </w:pPr>
      <w:rPr>
        <w:rFonts w:hint="default"/>
      </w:rPr>
    </w:lvl>
    <w:lvl w:ilvl="1">
      <w:start w:val="2"/>
      <w:numFmt w:val="decimal"/>
      <w:lvlText w:val="%1.%2"/>
      <w:lvlJc w:val="left"/>
      <w:pPr>
        <w:ind w:left="589" w:hanging="471"/>
        <w:jc w:val="left"/>
      </w:pPr>
      <w:rPr>
        <w:rFonts w:hint="default" w:ascii="Arial" w:hAnsi="Arial" w:eastAsia="Arial" w:cs="Arial"/>
        <w:b/>
        <w:bCs/>
        <w:w w:val="100"/>
        <w:sz w:val="28"/>
        <w:szCs w:val="28"/>
      </w:rPr>
    </w:lvl>
    <w:lvl w:ilvl="2">
      <w:start w:val="1"/>
      <w:numFmt w:val="decimal"/>
      <w:lvlText w:val="%1.%2.%3"/>
      <w:lvlJc w:val="left"/>
      <w:pPr>
        <w:ind w:left="822" w:hanging="704"/>
        <w:jc w:val="left"/>
      </w:pPr>
      <w:rPr>
        <w:rFonts w:hint="default" w:ascii="Arial" w:hAnsi="Arial" w:eastAsia="Arial" w:cs="Arial"/>
        <w:b/>
        <w:bCs/>
        <w:w w:val="100"/>
        <w:sz w:val="28"/>
        <w:szCs w:val="28"/>
      </w:rPr>
    </w:lvl>
    <w:lvl w:ilvl="3">
      <w:start w:val="1"/>
      <w:numFmt w:val="bullet"/>
      <w:lvlText w:val="•"/>
      <w:lvlJc w:val="left"/>
      <w:pPr>
        <w:ind w:left="2780" w:hanging="704"/>
      </w:pPr>
      <w:rPr>
        <w:rFonts w:hint="default"/>
      </w:rPr>
    </w:lvl>
    <w:lvl w:ilvl="4">
      <w:start w:val="1"/>
      <w:numFmt w:val="bullet"/>
      <w:lvlText w:val="•"/>
      <w:lvlJc w:val="left"/>
      <w:pPr>
        <w:ind w:left="3760" w:hanging="704"/>
      </w:pPr>
      <w:rPr>
        <w:rFonts w:hint="default"/>
      </w:rPr>
    </w:lvl>
    <w:lvl w:ilvl="5">
      <w:start w:val="1"/>
      <w:numFmt w:val="bullet"/>
      <w:lvlText w:val="•"/>
      <w:lvlJc w:val="left"/>
      <w:pPr>
        <w:ind w:left="4740" w:hanging="704"/>
      </w:pPr>
      <w:rPr>
        <w:rFonts w:hint="default"/>
      </w:rPr>
    </w:lvl>
    <w:lvl w:ilvl="6">
      <w:start w:val="1"/>
      <w:numFmt w:val="bullet"/>
      <w:lvlText w:val="•"/>
      <w:lvlJc w:val="left"/>
      <w:pPr>
        <w:ind w:left="5720" w:hanging="704"/>
      </w:pPr>
      <w:rPr>
        <w:rFonts w:hint="default"/>
      </w:rPr>
    </w:lvl>
    <w:lvl w:ilvl="7">
      <w:start w:val="1"/>
      <w:numFmt w:val="bullet"/>
      <w:lvlText w:val="•"/>
      <w:lvlJc w:val="left"/>
      <w:pPr>
        <w:ind w:left="6700" w:hanging="704"/>
      </w:pPr>
      <w:rPr>
        <w:rFonts w:hint="default"/>
      </w:rPr>
    </w:lvl>
    <w:lvl w:ilvl="8">
      <w:start w:val="1"/>
      <w:numFmt w:val="bullet"/>
      <w:lvlText w:val="•"/>
      <w:lvlJc w:val="left"/>
      <w:pPr>
        <w:ind w:left="7680" w:hanging="704"/>
      </w:pPr>
      <w:rPr>
        <w:rFonts w:hint="default"/>
      </w:rPr>
    </w:lvl>
  </w:abstractNum>
  <w:abstractNum w:abstractNumId="22">
    <w:multiLevelType w:val="hybridMultilevel"/>
    <w:lvl w:ilvl="0">
      <w:start w:val="1"/>
      <w:numFmt w:val="decimal"/>
      <w:lvlText w:val="%1."/>
      <w:lvlJc w:val="left"/>
      <w:pPr>
        <w:ind w:left="838" w:hanging="348"/>
        <w:jc w:val="right"/>
      </w:pPr>
      <w:rPr>
        <w:rFonts w:hint="default"/>
        <w:spacing w:val="-4"/>
        <w:w w:val="99"/>
      </w:rPr>
    </w:lvl>
    <w:lvl w:ilvl="1">
      <w:start w:val="1"/>
      <w:numFmt w:val="bullet"/>
      <w:lvlText w:val="•"/>
      <w:lvlJc w:val="left"/>
      <w:pPr>
        <w:ind w:left="172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80" w:hanging="348"/>
      </w:pPr>
      <w:rPr>
        <w:rFonts w:hint="default"/>
      </w:rPr>
    </w:lvl>
    <w:lvl w:ilvl="4">
      <w:start w:val="1"/>
      <w:numFmt w:val="bullet"/>
      <w:lvlText w:val="•"/>
      <w:lvlJc w:val="left"/>
      <w:pPr>
        <w:ind w:left="4360" w:hanging="348"/>
      </w:pPr>
      <w:rPr>
        <w:rFonts w:hint="default"/>
      </w:rPr>
    </w:lvl>
    <w:lvl w:ilvl="5">
      <w:start w:val="1"/>
      <w:numFmt w:val="bullet"/>
      <w:lvlText w:val="•"/>
      <w:lvlJc w:val="left"/>
      <w:pPr>
        <w:ind w:left="5240" w:hanging="348"/>
      </w:pPr>
      <w:rPr>
        <w:rFonts w:hint="default"/>
      </w:rPr>
    </w:lvl>
    <w:lvl w:ilvl="6">
      <w:start w:val="1"/>
      <w:numFmt w:val="bullet"/>
      <w:lvlText w:val="•"/>
      <w:lvlJc w:val="left"/>
      <w:pPr>
        <w:ind w:left="6120" w:hanging="348"/>
      </w:pPr>
      <w:rPr>
        <w:rFonts w:hint="default"/>
      </w:rPr>
    </w:lvl>
    <w:lvl w:ilvl="7">
      <w:start w:val="1"/>
      <w:numFmt w:val="bullet"/>
      <w:lvlText w:val="•"/>
      <w:lvlJc w:val="left"/>
      <w:pPr>
        <w:ind w:left="7000" w:hanging="348"/>
      </w:pPr>
      <w:rPr>
        <w:rFonts w:hint="default"/>
      </w:rPr>
    </w:lvl>
    <w:lvl w:ilvl="8">
      <w:start w:val="1"/>
      <w:numFmt w:val="bullet"/>
      <w:lvlText w:val="•"/>
      <w:lvlJc w:val="left"/>
      <w:pPr>
        <w:ind w:left="7880" w:hanging="348"/>
      </w:pPr>
      <w:rPr>
        <w:rFonts w:hint="default"/>
      </w:rPr>
    </w:lvl>
  </w:abstractNum>
  <w:abstractNum w:abstractNumId="21">
    <w:multiLevelType w:val="hybridMultilevel"/>
    <w:lvl w:ilvl="0">
      <w:start w:val="3"/>
      <w:numFmt w:val="decimal"/>
      <w:lvlText w:val="%1"/>
      <w:lvlJc w:val="left"/>
      <w:pPr>
        <w:ind w:left="973" w:hanging="428"/>
        <w:jc w:val="left"/>
      </w:pPr>
      <w:rPr>
        <w:rFonts w:hint="default"/>
      </w:rPr>
    </w:lvl>
    <w:lvl w:ilvl="1">
      <w:start w:val="2"/>
      <w:numFmt w:val="decimal"/>
      <w:lvlText w:val="%1.%2"/>
      <w:lvlJc w:val="left"/>
      <w:pPr>
        <w:ind w:left="973" w:hanging="428"/>
        <w:jc w:val="left"/>
      </w:pPr>
      <w:rPr>
        <w:rFonts w:hint="default" w:ascii="Arial" w:hAnsi="Arial" w:eastAsia="Arial" w:cs="Arial"/>
        <w:b/>
        <w:bCs/>
        <w:w w:val="99"/>
        <w:sz w:val="24"/>
        <w:szCs w:val="24"/>
      </w:rPr>
    </w:lvl>
    <w:lvl w:ilvl="2">
      <w:start w:val="1"/>
      <w:numFmt w:val="decimal"/>
      <w:lvlText w:val="%1.%2.%3"/>
      <w:lvlJc w:val="left"/>
      <w:pPr>
        <w:ind w:left="1254" w:hanging="600"/>
        <w:jc w:val="right"/>
      </w:pPr>
      <w:rPr>
        <w:rFonts w:hint="default" w:ascii="Arial" w:hAnsi="Arial" w:eastAsia="Arial" w:cs="Arial"/>
        <w:b/>
        <w:bCs/>
        <w:spacing w:val="-2"/>
        <w:w w:val="99"/>
        <w:sz w:val="24"/>
        <w:szCs w:val="24"/>
      </w:rPr>
    </w:lvl>
    <w:lvl w:ilvl="3">
      <w:start w:val="1"/>
      <w:numFmt w:val="bullet"/>
      <w:lvlText w:val="•"/>
      <w:lvlJc w:val="left"/>
      <w:pPr>
        <w:ind w:left="3122" w:hanging="600"/>
      </w:pPr>
      <w:rPr>
        <w:rFonts w:hint="default"/>
      </w:rPr>
    </w:lvl>
    <w:lvl w:ilvl="4">
      <w:start w:val="1"/>
      <w:numFmt w:val="bullet"/>
      <w:lvlText w:val="•"/>
      <w:lvlJc w:val="left"/>
      <w:pPr>
        <w:ind w:left="4053" w:hanging="600"/>
      </w:pPr>
      <w:rPr>
        <w:rFonts w:hint="default"/>
      </w:rPr>
    </w:lvl>
    <w:lvl w:ilvl="5">
      <w:start w:val="1"/>
      <w:numFmt w:val="bullet"/>
      <w:lvlText w:val="•"/>
      <w:lvlJc w:val="left"/>
      <w:pPr>
        <w:ind w:left="4984" w:hanging="600"/>
      </w:pPr>
      <w:rPr>
        <w:rFonts w:hint="default"/>
      </w:rPr>
    </w:lvl>
    <w:lvl w:ilvl="6">
      <w:start w:val="1"/>
      <w:numFmt w:val="bullet"/>
      <w:lvlText w:val="•"/>
      <w:lvlJc w:val="left"/>
      <w:pPr>
        <w:ind w:left="5915" w:hanging="600"/>
      </w:pPr>
      <w:rPr>
        <w:rFonts w:hint="default"/>
      </w:rPr>
    </w:lvl>
    <w:lvl w:ilvl="7">
      <w:start w:val="1"/>
      <w:numFmt w:val="bullet"/>
      <w:lvlText w:val="•"/>
      <w:lvlJc w:val="left"/>
      <w:pPr>
        <w:ind w:left="6846" w:hanging="600"/>
      </w:pPr>
      <w:rPr>
        <w:rFonts w:hint="default"/>
      </w:rPr>
    </w:lvl>
    <w:lvl w:ilvl="8">
      <w:start w:val="1"/>
      <w:numFmt w:val="bullet"/>
      <w:lvlText w:val="•"/>
      <w:lvlJc w:val="left"/>
      <w:pPr>
        <w:ind w:left="7777" w:hanging="600"/>
      </w:pPr>
      <w:rPr>
        <w:rFonts w:hint="default"/>
      </w:rPr>
    </w:lvl>
  </w:abstractNum>
  <w:abstractNum w:abstractNumId="20">
    <w:multiLevelType w:val="hybridMultilevel"/>
    <w:lvl w:ilvl="0">
      <w:start w:val="1"/>
      <w:numFmt w:val="lowerLetter"/>
      <w:lvlText w:val="%1)"/>
      <w:lvlJc w:val="left"/>
      <w:pPr>
        <w:ind w:left="826" w:hanging="348"/>
        <w:jc w:val="left"/>
      </w:pPr>
      <w:rPr>
        <w:rFonts w:hint="default" w:ascii="Arial" w:hAnsi="Arial" w:eastAsia="Arial" w:cs="Arial"/>
        <w:w w:val="99"/>
        <w:sz w:val="24"/>
        <w:szCs w:val="24"/>
      </w:rPr>
    </w:lvl>
    <w:lvl w:ilvl="1">
      <w:start w:val="1"/>
      <w:numFmt w:val="bullet"/>
      <w:lvlText w:val="•"/>
      <w:lvlJc w:val="left"/>
      <w:pPr>
        <w:ind w:left="1702" w:hanging="348"/>
      </w:pPr>
      <w:rPr>
        <w:rFonts w:hint="default"/>
      </w:rPr>
    </w:lvl>
    <w:lvl w:ilvl="2">
      <w:start w:val="1"/>
      <w:numFmt w:val="bullet"/>
      <w:lvlText w:val="•"/>
      <w:lvlJc w:val="left"/>
      <w:pPr>
        <w:ind w:left="2584" w:hanging="348"/>
      </w:pPr>
      <w:rPr>
        <w:rFonts w:hint="default"/>
      </w:rPr>
    </w:lvl>
    <w:lvl w:ilvl="3">
      <w:start w:val="1"/>
      <w:numFmt w:val="bullet"/>
      <w:lvlText w:val="•"/>
      <w:lvlJc w:val="left"/>
      <w:pPr>
        <w:ind w:left="3466" w:hanging="348"/>
      </w:pPr>
      <w:rPr>
        <w:rFonts w:hint="default"/>
      </w:rPr>
    </w:lvl>
    <w:lvl w:ilvl="4">
      <w:start w:val="1"/>
      <w:numFmt w:val="bullet"/>
      <w:lvlText w:val="•"/>
      <w:lvlJc w:val="left"/>
      <w:pPr>
        <w:ind w:left="4348" w:hanging="348"/>
      </w:pPr>
      <w:rPr>
        <w:rFonts w:hint="default"/>
      </w:rPr>
    </w:lvl>
    <w:lvl w:ilvl="5">
      <w:start w:val="1"/>
      <w:numFmt w:val="bullet"/>
      <w:lvlText w:val="•"/>
      <w:lvlJc w:val="left"/>
      <w:pPr>
        <w:ind w:left="5230" w:hanging="348"/>
      </w:pPr>
      <w:rPr>
        <w:rFonts w:hint="default"/>
      </w:rPr>
    </w:lvl>
    <w:lvl w:ilvl="6">
      <w:start w:val="1"/>
      <w:numFmt w:val="bullet"/>
      <w:lvlText w:val="•"/>
      <w:lvlJc w:val="left"/>
      <w:pPr>
        <w:ind w:left="6112" w:hanging="348"/>
      </w:pPr>
      <w:rPr>
        <w:rFonts w:hint="default"/>
      </w:rPr>
    </w:lvl>
    <w:lvl w:ilvl="7">
      <w:start w:val="1"/>
      <w:numFmt w:val="bullet"/>
      <w:lvlText w:val="•"/>
      <w:lvlJc w:val="left"/>
      <w:pPr>
        <w:ind w:left="6994" w:hanging="348"/>
      </w:pPr>
      <w:rPr>
        <w:rFonts w:hint="default"/>
      </w:rPr>
    </w:lvl>
    <w:lvl w:ilvl="8">
      <w:start w:val="1"/>
      <w:numFmt w:val="bullet"/>
      <w:lvlText w:val="•"/>
      <w:lvlJc w:val="left"/>
      <w:pPr>
        <w:ind w:left="7876" w:hanging="348"/>
      </w:pPr>
      <w:rPr>
        <w:rFonts w:hint="default"/>
      </w:rPr>
    </w:lvl>
  </w:abstractNum>
  <w:abstractNum w:abstractNumId="19">
    <w:multiLevelType w:val="hybridMultilevel"/>
    <w:lvl w:ilvl="0">
      <w:start w:val="2"/>
      <w:numFmt w:val="decimal"/>
      <w:lvlText w:val="%1"/>
      <w:lvlJc w:val="left"/>
      <w:pPr>
        <w:ind w:left="1186" w:hanging="600"/>
        <w:jc w:val="left"/>
      </w:pPr>
      <w:rPr>
        <w:rFonts w:hint="default"/>
      </w:rPr>
    </w:lvl>
    <w:lvl w:ilvl="1">
      <w:start w:val="1"/>
      <w:numFmt w:val="decimal"/>
      <w:lvlText w:val="%1.%2"/>
      <w:lvlJc w:val="left"/>
      <w:pPr>
        <w:ind w:left="1186" w:hanging="600"/>
        <w:jc w:val="right"/>
      </w:pPr>
      <w:rPr>
        <w:rFonts w:hint="default"/>
      </w:rPr>
    </w:lvl>
    <w:lvl w:ilvl="2">
      <w:start w:val="1"/>
      <w:numFmt w:val="decimal"/>
      <w:lvlText w:val="%1.%2.%3"/>
      <w:lvlJc w:val="left"/>
      <w:pPr>
        <w:ind w:left="1186" w:hanging="600"/>
        <w:jc w:val="left"/>
      </w:pPr>
      <w:rPr>
        <w:rFonts w:hint="default" w:ascii="Arial" w:hAnsi="Arial" w:eastAsia="Arial" w:cs="Arial"/>
        <w:b/>
        <w:bCs/>
        <w:spacing w:val="-1"/>
        <w:w w:val="99"/>
        <w:sz w:val="24"/>
        <w:szCs w:val="24"/>
      </w:rPr>
    </w:lvl>
    <w:lvl w:ilvl="3">
      <w:start w:val="1"/>
      <w:numFmt w:val="bullet"/>
      <w:lvlText w:val="•"/>
      <w:lvlJc w:val="left"/>
      <w:pPr>
        <w:ind w:left="3718" w:hanging="600"/>
      </w:pPr>
      <w:rPr>
        <w:rFonts w:hint="default"/>
      </w:rPr>
    </w:lvl>
    <w:lvl w:ilvl="4">
      <w:start w:val="1"/>
      <w:numFmt w:val="bullet"/>
      <w:lvlText w:val="•"/>
      <w:lvlJc w:val="left"/>
      <w:pPr>
        <w:ind w:left="4564" w:hanging="600"/>
      </w:pPr>
      <w:rPr>
        <w:rFonts w:hint="default"/>
      </w:rPr>
    </w:lvl>
    <w:lvl w:ilvl="5">
      <w:start w:val="1"/>
      <w:numFmt w:val="bullet"/>
      <w:lvlText w:val="•"/>
      <w:lvlJc w:val="left"/>
      <w:pPr>
        <w:ind w:left="5410" w:hanging="600"/>
      </w:pPr>
      <w:rPr>
        <w:rFonts w:hint="default"/>
      </w:rPr>
    </w:lvl>
    <w:lvl w:ilvl="6">
      <w:start w:val="1"/>
      <w:numFmt w:val="bullet"/>
      <w:lvlText w:val="•"/>
      <w:lvlJc w:val="left"/>
      <w:pPr>
        <w:ind w:left="6256" w:hanging="600"/>
      </w:pPr>
      <w:rPr>
        <w:rFonts w:hint="default"/>
      </w:rPr>
    </w:lvl>
    <w:lvl w:ilvl="7">
      <w:start w:val="1"/>
      <w:numFmt w:val="bullet"/>
      <w:lvlText w:val="•"/>
      <w:lvlJc w:val="left"/>
      <w:pPr>
        <w:ind w:left="7102" w:hanging="600"/>
      </w:pPr>
      <w:rPr>
        <w:rFonts w:hint="default"/>
      </w:rPr>
    </w:lvl>
    <w:lvl w:ilvl="8">
      <w:start w:val="1"/>
      <w:numFmt w:val="bullet"/>
      <w:lvlText w:val="•"/>
      <w:lvlJc w:val="left"/>
      <w:pPr>
        <w:ind w:left="7948" w:hanging="600"/>
      </w:pPr>
      <w:rPr>
        <w:rFonts w:hint="default"/>
      </w:rPr>
    </w:lvl>
  </w:abstractNum>
  <w:abstractNum w:abstractNumId="18">
    <w:multiLevelType w:val="hybridMultilevel"/>
    <w:lvl w:ilvl="0">
      <w:start w:val="7"/>
      <w:numFmt w:val="decimal"/>
      <w:lvlText w:val="%1"/>
      <w:lvlJc w:val="left"/>
      <w:pPr>
        <w:ind w:left="591" w:hanging="473"/>
        <w:jc w:val="left"/>
      </w:pPr>
      <w:rPr>
        <w:rFonts w:hint="default"/>
      </w:rPr>
    </w:lvl>
    <w:lvl w:ilvl="1">
      <w:start w:val="1"/>
      <w:numFmt w:val="decimal"/>
      <w:lvlText w:val="%1.%2"/>
      <w:lvlJc w:val="left"/>
      <w:pPr>
        <w:ind w:left="591" w:hanging="473"/>
        <w:jc w:val="left"/>
      </w:pPr>
      <w:rPr>
        <w:rFonts w:hint="default" w:ascii="Arial" w:hAnsi="Arial" w:eastAsia="Arial" w:cs="Arial"/>
        <w:b/>
        <w:bCs/>
        <w:w w:val="100"/>
        <w:sz w:val="28"/>
        <w:szCs w:val="28"/>
      </w:rPr>
    </w:lvl>
    <w:lvl w:ilvl="2">
      <w:start w:val="1"/>
      <w:numFmt w:val="decimal"/>
      <w:lvlText w:val="%3."/>
      <w:lvlJc w:val="left"/>
      <w:pPr>
        <w:ind w:left="478" w:hanging="348"/>
        <w:jc w:val="right"/>
      </w:pPr>
      <w:rPr>
        <w:rFonts w:hint="default" w:ascii="Arial" w:hAnsi="Arial" w:eastAsia="Arial" w:cs="Arial"/>
        <w:b/>
        <w:bCs/>
        <w:w w:val="99"/>
        <w:sz w:val="24"/>
        <w:szCs w:val="24"/>
      </w:rPr>
    </w:lvl>
    <w:lvl w:ilvl="3">
      <w:start w:val="1"/>
      <w:numFmt w:val="decimal"/>
      <w:lvlText w:val="%3.%4"/>
      <w:lvlJc w:val="left"/>
      <w:pPr>
        <w:ind w:left="987" w:hanging="401"/>
        <w:jc w:val="left"/>
      </w:pPr>
      <w:rPr>
        <w:rFonts w:hint="default" w:ascii="Arial" w:hAnsi="Arial" w:eastAsia="Arial" w:cs="Arial"/>
        <w:b/>
        <w:bCs/>
        <w:w w:val="99"/>
        <w:sz w:val="24"/>
        <w:szCs w:val="24"/>
      </w:rPr>
    </w:lvl>
    <w:lvl w:ilvl="4">
      <w:start w:val="1"/>
      <w:numFmt w:val="decimal"/>
      <w:lvlText w:val="%3.%4.%5"/>
      <w:lvlJc w:val="left"/>
      <w:pPr>
        <w:ind w:left="1254" w:hanging="600"/>
        <w:jc w:val="right"/>
      </w:pPr>
      <w:rPr>
        <w:rFonts w:hint="default" w:ascii="Arial" w:hAnsi="Arial" w:eastAsia="Arial" w:cs="Arial"/>
        <w:b/>
        <w:bCs/>
        <w:spacing w:val="-2"/>
        <w:w w:val="99"/>
        <w:sz w:val="24"/>
        <w:szCs w:val="24"/>
      </w:rPr>
    </w:lvl>
    <w:lvl w:ilvl="5">
      <w:start w:val="1"/>
      <w:numFmt w:val="bullet"/>
      <w:lvlText w:val="•"/>
      <w:lvlJc w:val="left"/>
      <w:pPr>
        <w:ind w:left="3654" w:hanging="600"/>
      </w:pPr>
      <w:rPr>
        <w:rFonts w:hint="default"/>
      </w:rPr>
    </w:lvl>
    <w:lvl w:ilvl="6">
      <w:start w:val="1"/>
      <w:numFmt w:val="bullet"/>
      <w:lvlText w:val="•"/>
      <w:lvlJc w:val="left"/>
      <w:pPr>
        <w:ind w:left="4851" w:hanging="600"/>
      </w:pPr>
      <w:rPr>
        <w:rFonts w:hint="default"/>
      </w:rPr>
    </w:lvl>
    <w:lvl w:ilvl="7">
      <w:start w:val="1"/>
      <w:numFmt w:val="bullet"/>
      <w:lvlText w:val="•"/>
      <w:lvlJc w:val="left"/>
      <w:pPr>
        <w:ind w:left="6048" w:hanging="600"/>
      </w:pPr>
      <w:rPr>
        <w:rFonts w:hint="default"/>
      </w:rPr>
    </w:lvl>
    <w:lvl w:ilvl="8">
      <w:start w:val="1"/>
      <w:numFmt w:val="bullet"/>
      <w:lvlText w:val="•"/>
      <w:lvlJc w:val="left"/>
      <w:pPr>
        <w:ind w:left="7245" w:hanging="600"/>
      </w:pPr>
      <w:rPr>
        <w:rFonts w:hint="default"/>
      </w:rPr>
    </w:lvl>
  </w:abstractNum>
  <w:abstractNum w:abstractNumId="17">
    <w:multiLevelType w:val="hybridMultilevel"/>
    <w:lvl w:ilvl="0">
      <w:start w:val="6"/>
      <w:numFmt w:val="decimal"/>
      <w:lvlText w:val="%1"/>
      <w:lvlJc w:val="left"/>
      <w:pPr>
        <w:ind w:left="1022" w:hanging="704"/>
        <w:jc w:val="left"/>
      </w:pPr>
      <w:rPr>
        <w:rFonts w:hint="default"/>
      </w:rPr>
    </w:lvl>
    <w:lvl w:ilvl="1">
      <w:start w:val="5"/>
      <w:numFmt w:val="decimal"/>
      <w:lvlText w:val="%1.%2"/>
      <w:lvlJc w:val="left"/>
      <w:pPr>
        <w:ind w:left="1022" w:hanging="704"/>
        <w:jc w:val="right"/>
      </w:pPr>
      <w:rPr>
        <w:rFonts w:hint="default"/>
      </w:rPr>
    </w:lvl>
    <w:lvl w:ilvl="2">
      <w:start w:val="2"/>
      <w:numFmt w:val="decimal"/>
      <w:lvlText w:val="%1.%2.%3"/>
      <w:lvlJc w:val="left"/>
      <w:pPr>
        <w:ind w:left="118" w:hanging="704"/>
        <w:jc w:val="right"/>
      </w:pPr>
      <w:rPr>
        <w:rFonts w:hint="default" w:ascii="Arial" w:hAnsi="Arial" w:eastAsia="Arial" w:cs="Arial"/>
        <w:b/>
        <w:bCs/>
        <w:w w:val="100"/>
        <w:sz w:val="28"/>
        <w:szCs w:val="28"/>
      </w:rPr>
    </w:lvl>
    <w:lvl w:ilvl="3">
      <w:start w:val="1"/>
      <w:numFmt w:val="bullet"/>
      <w:lvlText w:val="•"/>
      <w:lvlJc w:val="left"/>
      <w:pPr>
        <w:ind w:left="2980" w:hanging="704"/>
      </w:pPr>
      <w:rPr>
        <w:rFonts w:hint="default"/>
      </w:rPr>
    </w:lvl>
    <w:lvl w:ilvl="4">
      <w:start w:val="1"/>
      <w:numFmt w:val="bullet"/>
      <w:lvlText w:val="•"/>
      <w:lvlJc w:val="left"/>
      <w:pPr>
        <w:ind w:left="3960" w:hanging="704"/>
      </w:pPr>
      <w:rPr>
        <w:rFonts w:hint="default"/>
      </w:rPr>
    </w:lvl>
    <w:lvl w:ilvl="5">
      <w:start w:val="1"/>
      <w:numFmt w:val="bullet"/>
      <w:lvlText w:val="•"/>
      <w:lvlJc w:val="left"/>
      <w:pPr>
        <w:ind w:left="4940" w:hanging="704"/>
      </w:pPr>
      <w:rPr>
        <w:rFonts w:hint="default"/>
      </w:rPr>
    </w:lvl>
    <w:lvl w:ilvl="6">
      <w:start w:val="1"/>
      <w:numFmt w:val="bullet"/>
      <w:lvlText w:val="•"/>
      <w:lvlJc w:val="left"/>
      <w:pPr>
        <w:ind w:left="5920" w:hanging="704"/>
      </w:pPr>
      <w:rPr>
        <w:rFonts w:hint="default"/>
      </w:rPr>
    </w:lvl>
    <w:lvl w:ilvl="7">
      <w:start w:val="1"/>
      <w:numFmt w:val="bullet"/>
      <w:lvlText w:val="•"/>
      <w:lvlJc w:val="left"/>
      <w:pPr>
        <w:ind w:left="6900" w:hanging="704"/>
      </w:pPr>
      <w:rPr>
        <w:rFonts w:hint="default"/>
      </w:rPr>
    </w:lvl>
    <w:lvl w:ilvl="8">
      <w:start w:val="1"/>
      <w:numFmt w:val="bullet"/>
      <w:lvlText w:val="•"/>
      <w:lvlJc w:val="left"/>
      <w:pPr>
        <w:ind w:left="7880" w:hanging="704"/>
      </w:pPr>
      <w:rPr>
        <w:rFonts w:hint="default"/>
      </w:rPr>
    </w:lvl>
  </w:abstractNum>
  <w:abstractNum w:abstractNumId="16">
    <w:multiLevelType w:val="hybridMultilevel"/>
    <w:lvl w:ilvl="0">
      <w:start w:val="6"/>
      <w:numFmt w:val="decimal"/>
      <w:lvlText w:val="%1"/>
      <w:lvlJc w:val="left"/>
      <w:pPr>
        <w:ind w:left="586" w:hanging="468"/>
        <w:jc w:val="left"/>
      </w:pPr>
      <w:rPr>
        <w:rFonts w:hint="default"/>
      </w:rPr>
    </w:lvl>
    <w:lvl w:ilvl="1">
      <w:start w:val="1"/>
      <w:numFmt w:val="decimal"/>
      <w:lvlText w:val="%1.%2"/>
      <w:lvlJc w:val="left"/>
      <w:pPr>
        <w:ind w:left="586" w:hanging="468"/>
        <w:jc w:val="right"/>
      </w:pPr>
      <w:rPr>
        <w:rFonts w:hint="default" w:ascii="Arial" w:hAnsi="Arial" w:eastAsia="Arial" w:cs="Arial"/>
        <w:b/>
        <w:bCs/>
        <w:w w:val="100"/>
        <w:sz w:val="28"/>
        <w:szCs w:val="28"/>
      </w:rPr>
    </w:lvl>
    <w:lvl w:ilvl="2">
      <w:start w:val="1"/>
      <w:numFmt w:val="decimal"/>
      <w:lvlText w:val="%1.%2.%3"/>
      <w:lvlJc w:val="left"/>
      <w:pPr>
        <w:ind w:left="822" w:hanging="704"/>
        <w:jc w:val="right"/>
      </w:pPr>
      <w:rPr>
        <w:rFonts w:hint="default" w:ascii="Arial" w:hAnsi="Arial" w:eastAsia="Arial" w:cs="Arial"/>
        <w:b/>
        <w:bCs/>
        <w:w w:val="100"/>
        <w:sz w:val="28"/>
        <w:szCs w:val="28"/>
      </w:rPr>
    </w:lvl>
    <w:lvl w:ilvl="3">
      <w:start w:val="1"/>
      <w:numFmt w:val="bullet"/>
      <w:lvlText w:val="•"/>
      <w:lvlJc w:val="left"/>
      <w:pPr>
        <w:ind w:left="2780" w:hanging="704"/>
      </w:pPr>
      <w:rPr>
        <w:rFonts w:hint="default"/>
      </w:rPr>
    </w:lvl>
    <w:lvl w:ilvl="4">
      <w:start w:val="1"/>
      <w:numFmt w:val="bullet"/>
      <w:lvlText w:val="•"/>
      <w:lvlJc w:val="left"/>
      <w:pPr>
        <w:ind w:left="3760" w:hanging="704"/>
      </w:pPr>
      <w:rPr>
        <w:rFonts w:hint="default"/>
      </w:rPr>
    </w:lvl>
    <w:lvl w:ilvl="5">
      <w:start w:val="1"/>
      <w:numFmt w:val="bullet"/>
      <w:lvlText w:val="•"/>
      <w:lvlJc w:val="left"/>
      <w:pPr>
        <w:ind w:left="4740" w:hanging="704"/>
      </w:pPr>
      <w:rPr>
        <w:rFonts w:hint="default"/>
      </w:rPr>
    </w:lvl>
    <w:lvl w:ilvl="6">
      <w:start w:val="1"/>
      <w:numFmt w:val="bullet"/>
      <w:lvlText w:val="•"/>
      <w:lvlJc w:val="left"/>
      <w:pPr>
        <w:ind w:left="5720" w:hanging="704"/>
      </w:pPr>
      <w:rPr>
        <w:rFonts w:hint="default"/>
      </w:rPr>
    </w:lvl>
    <w:lvl w:ilvl="7">
      <w:start w:val="1"/>
      <w:numFmt w:val="bullet"/>
      <w:lvlText w:val="•"/>
      <w:lvlJc w:val="left"/>
      <w:pPr>
        <w:ind w:left="6700" w:hanging="704"/>
      </w:pPr>
      <w:rPr>
        <w:rFonts w:hint="default"/>
      </w:rPr>
    </w:lvl>
    <w:lvl w:ilvl="8">
      <w:start w:val="1"/>
      <w:numFmt w:val="bullet"/>
      <w:lvlText w:val="•"/>
      <w:lvlJc w:val="left"/>
      <w:pPr>
        <w:ind w:left="7680" w:hanging="704"/>
      </w:pPr>
      <w:rPr>
        <w:rFonts w:hint="default"/>
      </w:rPr>
    </w:lvl>
  </w:abstractNum>
  <w:abstractNum w:abstractNumId="15">
    <w:multiLevelType w:val="hybridMultilevel"/>
    <w:lvl w:ilvl="0">
      <w:start w:val="1"/>
      <w:numFmt w:val="bullet"/>
      <w:lvlText w:val=""/>
      <w:lvlJc w:val="left"/>
      <w:pPr>
        <w:ind w:left="838" w:hanging="348"/>
      </w:pPr>
      <w:rPr>
        <w:rFonts w:hint="default" w:ascii="Symbol" w:hAnsi="Symbol" w:eastAsia="Symbol" w:cs="Symbol"/>
        <w:w w:val="100"/>
        <w:sz w:val="24"/>
        <w:szCs w:val="24"/>
      </w:rPr>
    </w:lvl>
    <w:lvl w:ilvl="1">
      <w:start w:val="1"/>
      <w:numFmt w:val="bullet"/>
      <w:lvlText w:val="•"/>
      <w:lvlJc w:val="left"/>
      <w:pPr>
        <w:ind w:left="1720" w:hanging="348"/>
      </w:pPr>
      <w:rPr>
        <w:rFonts w:hint="default"/>
      </w:rPr>
    </w:lvl>
    <w:lvl w:ilvl="2">
      <w:start w:val="1"/>
      <w:numFmt w:val="bullet"/>
      <w:lvlText w:val="•"/>
      <w:lvlJc w:val="left"/>
      <w:pPr>
        <w:ind w:left="2600" w:hanging="348"/>
      </w:pPr>
      <w:rPr>
        <w:rFonts w:hint="default"/>
      </w:rPr>
    </w:lvl>
    <w:lvl w:ilvl="3">
      <w:start w:val="1"/>
      <w:numFmt w:val="bullet"/>
      <w:lvlText w:val="•"/>
      <w:lvlJc w:val="left"/>
      <w:pPr>
        <w:ind w:left="3480" w:hanging="348"/>
      </w:pPr>
      <w:rPr>
        <w:rFonts w:hint="default"/>
      </w:rPr>
    </w:lvl>
    <w:lvl w:ilvl="4">
      <w:start w:val="1"/>
      <w:numFmt w:val="bullet"/>
      <w:lvlText w:val="•"/>
      <w:lvlJc w:val="left"/>
      <w:pPr>
        <w:ind w:left="4360" w:hanging="348"/>
      </w:pPr>
      <w:rPr>
        <w:rFonts w:hint="default"/>
      </w:rPr>
    </w:lvl>
    <w:lvl w:ilvl="5">
      <w:start w:val="1"/>
      <w:numFmt w:val="bullet"/>
      <w:lvlText w:val="•"/>
      <w:lvlJc w:val="left"/>
      <w:pPr>
        <w:ind w:left="5240" w:hanging="348"/>
      </w:pPr>
      <w:rPr>
        <w:rFonts w:hint="default"/>
      </w:rPr>
    </w:lvl>
    <w:lvl w:ilvl="6">
      <w:start w:val="1"/>
      <w:numFmt w:val="bullet"/>
      <w:lvlText w:val="•"/>
      <w:lvlJc w:val="left"/>
      <w:pPr>
        <w:ind w:left="6120" w:hanging="348"/>
      </w:pPr>
      <w:rPr>
        <w:rFonts w:hint="default"/>
      </w:rPr>
    </w:lvl>
    <w:lvl w:ilvl="7">
      <w:start w:val="1"/>
      <w:numFmt w:val="bullet"/>
      <w:lvlText w:val="•"/>
      <w:lvlJc w:val="left"/>
      <w:pPr>
        <w:ind w:left="7000" w:hanging="348"/>
      </w:pPr>
      <w:rPr>
        <w:rFonts w:hint="default"/>
      </w:rPr>
    </w:lvl>
    <w:lvl w:ilvl="8">
      <w:start w:val="1"/>
      <w:numFmt w:val="bullet"/>
      <w:lvlText w:val="•"/>
      <w:lvlJc w:val="left"/>
      <w:pPr>
        <w:ind w:left="7880" w:hanging="348"/>
      </w:pPr>
      <w:rPr>
        <w:rFonts w:hint="default"/>
      </w:rPr>
    </w:lvl>
  </w:abstractNum>
  <w:abstractNum w:abstractNumId="14">
    <w:multiLevelType w:val="hybridMultilevel"/>
    <w:lvl w:ilvl="0">
      <w:start w:val="3"/>
      <w:numFmt w:val="decimal"/>
      <w:lvlText w:val="%1."/>
      <w:lvlJc w:val="left"/>
      <w:pPr>
        <w:ind w:left="826" w:hanging="348"/>
        <w:jc w:val="right"/>
      </w:pPr>
      <w:rPr>
        <w:rFonts w:hint="default" w:ascii="Arial" w:hAnsi="Arial" w:eastAsia="Arial" w:cs="Arial"/>
        <w:b/>
        <w:bCs/>
        <w:spacing w:val="-1"/>
        <w:w w:val="100"/>
        <w:sz w:val="28"/>
        <w:szCs w:val="28"/>
      </w:rPr>
    </w:lvl>
    <w:lvl w:ilvl="1">
      <w:start w:val="1"/>
      <w:numFmt w:val="upperLetter"/>
      <w:lvlText w:val="%2."/>
      <w:lvlJc w:val="left"/>
      <w:pPr>
        <w:ind w:left="826" w:hanging="348"/>
        <w:jc w:val="left"/>
      </w:pPr>
      <w:rPr>
        <w:rFonts w:hint="default" w:ascii="Arial" w:hAnsi="Arial" w:eastAsia="Arial" w:cs="Arial"/>
        <w:b/>
        <w:bCs/>
        <w:spacing w:val="-6"/>
        <w:w w:val="99"/>
        <w:sz w:val="24"/>
        <w:szCs w:val="24"/>
      </w:rPr>
    </w:lvl>
    <w:lvl w:ilvl="2">
      <w:start w:val="1"/>
      <w:numFmt w:val="bullet"/>
      <w:lvlText w:val="•"/>
      <w:lvlJc w:val="left"/>
      <w:pPr>
        <w:ind w:left="2584" w:hanging="348"/>
      </w:pPr>
      <w:rPr>
        <w:rFonts w:hint="default"/>
      </w:rPr>
    </w:lvl>
    <w:lvl w:ilvl="3">
      <w:start w:val="1"/>
      <w:numFmt w:val="bullet"/>
      <w:lvlText w:val="•"/>
      <w:lvlJc w:val="left"/>
      <w:pPr>
        <w:ind w:left="3466" w:hanging="348"/>
      </w:pPr>
      <w:rPr>
        <w:rFonts w:hint="default"/>
      </w:rPr>
    </w:lvl>
    <w:lvl w:ilvl="4">
      <w:start w:val="1"/>
      <w:numFmt w:val="bullet"/>
      <w:lvlText w:val="•"/>
      <w:lvlJc w:val="left"/>
      <w:pPr>
        <w:ind w:left="4348" w:hanging="348"/>
      </w:pPr>
      <w:rPr>
        <w:rFonts w:hint="default"/>
      </w:rPr>
    </w:lvl>
    <w:lvl w:ilvl="5">
      <w:start w:val="1"/>
      <w:numFmt w:val="bullet"/>
      <w:lvlText w:val="•"/>
      <w:lvlJc w:val="left"/>
      <w:pPr>
        <w:ind w:left="5230" w:hanging="348"/>
      </w:pPr>
      <w:rPr>
        <w:rFonts w:hint="default"/>
      </w:rPr>
    </w:lvl>
    <w:lvl w:ilvl="6">
      <w:start w:val="1"/>
      <w:numFmt w:val="bullet"/>
      <w:lvlText w:val="•"/>
      <w:lvlJc w:val="left"/>
      <w:pPr>
        <w:ind w:left="6112" w:hanging="348"/>
      </w:pPr>
      <w:rPr>
        <w:rFonts w:hint="default"/>
      </w:rPr>
    </w:lvl>
    <w:lvl w:ilvl="7">
      <w:start w:val="1"/>
      <w:numFmt w:val="bullet"/>
      <w:lvlText w:val="•"/>
      <w:lvlJc w:val="left"/>
      <w:pPr>
        <w:ind w:left="6994" w:hanging="348"/>
      </w:pPr>
      <w:rPr>
        <w:rFonts w:hint="default"/>
      </w:rPr>
    </w:lvl>
    <w:lvl w:ilvl="8">
      <w:start w:val="1"/>
      <w:numFmt w:val="bullet"/>
      <w:lvlText w:val="•"/>
      <w:lvlJc w:val="left"/>
      <w:pPr>
        <w:ind w:left="7876" w:hanging="348"/>
      </w:pPr>
      <w:rPr>
        <w:rFonts w:hint="default"/>
      </w:rPr>
    </w:lvl>
  </w:abstractNum>
  <w:abstractNum w:abstractNumId="13">
    <w:multiLevelType w:val="hybridMultilevel"/>
    <w:lvl w:ilvl="0">
      <w:start w:val="1"/>
      <w:numFmt w:val="decimal"/>
      <w:lvlText w:val="%1."/>
      <w:lvlJc w:val="left"/>
      <w:pPr>
        <w:ind w:left="823" w:hanging="348"/>
        <w:jc w:val="left"/>
      </w:pPr>
      <w:rPr>
        <w:rFonts w:hint="default"/>
        <w:spacing w:val="-1"/>
        <w:w w:val="100"/>
      </w:rPr>
    </w:lvl>
    <w:lvl w:ilvl="1">
      <w:start w:val="1"/>
      <w:numFmt w:val="bullet"/>
      <w:lvlText w:val="•"/>
      <w:lvlJc w:val="left"/>
      <w:pPr>
        <w:ind w:left="1214" w:hanging="348"/>
      </w:pPr>
      <w:rPr>
        <w:rFonts w:hint="default"/>
      </w:rPr>
    </w:lvl>
    <w:lvl w:ilvl="2">
      <w:start w:val="1"/>
      <w:numFmt w:val="bullet"/>
      <w:lvlText w:val="•"/>
      <w:lvlJc w:val="left"/>
      <w:pPr>
        <w:ind w:left="1609" w:hanging="348"/>
      </w:pPr>
      <w:rPr>
        <w:rFonts w:hint="default"/>
      </w:rPr>
    </w:lvl>
    <w:lvl w:ilvl="3">
      <w:start w:val="1"/>
      <w:numFmt w:val="bullet"/>
      <w:lvlText w:val="•"/>
      <w:lvlJc w:val="left"/>
      <w:pPr>
        <w:ind w:left="2003" w:hanging="348"/>
      </w:pPr>
      <w:rPr>
        <w:rFonts w:hint="default"/>
      </w:rPr>
    </w:lvl>
    <w:lvl w:ilvl="4">
      <w:start w:val="1"/>
      <w:numFmt w:val="bullet"/>
      <w:lvlText w:val="•"/>
      <w:lvlJc w:val="left"/>
      <w:pPr>
        <w:ind w:left="2398" w:hanging="348"/>
      </w:pPr>
      <w:rPr>
        <w:rFonts w:hint="default"/>
      </w:rPr>
    </w:lvl>
    <w:lvl w:ilvl="5">
      <w:start w:val="1"/>
      <w:numFmt w:val="bullet"/>
      <w:lvlText w:val="•"/>
      <w:lvlJc w:val="left"/>
      <w:pPr>
        <w:ind w:left="2792" w:hanging="348"/>
      </w:pPr>
      <w:rPr>
        <w:rFonts w:hint="default"/>
      </w:rPr>
    </w:lvl>
    <w:lvl w:ilvl="6">
      <w:start w:val="1"/>
      <w:numFmt w:val="bullet"/>
      <w:lvlText w:val="•"/>
      <w:lvlJc w:val="left"/>
      <w:pPr>
        <w:ind w:left="3187" w:hanging="348"/>
      </w:pPr>
      <w:rPr>
        <w:rFonts w:hint="default"/>
      </w:rPr>
    </w:lvl>
    <w:lvl w:ilvl="7">
      <w:start w:val="1"/>
      <w:numFmt w:val="bullet"/>
      <w:lvlText w:val="•"/>
      <w:lvlJc w:val="left"/>
      <w:pPr>
        <w:ind w:left="3581" w:hanging="348"/>
      </w:pPr>
      <w:rPr>
        <w:rFonts w:hint="default"/>
      </w:rPr>
    </w:lvl>
    <w:lvl w:ilvl="8">
      <w:start w:val="1"/>
      <w:numFmt w:val="bullet"/>
      <w:lvlText w:val="•"/>
      <w:lvlJc w:val="left"/>
      <w:pPr>
        <w:ind w:left="3976" w:hanging="348"/>
      </w:pPr>
      <w:rPr>
        <w:rFonts w:hint="default"/>
      </w:rPr>
    </w:lvl>
  </w:abstractNum>
  <w:abstractNum w:abstractNumId="12">
    <w:multiLevelType w:val="hybridMultilevel"/>
    <w:lvl w:ilvl="0">
      <w:start w:val="1"/>
      <w:numFmt w:val="decimal"/>
      <w:lvlText w:val="%1."/>
      <w:lvlJc w:val="left"/>
      <w:pPr>
        <w:ind w:left="823" w:hanging="360"/>
        <w:jc w:val="left"/>
      </w:pPr>
      <w:rPr>
        <w:rFonts w:hint="default"/>
        <w:spacing w:val="-1"/>
        <w:w w:val="100"/>
      </w:rPr>
    </w:lvl>
    <w:lvl w:ilvl="1">
      <w:start w:val="1"/>
      <w:numFmt w:val="bullet"/>
      <w:lvlText w:val="•"/>
      <w:lvlJc w:val="left"/>
      <w:pPr>
        <w:ind w:left="1214" w:hanging="360"/>
      </w:pPr>
      <w:rPr>
        <w:rFonts w:hint="default"/>
      </w:rPr>
    </w:lvl>
    <w:lvl w:ilvl="2">
      <w:start w:val="1"/>
      <w:numFmt w:val="bullet"/>
      <w:lvlText w:val="•"/>
      <w:lvlJc w:val="left"/>
      <w:pPr>
        <w:ind w:left="1608" w:hanging="360"/>
      </w:pPr>
      <w:rPr>
        <w:rFonts w:hint="default"/>
      </w:rPr>
    </w:lvl>
    <w:lvl w:ilvl="3">
      <w:start w:val="1"/>
      <w:numFmt w:val="bullet"/>
      <w:lvlText w:val="•"/>
      <w:lvlJc w:val="left"/>
      <w:pPr>
        <w:ind w:left="2002" w:hanging="360"/>
      </w:pPr>
      <w:rPr>
        <w:rFonts w:hint="default"/>
      </w:rPr>
    </w:lvl>
    <w:lvl w:ilvl="4">
      <w:start w:val="1"/>
      <w:numFmt w:val="bullet"/>
      <w:lvlText w:val="•"/>
      <w:lvlJc w:val="left"/>
      <w:pPr>
        <w:ind w:left="2397" w:hanging="360"/>
      </w:pPr>
      <w:rPr>
        <w:rFonts w:hint="default"/>
      </w:rPr>
    </w:lvl>
    <w:lvl w:ilvl="5">
      <w:start w:val="1"/>
      <w:numFmt w:val="bullet"/>
      <w:lvlText w:val="•"/>
      <w:lvlJc w:val="left"/>
      <w:pPr>
        <w:ind w:left="2791" w:hanging="360"/>
      </w:pPr>
      <w:rPr>
        <w:rFonts w:hint="default"/>
      </w:rPr>
    </w:lvl>
    <w:lvl w:ilvl="6">
      <w:start w:val="1"/>
      <w:numFmt w:val="bullet"/>
      <w:lvlText w:val="•"/>
      <w:lvlJc w:val="left"/>
      <w:pPr>
        <w:ind w:left="3185" w:hanging="360"/>
      </w:pPr>
      <w:rPr>
        <w:rFonts w:hint="default"/>
      </w:rPr>
    </w:lvl>
    <w:lvl w:ilvl="7">
      <w:start w:val="1"/>
      <w:numFmt w:val="bullet"/>
      <w:lvlText w:val="•"/>
      <w:lvlJc w:val="left"/>
      <w:pPr>
        <w:ind w:left="3579" w:hanging="360"/>
      </w:pPr>
      <w:rPr>
        <w:rFonts w:hint="default"/>
      </w:rPr>
    </w:lvl>
    <w:lvl w:ilvl="8">
      <w:start w:val="1"/>
      <w:numFmt w:val="bullet"/>
      <w:lvlText w:val="•"/>
      <w:lvlJc w:val="left"/>
      <w:pPr>
        <w:ind w:left="3974" w:hanging="360"/>
      </w:pPr>
      <w:rPr>
        <w:rFonts w:hint="default"/>
      </w:rPr>
    </w:lvl>
  </w:abstractNum>
  <w:abstractNum w:abstractNumId="11">
    <w:multiLevelType w:val="hybridMultilevel"/>
    <w:lvl w:ilvl="0">
      <w:start w:val="2"/>
      <w:numFmt w:val="decimal"/>
      <w:lvlText w:val="%1"/>
      <w:lvlJc w:val="left"/>
      <w:pPr>
        <w:ind w:left="1054" w:hanging="936"/>
        <w:jc w:val="left"/>
      </w:pPr>
      <w:rPr>
        <w:rFonts w:hint="default"/>
      </w:rPr>
    </w:lvl>
    <w:lvl w:ilvl="1">
      <w:start w:val="3"/>
      <w:numFmt w:val="decimal"/>
      <w:lvlText w:val="%1.%2"/>
      <w:lvlJc w:val="left"/>
      <w:pPr>
        <w:ind w:left="1054" w:hanging="936"/>
        <w:jc w:val="left"/>
      </w:pPr>
      <w:rPr>
        <w:rFonts w:hint="default"/>
      </w:rPr>
    </w:lvl>
    <w:lvl w:ilvl="2">
      <w:start w:val="1"/>
      <w:numFmt w:val="decimal"/>
      <w:lvlText w:val="%1.%2.%3"/>
      <w:lvlJc w:val="left"/>
      <w:pPr>
        <w:ind w:left="1054" w:hanging="936"/>
        <w:jc w:val="left"/>
      </w:pPr>
      <w:rPr>
        <w:rFonts w:hint="default"/>
      </w:rPr>
    </w:lvl>
    <w:lvl w:ilvl="3">
      <w:start w:val="1"/>
      <w:numFmt w:val="decimal"/>
      <w:lvlText w:val="%1.%2.%3.%4"/>
      <w:lvlJc w:val="left"/>
      <w:pPr>
        <w:ind w:left="1054" w:hanging="936"/>
        <w:jc w:val="right"/>
      </w:pPr>
      <w:rPr>
        <w:rFonts w:hint="default" w:ascii="Arial" w:hAnsi="Arial" w:eastAsia="Arial" w:cs="Arial"/>
        <w:b/>
        <w:bCs/>
        <w:spacing w:val="-3"/>
        <w:w w:val="100"/>
        <w:sz w:val="28"/>
        <w:szCs w:val="28"/>
      </w:rPr>
    </w:lvl>
    <w:lvl w:ilvl="4">
      <w:start w:val="1"/>
      <w:numFmt w:val="decimal"/>
      <w:lvlText w:val="%5)"/>
      <w:lvlJc w:val="left"/>
      <w:pPr>
        <w:ind w:left="838" w:hanging="348"/>
        <w:jc w:val="left"/>
      </w:pPr>
      <w:rPr>
        <w:rFonts w:hint="default" w:ascii="Arial" w:hAnsi="Arial" w:eastAsia="Arial" w:cs="Arial"/>
        <w:w w:val="99"/>
        <w:sz w:val="24"/>
        <w:szCs w:val="24"/>
      </w:rPr>
    </w:lvl>
    <w:lvl w:ilvl="5">
      <w:start w:val="1"/>
      <w:numFmt w:val="bullet"/>
      <w:lvlText w:val="•"/>
      <w:lvlJc w:val="left"/>
      <w:pPr>
        <w:ind w:left="4873" w:hanging="348"/>
      </w:pPr>
      <w:rPr>
        <w:rFonts w:hint="default"/>
      </w:rPr>
    </w:lvl>
    <w:lvl w:ilvl="6">
      <w:start w:val="1"/>
      <w:numFmt w:val="bullet"/>
      <w:lvlText w:val="•"/>
      <w:lvlJc w:val="left"/>
      <w:pPr>
        <w:ind w:left="5826" w:hanging="348"/>
      </w:pPr>
      <w:rPr>
        <w:rFonts w:hint="default"/>
      </w:rPr>
    </w:lvl>
    <w:lvl w:ilvl="7">
      <w:start w:val="1"/>
      <w:numFmt w:val="bullet"/>
      <w:lvlText w:val="•"/>
      <w:lvlJc w:val="left"/>
      <w:pPr>
        <w:ind w:left="6780" w:hanging="348"/>
      </w:pPr>
      <w:rPr>
        <w:rFonts w:hint="default"/>
      </w:rPr>
    </w:lvl>
    <w:lvl w:ilvl="8">
      <w:start w:val="1"/>
      <w:numFmt w:val="bullet"/>
      <w:lvlText w:val="•"/>
      <w:lvlJc w:val="left"/>
      <w:pPr>
        <w:ind w:left="7733" w:hanging="348"/>
      </w:pPr>
      <w:rPr>
        <w:rFonts w:hint="default"/>
      </w:rPr>
    </w:lvl>
  </w:abstractNum>
  <w:abstractNum w:abstractNumId="10">
    <w:multiLevelType w:val="hybridMultilevel"/>
    <w:lvl w:ilvl="0">
      <w:start w:val="2"/>
      <w:numFmt w:val="decimal"/>
      <w:lvlText w:val="%1"/>
      <w:lvlJc w:val="left"/>
      <w:pPr>
        <w:ind w:left="118" w:hanging="704"/>
        <w:jc w:val="left"/>
      </w:pPr>
      <w:rPr>
        <w:rFonts w:hint="default"/>
      </w:rPr>
    </w:lvl>
    <w:lvl w:ilvl="1">
      <w:start w:val="3"/>
      <w:numFmt w:val="decimal"/>
      <w:lvlText w:val="%1.%2"/>
      <w:lvlJc w:val="left"/>
      <w:pPr>
        <w:ind w:left="118" w:hanging="704"/>
        <w:jc w:val="left"/>
      </w:pPr>
      <w:rPr>
        <w:rFonts w:hint="default"/>
      </w:rPr>
    </w:lvl>
    <w:lvl w:ilvl="2">
      <w:start w:val="1"/>
      <w:numFmt w:val="decimal"/>
      <w:lvlText w:val="%1.%2.%3"/>
      <w:lvlJc w:val="left"/>
      <w:pPr>
        <w:ind w:left="118" w:hanging="704"/>
        <w:jc w:val="left"/>
      </w:pPr>
      <w:rPr>
        <w:rFonts w:hint="default" w:ascii="Arial" w:hAnsi="Arial" w:eastAsia="Arial" w:cs="Arial"/>
        <w:b/>
        <w:bCs/>
        <w:w w:val="100"/>
        <w:sz w:val="28"/>
        <w:szCs w:val="28"/>
      </w:rPr>
    </w:lvl>
    <w:lvl w:ilvl="3">
      <w:start w:val="1"/>
      <w:numFmt w:val="decimal"/>
      <w:lvlText w:val="%4."/>
      <w:lvlJc w:val="left"/>
      <w:pPr>
        <w:ind w:left="838" w:hanging="348"/>
        <w:jc w:val="left"/>
      </w:pPr>
      <w:rPr>
        <w:rFonts w:hint="default" w:ascii="Arial" w:hAnsi="Arial" w:eastAsia="Arial" w:cs="Arial"/>
        <w:spacing w:val="-30"/>
        <w:w w:val="99"/>
        <w:sz w:val="24"/>
        <w:szCs w:val="24"/>
      </w:rPr>
    </w:lvl>
    <w:lvl w:ilvl="4">
      <w:start w:val="1"/>
      <w:numFmt w:val="bullet"/>
      <w:lvlText w:val="•"/>
      <w:lvlJc w:val="left"/>
      <w:pPr>
        <w:ind w:left="3773" w:hanging="348"/>
      </w:pPr>
      <w:rPr>
        <w:rFonts w:hint="default"/>
      </w:rPr>
    </w:lvl>
    <w:lvl w:ilvl="5">
      <w:start w:val="1"/>
      <w:numFmt w:val="bullet"/>
      <w:lvlText w:val="•"/>
      <w:lvlJc w:val="left"/>
      <w:pPr>
        <w:ind w:left="4751" w:hanging="348"/>
      </w:pPr>
      <w:rPr>
        <w:rFonts w:hint="default"/>
      </w:rPr>
    </w:lvl>
    <w:lvl w:ilvl="6">
      <w:start w:val="1"/>
      <w:numFmt w:val="bullet"/>
      <w:lvlText w:val="•"/>
      <w:lvlJc w:val="left"/>
      <w:pPr>
        <w:ind w:left="5728" w:hanging="348"/>
      </w:pPr>
      <w:rPr>
        <w:rFonts w:hint="default"/>
      </w:rPr>
    </w:lvl>
    <w:lvl w:ilvl="7">
      <w:start w:val="1"/>
      <w:numFmt w:val="bullet"/>
      <w:lvlText w:val="•"/>
      <w:lvlJc w:val="left"/>
      <w:pPr>
        <w:ind w:left="6706" w:hanging="348"/>
      </w:pPr>
      <w:rPr>
        <w:rFonts w:hint="default"/>
      </w:rPr>
    </w:lvl>
    <w:lvl w:ilvl="8">
      <w:start w:val="1"/>
      <w:numFmt w:val="bullet"/>
      <w:lvlText w:val="•"/>
      <w:lvlJc w:val="left"/>
      <w:pPr>
        <w:ind w:left="7684" w:hanging="348"/>
      </w:pPr>
      <w:rPr>
        <w:rFonts w:hint="default"/>
      </w:rPr>
    </w:lvl>
  </w:abstractNum>
  <w:abstractNum w:abstractNumId="9">
    <w:multiLevelType w:val="hybridMultilevel"/>
    <w:lvl w:ilvl="0">
      <w:start w:val="2"/>
      <w:numFmt w:val="decimal"/>
      <w:lvlText w:val="%1"/>
      <w:lvlJc w:val="left"/>
      <w:pPr>
        <w:ind w:left="589" w:hanging="471"/>
        <w:jc w:val="left"/>
      </w:pPr>
      <w:rPr>
        <w:rFonts w:hint="default"/>
      </w:rPr>
    </w:lvl>
    <w:lvl w:ilvl="1">
      <w:start w:val="3"/>
      <w:numFmt w:val="decimal"/>
      <w:lvlText w:val="%1.%2"/>
      <w:lvlJc w:val="left"/>
      <w:pPr>
        <w:ind w:left="589" w:hanging="471"/>
        <w:jc w:val="left"/>
      </w:pPr>
      <w:rPr>
        <w:rFonts w:hint="default" w:ascii="Arial" w:hAnsi="Arial" w:eastAsia="Arial" w:cs="Arial"/>
        <w:b/>
        <w:bCs/>
        <w:w w:val="100"/>
        <w:sz w:val="28"/>
        <w:szCs w:val="28"/>
      </w:rPr>
    </w:lvl>
    <w:lvl w:ilvl="2">
      <w:start w:val="1"/>
      <w:numFmt w:val="decimal"/>
      <w:lvlText w:val="%3."/>
      <w:lvlJc w:val="left"/>
      <w:pPr>
        <w:ind w:left="838" w:hanging="348"/>
        <w:jc w:val="left"/>
      </w:pPr>
      <w:rPr>
        <w:rFonts w:hint="default" w:ascii="Arial" w:hAnsi="Arial" w:eastAsia="Arial" w:cs="Arial"/>
        <w:spacing w:val="-30"/>
        <w:w w:val="99"/>
        <w:sz w:val="24"/>
        <w:szCs w:val="24"/>
      </w:rPr>
    </w:lvl>
    <w:lvl w:ilvl="3">
      <w:start w:val="1"/>
      <w:numFmt w:val="bullet"/>
      <w:lvlText w:val="•"/>
      <w:lvlJc w:val="left"/>
      <w:pPr>
        <w:ind w:left="2795" w:hanging="348"/>
      </w:pPr>
      <w:rPr>
        <w:rFonts w:hint="default"/>
      </w:rPr>
    </w:lvl>
    <w:lvl w:ilvl="4">
      <w:start w:val="1"/>
      <w:numFmt w:val="bullet"/>
      <w:lvlText w:val="•"/>
      <w:lvlJc w:val="left"/>
      <w:pPr>
        <w:ind w:left="3773" w:hanging="348"/>
      </w:pPr>
      <w:rPr>
        <w:rFonts w:hint="default"/>
      </w:rPr>
    </w:lvl>
    <w:lvl w:ilvl="5">
      <w:start w:val="1"/>
      <w:numFmt w:val="bullet"/>
      <w:lvlText w:val="•"/>
      <w:lvlJc w:val="left"/>
      <w:pPr>
        <w:ind w:left="4751" w:hanging="348"/>
      </w:pPr>
      <w:rPr>
        <w:rFonts w:hint="default"/>
      </w:rPr>
    </w:lvl>
    <w:lvl w:ilvl="6">
      <w:start w:val="1"/>
      <w:numFmt w:val="bullet"/>
      <w:lvlText w:val="•"/>
      <w:lvlJc w:val="left"/>
      <w:pPr>
        <w:ind w:left="5728" w:hanging="348"/>
      </w:pPr>
      <w:rPr>
        <w:rFonts w:hint="default"/>
      </w:rPr>
    </w:lvl>
    <w:lvl w:ilvl="7">
      <w:start w:val="1"/>
      <w:numFmt w:val="bullet"/>
      <w:lvlText w:val="•"/>
      <w:lvlJc w:val="left"/>
      <w:pPr>
        <w:ind w:left="6706" w:hanging="348"/>
      </w:pPr>
      <w:rPr>
        <w:rFonts w:hint="default"/>
      </w:rPr>
    </w:lvl>
    <w:lvl w:ilvl="8">
      <w:start w:val="1"/>
      <w:numFmt w:val="bullet"/>
      <w:lvlText w:val="•"/>
      <w:lvlJc w:val="left"/>
      <w:pPr>
        <w:ind w:left="7684" w:hanging="348"/>
      </w:pPr>
      <w:rPr>
        <w:rFonts w:hint="default"/>
      </w:rPr>
    </w:lvl>
  </w:abstractNum>
  <w:abstractNum w:abstractNumId="8">
    <w:multiLevelType w:val="hybridMultilevel"/>
    <w:lvl w:ilvl="0">
      <w:start w:val="1"/>
      <w:numFmt w:val="bullet"/>
      <w:lvlText w:val=""/>
      <w:lvlJc w:val="left"/>
      <w:pPr>
        <w:ind w:left="647" w:hanging="348"/>
      </w:pPr>
      <w:rPr>
        <w:rFonts w:hint="default" w:ascii="Symbol" w:hAnsi="Symbol" w:eastAsia="Symbol" w:cs="Symbol"/>
        <w:w w:val="100"/>
        <w:sz w:val="24"/>
        <w:szCs w:val="24"/>
      </w:rPr>
    </w:lvl>
    <w:lvl w:ilvl="1">
      <w:start w:val="1"/>
      <w:numFmt w:val="bullet"/>
      <w:lvlText w:val="•"/>
      <w:lvlJc w:val="left"/>
      <w:pPr>
        <w:ind w:left="1091" w:hanging="348"/>
      </w:pPr>
      <w:rPr>
        <w:rFonts w:hint="default"/>
      </w:rPr>
    </w:lvl>
    <w:lvl w:ilvl="2">
      <w:start w:val="1"/>
      <w:numFmt w:val="bullet"/>
      <w:lvlText w:val="•"/>
      <w:lvlJc w:val="left"/>
      <w:pPr>
        <w:ind w:left="1543" w:hanging="348"/>
      </w:pPr>
      <w:rPr>
        <w:rFonts w:hint="default"/>
      </w:rPr>
    </w:lvl>
    <w:lvl w:ilvl="3">
      <w:start w:val="1"/>
      <w:numFmt w:val="bullet"/>
      <w:lvlText w:val="•"/>
      <w:lvlJc w:val="left"/>
      <w:pPr>
        <w:ind w:left="1994" w:hanging="348"/>
      </w:pPr>
      <w:rPr>
        <w:rFonts w:hint="default"/>
      </w:rPr>
    </w:lvl>
    <w:lvl w:ilvl="4">
      <w:start w:val="1"/>
      <w:numFmt w:val="bullet"/>
      <w:lvlText w:val="•"/>
      <w:lvlJc w:val="left"/>
      <w:pPr>
        <w:ind w:left="2446" w:hanging="348"/>
      </w:pPr>
      <w:rPr>
        <w:rFonts w:hint="default"/>
      </w:rPr>
    </w:lvl>
    <w:lvl w:ilvl="5">
      <w:start w:val="1"/>
      <w:numFmt w:val="bullet"/>
      <w:lvlText w:val="•"/>
      <w:lvlJc w:val="left"/>
      <w:pPr>
        <w:ind w:left="2898" w:hanging="348"/>
      </w:pPr>
      <w:rPr>
        <w:rFonts w:hint="default"/>
      </w:rPr>
    </w:lvl>
    <w:lvl w:ilvl="6">
      <w:start w:val="1"/>
      <w:numFmt w:val="bullet"/>
      <w:lvlText w:val="•"/>
      <w:lvlJc w:val="left"/>
      <w:pPr>
        <w:ind w:left="3349" w:hanging="348"/>
      </w:pPr>
      <w:rPr>
        <w:rFonts w:hint="default"/>
      </w:rPr>
    </w:lvl>
    <w:lvl w:ilvl="7">
      <w:start w:val="1"/>
      <w:numFmt w:val="bullet"/>
      <w:lvlText w:val="•"/>
      <w:lvlJc w:val="left"/>
      <w:pPr>
        <w:ind w:left="3801" w:hanging="348"/>
      </w:pPr>
      <w:rPr>
        <w:rFonts w:hint="default"/>
      </w:rPr>
    </w:lvl>
    <w:lvl w:ilvl="8">
      <w:start w:val="1"/>
      <w:numFmt w:val="bullet"/>
      <w:lvlText w:val="•"/>
      <w:lvlJc w:val="left"/>
      <w:pPr>
        <w:ind w:left="4252" w:hanging="348"/>
      </w:pPr>
      <w:rPr>
        <w:rFonts w:hint="default"/>
      </w:rPr>
    </w:lvl>
  </w:abstractNum>
  <w:abstractNum w:abstractNumId="7">
    <w:multiLevelType w:val="hybridMultilevel"/>
    <w:lvl w:ilvl="0">
      <w:start w:val="1"/>
      <w:numFmt w:val="bullet"/>
      <w:lvlText w:val=""/>
      <w:lvlJc w:val="left"/>
      <w:pPr>
        <w:ind w:left="560" w:hanging="348"/>
      </w:pPr>
      <w:rPr>
        <w:rFonts w:hint="default"/>
        <w:w w:val="100"/>
      </w:rPr>
    </w:lvl>
    <w:lvl w:ilvl="1">
      <w:start w:val="1"/>
      <w:numFmt w:val="bullet"/>
      <w:lvlText w:val="•"/>
      <w:lvlJc w:val="left"/>
      <w:pPr>
        <w:ind w:left="1005" w:hanging="348"/>
      </w:pPr>
      <w:rPr>
        <w:rFonts w:hint="default"/>
      </w:rPr>
    </w:lvl>
    <w:lvl w:ilvl="2">
      <w:start w:val="1"/>
      <w:numFmt w:val="bullet"/>
      <w:lvlText w:val="•"/>
      <w:lvlJc w:val="left"/>
      <w:pPr>
        <w:ind w:left="1451" w:hanging="348"/>
      </w:pPr>
      <w:rPr>
        <w:rFonts w:hint="default"/>
      </w:rPr>
    </w:lvl>
    <w:lvl w:ilvl="3">
      <w:start w:val="1"/>
      <w:numFmt w:val="bullet"/>
      <w:lvlText w:val="•"/>
      <w:lvlJc w:val="left"/>
      <w:pPr>
        <w:ind w:left="1897" w:hanging="348"/>
      </w:pPr>
      <w:rPr>
        <w:rFonts w:hint="default"/>
      </w:rPr>
    </w:lvl>
    <w:lvl w:ilvl="4">
      <w:start w:val="1"/>
      <w:numFmt w:val="bullet"/>
      <w:lvlText w:val="•"/>
      <w:lvlJc w:val="left"/>
      <w:pPr>
        <w:ind w:left="2343" w:hanging="348"/>
      </w:pPr>
      <w:rPr>
        <w:rFonts w:hint="default"/>
      </w:rPr>
    </w:lvl>
    <w:lvl w:ilvl="5">
      <w:start w:val="1"/>
      <w:numFmt w:val="bullet"/>
      <w:lvlText w:val="•"/>
      <w:lvlJc w:val="left"/>
      <w:pPr>
        <w:ind w:left="2789" w:hanging="348"/>
      </w:pPr>
      <w:rPr>
        <w:rFonts w:hint="default"/>
      </w:rPr>
    </w:lvl>
    <w:lvl w:ilvl="6">
      <w:start w:val="1"/>
      <w:numFmt w:val="bullet"/>
      <w:lvlText w:val="•"/>
      <w:lvlJc w:val="left"/>
      <w:pPr>
        <w:ind w:left="3235" w:hanging="348"/>
      </w:pPr>
      <w:rPr>
        <w:rFonts w:hint="default"/>
      </w:rPr>
    </w:lvl>
    <w:lvl w:ilvl="7">
      <w:start w:val="1"/>
      <w:numFmt w:val="bullet"/>
      <w:lvlText w:val="•"/>
      <w:lvlJc w:val="left"/>
      <w:pPr>
        <w:ind w:left="3680" w:hanging="348"/>
      </w:pPr>
      <w:rPr>
        <w:rFonts w:hint="default"/>
      </w:rPr>
    </w:lvl>
    <w:lvl w:ilvl="8">
      <w:start w:val="1"/>
      <w:numFmt w:val="bullet"/>
      <w:lvlText w:val="•"/>
      <w:lvlJc w:val="left"/>
      <w:pPr>
        <w:ind w:left="4126" w:hanging="348"/>
      </w:pPr>
      <w:rPr>
        <w:rFonts w:hint="default"/>
      </w:rPr>
    </w:lvl>
  </w:abstractNum>
  <w:abstractNum w:abstractNumId="6">
    <w:multiLevelType w:val="hybridMultilevel"/>
    <w:lvl w:ilvl="0">
      <w:start w:val="2"/>
      <w:numFmt w:val="decimal"/>
      <w:lvlText w:val="%1"/>
      <w:lvlJc w:val="left"/>
      <w:pPr>
        <w:ind w:left="822" w:hanging="704"/>
        <w:jc w:val="left"/>
      </w:pPr>
      <w:rPr>
        <w:rFonts w:hint="default"/>
      </w:rPr>
    </w:lvl>
    <w:lvl w:ilvl="1">
      <w:start w:val="2"/>
      <w:numFmt w:val="decimal"/>
      <w:lvlText w:val="%1.%2"/>
      <w:lvlJc w:val="left"/>
      <w:pPr>
        <w:ind w:left="822" w:hanging="704"/>
        <w:jc w:val="left"/>
      </w:pPr>
      <w:rPr>
        <w:rFonts w:hint="default"/>
      </w:rPr>
    </w:lvl>
    <w:lvl w:ilvl="2">
      <w:start w:val="1"/>
      <w:numFmt w:val="decimal"/>
      <w:lvlText w:val="%1.%2.%3"/>
      <w:lvlJc w:val="left"/>
      <w:pPr>
        <w:ind w:left="822" w:hanging="704"/>
        <w:jc w:val="right"/>
      </w:pPr>
      <w:rPr>
        <w:rFonts w:hint="default" w:ascii="Arial" w:hAnsi="Arial" w:eastAsia="Arial" w:cs="Arial"/>
        <w:b/>
        <w:bCs/>
        <w:w w:val="100"/>
        <w:sz w:val="28"/>
        <w:szCs w:val="28"/>
      </w:rPr>
    </w:lvl>
    <w:lvl w:ilvl="3">
      <w:start w:val="1"/>
      <w:numFmt w:val="bullet"/>
      <w:lvlText w:val="•"/>
      <w:lvlJc w:val="left"/>
      <w:pPr>
        <w:ind w:left="3466" w:hanging="704"/>
      </w:pPr>
      <w:rPr>
        <w:rFonts w:hint="default"/>
      </w:rPr>
    </w:lvl>
    <w:lvl w:ilvl="4">
      <w:start w:val="1"/>
      <w:numFmt w:val="bullet"/>
      <w:lvlText w:val="•"/>
      <w:lvlJc w:val="left"/>
      <w:pPr>
        <w:ind w:left="4348" w:hanging="704"/>
      </w:pPr>
      <w:rPr>
        <w:rFonts w:hint="default"/>
      </w:rPr>
    </w:lvl>
    <w:lvl w:ilvl="5">
      <w:start w:val="1"/>
      <w:numFmt w:val="bullet"/>
      <w:lvlText w:val="•"/>
      <w:lvlJc w:val="left"/>
      <w:pPr>
        <w:ind w:left="5230" w:hanging="704"/>
      </w:pPr>
      <w:rPr>
        <w:rFonts w:hint="default"/>
      </w:rPr>
    </w:lvl>
    <w:lvl w:ilvl="6">
      <w:start w:val="1"/>
      <w:numFmt w:val="bullet"/>
      <w:lvlText w:val="•"/>
      <w:lvlJc w:val="left"/>
      <w:pPr>
        <w:ind w:left="6112" w:hanging="704"/>
      </w:pPr>
      <w:rPr>
        <w:rFonts w:hint="default"/>
      </w:rPr>
    </w:lvl>
    <w:lvl w:ilvl="7">
      <w:start w:val="1"/>
      <w:numFmt w:val="bullet"/>
      <w:lvlText w:val="•"/>
      <w:lvlJc w:val="left"/>
      <w:pPr>
        <w:ind w:left="6994" w:hanging="704"/>
      </w:pPr>
      <w:rPr>
        <w:rFonts w:hint="default"/>
      </w:rPr>
    </w:lvl>
    <w:lvl w:ilvl="8">
      <w:start w:val="1"/>
      <w:numFmt w:val="bullet"/>
      <w:lvlText w:val="•"/>
      <w:lvlJc w:val="left"/>
      <w:pPr>
        <w:ind w:left="7876" w:hanging="704"/>
      </w:pPr>
      <w:rPr>
        <w:rFonts w:hint="default"/>
      </w:rPr>
    </w:lvl>
  </w:abstractNum>
  <w:abstractNum w:abstractNumId="5">
    <w:multiLevelType w:val="hybridMultilevel"/>
    <w:lvl w:ilvl="0">
      <w:start w:val="1"/>
      <w:numFmt w:val="decimal"/>
      <w:lvlText w:val="%1."/>
      <w:lvlJc w:val="left"/>
      <w:pPr>
        <w:ind w:left="538" w:hanging="360"/>
        <w:jc w:val="left"/>
      </w:pPr>
      <w:rPr>
        <w:rFonts w:hint="default" w:ascii="Arial" w:hAnsi="Arial" w:eastAsia="Arial" w:cs="Arial"/>
        <w:spacing w:val="-1"/>
        <w:w w:val="99"/>
        <w:sz w:val="24"/>
        <w:szCs w:val="24"/>
      </w:rPr>
    </w:lvl>
    <w:lvl w:ilvl="1">
      <w:start w:val="1"/>
      <w:numFmt w:val="bullet"/>
      <w:lvlText w:val="•"/>
      <w:lvlJc w:val="left"/>
      <w:pPr>
        <w:ind w:left="1450" w:hanging="360"/>
      </w:pPr>
      <w:rPr>
        <w:rFonts w:hint="default"/>
      </w:rPr>
    </w:lvl>
    <w:lvl w:ilvl="2">
      <w:start w:val="1"/>
      <w:numFmt w:val="bullet"/>
      <w:lvlText w:val="•"/>
      <w:lvlJc w:val="left"/>
      <w:pPr>
        <w:ind w:left="23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509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910" w:hanging="360"/>
      </w:pPr>
      <w:rPr>
        <w:rFonts w:hint="default"/>
      </w:rPr>
    </w:lvl>
    <w:lvl w:ilvl="8">
      <w:start w:val="1"/>
      <w:numFmt w:val="bullet"/>
      <w:lvlText w:val="•"/>
      <w:lvlJc w:val="left"/>
      <w:pPr>
        <w:ind w:left="7820" w:hanging="360"/>
      </w:pPr>
      <w:rPr>
        <w:rFonts w:hint="default"/>
      </w:rPr>
    </w:lvl>
  </w:abstractNum>
  <w:abstractNum w:abstractNumId="4">
    <w:multiLevelType w:val="hybridMultilevel"/>
    <w:lvl w:ilvl="0">
      <w:start w:val="1"/>
      <w:numFmt w:val="decimal"/>
      <w:lvlText w:val="%1."/>
      <w:lvlJc w:val="left"/>
      <w:pPr>
        <w:ind w:left="1198" w:hanging="360"/>
        <w:jc w:val="left"/>
      </w:pPr>
      <w:rPr>
        <w:rFonts w:hint="default" w:ascii="Arial" w:hAnsi="Arial" w:eastAsia="Arial" w:cs="Arial"/>
        <w:spacing w:val="-2"/>
        <w:w w:val="99"/>
        <w:sz w:val="24"/>
        <w:szCs w:val="24"/>
      </w:rPr>
    </w:lvl>
    <w:lvl w:ilvl="1">
      <w:start w:val="1"/>
      <w:numFmt w:val="bullet"/>
      <w:lvlText w:val="•"/>
      <w:lvlJc w:val="left"/>
      <w:pPr>
        <w:ind w:left="2044" w:hanging="360"/>
      </w:pPr>
      <w:rPr>
        <w:rFonts w:hint="default"/>
      </w:rPr>
    </w:lvl>
    <w:lvl w:ilvl="2">
      <w:start w:val="1"/>
      <w:numFmt w:val="bullet"/>
      <w:lvlText w:val="•"/>
      <w:lvlJc w:val="left"/>
      <w:pPr>
        <w:ind w:left="2888" w:hanging="360"/>
      </w:pPr>
      <w:rPr>
        <w:rFonts w:hint="default"/>
      </w:rPr>
    </w:lvl>
    <w:lvl w:ilvl="3">
      <w:start w:val="1"/>
      <w:numFmt w:val="bullet"/>
      <w:lvlText w:val="•"/>
      <w:lvlJc w:val="left"/>
      <w:pPr>
        <w:ind w:left="3732" w:hanging="360"/>
      </w:pPr>
      <w:rPr>
        <w:rFonts w:hint="default"/>
      </w:rPr>
    </w:lvl>
    <w:lvl w:ilvl="4">
      <w:start w:val="1"/>
      <w:numFmt w:val="bullet"/>
      <w:lvlText w:val="•"/>
      <w:lvlJc w:val="left"/>
      <w:pPr>
        <w:ind w:left="4576" w:hanging="360"/>
      </w:pPr>
      <w:rPr>
        <w:rFonts w:hint="default"/>
      </w:rPr>
    </w:lvl>
    <w:lvl w:ilvl="5">
      <w:start w:val="1"/>
      <w:numFmt w:val="bullet"/>
      <w:lvlText w:val="•"/>
      <w:lvlJc w:val="left"/>
      <w:pPr>
        <w:ind w:left="5420" w:hanging="360"/>
      </w:pPr>
      <w:rPr>
        <w:rFonts w:hint="default"/>
      </w:rPr>
    </w:lvl>
    <w:lvl w:ilvl="6">
      <w:start w:val="1"/>
      <w:numFmt w:val="bullet"/>
      <w:lvlText w:val="•"/>
      <w:lvlJc w:val="left"/>
      <w:pPr>
        <w:ind w:left="6264" w:hanging="360"/>
      </w:pPr>
      <w:rPr>
        <w:rFonts w:hint="default"/>
      </w:rPr>
    </w:lvl>
    <w:lvl w:ilvl="7">
      <w:start w:val="1"/>
      <w:numFmt w:val="bullet"/>
      <w:lvlText w:val="•"/>
      <w:lvlJc w:val="left"/>
      <w:pPr>
        <w:ind w:left="7108" w:hanging="360"/>
      </w:pPr>
      <w:rPr>
        <w:rFonts w:hint="default"/>
      </w:rPr>
    </w:lvl>
    <w:lvl w:ilvl="8">
      <w:start w:val="1"/>
      <w:numFmt w:val="bullet"/>
      <w:lvlText w:val="•"/>
      <w:lvlJc w:val="left"/>
      <w:pPr>
        <w:ind w:left="7952" w:hanging="360"/>
      </w:pPr>
      <w:rPr>
        <w:rFonts w:hint="default"/>
      </w:rPr>
    </w:lvl>
  </w:abstractNum>
  <w:abstractNum w:abstractNumId="3">
    <w:multiLevelType w:val="hybridMultilevel"/>
    <w:lvl w:ilvl="0">
      <w:start w:val="1"/>
      <w:numFmt w:val="decimal"/>
      <w:lvlText w:val="%1."/>
      <w:lvlJc w:val="left"/>
      <w:pPr>
        <w:ind w:left="826" w:hanging="348"/>
        <w:jc w:val="left"/>
      </w:pPr>
      <w:rPr>
        <w:rFonts w:hint="default" w:ascii="Arial" w:hAnsi="Arial" w:eastAsia="Arial" w:cs="Arial"/>
        <w:b/>
        <w:bCs/>
        <w:spacing w:val="-1"/>
        <w:w w:val="100"/>
        <w:sz w:val="28"/>
        <w:szCs w:val="28"/>
      </w:rPr>
    </w:lvl>
    <w:lvl w:ilvl="1">
      <w:start w:val="1"/>
      <w:numFmt w:val="decimal"/>
      <w:lvlText w:val="%1.%2"/>
      <w:lvlJc w:val="left"/>
      <w:pPr>
        <w:ind w:left="930" w:hanging="452"/>
        <w:jc w:val="right"/>
      </w:pPr>
      <w:rPr>
        <w:rFonts w:hint="default" w:ascii="Arial" w:hAnsi="Arial" w:eastAsia="Arial" w:cs="Arial"/>
        <w:b/>
        <w:bCs/>
        <w:w w:val="100"/>
        <w:sz w:val="28"/>
        <w:szCs w:val="28"/>
      </w:rPr>
    </w:lvl>
    <w:lvl w:ilvl="2">
      <w:start w:val="1"/>
      <w:numFmt w:val="decimal"/>
      <w:lvlText w:val="%1.%2.%3"/>
      <w:lvlJc w:val="left"/>
      <w:pPr>
        <w:ind w:left="919" w:hanging="701"/>
        <w:jc w:val="left"/>
      </w:pPr>
      <w:rPr>
        <w:rFonts w:hint="default" w:ascii="Arial" w:hAnsi="Arial" w:eastAsia="Arial" w:cs="Arial"/>
        <w:b/>
        <w:bCs/>
        <w:w w:val="100"/>
        <w:sz w:val="28"/>
        <w:szCs w:val="28"/>
      </w:rPr>
    </w:lvl>
    <w:lvl w:ilvl="3">
      <w:start w:val="1"/>
      <w:numFmt w:val="bullet"/>
      <w:lvlText w:val="•"/>
      <w:lvlJc w:val="left"/>
      <w:pPr>
        <w:ind w:left="2027" w:hanging="701"/>
      </w:pPr>
      <w:rPr>
        <w:rFonts w:hint="default"/>
      </w:rPr>
    </w:lvl>
    <w:lvl w:ilvl="4">
      <w:start w:val="1"/>
      <w:numFmt w:val="bullet"/>
      <w:lvlText w:val="•"/>
      <w:lvlJc w:val="left"/>
      <w:pPr>
        <w:ind w:left="3115" w:hanging="701"/>
      </w:pPr>
      <w:rPr>
        <w:rFonts w:hint="default"/>
      </w:rPr>
    </w:lvl>
    <w:lvl w:ilvl="5">
      <w:start w:val="1"/>
      <w:numFmt w:val="bullet"/>
      <w:lvlText w:val="•"/>
      <w:lvlJc w:val="left"/>
      <w:pPr>
        <w:ind w:left="4202" w:hanging="701"/>
      </w:pPr>
      <w:rPr>
        <w:rFonts w:hint="default"/>
      </w:rPr>
    </w:lvl>
    <w:lvl w:ilvl="6">
      <w:start w:val="1"/>
      <w:numFmt w:val="bullet"/>
      <w:lvlText w:val="•"/>
      <w:lvlJc w:val="left"/>
      <w:pPr>
        <w:ind w:left="5290" w:hanging="701"/>
      </w:pPr>
      <w:rPr>
        <w:rFonts w:hint="default"/>
      </w:rPr>
    </w:lvl>
    <w:lvl w:ilvl="7">
      <w:start w:val="1"/>
      <w:numFmt w:val="bullet"/>
      <w:lvlText w:val="•"/>
      <w:lvlJc w:val="left"/>
      <w:pPr>
        <w:ind w:left="6377" w:hanging="701"/>
      </w:pPr>
      <w:rPr>
        <w:rFonts w:hint="default"/>
      </w:rPr>
    </w:lvl>
    <w:lvl w:ilvl="8">
      <w:start w:val="1"/>
      <w:numFmt w:val="bullet"/>
      <w:lvlText w:val="•"/>
      <w:lvlJc w:val="left"/>
      <w:pPr>
        <w:ind w:left="7465" w:hanging="701"/>
      </w:pPr>
      <w:rPr>
        <w:rFonts w:hint="default"/>
      </w:rPr>
    </w:lvl>
  </w:abstractNum>
  <w:abstractNum w:abstractNumId="2">
    <w:multiLevelType w:val="hybridMultilevel"/>
    <w:lvl w:ilvl="0">
      <w:start w:val="1"/>
      <w:numFmt w:val="decimal"/>
      <w:lvlText w:val="%1."/>
      <w:lvlJc w:val="left"/>
      <w:pPr>
        <w:ind w:left="548" w:hanging="348"/>
        <w:jc w:val="left"/>
      </w:pPr>
      <w:rPr>
        <w:rFonts w:hint="default" w:ascii="Arial" w:hAnsi="Arial" w:eastAsia="Arial" w:cs="Arial"/>
        <w:spacing w:val="-1"/>
        <w:w w:val="100"/>
        <w:sz w:val="22"/>
        <w:szCs w:val="22"/>
      </w:rPr>
    </w:lvl>
    <w:lvl w:ilvl="1">
      <w:start w:val="1"/>
      <w:numFmt w:val="bullet"/>
      <w:lvlText w:val="•"/>
      <w:lvlJc w:val="left"/>
      <w:pPr>
        <w:ind w:left="1372" w:hanging="348"/>
      </w:pPr>
      <w:rPr>
        <w:rFonts w:hint="default"/>
      </w:rPr>
    </w:lvl>
    <w:lvl w:ilvl="2">
      <w:start w:val="1"/>
      <w:numFmt w:val="bullet"/>
      <w:lvlText w:val="•"/>
      <w:lvlJc w:val="left"/>
      <w:pPr>
        <w:ind w:left="2205" w:hanging="348"/>
      </w:pPr>
      <w:rPr>
        <w:rFonts w:hint="default"/>
      </w:rPr>
    </w:lvl>
    <w:lvl w:ilvl="3">
      <w:start w:val="1"/>
      <w:numFmt w:val="bullet"/>
      <w:lvlText w:val="•"/>
      <w:lvlJc w:val="left"/>
      <w:pPr>
        <w:ind w:left="3037" w:hanging="348"/>
      </w:pPr>
      <w:rPr>
        <w:rFonts w:hint="default"/>
      </w:rPr>
    </w:lvl>
    <w:lvl w:ilvl="4">
      <w:start w:val="1"/>
      <w:numFmt w:val="bullet"/>
      <w:lvlText w:val="•"/>
      <w:lvlJc w:val="left"/>
      <w:pPr>
        <w:ind w:left="3870" w:hanging="348"/>
      </w:pPr>
      <w:rPr>
        <w:rFonts w:hint="default"/>
      </w:rPr>
    </w:lvl>
    <w:lvl w:ilvl="5">
      <w:start w:val="1"/>
      <w:numFmt w:val="bullet"/>
      <w:lvlText w:val="•"/>
      <w:lvlJc w:val="left"/>
      <w:pPr>
        <w:ind w:left="4702" w:hanging="348"/>
      </w:pPr>
      <w:rPr>
        <w:rFonts w:hint="default"/>
      </w:rPr>
    </w:lvl>
    <w:lvl w:ilvl="6">
      <w:start w:val="1"/>
      <w:numFmt w:val="bullet"/>
      <w:lvlText w:val="•"/>
      <w:lvlJc w:val="left"/>
      <w:pPr>
        <w:ind w:left="5535" w:hanging="348"/>
      </w:pPr>
      <w:rPr>
        <w:rFonts w:hint="default"/>
      </w:rPr>
    </w:lvl>
    <w:lvl w:ilvl="7">
      <w:start w:val="1"/>
      <w:numFmt w:val="bullet"/>
      <w:lvlText w:val="•"/>
      <w:lvlJc w:val="left"/>
      <w:pPr>
        <w:ind w:left="6367" w:hanging="348"/>
      </w:pPr>
      <w:rPr>
        <w:rFonts w:hint="default"/>
      </w:rPr>
    </w:lvl>
    <w:lvl w:ilvl="8">
      <w:start w:val="1"/>
      <w:numFmt w:val="bullet"/>
      <w:lvlText w:val="•"/>
      <w:lvlJc w:val="left"/>
      <w:pPr>
        <w:ind w:left="7200" w:hanging="348"/>
      </w:pPr>
      <w:rPr>
        <w:rFonts w:hint="default"/>
      </w:rPr>
    </w:lvl>
  </w:abstractNum>
  <w:abstractNum w:abstractNumId="1">
    <w:multiLevelType w:val="hybridMultilevel"/>
    <w:lvl w:ilvl="0">
      <w:start w:val="6"/>
      <w:numFmt w:val="decimal"/>
      <w:lvlText w:val="%1."/>
      <w:lvlJc w:val="left"/>
      <w:pPr>
        <w:ind w:left="548" w:hanging="348"/>
        <w:jc w:val="left"/>
      </w:pPr>
      <w:rPr>
        <w:rFonts w:hint="default" w:ascii="Arial" w:hAnsi="Arial" w:eastAsia="Arial" w:cs="Arial"/>
        <w:b/>
        <w:bCs/>
        <w:spacing w:val="-1"/>
        <w:w w:val="100"/>
        <w:sz w:val="22"/>
        <w:szCs w:val="22"/>
      </w:rPr>
    </w:lvl>
    <w:lvl w:ilvl="1">
      <w:start w:val="1"/>
      <w:numFmt w:val="decimal"/>
      <w:lvlText w:val="%1.%2"/>
      <w:lvlJc w:val="left"/>
      <w:pPr>
        <w:ind w:left="982" w:hanging="423"/>
        <w:jc w:val="left"/>
      </w:pPr>
      <w:rPr>
        <w:rFonts w:hint="default" w:ascii="Arial" w:hAnsi="Arial" w:eastAsia="Arial" w:cs="Arial"/>
        <w:w w:val="100"/>
        <w:sz w:val="22"/>
        <w:szCs w:val="22"/>
      </w:rPr>
    </w:lvl>
    <w:lvl w:ilvl="2">
      <w:start w:val="1"/>
      <w:numFmt w:val="decimal"/>
      <w:lvlText w:val="%1.%2.%3"/>
      <w:lvlJc w:val="left"/>
      <w:pPr>
        <w:ind w:left="1639" w:hanging="720"/>
        <w:jc w:val="left"/>
      </w:pPr>
      <w:rPr>
        <w:rFonts w:hint="default"/>
        <w:w w:val="100"/>
      </w:rPr>
    </w:lvl>
    <w:lvl w:ilvl="3">
      <w:start w:val="1"/>
      <w:numFmt w:val="bullet"/>
      <w:lvlText w:val="•"/>
      <w:lvlJc w:val="left"/>
      <w:pPr>
        <w:ind w:left="1640" w:hanging="720"/>
      </w:pPr>
      <w:rPr>
        <w:rFonts w:hint="default"/>
      </w:rPr>
    </w:lvl>
    <w:lvl w:ilvl="4">
      <w:start w:val="1"/>
      <w:numFmt w:val="bullet"/>
      <w:lvlText w:val="•"/>
      <w:lvlJc w:val="left"/>
      <w:pPr>
        <w:ind w:left="2618" w:hanging="720"/>
      </w:pPr>
      <w:rPr>
        <w:rFonts w:hint="default"/>
      </w:rPr>
    </w:lvl>
    <w:lvl w:ilvl="5">
      <w:start w:val="1"/>
      <w:numFmt w:val="bullet"/>
      <w:lvlText w:val="•"/>
      <w:lvlJc w:val="left"/>
      <w:pPr>
        <w:ind w:left="3596" w:hanging="720"/>
      </w:pPr>
      <w:rPr>
        <w:rFonts w:hint="default"/>
      </w:rPr>
    </w:lvl>
    <w:lvl w:ilvl="6">
      <w:start w:val="1"/>
      <w:numFmt w:val="bullet"/>
      <w:lvlText w:val="•"/>
      <w:lvlJc w:val="left"/>
      <w:pPr>
        <w:ind w:left="4574" w:hanging="720"/>
      </w:pPr>
      <w:rPr>
        <w:rFonts w:hint="default"/>
      </w:rPr>
    </w:lvl>
    <w:lvl w:ilvl="7">
      <w:start w:val="1"/>
      <w:numFmt w:val="bullet"/>
      <w:lvlText w:val="•"/>
      <w:lvlJc w:val="left"/>
      <w:pPr>
        <w:ind w:left="5552" w:hanging="720"/>
      </w:pPr>
      <w:rPr>
        <w:rFonts w:hint="default"/>
      </w:rPr>
    </w:lvl>
    <w:lvl w:ilvl="8">
      <w:start w:val="1"/>
      <w:numFmt w:val="bullet"/>
      <w:lvlText w:val="•"/>
      <w:lvlJc w:val="left"/>
      <w:pPr>
        <w:ind w:left="6530" w:hanging="720"/>
      </w:pPr>
      <w:rPr>
        <w:rFonts w:hint="default"/>
      </w:rPr>
    </w:lvl>
  </w:abstractNum>
  <w:abstractNum w:abstractNumId="0">
    <w:multiLevelType w:val="hybridMultilevel"/>
    <w:lvl w:ilvl="0">
      <w:start w:val="1"/>
      <w:numFmt w:val="decimal"/>
      <w:lvlText w:val="%1."/>
      <w:lvlJc w:val="left"/>
      <w:pPr>
        <w:ind w:left="908" w:hanging="348"/>
        <w:jc w:val="left"/>
      </w:pPr>
      <w:rPr>
        <w:rFonts w:hint="default" w:ascii="Arial" w:hAnsi="Arial" w:eastAsia="Arial" w:cs="Arial"/>
        <w:b/>
        <w:bCs/>
        <w:spacing w:val="-1"/>
        <w:w w:val="100"/>
        <w:sz w:val="22"/>
        <w:szCs w:val="22"/>
      </w:rPr>
    </w:lvl>
    <w:lvl w:ilvl="1">
      <w:start w:val="1"/>
      <w:numFmt w:val="decimal"/>
      <w:lvlText w:val="%1.%2"/>
      <w:lvlJc w:val="left"/>
      <w:pPr>
        <w:ind w:left="1279" w:hanging="360"/>
        <w:jc w:val="left"/>
      </w:pPr>
      <w:rPr>
        <w:rFonts w:hint="default" w:ascii="Arial" w:hAnsi="Arial" w:eastAsia="Arial" w:cs="Arial"/>
        <w:w w:val="100"/>
        <w:sz w:val="22"/>
        <w:szCs w:val="22"/>
      </w:rPr>
    </w:lvl>
    <w:lvl w:ilvl="2">
      <w:start w:val="1"/>
      <w:numFmt w:val="decimal"/>
      <w:lvlText w:val="%1.%2.%3"/>
      <w:lvlJc w:val="left"/>
      <w:pPr>
        <w:ind w:left="1999" w:hanging="720"/>
        <w:jc w:val="left"/>
      </w:pPr>
      <w:rPr>
        <w:rFonts w:hint="default" w:ascii="Arial" w:hAnsi="Arial" w:eastAsia="Arial" w:cs="Arial"/>
        <w:w w:val="100"/>
        <w:sz w:val="22"/>
        <w:szCs w:val="22"/>
      </w:rPr>
    </w:lvl>
    <w:lvl w:ilvl="3">
      <w:start w:val="1"/>
      <w:numFmt w:val="decimal"/>
      <w:lvlText w:val="%1.%2.%3.%4"/>
      <w:lvlJc w:val="left"/>
      <w:pPr>
        <w:ind w:left="2448" w:hanging="809"/>
        <w:jc w:val="left"/>
      </w:pPr>
      <w:rPr>
        <w:rFonts w:hint="default" w:ascii="Arial" w:hAnsi="Arial" w:eastAsia="Arial" w:cs="Arial"/>
        <w:spacing w:val="-3"/>
        <w:w w:val="100"/>
        <w:sz w:val="22"/>
        <w:szCs w:val="22"/>
      </w:rPr>
    </w:lvl>
    <w:lvl w:ilvl="4">
      <w:start w:val="1"/>
      <w:numFmt w:val="decimal"/>
      <w:lvlText w:val="%1.%2.%3.%4.%5"/>
      <w:lvlJc w:val="left"/>
      <w:pPr>
        <w:ind w:left="3032" w:hanging="1033"/>
        <w:jc w:val="left"/>
      </w:pPr>
      <w:rPr>
        <w:rFonts w:hint="default"/>
        <w:i/>
        <w:spacing w:val="-3"/>
        <w:w w:val="100"/>
      </w:rPr>
    </w:lvl>
    <w:lvl w:ilvl="5">
      <w:start w:val="1"/>
      <w:numFmt w:val="bullet"/>
      <w:lvlText w:val="•"/>
      <w:lvlJc w:val="left"/>
      <w:pPr>
        <w:ind w:left="3993" w:hanging="1033"/>
      </w:pPr>
      <w:rPr>
        <w:rFonts w:hint="default"/>
      </w:rPr>
    </w:lvl>
    <w:lvl w:ilvl="6">
      <w:start w:val="1"/>
      <w:numFmt w:val="bullet"/>
      <w:lvlText w:val="•"/>
      <w:lvlJc w:val="left"/>
      <w:pPr>
        <w:ind w:left="4947" w:hanging="1033"/>
      </w:pPr>
      <w:rPr>
        <w:rFonts w:hint="default"/>
      </w:rPr>
    </w:lvl>
    <w:lvl w:ilvl="7">
      <w:start w:val="1"/>
      <w:numFmt w:val="bullet"/>
      <w:lvlText w:val="•"/>
      <w:lvlJc w:val="left"/>
      <w:pPr>
        <w:ind w:left="5901" w:hanging="1033"/>
      </w:pPr>
      <w:rPr>
        <w:rFonts w:hint="default"/>
      </w:rPr>
    </w:lvl>
    <w:lvl w:ilvl="8">
      <w:start w:val="1"/>
      <w:numFmt w:val="bullet"/>
      <w:lvlText w:val="•"/>
      <w:lvlJc w:val="left"/>
      <w:pPr>
        <w:ind w:left="6855" w:hanging="1033"/>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9"/>
      <w:jc w:val="right"/>
      <w:outlineLvl w:val="1"/>
    </w:pPr>
    <w:rPr>
      <w:rFonts w:ascii="Arial" w:hAnsi="Arial" w:eastAsia="Arial" w:cs="Arial"/>
      <w:b/>
      <w:bCs/>
      <w:sz w:val="40"/>
      <w:szCs w:val="40"/>
    </w:rPr>
  </w:style>
  <w:style w:styleId="Heading2" w:type="paragraph">
    <w:name w:val="Heading 2"/>
    <w:basedOn w:val="Normal"/>
    <w:uiPriority w:val="1"/>
    <w:qFormat/>
    <w:pPr>
      <w:ind w:left="822" w:hanging="704"/>
      <w:jc w:val="both"/>
      <w:outlineLvl w:val="2"/>
    </w:pPr>
    <w:rPr>
      <w:rFonts w:ascii="Arial" w:hAnsi="Arial" w:eastAsia="Arial" w:cs="Arial"/>
      <w:b/>
      <w:bCs/>
      <w:sz w:val="28"/>
      <w:szCs w:val="28"/>
    </w:rPr>
  </w:style>
  <w:style w:styleId="Heading3" w:type="paragraph">
    <w:name w:val="Heading 3"/>
    <w:basedOn w:val="Normal"/>
    <w:uiPriority w:val="1"/>
    <w:qFormat/>
    <w:pPr>
      <w:ind w:left="826" w:hanging="603"/>
      <w:outlineLvl w:val="3"/>
    </w:pPr>
    <w:rPr>
      <w:rFonts w:ascii="Arial" w:hAnsi="Arial" w:eastAsia="Arial" w:cs="Arial"/>
      <w:b/>
      <w:bCs/>
      <w:sz w:val="24"/>
      <w:szCs w:val="24"/>
    </w:rPr>
  </w:style>
  <w:style w:styleId="ListParagraph" w:type="paragraph">
    <w:name w:val="List Paragraph"/>
    <w:basedOn w:val="Normal"/>
    <w:uiPriority w:val="1"/>
    <w:qFormat/>
    <w:pPr>
      <w:ind w:left="478"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4.xm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footer" Target="footer5.xml"/><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footer" Target="footer6.xml"/><Relationship Id="rId32" Type="http://schemas.openxmlformats.org/officeDocument/2006/relationships/image" Target="media/image22.png"/><Relationship Id="rId33" Type="http://schemas.openxmlformats.org/officeDocument/2006/relationships/footer" Target="footer7.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hyperlink" Target="mailto:franciscoferniza@hotmail.com" TargetMode="External"/><Relationship Id="rId40" Type="http://schemas.openxmlformats.org/officeDocument/2006/relationships/hyperlink" Target="mailto:aamayac@uaemex.mx" TargetMode="External"/><Relationship Id="rId41" Type="http://schemas.openxmlformats.org/officeDocument/2006/relationships/hyperlink" Target="mailto:amayacha8789@gmail.com" TargetMode="External"/><Relationship Id="rId42" Type="http://schemas.openxmlformats.org/officeDocument/2006/relationships/hyperlink" Target="mailto:gabyroamo@yahoo.com.mx" TargetMode="External"/><Relationship Id="rId43" Type="http://schemas.openxmlformats.org/officeDocument/2006/relationships/hyperlink" Target="mailto:cebarrerad@uaemex.mx" TargetMode="External"/><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footer" Target="footer8.xml"/><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footer" Target="footer9.xml"/><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jpe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hyperlink" Target="http://www.economia.gob.mx/comunidad-negocios/mineria" TargetMode="External"/><Relationship Id="rId64" Type="http://schemas.openxmlformats.org/officeDocument/2006/relationships/hyperlink" Target="http://www.camimex.org.mx/index.php/secciones1/publicaciones/informe-anual/informe-anual-2013/" TargetMode="External"/><Relationship Id="rId65" Type="http://schemas.openxmlformats.org/officeDocument/2006/relationships/hyperlink" Target="http://www.fortunecity.es/expertos/profesor/171/medioambiente.html" TargetMode="External"/><Relationship Id="rId66" Type="http://schemas.openxmlformats.org/officeDocument/2006/relationships/hyperlink" Target="http://areasnaturales.edomex.gob.mx/alameda_poniente" TargetMode="External"/><Relationship Id="rId67" Type="http://schemas.openxmlformats.org/officeDocument/2006/relationships/footer" Target="footer10.xml"/><Relationship Id="rId68" Type="http://schemas.openxmlformats.org/officeDocument/2006/relationships/footer" Target="footer11.xml"/><Relationship Id="rId69" Type="http://schemas.openxmlformats.org/officeDocument/2006/relationships/image" Target="media/image45.png"/><Relationship Id="rId70" Type="http://schemas.openxmlformats.org/officeDocument/2006/relationships/image" Target="media/image46.jpeg"/><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image" Target="media/image49.jpeg"/><Relationship Id="rId74" Type="http://schemas.openxmlformats.org/officeDocument/2006/relationships/hyperlink" Target="http://www.economia.gob.mx/comunidad-" TargetMode="External"/><Relationship Id="rId75" Type="http://schemas.openxmlformats.org/officeDocument/2006/relationships/hyperlink" Target="http://www.economia.gob.mx/files/comunidad_negocios/industria_comercio/reported_coyuntura_" TargetMode="External"/><Relationship Id="rId76" Type="http://schemas.openxmlformats.org/officeDocument/2006/relationships/hyperlink" Target="http://www.sinembargo.mx/01-05-2015/1329409%20%20(16" TargetMode="External"/><Relationship Id="rId77" Type="http://schemas.openxmlformats.org/officeDocument/2006/relationships/hyperlink" Target="http://www.dolbear.com/news-resources/documents" TargetMode="External"/><Relationship Id="rId78" Type="http://schemas.openxmlformats.org/officeDocument/2006/relationships/hyperlink" Target="http://www.forbes.com.mx/hacia-donde-va-la-industria-minera-de-mexico/" TargetMode="External"/><Relationship Id="rId79" Type="http://schemas.openxmlformats.org/officeDocument/2006/relationships/hyperlink" Target="http://www.proceso.com.mx/?p=341143" TargetMode="External"/><Relationship Id="rId80" Type="http://schemas.openxmlformats.org/officeDocument/2006/relationships/hyperlink" Target="http://www.elfinanciero.com.mx/archivo/wirikuta-la-historia-no-contada-de-un-conflicto-minero.html" TargetMode="External"/><Relationship Id="rId81" Type="http://schemas.openxmlformats.org/officeDocument/2006/relationships/hyperlink" Target="http://www.proceso.com.mx/?p=373483" TargetMode="External"/><Relationship Id="rId82" Type="http://schemas.openxmlformats.org/officeDocument/2006/relationships/hyperlink" Target="http://www.jornada.unam.mx/ultimas/2015/01/22/tribunal-se-niega-a-cumplir-resolucion-en-conflicto-con-minera-en-durango-ejidatarios-1915.html" TargetMode="External"/><Relationship Id="rId83" Type="http://schemas.openxmlformats.org/officeDocument/2006/relationships/hyperlink" Target="http://revistafortuna.com.mx/contenido/2011/02/17/para-las-mineras-otro-buen-ano-pero-sin-" TargetMode="External"/><Relationship Id="rId84" Type="http://schemas.openxmlformats.org/officeDocument/2006/relationships/hyperlink" Target="http://revistafortuna.com.mx/contenido/2008/01/15/inseguridad-laboral-en-cananea/" TargetMode="External"/><Relationship Id="rId85" Type="http://schemas.openxmlformats.org/officeDocument/2006/relationships/hyperlink" Target="http://www.jornada.unam.mx/2013/10/20/economia/024n1eco" TargetMode="External"/><Relationship Id="rId86" Type="http://schemas.openxmlformats.org/officeDocument/2006/relationships/hyperlink" Target="http://blectores.mexicosocial.org/2013/06/el-impacto-social-y-ambiental-de-la-mineria-en-mexico/" TargetMode="External"/><Relationship Id="rId87" Type="http://schemas.openxmlformats.org/officeDocument/2006/relationships/hyperlink" Target="http://www.jornada.unam.mx/2011/12/30/index.php?section=sociedad&amp;amp;article=036n1soc" TargetMode="External"/><Relationship Id="rId88" Type="http://schemas.openxmlformats.org/officeDocument/2006/relationships/hyperlink" Target="http://www.proceso.com.mx/?p=361133" TargetMode="External"/><Relationship Id="rId89" Type="http://schemas.openxmlformats.org/officeDocument/2006/relationships/hyperlink" Target="http://www.jornada.unam.mx/2011/12/31/estados/024n1est" TargetMode="External"/><Relationship Id="rId90" Type="http://schemas.openxmlformats.org/officeDocument/2006/relationships/hyperlink" Target="http://www.excelsior.com.mx/2011/05/17/nacional/737299" TargetMode="External"/><Relationship Id="rId91" Type="http://schemas.openxmlformats.org/officeDocument/2006/relationships/hyperlink" Target="http://www.dossierpolitico.com/vernoticiasanteriores.php?artid=133447&amp;amp;relacion=dossierpolitico" TargetMode="External"/><Relationship Id="rId92" Type="http://schemas.openxmlformats.org/officeDocument/2006/relationships/hyperlink" Target="http://www.milenio.com/estados/derrame_Sonora-contaminacion_rio_Sonora-" TargetMode="External"/><Relationship Id="rId93" Type="http://schemas.openxmlformats.org/officeDocument/2006/relationships/hyperlink" Target="http://www.jornada.unam.mx/2014/08/27/politica/003n1pol" TargetMode="External"/><Relationship Id="rId94" Type="http://schemas.openxmlformats.org/officeDocument/2006/relationships/hyperlink" Target="http://www.proceso.com.mx/?p=380449" TargetMode="External"/><Relationship Id="rId95" Type="http://schemas.openxmlformats.org/officeDocument/2006/relationships/footer" Target="footer12.xml"/><Relationship Id="rId96" Type="http://schemas.openxmlformats.org/officeDocument/2006/relationships/hyperlink" Target="http://www.jornada.unam.mx/2014/08/14/sociedad/038n1soc" TargetMode="External"/><Relationship Id="rId97" Type="http://schemas.openxmlformats.org/officeDocument/2006/relationships/hyperlink" Target="http://www.cemda.org.mx/10/proyecto-minero-propuesto-podria-extraer-350-millones-de-" TargetMode="External"/><Relationship Id="rId98" Type="http://schemas.openxmlformats.org/officeDocument/2006/relationships/hyperlink" Target="http://www.jornada.unam.mx/2015/04/15/sociedad/035n2soc" TargetMode="External"/><Relationship Id="rId99" Type="http://schemas.openxmlformats.org/officeDocument/2006/relationships/hyperlink" Target="http://www.jornada.unam.mx/2012/02/27/estados/030n1est" TargetMode="External"/><Relationship Id="rId100" Type="http://schemas.openxmlformats.org/officeDocument/2006/relationships/hyperlink" Target="http://www.afectadosambientales.org/mina-caballo-blanco/" TargetMode="External"/><Relationship Id="rId101" Type="http://schemas.openxmlformats.org/officeDocument/2006/relationships/footer" Target="footer13.xml"/><Relationship Id="rId102" Type="http://schemas.openxmlformats.org/officeDocument/2006/relationships/hyperlink" Target="http://www.epa.gov/superfund/greenremediation" TargetMode="External"/><Relationship Id="rId103" Type="http://schemas.openxmlformats.org/officeDocument/2006/relationships/hyperlink" Target="http://unibio.unam.mx/collections/specimens/urn/IBUNAM" TargetMode="External"/><Relationship Id="rId104" Type="http://schemas.openxmlformats.org/officeDocument/2006/relationships/hyperlink" Target="http://www.efloras.org/"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2017-05-24T21:22:43Z</dcterms:created>
  <dcterms:modified xsi:type="dcterms:W3CDTF">2017-05-24T21:22:43Z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