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214"/>
        <w:rPr>
          <w:rFonts w:ascii="Times New Roman"/>
          <w:sz w:val="20"/>
        </w:rPr>
      </w:pPr>
      <w:r>
        <w:rPr>
          <w:rFonts w:ascii="Times New Roman"/>
          <w:sz w:val="20"/>
        </w:rPr>
        <w:drawing>
          <wp:inline distT="0" distB="0" distL="0" distR="0">
            <wp:extent cx="7140233" cy="1657826"/>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140233" cy="1657826"/>
                    </a:xfrm>
                    <a:prstGeom prst="rect">
                      <a:avLst/>
                    </a:prstGeom>
                  </pic:spPr>
                </pic:pic>
              </a:graphicData>
            </a:graphic>
          </wp:inline>
        </w:drawing>
      </w:r>
      <w:r>
        <w:rPr>
          <w:rFonts w:ascii="Times New Roman"/>
          <w:sz w:val="20"/>
        </w:rPr>
      </w:r>
    </w:p>
    <w:p>
      <w:pPr>
        <w:pStyle w:val="BodyText"/>
        <w:rPr>
          <w:rFonts w:ascii="Times New Roman"/>
          <w:sz w:val="20"/>
        </w:rPr>
      </w:pPr>
    </w:p>
    <w:p>
      <w:pPr>
        <w:pStyle w:val="Heading1"/>
        <w:spacing w:before="208"/>
        <w:ind w:left="1431" w:right="1352" w:hanging="3"/>
        <w:jc w:val="center"/>
      </w:pPr>
      <w:r>
        <w:rPr/>
        <w:t>INCIDENCIA DE CARIES EN ESCOLARES POSTERIOR A LA APLICACIÓN DE SELLADORES DE FOSAS Y FISURAS, EN LA ESCUELA PRIMARIA</w:t>
      </w:r>
      <w:r>
        <w:rPr>
          <w:spacing w:val="-27"/>
        </w:rPr>
        <w:t> </w:t>
      </w:r>
      <w:r>
        <w:rPr/>
        <w:t>“GENERAL VICENTE</w:t>
      </w:r>
      <w:r>
        <w:rPr>
          <w:spacing w:val="-6"/>
        </w:rPr>
        <w:t> </w:t>
      </w:r>
      <w:r>
        <w:rPr/>
        <w:t>GUERRERO”</w:t>
      </w:r>
    </w:p>
    <w:p>
      <w:pPr>
        <w:pStyle w:val="BodyText"/>
        <w:rPr>
          <w:b/>
        </w:rPr>
      </w:pPr>
    </w:p>
    <w:p>
      <w:pPr>
        <w:pStyle w:val="BodyText"/>
        <w:spacing w:before="5"/>
        <w:rPr>
          <w:b/>
          <w:sz w:val="23"/>
        </w:rPr>
      </w:pPr>
    </w:p>
    <w:p>
      <w:pPr>
        <w:spacing w:before="0"/>
        <w:ind w:left="0" w:right="55" w:firstLine="0"/>
        <w:jc w:val="center"/>
        <w:rPr>
          <w:rFonts w:ascii="Calibri"/>
          <w:b/>
          <w:sz w:val="40"/>
        </w:rPr>
      </w:pPr>
      <w:r>
        <w:rPr>
          <w:rFonts w:ascii="Calibri"/>
          <w:b/>
          <w:sz w:val="40"/>
        </w:rPr>
        <w:t>TESIS</w:t>
      </w:r>
    </w:p>
    <w:p>
      <w:pPr>
        <w:spacing w:before="308"/>
        <w:ind w:left="0" w:right="53" w:firstLine="0"/>
        <w:jc w:val="center"/>
        <w:rPr>
          <w:rFonts w:ascii="Franklin Gothic Medium" w:hAnsi="Franklin Gothic Medium"/>
          <w:sz w:val="28"/>
        </w:rPr>
      </w:pPr>
      <w:r>
        <w:rPr>
          <w:rFonts w:ascii="Franklin Gothic Medium" w:hAnsi="Franklin Gothic Medium"/>
          <w:w w:val="85"/>
          <w:sz w:val="28"/>
        </w:rPr>
        <w:t>QUE PARA OBTENER EL TÍTULO DE</w:t>
      </w:r>
    </w:p>
    <w:p>
      <w:pPr>
        <w:pStyle w:val="BodyText"/>
        <w:rPr>
          <w:rFonts w:ascii="Franklin Gothic Medium"/>
          <w:sz w:val="28"/>
        </w:rPr>
      </w:pPr>
    </w:p>
    <w:p>
      <w:pPr>
        <w:pStyle w:val="BodyText"/>
        <w:spacing w:before="1"/>
        <w:rPr>
          <w:rFonts w:ascii="Franklin Gothic Medium"/>
          <w:sz w:val="26"/>
        </w:rPr>
      </w:pPr>
    </w:p>
    <w:p>
      <w:pPr>
        <w:spacing w:before="1"/>
        <w:ind w:left="0" w:right="57" w:firstLine="0"/>
        <w:jc w:val="center"/>
        <w:rPr>
          <w:rFonts w:ascii="Calibri"/>
          <w:b/>
          <w:sz w:val="38"/>
        </w:rPr>
      </w:pPr>
      <w:r>
        <w:rPr>
          <w:rFonts w:ascii="Calibri"/>
          <w:b/>
          <w:w w:val="85"/>
          <w:sz w:val="38"/>
        </w:rPr>
        <w:t>CIRUJANO  DENTISTA</w:t>
      </w:r>
    </w:p>
    <w:p>
      <w:pPr>
        <w:pStyle w:val="BodyText"/>
        <w:rPr>
          <w:rFonts w:ascii="Calibri"/>
          <w:b/>
          <w:sz w:val="51"/>
        </w:rPr>
      </w:pPr>
    </w:p>
    <w:p>
      <w:pPr>
        <w:spacing w:before="0"/>
        <w:ind w:left="0" w:right="57" w:firstLine="0"/>
        <w:jc w:val="center"/>
        <w:rPr>
          <w:rFonts w:ascii="Franklin Gothic Medium"/>
          <w:sz w:val="28"/>
        </w:rPr>
      </w:pPr>
      <w:r>
        <w:rPr>
          <w:rFonts w:ascii="Franklin Gothic Medium"/>
          <w:w w:val="95"/>
          <w:sz w:val="28"/>
        </w:rPr>
        <w:t>PRESENTAN</w:t>
      </w:r>
    </w:p>
    <w:p>
      <w:pPr>
        <w:pStyle w:val="BodyText"/>
        <w:spacing w:before="1"/>
        <w:rPr>
          <w:rFonts w:ascii="Franklin Gothic Medium"/>
          <w:sz w:val="28"/>
        </w:rPr>
      </w:pPr>
    </w:p>
    <w:p>
      <w:pPr>
        <w:spacing w:before="0"/>
        <w:ind w:left="4165" w:right="0" w:firstLine="0"/>
        <w:jc w:val="left"/>
        <w:rPr>
          <w:rFonts w:ascii="Franklin Gothic Medium" w:hAnsi="Franklin Gothic Medium"/>
          <w:sz w:val="28"/>
        </w:rPr>
      </w:pPr>
      <w:r>
        <w:rPr>
          <w:rFonts w:ascii="Franklin Gothic Medium" w:hAnsi="Franklin Gothic Medium"/>
          <w:w w:val="85"/>
          <w:sz w:val="28"/>
        </w:rPr>
        <w:t>P.C.D. MARIBEL PÉREZ MONROY</w:t>
      </w:r>
    </w:p>
    <w:p>
      <w:pPr>
        <w:pStyle w:val="BodyText"/>
        <w:rPr>
          <w:rFonts w:ascii="Franklin Gothic Medium"/>
          <w:sz w:val="28"/>
        </w:rPr>
      </w:pPr>
    </w:p>
    <w:p>
      <w:pPr>
        <w:pStyle w:val="BodyText"/>
        <w:spacing w:before="9"/>
        <w:rPr>
          <w:rFonts w:ascii="Franklin Gothic Medium"/>
          <w:sz w:val="27"/>
        </w:rPr>
      </w:pPr>
    </w:p>
    <w:p>
      <w:pPr>
        <w:spacing w:before="0"/>
        <w:ind w:left="0" w:right="54" w:firstLine="0"/>
        <w:jc w:val="center"/>
        <w:rPr>
          <w:rFonts w:ascii="Franklin Gothic Medium"/>
          <w:sz w:val="28"/>
        </w:rPr>
      </w:pPr>
      <w:r>
        <w:rPr>
          <w:rFonts w:ascii="Franklin Gothic Medium"/>
          <w:w w:val="85"/>
          <w:sz w:val="28"/>
        </w:rPr>
        <w:t>DIRECTOR DE TESIS</w:t>
      </w:r>
    </w:p>
    <w:p>
      <w:pPr>
        <w:pStyle w:val="Heading1"/>
        <w:spacing w:before="23"/>
        <w:ind w:left="0" w:right="63"/>
        <w:jc w:val="center"/>
      </w:pPr>
      <w:r>
        <w:rPr/>
        <w:t>DRA EN C. S. LAURA EMMA RODRÍGUEZ VILCHIS</w:t>
      </w:r>
    </w:p>
    <w:p>
      <w:pPr>
        <w:pStyle w:val="BodyText"/>
        <w:spacing w:before="7"/>
        <w:rPr>
          <w:b/>
          <w:sz w:val="25"/>
        </w:rPr>
      </w:pPr>
    </w:p>
    <w:p>
      <w:pPr>
        <w:spacing w:line="317" w:lineRule="exact" w:before="0"/>
        <w:ind w:left="0" w:right="55" w:firstLine="0"/>
        <w:jc w:val="center"/>
        <w:rPr>
          <w:rFonts w:ascii="Franklin Gothic Medium"/>
          <w:sz w:val="28"/>
        </w:rPr>
      </w:pPr>
      <w:r>
        <w:rPr>
          <w:rFonts w:ascii="Franklin Gothic Medium"/>
          <w:w w:val="85"/>
          <w:sz w:val="28"/>
        </w:rPr>
        <w:t>REVISORES DE TESIS</w:t>
      </w:r>
    </w:p>
    <w:p>
      <w:pPr>
        <w:spacing w:line="317" w:lineRule="exact" w:before="0"/>
        <w:ind w:left="0" w:right="59" w:firstLine="0"/>
        <w:jc w:val="center"/>
        <w:rPr>
          <w:rFonts w:ascii="Franklin Gothic Medium" w:hAnsi="Franklin Gothic Medium"/>
          <w:sz w:val="28"/>
        </w:rPr>
      </w:pPr>
      <w:r>
        <w:rPr>
          <w:rFonts w:ascii="Franklin Gothic Medium" w:hAnsi="Franklin Gothic Medium"/>
          <w:w w:val="85"/>
          <w:sz w:val="28"/>
        </w:rPr>
        <w:t>DR. EN E.P. DAVID EDUARDO VELÁZQUEZ MUÑOZ</w:t>
      </w:r>
    </w:p>
    <w:p>
      <w:pPr>
        <w:pStyle w:val="ListParagraph"/>
        <w:numPr>
          <w:ilvl w:val="0"/>
          <w:numId w:val="1"/>
        </w:numPr>
        <w:tabs>
          <w:tab w:pos="4350" w:val="left" w:leader="none"/>
        </w:tabs>
        <w:spacing w:line="240" w:lineRule="auto" w:before="1" w:after="0"/>
        <w:ind w:left="4349" w:right="0" w:hanging="320"/>
        <w:jc w:val="left"/>
        <w:rPr>
          <w:rFonts w:ascii="Franklin Gothic Medium"/>
          <w:sz w:val="28"/>
        </w:rPr>
      </w:pPr>
      <w:r>
        <w:rPr>
          <w:rFonts w:ascii="Franklin Gothic Medium"/>
          <w:w w:val="85"/>
          <w:sz w:val="28"/>
        </w:rPr>
        <w:t>en O. JUDITH ARJONA</w:t>
      </w:r>
      <w:r>
        <w:rPr>
          <w:rFonts w:ascii="Franklin Gothic Medium"/>
          <w:spacing w:val="19"/>
          <w:w w:val="85"/>
          <w:sz w:val="28"/>
        </w:rPr>
        <w:t> </w:t>
      </w:r>
      <w:r>
        <w:rPr>
          <w:rFonts w:ascii="Franklin Gothic Medium"/>
          <w:w w:val="85"/>
          <w:sz w:val="28"/>
        </w:rPr>
        <w:t>SERRANO</w:t>
      </w:r>
    </w:p>
    <w:p>
      <w:pPr>
        <w:pStyle w:val="BodyText"/>
        <w:rPr>
          <w:rFonts w:ascii="Franklin Gothic Medium"/>
          <w:sz w:val="28"/>
        </w:rPr>
      </w:pPr>
    </w:p>
    <w:p>
      <w:pPr>
        <w:pStyle w:val="BodyText"/>
        <w:spacing w:before="9"/>
        <w:rPr>
          <w:rFonts w:ascii="Franklin Gothic Medium"/>
          <w:sz w:val="27"/>
        </w:rPr>
      </w:pPr>
    </w:p>
    <w:p>
      <w:pPr>
        <w:tabs>
          <w:tab w:pos="6411" w:val="left" w:leader="none"/>
        </w:tabs>
        <w:spacing w:before="1"/>
        <w:ind w:left="0" w:right="57" w:firstLine="0"/>
        <w:jc w:val="center"/>
        <w:rPr>
          <w:rFonts w:ascii="Franklin Gothic Medium" w:hAnsi="Franklin Gothic Medium"/>
          <w:sz w:val="28"/>
        </w:rPr>
      </w:pPr>
      <w:r>
        <w:rPr>
          <w:rFonts w:ascii="Franklin Gothic Medium" w:hAnsi="Franklin Gothic Medium"/>
          <w:w w:val="90"/>
          <w:sz w:val="28"/>
        </w:rPr>
        <w:t>TOLUCA,</w:t>
      </w:r>
      <w:r>
        <w:rPr>
          <w:rFonts w:ascii="Franklin Gothic Medium" w:hAnsi="Franklin Gothic Medium"/>
          <w:spacing w:val="-30"/>
          <w:w w:val="90"/>
          <w:sz w:val="28"/>
        </w:rPr>
        <w:t> </w:t>
      </w:r>
      <w:r>
        <w:rPr>
          <w:rFonts w:ascii="Franklin Gothic Medium" w:hAnsi="Franklin Gothic Medium"/>
          <w:w w:val="90"/>
          <w:sz w:val="28"/>
        </w:rPr>
        <w:t>MÉXICO</w:t>
        <w:tab/>
      </w:r>
      <w:r>
        <w:rPr>
          <w:rFonts w:ascii="Franklin Gothic Medium" w:hAnsi="Franklin Gothic Medium"/>
          <w:w w:val="85"/>
          <w:sz w:val="28"/>
        </w:rPr>
        <w:t>MAYO</w:t>
      </w:r>
      <w:r>
        <w:rPr>
          <w:rFonts w:ascii="Franklin Gothic Medium" w:hAnsi="Franklin Gothic Medium"/>
          <w:spacing w:val="-4"/>
          <w:w w:val="85"/>
          <w:sz w:val="28"/>
        </w:rPr>
        <w:t> </w:t>
      </w:r>
      <w:r>
        <w:rPr>
          <w:rFonts w:ascii="Franklin Gothic Medium" w:hAnsi="Franklin Gothic Medium"/>
          <w:w w:val="85"/>
          <w:sz w:val="28"/>
        </w:rPr>
        <w:t>2016</w:t>
      </w:r>
    </w:p>
    <w:p>
      <w:pPr>
        <w:pStyle w:val="BodyText"/>
        <w:rPr>
          <w:rFonts w:ascii="Franklin Gothic Medium"/>
          <w:sz w:val="20"/>
        </w:rPr>
      </w:pPr>
    </w:p>
    <w:p>
      <w:pPr>
        <w:pStyle w:val="BodyText"/>
        <w:rPr>
          <w:rFonts w:ascii="Franklin Gothic Medium"/>
          <w:sz w:val="20"/>
        </w:rPr>
      </w:pPr>
    </w:p>
    <w:p>
      <w:pPr>
        <w:pStyle w:val="BodyText"/>
        <w:rPr>
          <w:rFonts w:ascii="Franklin Gothic Medium"/>
          <w:sz w:val="20"/>
        </w:rPr>
      </w:pPr>
    </w:p>
    <w:p>
      <w:pPr>
        <w:pStyle w:val="BodyText"/>
        <w:rPr>
          <w:rFonts w:ascii="Franklin Gothic Medium"/>
          <w:sz w:val="20"/>
        </w:rPr>
      </w:pPr>
    </w:p>
    <w:p>
      <w:pPr>
        <w:pStyle w:val="BodyText"/>
        <w:spacing w:before="7"/>
        <w:rPr>
          <w:rFonts w:ascii="Franklin Gothic Medium"/>
          <w:sz w:val="12"/>
        </w:rPr>
      </w:pPr>
      <w:r>
        <w:rPr/>
        <w:pict>
          <v:group style="position:absolute;margin-left:19.080pt;margin-top:9.106449pt;width:576.85pt;height:122.65pt;mso-position-horizontal-relative:page;mso-position-vertical-relative:paragraph;z-index:0;mso-wrap-distance-left:0;mso-wrap-distance-right:0" coordorigin="382,182" coordsize="11537,2453">
            <v:shape style="position:absolute;left:382;top:182;width:11537;height:2453" type="#_x0000_t75" stroked="false">
              <v:imagedata r:id="rId6" o:title=""/>
            </v:shape>
            <v:shape style="position:absolute;left:5774;top:187;width:1200;height:1402" type="#_x0000_t75" stroked="false">
              <v:imagedata r:id="rId7" o:title=""/>
            </v:shape>
            <w10:wrap type="topAndBottom"/>
          </v:group>
        </w:pict>
      </w:r>
    </w:p>
    <w:p>
      <w:pPr>
        <w:spacing w:after="0"/>
        <w:rPr>
          <w:rFonts w:ascii="Franklin Gothic Medium"/>
          <w:sz w:val="12"/>
        </w:rPr>
        <w:sectPr>
          <w:type w:val="continuous"/>
          <w:pgSz w:w="12240" w:h="15840"/>
          <w:pgMar w:top="180" w:bottom="280" w:left="280" w:right="220"/>
        </w:sectPr>
      </w:pPr>
    </w:p>
    <w:p>
      <w:pPr>
        <w:pStyle w:val="BodyText"/>
        <w:rPr>
          <w:rFonts w:ascii="Franklin Gothic Medium"/>
          <w:sz w:val="12"/>
        </w:rPr>
      </w:pPr>
    </w:p>
    <w:p>
      <w:pPr>
        <w:pStyle w:val="ListParagraph"/>
        <w:numPr>
          <w:ilvl w:val="1"/>
          <w:numId w:val="1"/>
        </w:numPr>
        <w:tabs>
          <w:tab w:pos="4392" w:val="left" w:leader="none"/>
        </w:tabs>
        <w:spacing w:line="240" w:lineRule="auto" w:before="54" w:after="0"/>
        <w:ind w:left="4391" w:right="0" w:hanging="360"/>
        <w:jc w:val="left"/>
        <w:rPr>
          <w:sz w:val="36"/>
        </w:rPr>
      </w:pPr>
      <w:r>
        <w:rPr>
          <w:sz w:val="36"/>
        </w:rPr>
        <w:t>INDICE</w:t>
      </w:r>
    </w:p>
    <w:p>
      <w:pPr>
        <w:pStyle w:val="BodyText"/>
        <w:rPr>
          <w:sz w:val="36"/>
        </w:rPr>
      </w:pPr>
    </w:p>
    <w:p>
      <w:pPr>
        <w:pStyle w:val="BodyText"/>
        <w:spacing w:before="4"/>
        <w:rPr>
          <w:sz w:val="53"/>
        </w:rPr>
      </w:pPr>
    </w:p>
    <w:p>
      <w:pPr>
        <w:pStyle w:val="Heading1"/>
        <w:numPr>
          <w:ilvl w:val="0"/>
          <w:numId w:val="2"/>
        </w:numPr>
        <w:tabs>
          <w:tab w:pos="558" w:val="left" w:leader="none"/>
          <w:tab w:pos="559" w:val="left" w:leader="none"/>
          <w:tab w:pos="9512" w:val="right" w:leader="dot"/>
        </w:tabs>
        <w:spacing w:line="240" w:lineRule="auto" w:before="0" w:after="0"/>
        <w:ind w:left="558" w:right="0" w:hanging="440"/>
        <w:jc w:val="left"/>
        <w:rPr>
          <w:b w:val="0"/>
        </w:rPr>
      </w:pPr>
      <w:hyperlink w:history="true" w:anchor="_bookmark0">
        <w:r>
          <w:rPr/>
          <w:t>Marco</w:t>
        </w:r>
        <w:r>
          <w:rPr>
            <w:spacing w:val="-1"/>
          </w:rPr>
          <w:t> </w:t>
        </w:r>
        <w:r>
          <w:rPr/>
          <w:t>Teórico</w:t>
        </w:r>
        <w:r>
          <w:rPr>
            <w:b w:val="0"/>
          </w:rPr>
          <w:tab/>
          <w:t>3</w:t>
        </w:r>
      </w:hyperlink>
    </w:p>
    <w:p>
      <w:pPr>
        <w:pStyle w:val="ListParagraph"/>
        <w:numPr>
          <w:ilvl w:val="1"/>
          <w:numId w:val="2"/>
        </w:numPr>
        <w:tabs>
          <w:tab w:pos="671" w:val="left" w:leader="none"/>
          <w:tab w:pos="779" w:val="left" w:leader="none"/>
          <w:tab w:pos="9406" w:val="right" w:leader="dot"/>
        </w:tabs>
        <w:spacing w:line="240" w:lineRule="auto" w:before="429" w:after="0"/>
        <w:ind w:left="778" w:right="0" w:hanging="460"/>
        <w:jc w:val="center"/>
        <w:rPr>
          <w:sz w:val="24"/>
        </w:rPr>
      </w:pPr>
      <w:hyperlink w:history="true" w:anchor="_bookmark1">
        <w:r>
          <w:rPr>
            <w:sz w:val="24"/>
          </w:rPr>
          <w:t>Antecedentes</w:t>
          <w:tab/>
          <w:t>3</w:t>
        </w:r>
      </w:hyperlink>
    </w:p>
    <w:p>
      <w:pPr>
        <w:pStyle w:val="Heading1"/>
        <w:numPr>
          <w:ilvl w:val="0"/>
          <w:numId w:val="2"/>
        </w:numPr>
        <w:tabs>
          <w:tab w:pos="558" w:val="left" w:leader="none"/>
          <w:tab w:pos="559" w:val="left" w:leader="none"/>
          <w:tab w:pos="9516" w:val="right" w:leader="dot"/>
        </w:tabs>
        <w:spacing w:line="240" w:lineRule="auto" w:before="475" w:after="0"/>
        <w:ind w:left="558" w:right="0" w:hanging="440"/>
        <w:jc w:val="left"/>
        <w:rPr>
          <w:b w:val="0"/>
        </w:rPr>
      </w:pPr>
      <w:hyperlink w:history="true" w:anchor="_bookmark2">
        <w:r>
          <w:rPr/>
          <w:t>Planteamiento</w:t>
        </w:r>
        <w:r>
          <w:rPr>
            <w:spacing w:val="-1"/>
          </w:rPr>
          <w:t> </w:t>
        </w:r>
        <w:r>
          <w:rPr/>
          <w:t>del</w:t>
        </w:r>
        <w:r>
          <w:rPr>
            <w:spacing w:val="-3"/>
          </w:rPr>
          <w:t> </w:t>
        </w:r>
        <w:r>
          <w:rPr/>
          <w:t>Problema</w:t>
        </w:r>
        <w:r>
          <w:rPr>
            <w:b w:val="0"/>
          </w:rPr>
          <w:tab/>
          <w:t>22</w:t>
        </w:r>
      </w:hyperlink>
    </w:p>
    <w:p>
      <w:pPr>
        <w:pStyle w:val="Heading1"/>
        <w:numPr>
          <w:ilvl w:val="0"/>
          <w:numId w:val="2"/>
        </w:numPr>
        <w:tabs>
          <w:tab w:pos="558" w:val="left" w:leader="none"/>
          <w:tab w:pos="559" w:val="left" w:leader="none"/>
          <w:tab w:pos="9516" w:val="right" w:leader="dot"/>
        </w:tabs>
        <w:spacing w:line="240" w:lineRule="auto" w:before="476" w:after="0"/>
        <w:ind w:left="558" w:right="0" w:hanging="440"/>
        <w:jc w:val="left"/>
        <w:rPr>
          <w:b w:val="0"/>
        </w:rPr>
      </w:pPr>
      <w:hyperlink w:history="true" w:anchor="_bookmark3">
        <w:r>
          <w:rPr/>
          <w:t>Justificación</w:t>
        </w:r>
        <w:r>
          <w:rPr>
            <w:b w:val="0"/>
          </w:rPr>
          <w:tab/>
          <w:t>23</w:t>
        </w:r>
      </w:hyperlink>
    </w:p>
    <w:p>
      <w:pPr>
        <w:pStyle w:val="ListParagraph"/>
        <w:numPr>
          <w:ilvl w:val="0"/>
          <w:numId w:val="2"/>
        </w:numPr>
        <w:tabs>
          <w:tab w:pos="558" w:val="left" w:leader="none"/>
          <w:tab w:pos="559" w:val="left" w:leader="none"/>
          <w:tab w:pos="9516" w:val="right" w:leader="dot"/>
        </w:tabs>
        <w:spacing w:line="240" w:lineRule="auto" w:before="477" w:after="0"/>
        <w:ind w:left="558" w:right="0" w:hanging="440"/>
        <w:jc w:val="left"/>
        <w:rPr>
          <w:sz w:val="24"/>
        </w:rPr>
      </w:pPr>
      <w:hyperlink w:history="true" w:anchor="_bookmark4">
        <w:r>
          <w:rPr>
            <w:b/>
            <w:sz w:val="24"/>
          </w:rPr>
          <w:t>Hipótesis</w:t>
        </w:r>
        <w:r>
          <w:rPr>
            <w:sz w:val="24"/>
          </w:rPr>
          <w:tab/>
          <w:t>24</w:t>
        </w:r>
      </w:hyperlink>
    </w:p>
    <w:p>
      <w:pPr>
        <w:pStyle w:val="ListParagraph"/>
        <w:numPr>
          <w:ilvl w:val="0"/>
          <w:numId w:val="2"/>
        </w:numPr>
        <w:tabs>
          <w:tab w:pos="558" w:val="left" w:leader="none"/>
          <w:tab w:pos="559" w:val="left" w:leader="none"/>
          <w:tab w:pos="9516" w:val="right" w:leader="dot"/>
        </w:tabs>
        <w:spacing w:line="240" w:lineRule="auto" w:before="475" w:after="0"/>
        <w:ind w:left="558" w:right="0" w:hanging="440"/>
        <w:jc w:val="left"/>
        <w:rPr>
          <w:sz w:val="24"/>
        </w:rPr>
      </w:pPr>
      <w:hyperlink w:history="true" w:anchor="_bookmark5">
        <w:r>
          <w:rPr>
            <w:b/>
            <w:sz w:val="24"/>
          </w:rPr>
          <w:t>Objetivos</w:t>
        </w:r>
        <w:r>
          <w:rPr>
            <w:sz w:val="24"/>
          </w:rPr>
          <w:tab/>
          <w:t>25</w:t>
        </w:r>
      </w:hyperlink>
    </w:p>
    <w:p>
      <w:pPr>
        <w:pStyle w:val="Heading1"/>
        <w:numPr>
          <w:ilvl w:val="0"/>
          <w:numId w:val="2"/>
        </w:numPr>
        <w:tabs>
          <w:tab w:pos="558" w:val="left" w:leader="none"/>
          <w:tab w:pos="559" w:val="left" w:leader="none"/>
          <w:tab w:pos="9516" w:val="right" w:leader="dot"/>
        </w:tabs>
        <w:spacing w:line="240" w:lineRule="auto" w:before="475" w:after="0"/>
        <w:ind w:left="558" w:right="0" w:hanging="440"/>
        <w:jc w:val="left"/>
        <w:rPr>
          <w:b w:val="0"/>
        </w:rPr>
      </w:pPr>
      <w:hyperlink w:history="true" w:anchor="_bookmark6">
        <w:r>
          <w:rPr/>
          <w:t>Marco Metodológico</w:t>
        </w:r>
        <w:r>
          <w:rPr>
            <w:b w:val="0"/>
          </w:rPr>
          <w:tab/>
          <w:t>26</w:t>
        </w:r>
      </w:hyperlink>
    </w:p>
    <w:p>
      <w:pPr>
        <w:pStyle w:val="ListParagraph"/>
        <w:numPr>
          <w:ilvl w:val="1"/>
          <w:numId w:val="2"/>
        </w:numPr>
        <w:tabs>
          <w:tab w:pos="675" w:val="left" w:leader="none"/>
          <w:tab w:pos="779" w:val="left" w:leader="none"/>
          <w:tab w:pos="9412" w:val="right" w:leader="dot"/>
        </w:tabs>
        <w:spacing w:line="240" w:lineRule="auto" w:before="478" w:after="0"/>
        <w:ind w:left="778" w:right="0" w:hanging="460"/>
        <w:jc w:val="center"/>
        <w:rPr>
          <w:sz w:val="24"/>
        </w:rPr>
      </w:pPr>
      <w:hyperlink w:history="true" w:anchor="_bookmark7">
        <w:r>
          <w:rPr>
            <w:sz w:val="24"/>
          </w:rPr>
          <w:t>Diseño</w:t>
        </w:r>
        <w:r>
          <w:rPr>
            <w:spacing w:val="-1"/>
            <w:sz w:val="24"/>
          </w:rPr>
          <w:t> </w:t>
        </w:r>
        <w:r>
          <w:rPr>
            <w:sz w:val="24"/>
          </w:rPr>
          <w:t>de</w:t>
        </w:r>
        <w:r>
          <w:rPr>
            <w:spacing w:val="-1"/>
            <w:sz w:val="24"/>
          </w:rPr>
          <w:t> </w:t>
        </w:r>
        <w:r>
          <w:rPr>
            <w:sz w:val="24"/>
          </w:rPr>
          <w:t>estudio</w:t>
          <w:tab/>
          <w:t>26</w:t>
        </w:r>
      </w:hyperlink>
    </w:p>
    <w:p>
      <w:pPr>
        <w:pStyle w:val="ListParagraph"/>
        <w:numPr>
          <w:ilvl w:val="1"/>
          <w:numId w:val="2"/>
        </w:numPr>
        <w:tabs>
          <w:tab w:pos="675" w:val="left" w:leader="none"/>
          <w:tab w:pos="779" w:val="left" w:leader="none"/>
          <w:tab w:pos="9412" w:val="right" w:leader="dot"/>
        </w:tabs>
        <w:spacing w:line="240" w:lineRule="auto" w:before="475" w:after="0"/>
        <w:ind w:left="778" w:right="0" w:hanging="460"/>
        <w:jc w:val="center"/>
        <w:rPr>
          <w:sz w:val="24"/>
        </w:rPr>
      </w:pPr>
      <w:hyperlink w:history="true" w:anchor="_bookmark8">
        <w:r>
          <w:rPr>
            <w:sz w:val="24"/>
          </w:rPr>
          <w:t>Procedimiento</w:t>
          <w:tab/>
          <w:t>27</w:t>
        </w:r>
      </w:hyperlink>
    </w:p>
    <w:p>
      <w:pPr>
        <w:pStyle w:val="ListParagraph"/>
        <w:numPr>
          <w:ilvl w:val="0"/>
          <w:numId w:val="2"/>
        </w:numPr>
        <w:tabs>
          <w:tab w:pos="558" w:val="left" w:leader="none"/>
          <w:tab w:pos="559" w:val="left" w:leader="none"/>
          <w:tab w:pos="9516" w:val="right" w:leader="dot"/>
        </w:tabs>
        <w:spacing w:line="240" w:lineRule="auto" w:before="475" w:after="0"/>
        <w:ind w:left="558" w:right="0" w:hanging="440"/>
        <w:jc w:val="left"/>
        <w:rPr>
          <w:sz w:val="24"/>
        </w:rPr>
      </w:pPr>
      <w:hyperlink w:history="true" w:anchor="_bookmark9">
        <w:r>
          <w:rPr>
            <w:b/>
            <w:sz w:val="24"/>
          </w:rPr>
          <w:t>Resultados</w:t>
        </w:r>
        <w:r>
          <w:rPr>
            <w:sz w:val="24"/>
          </w:rPr>
          <w:tab/>
          <w:t>30</w:t>
        </w:r>
      </w:hyperlink>
    </w:p>
    <w:p>
      <w:pPr>
        <w:pStyle w:val="ListParagraph"/>
        <w:numPr>
          <w:ilvl w:val="0"/>
          <w:numId w:val="2"/>
        </w:numPr>
        <w:tabs>
          <w:tab w:pos="558" w:val="left" w:leader="none"/>
          <w:tab w:pos="559" w:val="left" w:leader="none"/>
          <w:tab w:pos="9516" w:val="right" w:leader="dot"/>
        </w:tabs>
        <w:spacing w:line="240" w:lineRule="auto" w:before="477" w:after="0"/>
        <w:ind w:left="558" w:right="0" w:hanging="440"/>
        <w:jc w:val="left"/>
        <w:rPr>
          <w:sz w:val="24"/>
        </w:rPr>
      </w:pPr>
      <w:hyperlink w:history="true" w:anchor="_bookmark10">
        <w:r>
          <w:rPr>
            <w:b/>
            <w:sz w:val="24"/>
          </w:rPr>
          <w:t>Discusión</w:t>
        </w:r>
        <w:r>
          <w:rPr>
            <w:sz w:val="24"/>
          </w:rPr>
          <w:tab/>
          <w:t>31</w:t>
        </w:r>
      </w:hyperlink>
    </w:p>
    <w:p>
      <w:pPr>
        <w:pStyle w:val="ListParagraph"/>
        <w:numPr>
          <w:ilvl w:val="0"/>
          <w:numId w:val="2"/>
        </w:numPr>
        <w:tabs>
          <w:tab w:pos="558" w:val="left" w:leader="none"/>
          <w:tab w:pos="559" w:val="left" w:leader="none"/>
          <w:tab w:pos="9516" w:val="right" w:leader="dot"/>
        </w:tabs>
        <w:spacing w:line="240" w:lineRule="auto" w:before="475" w:after="0"/>
        <w:ind w:left="558" w:right="0" w:hanging="440"/>
        <w:jc w:val="left"/>
        <w:rPr>
          <w:sz w:val="24"/>
        </w:rPr>
      </w:pPr>
      <w:hyperlink w:history="true" w:anchor="_bookmark11">
        <w:r>
          <w:rPr>
            <w:b/>
            <w:sz w:val="24"/>
          </w:rPr>
          <w:t>Conclusión</w:t>
        </w:r>
        <w:r>
          <w:rPr>
            <w:sz w:val="24"/>
          </w:rPr>
          <w:tab/>
          <w:t>33</w:t>
        </w:r>
      </w:hyperlink>
    </w:p>
    <w:p>
      <w:pPr>
        <w:pStyle w:val="ListParagraph"/>
        <w:numPr>
          <w:ilvl w:val="0"/>
          <w:numId w:val="2"/>
        </w:numPr>
        <w:tabs>
          <w:tab w:pos="778" w:val="left" w:leader="none"/>
          <w:tab w:pos="779" w:val="left" w:leader="none"/>
          <w:tab w:pos="9516" w:val="right" w:leader="dot"/>
        </w:tabs>
        <w:spacing w:line="240" w:lineRule="auto" w:before="476" w:after="0"/>
        <w:ind w:left="778" w:right="0" w:hanging="660"/>
        <w:jc w:val="left"/>
        <w:rPr>
          <w:sz w:val="24"/>
        </w:rPr>
      </w:pPr>
      <w:hyperlink w:history="true" w:anchor="_bookmark12">
        <w:r>
          <w:rPr>
            <w:b/>
            <w:sz w:val="24"/>
          </w:rPr>
          <w:t>Sugerencias</w:t>
        </w:r>
        <w:r>
          <w:rPr>
            <w:sz w:val="24"/>
          </w:rPr>
          <w:tab/>
          <w:t>34</w:t>
        </w:r>
      </w:hyperlink>
    </w:p>
    <w:p>
      <w:pPr>
        <w:pStyle w:val="Heading1"/>
        <w:numPr>
          <w:ilvl w:val="0"/>
          <w:numId w:val="2"/>
        </w:numPr>
        <w:tabs>
          <w:tab w:pos="778" w:val="left" w:leader="none"/>
          <w:tab w:pos="779" w:val="left" w:leader="none"/>
          <w:tab w:pos="9516" w:val="right" w:leader="dot"/>
        </w:tabs>
        <w:spacing w:line="240" w:lineRule="auto" w:before="477" w:after="0"/>
        <w:ind w:left="778" w:right="0" w:hanging="660"/>
        <w:jc w:val="left"/>
        <w:rPr>
          <w:b w:val="0"/>
        </w:rPr>
      </w:pPr>
      <w:hyperlink w:history="true" w:anchor="_bookmark13">
        <w:r>
          <w:rPr/>
          <w:t>Referencias</w:t>
        </w:r>
        <w:r>
          <w:rPr>
            <w:spacing w:val="-1"/>
          </w:rPr>
          <w:t> </w:t>
        </w:r>
        <w:r>
          <w:rPr/>
          <w:t>Bibliográficas</w:t>
        </w:r>
        <w:r>
          <w:rPr>
            <w:b w:val="0"/>
          </w:rPr>
          <w:tab/>
          <w:t>35</w:t>
        </w:r>
      </w:hyperlink>
    </w:p>
    <w:p>
      <w:pPr>
        <w:pStyle w:val="ListParagraph"/>
        <w:numPr>
          <w:ilvl w:val="0"/>
          <w:numId w:val="2"/>
        </w:numPr>
        <w:tabs>
          <w:tab w:pos="778" w:val="left" w:leader="none"/>
          <w:tab w:pos="779" w:val="left" w:leader="none"/>
          <w:tab w:pos="9516" w:val="right" w:leader="dot"/>
        </w:tabs>
        <w:spacing w:line="240" w:lineRule="auto" w:before="475" w:after="0"/>
        <w:ind w:left="778" w:right="0" w:hanging="660"/>
        <w:jc w:val="left"/>
        <w:rPr>
          <w:sz w:val="24"/>
        </w:rPr>
      </w:pPr>
      <w:hyperlink w:history="true" w:anchor="_bookmark14">
        <w:r>
          <w:rPr>
            <w:b/>
            <w:sz w:val="24"/>
          </w:rPr>
          <w:t>Anexos</w:t>
        </w:r>
        <w:r>
          <w:rPr>
            <w:sz w:val="24"/>
          </w:rPr>
          <w:tab/>
          <w:t>40</w:t>
        </w:r>
      </w:hyperlink>
    </w:p>
    <w:p>
      <w:pPr>
        <w:spacing w:after="0" w:line="240" w:lineRule="auto"/>
        <w:jc w:val="left"/>
        <w:rPr>
          <w:sz w:val="24"/>
        </w:rPr>
        <w:sectPr>
          <w:pgSz w:w="12240" w:h="15840"/>
          <w:pgMar w:top="1500" w:bottom="280" w:left="1300" w:right="1320"/>
        </w:sectPr>
      </w:pPr>
    </w:p>
    <w:p>
      <w:pPr>
        <w:pStyle w:val="Heading1"/>
      </w:pPr>
      <w:bookmarkStart w:name="_bookmark0" w:id="1"/>
      <w:bookmarkEnd w:id="1"/>
      <w:r>
        <w:rPr>
          <w:b w:val="0"/>
        </w:rPr>
      </w:r>
      <w:r>
        <w:rPr/>
        <w:t>Marco Teórico</w:t>
      </w:r>
    </w:p>
    <w:p>
      <w:pPr>
        <w:pStyle w:val="BodyText"/>
        <w:rPr>
          <w:b/>
        </w:rPr>
      </w:pPr>
    </w:p>
    <w:p>
      <w:pPr>
        <w:pStyle w:val="ListParagraph"/>
        <w:numPr>
          <w:ilvl w:val="1"/>
          <w:numId w:val="2"/>
        </w:numPr>
        <w:tabs>
          <w:tab w:pos="838" w:val="left" w:leader="none"/>
          <w:tab w:pos="839" w:val="left" w:leader="none"/>
        </w:tabs>
        <w:spacing w:line="240" w:lineRule="auto" w:before="0" w:after="0"/>
        <w:ind w:left="838" w:right="0" w:hanging="360"/>
        <w:jc w:val="left"/>
        <w:rPr>
          <w:sz w:val="24"/>
        </w:rPr>
      </w:pPr>
      <w:bookmarkStart w:name="_bookmark1" w:id="2"/>
      <w:bookmarkEnd w:id="2"/>
      <w:r>
        <w:rPr/>
      </w:r>
      <w:bookmarkStart w:name="_bookmark1" w:id="3"/>
      <w:bookmarkEnd w:id="3"/>
      <w:r>
        <w:rPr>
          <w:sz w:val="24"/>
        </w:rPr>
        <w:t>A</w:t>
      </w:r>
      <w:r>
        <w:rPr>
          <w:sz w:val="24"/>
        </w:rPr>
        <w:t>ntecedentes</w:t>
      </w:r>
    </w:p>
    <w:p>
      <w:pPr>
        <w:pStyle w:val="BodyText"/>
      </w:pPr>
    </w:p>
    <w:p>
      <w:pPr>
        <w:pStyle w:val="BodyText"/>
        <w:spacing w:line="360" w:lineRule="auto" w:before="139"/>
        <w:ind w:left="118" w:right="118"/>
        <w:jc w:val="both"/>
      </w:pPr>
      <w:r>
        <w:rPr/>
        <w:t>La caries dental es una enfermedad multifactorial, infecciosa de origen microbiano, localizada en los tejidos duros del diente, que se inician con la desmineralización del esmalte por ácidos orgánicos producidos por bacterias orales específicas que metabolizan a los hidratos de carbono de la dieta.</w:t>
      </w:r>
    </w:p>
    <w:p>
      <w:pPr>
        <w:pStyle w:val="BodyText"/>
      </w:pPr>
    </w:p>
    <w:p>
      <w:pPr>
        <w:pStyle w:val="BodyText"/>
        <w:spacing w:line="360" w:lineRule="auto" w:before="142"/>
        <w:ind w:left="118" w:right="113"/>
        <w:jc w:val="both"/>
      </w:pPr>
      <w:r>
        <w:rPr/>
        <w:t>Para que la caries se desarrolle deben estar presentes tres condiciones de manera simultánea.</w:t>
      </w:r>
    </w:p>
    <w:p>
      <w:pPr>
        <w:pStyle w:val="ListParagraph"/>
        <w:numPr>
          <w:ilvl w:val="0"/>
          <w:numId w:val="3"/>
        </w:numPr>
        <w:tabs>
          <w:tab w:pos="839" w:val="left" w:leader="none"/>
        </w:tabs>
        <w:spacing w:line="240" w:lineRule="auto" w:before="5" w:after="0"/>
        <w:ind w:left="838" w:right="0" w:hanging="360"/>
        <w:jc w:val="left"/>
        <w:rPr>
          <w:sz w:val="24"/>
        </w:rPr>
      </w:pPr>
      <w:r>
        <w:rPr>
          <w:sz w:val="24"/>
        </w:rPr>
        <w:t>Debe haber un diente o huésped</w:t>
      </w:r>
      <w:r>
        <w:rPr>
          <w:spacing w:val="-15"/>
          <w:sz w:val="24"/>
        </w:rPr>
        <w:t> </w:t>
      </w:r>
      <w:r>
        <w:rPr>
          <w:sz w:val="24"/>
        </w:rPr>
        <w:t>susceptible.</w:t>
      </w:r>
    </w:p>
    <w:p>
      <w:pPr>
        <w:pStyle w:val="ListParagraph"/>
        <w:numPr>
          <w:ilvl w:val="0"/>
          <w:numId w:val="3"/>
        </w:numPr>
        <w:tabs>
          <w:tab w:pos="839" w:val="left" w:leader="none"/>
        </w:tabs>
        <w:spacing w:line="240" w:lineRule="auto" w:before="137" w:after="0"/>
        <w:ind w:left="838" w:right="0" w:hanging="360"/>
        <w:jc w:val="left"/>
        <w:rPr>
          <w:sz w:val="24"/>
        </w:rPr>
      </w:pPr>
      <w:r>
        <w:rPr>
          <w:sz w:val="24"/>
        </w:rPr>
        <w:t>Microorganismos presentes en gran</w:t>
      </w:r>
      <w:r>
        <w:rPr>
          <w:spacing w:val="-15"/>
          <w:sz w:val="24"/>
        </w:rPr>
        <w:t> </w:t>
      </w:r>
      <w:r>
        <w:rPr>
          <w:sz w:val="24"/>
        </w:rPr>
        <w:t>cantidad.</w:t>
      </w:r>
    </w:p>
    <w:p>
      <w:pPr>
        <w:pStyle w:val="ListParagraph"/>
        <w:numPr>
          <w:ilvl w:val="0"/>
          <w:numId w:val="3"/>
        </w:numPr>
        <w:tabs>
          <w:tab w:pos="839" w:val="left" w:leader="none"/>
        </w:tabs>
        <w:spacing w:line="240" w:lineRule="auto" w:before="134" w:after="0"/>
        <w:ind w:left="838" w:right="0" w:hanging="360"/>
        <w:jc w:val="left"/>
        <w:rPr>
          <w:sz w:val="16"/>
        </w:rPr>
      </w:pPr>
      <w:r>
        <w:rPr>
          <w:sz w:val="24"/>
        </w:rPr>
        <w:t>Consumo excesivo de carbohidratos</w:t>
      </w:r>
      <w:r>
        <w:rPr>
          <w:spacing w:val="-10"/>
          <w:sz w:val="24"/>
        </w:rPr>
        <w:t> </w:t>
      </w:r>
      <w:r>
        <w:rPr>
          <w:sz w:val="24"/>
        </w:rPr>
        <w:t>refinados.</w:t>
      </w:r>
      <w:r>
        <w:rPr>
          <w:position w:val="8"/>
          <w:sz w:val="16"/>
        </w:rPr>
        <w:t>1</w:t>
      </w:r>
    </w:p>
    <w:p>
      <w:pPr>
        <w:pStyle w:val="BodyText"/>
        <w:spacing w:before="10"/>
        <w:rPr>
          <w:sz w:val="35"/>
        </w:rPr>
      </w:pPr>
    </w:p>
    <w:p>
      <w:pPr>
        <w:pStyle w:val="BodyText"/>
        <w:spacing w:line="357" w:lineRule="auto"/>
        <w:ind w:left="118" w:right="112"/>
        <w:jc w:val="both"/>
        <w:rPr>
          <w:sz w:val="16"/>
        </w:rPr>
      </w:pPr>
      <w:r>
        <w:rPr/>
        <w:t>Los</w:t>
      </w:r>
      <w:r>
        <w:rPr>
          <w:spacing w:val="-7"/>
        </w:rPr>
        <w:t> </w:t>
      </w:r>
      <w:r>
        <w:rPr/>
        <w:t>intentos</w:t>
      </w:r>
      <w:r>
        <w:rPr>
          <w:spacing w:val="-9"/>
        </w:rPr>
        <w:t> </w:t>
      </w:r>
      <w:r>
        <w:rPr/>
        <w:t>por</w:t>
      </w:r>
      <w:r>
        <w:rPr>
          <w:spacing w:val="-7"/>
        </w:rPr>
        <w:t> </w:t>
      </w:r>
      <w:r>
        <w:rPr/>
        <w:t>diseñar</w:t>
      </w:r>
      <w:r>
        <w:rPr>
          <w:spacing w:val="-7"/>
        </w:rPr>
        <w:t> </w:t>
      </w:r>
      <w:r>
        <w:rPr/>
        <w:t>un</w:t>
      </w:r>
      <w:r>
        <w:rPr>
          <w:spacing w:val="-6"/>
        </w:rPr>
        <w:t> </w:t>
      </w:r>
      <w:r>
        <w:rPr/>
        <w:t>material</w:t>
      </w:r>
      <w:r>
        <w:rPr>
          <w:spacing w:val="-7"/>
        </w:rPr>
        <w:t> </w:t>
      </w:r>
      <w:r>
        <w:rPr/>
        <w:t>que</w:t>
      </w:r>
      <w:r>
        <w:rPr>
          <w:spacing w:val="-6"/>
        </w:rPr>
        <w:t> </w:t>
      </w:r>
      <w:r>
        <w:rPr/>
        <w:t>previniera</w:t>
      </w:r>
      <w:r>
        <w:rPr>
          <w:spacing w:val="-7"/>
        </w:rPr>
        <w:t> </w:t>
      </w:r>
      <w:r>
        <w:rPr/>
        <w:t>la</w:t>
      </w:r>
      <w:r>
        <w:rPr>
          <w:spacing w:val="-6"/>
        </w:rPr>
        <w:t> </w:t>
      </w:r>
      <w:r>
        <w:rPr/>
        <w:t>aparición</w:t>
      </w:r>
      <w:r>
        <w:rPr>
          <w:spacing w:val="-8"/>
        </w:rPr>
        <w:t> </w:t>
      </w:r>
      <w:r>
        <w:rPr/>
        <w:t>de</w:t>
      </w:r>
      <w:r>
        <w:rPr>
          <w:spacing w:val="-6"/>
        </w:rPr>
        <w:t> </w:t>
      </w:r>
      <w:r>
        <w:rPr/>
        <w:t>la</w:t>
      </w:r>
      <w:r>
        <w:rPr>
          <w:spacing w:val="-9"/>
        </w:rPr>
        <w:t> </w:t>
      </w:r>
      <w:r>
        <w:rPr/>
        <w:t>caries</w:t>
      </w:r>
      <w:r>
        <w:rPr>
          <w:spacing w:val="-7"/>
        </w:rPr>
        <w:t> </w:t>
      </w:r>
      <w:r>
        <w:rPr/>
        <w:t>inician</w:t>
      </w:r>
      <w:r>
        <w:rPr>
          <w:spacing w:val="-6"/>
        </w:rPr>
        <w:t> </w:t>
      </w:r>
      <w:r>
        <w:rPr/>
        <w:t>desde principios del S. XIX; las fosas y fisuras anatómicas de los dientes hace mucho se reconocieron</w:t>
      </w:r>
      <w:r>
        <w:rPr>
          <w:spacing w:val="-6"/>
        </w:rPr>
        <w:t> </w:t>
      </w:r>
      <w:r>
        <w:rPr/>
        <w:t>como</w:t>
      </w:r>
      <w:r>
        <w:rPr>
          <w:spacing w:val="-6"/>
        </w:rPr>
        <w:t> </w:t>
      </w:r>
      <w:r>
        <w:rPr/>
        <w:t>áreas</w:t>
      </w:r>
      <w:r>
        <w:rPr>
          <w:spacing w:val="-7"/>
        </w:rPr>
        <w:t> </w:t>
      </w:r>
      <w:r>
        <w:rPr/>
        <w:t>susceptibles</w:t>
      </w:r>
      <w:r>
        <w:rPr>
          <w:spacing w:val="-9"/>
        </w:rPr>
        <w:t> </w:t>
      </w:r>
      <w:r>
        <w:rPr/>
        <w:t>para</w:t>
      </w:r>
      <w:r>
        <w:rPr>
          <w:spacing w:val="-6"/>
        </w:rPr>
        <w:t> </w:t>
      </w:r>
      <w:r>
        <w:rPr/>
        <w:t>la</w:t>
      </w:r>
      <w:r>
        <w:rPr>
          <w:spacing w:val="-9"/>
        </w:rPr>
        <w:t> </w:t>
      </w:r>
      <w:r>
        <w:rPr/>
        <w:t>iniciación</w:t>
      </w:r>
      <w:r>
        <w:rPr>
          <w:spacing w:val="-8"/>
        </w:rPr>
        <w:t> </w:t>
      </w:r>
      <w:r>
        <w:rPr/>
        <w:t>de</w:t>
      </w:r>
      <w:r>
        <w:rPr>
          <w:spacing w:val="-6"/>
        </w:rPr>
        <w:t> </w:t>
      </w:r>
      <w:r>
        <w:rPr/>
        <w:t>la</w:t>
      </w:r>
      <w:r>
        <w:rPr>
          <w:spacing w:val="-6"/>
        </w:rPr>
        <w:t> </w:t>
      </w:r>
      <w:r>
        <w:rPr/>
        <w:t>caries</w:t>
      </w:r>
      <w:r>
        <w:rPr>
          <w:spacing w:val="-9"/>
        </w:rPr>
        <w:t> </w:t>
      </w:r>
      <w:r>
        <w:rPr/>
        <w:t>dental,</w:t>
      </w:r>
      <w:r>
        <w:rPr>
          <w:spacing w:val="1"/>
        </w:rPr>
        <w:t> </w:t>
      </w:r>
      <w:r>
        <w:rPr>
          <w:position w:val="8"/>
          <w:sz w:val="16"/>
        </w:rPr>
        <w:t>2</w:t>
      </w:r>
      <w:r>
        <w:rPr>
          <w:spacing w:val="34"/>
          <w:position w:val="8"/>
          <w:sz w:val="16"/>
        </w:rPr>
        <w:t> </w:t>
      </w:r>
      <w:r>
        <w:rPr/>
        <w:t>y</w:t>
      </w:r>
      <w:r>
        <w:rPr>
          <w:spacing w:val="-9"/>
        </w:rPr>
        <w:t> </w:t>
      </w:r>
      <w:r>
        <w:rPr/>
        <w:t>en</w:t>
      </w:r>
      <w:r>
        <w:rPr>
          <w:spacing w:val="-8"/>
        </w:rPr>
        <w:t> </w:t>
      </w:r>
      <w:r>
        <w:rPr/>
        <w:t>menor medida en los premolares, que son menos susceptibles a la caries que el resto de las superficies</w:t>
      </w:r>
      <w:r>
        <w:rPr>
          <w:spacing w:val="-6"/>
        </w:rPr>
        <w:t> </w:t>
      </w:r>
      <w:r>
        <w:rPr/>
        <w:t>dentarias.</w:t>
      </w:r>
      <w:r>
        <w:rPr>
          <w:position w:val="8"/>
          <w:sz w:val="16"/>
        </w:rPr>
        <w:t>3</w:t>
      </w:r>
    </w:p>
    <w:p>
      <w:pPr>
        <w:pStyle w:val="BodyText"/>
        <w:spacing w:before="2"/>
        <w:rPr>
          <w:sz w:val="36"/>
        </w:rPr>
      </w:pPr>
    </w:p>
    <w:p>
      <w:pPr>
        <w:pStyle w:val="BodyText"/>
        <w:spacing w:line="357" w:lineRule="auto" w:before="1"/>
        <w:ind w:left="118" w:right="121"/>
        <w:jc w:val="both"/>
        <w:rPr>
          <w:sz w:val="16"/>
        </w:rPr>
      </w:pPr>
      <w:r>
        <w:rPr/>
        <w:t>Robertson, escribió que el potencial para la producción de caries estaba directamente relacionado con la forma y la profundidad de los surcos y las fisuras y que las lesiones cariosas, rara vez se inician en las superficies lisas y fácilmente higienizables.</w:t>
      </w:r>
      <w:r>
        <w:rPr>
          <w:position w:val="8"/>
          <w:sz w:val="16"/>
        </w:rPr>
        <w:t>2</w:t>
      </w:r>
    </w:p>
    <w:p>
      <w:pPr>
        <w:pStyle w:val="BodyText"/>
        <w:spacing w:before="2"/>
        <w:rPr>
          <w:sz w:val="36"/>
        </w:rPr>
      </w:pPr>
    </w:p>
    <w:p>
      <w:pPr>
        <w:pStyle w:val="BodyText"/>
        <w:spacing w:line="357" w:lineRule="auto" w:before="1"/>
        <w:ind w:left="118" w:right="112"/>
        <w:jc w:val="both"/>
        <w:rPr>
          <w:sz w:val="16"/>
        </w:rPr>
      </w:pPr>
      <w:r>
        <w:rPr/>
        <w:t>Ramirez J. señala que la forma más moderna de prevenir la caries oclusal es mediante la utilización de selladores de fosas y fisuras, mientras que en las caras lisas, es con las aplicaciones</w:t>
      </w:r>
      <w:r>
        <w:rPr>
          <w:spacing w:val="-7"/>
        </w:rPr>
        <w:t> </w:t>
      </w:r>
      <w:r>
        <w:rPr/>
        <w:t>tópicas</w:t>
      </w:r>
      <w:r>
        <w:rPr>
          <w:spacing w:val="-5"/>
        </w:rPr>
        <w:t> </w:t>
      </w:r>
      <w:r>
        <w:rPr/>
        <w:t>de</w:t>
      </w:r>
      <w:r>
        <w:rPr>
          <w:spacing w:val="-8"/>
        </w:rPr>
        <w:t> </w:t>
      </w:r>
      <w:r>
        <w:rPr/>
        <w:t>flúor</w:t>
      </w:r>
      <w:r>
        <w:rPr>
          <w:spacing w:val="-6"/>
        </w:rPr>
        <w:t> </w:t>
      </w:r>
      <w:r>
        <w:rPr>
          <w:position w:val="8"/>
          <w:sz w:val="16"/>
        </w:rPr>
        <w:t>4</w:t>
      </w:r>
      <w:r>
        <w:rPr>
          <w:spacing w:val="37"/>
          <w:position w:val="8"/>
          <w:sz w:val="16"/>
        </w:rPr>
        <w:t> </w:t>
      </w:r>
      <w:r>
        <w:rPr/>
        <w:t>ya</w:t>
      </w:r>
      <w:r>
        <w:rPr>
          <w:spacing w:val="-6"/>
        </w:rPr>
        <w:t> </w:t>
      </w:r>
      <w:r>
        <w:rPr/>
        <w:t>que</w:t>
      </w:r>
      <w:r>
        <w:rPr>
          <w:spacing w:val="-6"/>
        </w:rPr>
        <w:t> </w:t>
      </w:r>
      <w:r>
        <w:rPr/>
        <w:t>la</w:t>
      </w:r>
      <w:r>
        <w:rPr>
          <w:spacing w:val="-9"/>
        </w:rPr>
        <w:t> </w:t>
      </w:r>
      <w:r>
        <w:rPr/>
        <w:t>acción</w:t>
      </w:r>
      <w:r>
        <w:rPr>
          <w:spacing w:val="-4"/>
        </w:rPr>
        <w:t> </w:t>
      </w:r>
      <w:r>
        <w:rPr/>
        <w:t>protectora</w:t>
      </w:r>
      <w:r>
        <w:rPr>
          <w:spacing w:val="-6"/>
        </w:rPr>
        <w:t> </w:t>
      </w:r>
      <w:r>
        <w:rPr/>
        <w:t>del</w:t>
      </w:r>
      <w:r>
        <w:rPr>
          <w:spacing w:val="-9"/>
        </w:rPr>
        <w:t> </w:t>
      </w:r>
      <w:r>
        <w:rPr/>
        <w:t>flúor</w:t>
      </w:r>
      <w:r>
        <w:rPr>
          <w:spacing w:val="-9"/>
        </w:rPr>
        <w:t> </w:t>
      </w:r>
      <w:r>
        <w:rPr/>
        <w:t>es</w:t>
      </w:r>
      <w:r>
        <w:rPr>
          <w:spacing w:val="-7"/>
        </w:rPr>
        <w:t> </w:t>
      </w:r>
      <w:r>
        <w:rPr/>
        <w:t>menor</w:t>
      </w:r>
      <w:r>
        <w:rPr>
          <w:spacing w:val="-7"/>
        </w:rPr>
        <w:t> </w:t>
      </w:r>
      <w:r>
        <w:rPr/>
        <w:t>en</w:t>
      </w:r>
      <w:r>
        <w:rPr>
          <w:spacing w:val="-6"/>
        </w:rPr>
        <w:t> </w:t>
      </w:r>
      <w:r>
        <w:rPr/>
        <w:t>las</w:t>
      </w:r>
      <w:r>
        <w:rPr>
          <w:spacing w:val="-9"/>
        </w:rPr>
        <w:t> </w:t>
      </w:r>
      <w:r>
        <w:rPr/>
        <w:t>fosas y fisuras oclusales.</w:t>
      </w:r>
      <w:r>
        <w:rPr>
          <w:position w:val="8"/>
          <w:sz w:val="16"/>
        </w:rPr>
        <w:t>3</w:t>
      </w:r>
    </w:p>
    <w:p>
      <w:pPr>
        <w:pStyle w:val="BodyText"/>
        <w:spacing w:before="2"/>
        <w:rPr>
          <w:sz w:val="36"/>
        </w:rPr>
      </w:pPr>
    </w:p>
    <w:p>
      <w:pPr>
        <w:pStyle w:val="BodyText"/>
        <w:spacing w:line="357" w:lineRule="auto" w:before="1"/>
        <w:ind w:left="118" w:right="113"/>
        <w:jc w:val="both"/>
        <w:rPr>
          <w:sz w:val="16"/>
        </w:rPr>
      </w:pPr>
      <w:r>
        <w:rPr/>
        <w:t>Los selladores colocados en los segundos molares inferiores y en los sitios de la fisura distal tienen una mayor tasa de fracaso.</w:t>
      </w:r>
      <w:r>
        <w:rPr>
          <w:position w:val="8"/>
          <w:sz w:val="16"/>
        </w:rPr>
        <w:t>5</w:t>
      </w:r>
    </w:p>
    <w:p>
      <w:pPr>
        <w:spacing w:after="0" w:line="357" w:lineRule="auto"/>
        <w:jc w:val="both"/>
        <w:rPr>
          <w:sz w:val="16"/>
        </w:rPr>
        <w:sectPr>
          <w:footerReference w:type="default" r:id="rId8"/>
          <w:pgSz w:w="12240" w:h="15840"/>
          <w:pgMar w:footer="947" w:header="0" w:top="1360" w:bottom="1140" w:left="1300" w:right="1300"/>
          <w:pgNumType w:start="3"/>
        </w:sectPr>
      </w:pPr>
    </w:p>
    <w:p>
      <w:pPr>
        <w:pStyle w:val="BodyText"/>
        <w:spacing w:before="57"/>
        <w:ind w:left="118"/>
        <w:jc w:val="both"/>
      </w:pPr>
      <w:r>
        <w:rPr/>
        <w:t>Otros lugares susceptibles al proceso infeccioso (caries) y que pueden ser sellados son:</w:t>
      </w:r>
    </w:p>
    <w:p>
      <w:pPr>
        <w:pStyle w:val="ListParagraph"/>
        <w:numPr>
          <w:ilvl w:val="0"/>
          <w:numId w:val="4"/>
        </w:numPr>
        <w:tabs>
          <w:tab w:pos="838" w:val="left" w:leader="none"/>
          <w:tab w:pos="839" w:val="left" w:leader="none"/>
        </w:tabs>
        <w:spacing w:line="240" w:lineRule="auto" w:before="137" w:after="0"/>
        <w:ind w:left="838" w:right="0" w:hanging="360"/>
        <w:jc w:val="left"/>
        <w:rPr>
          <w:rFonts w:ascii="Symbol"/>
          <w:sz w:val="24"/>
        </w:rPr>
      </w:pPr>
      <w:r>
        <w:rPr>
          <w:sz w:val="24"/>
        </w:rPr>
        <w:t>Superficies palatinas de los dientes</w:t>
      </w:r>
      <w:r>
        <w:rPr>
          <w:spacing w:val="-22"/>
          <w:sz w:val="24"/>
        </w:rPr>
        <w:t> </w:t>
      </w:r>
      <w:r>
        <w:rPr>
          <w:sz w:val="24"/>
        </w:rPr>
        <w:t>superoanteriores.</w:t>
      </w:r>
    </w:p>
    <w:p>
      <w:pPr>
        <w:pStyle w:val="ListParagraph"/>
        <w:numPr>
          <w:ilvl w:val="0"/>
          <w:numId w:val="4"/>
        </w:numPr>
        <w:tabs>
          <w:tab w:pos="838" w:val="left" w:leader="none"/>
          <w:tab w:pos="839" w:val="left" w:leader="none"/>
        </w:tabs>
        <w:spacing w:line="240" w:lineRule="auto" w:before="138" w:after="0"/>
        <w:ind w:left="838" w:right="0" w:hanging="360"/>
        <w:jc w:val="left"/>
        <w:rPr>
          <w:rFonts w:ascii="Symbol"/>
          <w:sz w:val="24"/>
        </w:rPr>
      </w:pPr>
      <w:r>
        <w:rPr>
          <w:sz w:val="24"/>
        </w:rPr>
        <w:t>Fosas palatinas de los molares</w:t>
      </w:r>
      <w:r>
        <w:rPr>
          <w:spacing w:val="-12"/>
          <w:sz w:val="24"/>
        </w:rPr>
        <w:t> </w:t>
      </w:r>
      <w:r>
        <w:rPr>
          <w:sz w:val="24"/>
        </w:rPr>
        <w:t>superiores.</w:t>
      </w:r>
    </w:p>
    <w:p>
      <w:pPr>
        <w:pStyle w:val="ListParagraph"/>
        <w:numPr>
          <w:ilvl w:val="0"/>
          <w:numId w:val="4"/>
        </w:numPr>
        <w:tabs>
          <w:tab w:pos="838" w:val="left" w:leader="none"/>
          <w:tab w:pos="839" w:val="left" w:leader="none"/>
        </w:tabs>
        <w:spacing w:line="240" w:lineRule="auto" w:before="135" w:after="0"/>
        <w:ind w:left="838" w:right="0" w:hanging="360"/>
        <w:jc w:val="left"/>
        <w:rPr>
          <w:rFonts w:ascii="Symbol"/>
          <w:sz w:val="24"/>
        </w:rPr>
      </w:pPr>
      <w:r>
        <w:rPr>
          <w:sz w:val="24"/>
        </w:rPr>
        <w:t>Fosas vestibulares de los molares</w:t>
      </w:r>
      <w:r>
        <w:rPr>
          <w:spacing w:val="-7"/>
          <w:sz w:val="24"/>
        </w:rPr>
        <w:t> </w:t>
      </w:r>
      <w:r>
        <w:rPr>
          <w:sz w:val="24"/>
        </w:rPr>
        <w:t>inferiores.</w:t>
      </w:r>
      <w:r>
        <w:rPr>
          <w:position w:val="8"/>
          <w:sz w:val="16"/>
        </w:rPr>
        <w:t>4</w:t>
      </w:r>
    </w:p>
    <w:p>
      <w:pPr>
        <w:pStyle w:val="BodyText"/>
        <w:rPr>
          <w:sz w:val="26"/>
        </w:rPr>
      </w:pPr>
    </w:p>
    <w:p>
      <w:pPr>
        <w:pStyle w:val="BodyText"/>
        <w:spacing w:before="2"/>
        <w:rPr>
          <w:sz w:val="21"/>
        </w:rPr>
      </w:pPr>
    </w:p>
    <w:p>
      <w:pPr>
        <w:pStyle w:val="BodyText"/>
        <w:spacing w:line="360" w:lineRule="auto"/>
        <w:ind w:left="118" w:right="113"/>
        <w:jc w:val="both"/>
      </w:pPr>
      <w:r>
        <w:rPr/>
        <w:t>En el estudio realizado por Hiiri y colaboradores, </w:t>
      </w:r>
      <w:r>
        <w:rPr>
          <w:position w:val="8"/>
          <w:sz w:val="16"/>
        </w:rPr>
        <w:t>6 </w:t>
      </w:r>
      <w:r>
        <w:rPr/>
        <w:t>donde compararon la eficacia de selladores de fosas y fisuras con el fluoruro en barniz para la prevención de la caries dental en las superficies oclusales, no quedó claro hasta qué punto hay una diferencia entre</w:t>
      </w:r>
      <w:r>
        <w:rPr>
          <w:spacing w:val="-13"/>
        </w:rPr>
        <w:t> </w:t>
      </w:r>
      <w:r>
        <w:rPr/>
        <w:t>la</w:t>
      </w:r>
      <w:r>
        <w:rPr>
          <w:spacing w:val="-15"/>
        </w:rPr>
        <w:t> </w:t>
      </w:r>
      <w:r>
        <w:rPr/>
        <w:t>efectividad</w:t>
      </w:r>
      <w:r>
        <w:rPr>
          <w:spacing w:val="-13"/>
        </w:rPr>
        <w:t> </w:t>
      </w:r>
      <w:r>
        <w:rPr/>
        <w:t>de</w:t>
      </w:r>
      <w:r>
        <w:rPr>
          <w:spacing w:val="-13"/>
        </w:rPr>
        <w:t> </w:t>
      </w:r>
      <w:r>
        <w:rPr/>
        <w:t>los</w:t>
      </w:r>
      <w:r>
        <w:rPr>
          <w:spacing w:val="-14"/>
        </w:rPr>
        <w:t> </w:t>
      </w:r>
      <w:r>
        <w:rPr/>
        <w:t>selladores</w:t>
      </w:r>
      <w:r>
        <w:rPr>
          <w:spacing w:val="-14"/>
        </w:rPr>
        <w:t> </w:t>
      </w:r>
      <w:r>
        <w:rPr/>
        <w:t>de</w:t>
      </w:r>
      <w:r>
        <w:rPr>
          <w:spacing w:val="-15"/>
        </w:rPr>
        <w:t> </w:t>
      </w:r>
      <w:r>
        <w:rPr/>
        <w:t>fosas</w:t>
      </w:r>
      <w:r>
        <w:rPr>
          <w:spacing w:val="-12"/>
        </w:rPr>
        <w:t> </w:t>
      </w:r>
      <w:r>
        <w:rPr/>
        <w:t>y</w:t>
      </w:r>
      <w:r>
        <w:rPr>
          <w:spacing w:val="-15"/>
        </w:rPr>
        <w:t> </w:t>
      </w:r>
      <w:r>
        <w:rPr/>
        <w:t>fisuras</w:t>
      </w:r>
      <w:r>
        <w:rPr>
          <w:spacing w:val="-14"/>
        </w:rPr>
        <w:t> </w:t>
      </w:r>
      <w:r>
        <w:rPr/>
        <w:t>y</w:t>
      </w:r>
      <w:r>
        <w:rPr>
          <w:spacing w:val="-15"/>
        </w:rPr>
        <w:t> </w:t>
      </w:r>
      <w:r>
        <w:rPr/>
        <w:t>del</w:t>
      </w:r>
      <w:r>
        <w:rPr>
          <w:spacing w:val="-16"/>
        </w:rPr>
        <w:t> </w:t>
      </w:r>
      <w:r>
        <w:rPr/>
        <w:t>fluoruro</w:t>
      </w:r>
      <w:r>
        <w:rPr>
          <w:spacing w:val="-15"/>
        </w:rPr>
        <w:t> </w:t>
      </w:r>
      <w:r>
        <w:rPr/>
        <w:t>en</w:t>
      </w:r>
      <w:r>
        <w:rPr>
          <w:spacing w:val="-13"/>
        </w:rPr>
        <w:t> </w:t>
      </w:r>
      <w:r>
        <w:rPr/>
        <w:t>barniz.</w:t>
      </w:r>
      <w:r>
        <w:rPr>
          <w:spacing w:val="-11"/>
        </w:rPr>
        <w:t> </w:t>
      </w:r>
      <w:r>
        <w:rPr/>
        <w:t>No</w:t>
      </w:r>
      <w:r>
        <w:rPr>
          <w:spacing w:val="-13"/>
        </w:rPr>
        <w:t> </w:t>
      </w:r>
      <w:r>
        <w:rPr/>
        <w:t>existen recomendaciones para la práctica clínica del beneficio de selladores de fosas y fisuras con</w:t>
      </w:r>
      <w:r>
        <w:rPr>
          <w:spacing w:val="-18"/>
        </w:rPr>
        <w:t> </w:t>
      </w:r>
      <w:r>
        <w:rPr/>
        <w:t>barnices</w:t>
      </w:r>
      <w:r>
        <w:rPr>
          <w:spacing w:val="-18"/>
        </w:rPr>
        <w:t> </w:t>
      </w:r>
      <w:r>
        <w:rPr/>
        <w:t>de</w:t>
      </w:r>
      <w:r>
        <w:rPr>
          <w:spacing w:val="-20"/>
        </w:rPr>
        <w:t> </w:t>
      </w:r>
      <w:r>
        <w:rPr/>
        <w:t>fluoruro</w:t>
      </w:r>
      <w:r>
        <w:rPr>
          <w:spacing w:val="-15"/>
        </w:rPr>
        <w:t> </w:t>
      </w:r>
      <w:r>
        <w:rPr/>
        <w:t>ya</w:t>
      </w:r>
      <w:r>
        <w:rPr>
          <w:spacing w:val="-18"/>
        </w:rPr>
        <w:t> </w:t>
      </w:r>
      <w:r>
        <w:rPr/>
        <w:t>que</w:t>
      </w:r>
      <w:r>
        <w:rPr>
          <w:spacing w:val="-18"/>
        </w:rPr>
        <w:t> </w:t>
      </w:r>
      <w:r>
        <w:rPr/>
        <w:t>deben</w:t>
      </w:r>
      <w:r>
        <w:rPr>
          <w:spacing w:val="-18"/>
        </w:rPr>
        <w:t> </w:t>
      </w:r>
      <w:r>
        <w:rPr/>
        <w:t>ser</w:t>
      </w:r>
      <w:r>
        <w:rPr>
          <w:spacing w:val="-19"/>
        </w:rPr>
        <w:t> </w:t>
      </w:r>
      <w:r>
        <w:rPr/>
        <w:t>considerados</w:t>
      </w:r>
      <w:r>
        <w:rPr>
          <w:spacing w:val="-21"/>
        </w:rPr>
        <w:t> </w:t>
      </w:r>
      <w:r>
        <w:rPr/>
        <w:t>a</w:t>
      </w:r>
      <w:r>
        <w:rPr>
          <w:spacing w:val="-18"/>
        </w:rPr>
        <w:t> </w:t>
      </w:r>
      <w:r>
        <w:rPr/>
        <w:t>nivel</w:t>
      </w:r>
      <w:r>
        <w:rPr>
          <w:spacing w:val="-19"/>
        </w:rPr>
        <w:t> </w:t>
      </w:r>
      <w:r>
        <w:rPr/>
        <w:t>local</w:t>
      </w:r>
      <w:r>
        <w:rPr>
          <w:spacing w:val="-19"/>
        </w:rPr>
        <w:t> </w:t>
      </w:r>
      <w:r>
        <w:rPr/>
        <w:t>y</w:t>
      </w:r>
      <w:r>
        <w:rPr>
          <w:spacing w:val="-21"/>
        </w:rPr>
        <w:t> </w:t>
      </w:r>
      <w:r>
        <w:rPr/>
        <w:t>de</w:t>
      </w:r>
      <w:r>
        <w:rPr>
          <w:spacing w:val="-18"/>
        </w:rPr>
        <w:t> </w:t>
      </w:r>
      <w:r>
        <w:rPr/>
        <w:t>forma</w:t>
      </w:r>
      <w:r>
        <w:rPr>
          <w:spacing w:val="-18"/>
        </w:rPr>
        <w:t> </w:t>
      </w:r>
      <w:r>
        <w:rPr/>
        <w:t>individual.</w:t>
      </w:r>
    </w:p>
    <w:p>
      <w:pPr>
        <w:pStyle w:val="BodyText"/>
      </w:pPr>
    </w:p>
    <w:p>
      <w:pPr>
        <w:pStyle w:val="BodyText"/>
        <w:spacing w:line="360" w:lineRule="auto" w:before="142"/>
        <w:ind w:left="118" w:right="113"/>
        <w:jc w:val="both"/>
      </w:pPr>
      <w:r>
        <w:rPr/>
        <w:t>Los</w:t>
      </w:r>
      <w:r>
        <w:rPr>
          <w:spacing w:val="-16"/>
        </w:rPr>
        <w:t> </w:t>
      </w:r>
      <w:r>
        <w:rPr/>
        <w:t>estudios</w:t>
      </w:r>
      <w:r>
        <w:rPr>
          <w:spacing w:val="-13"/>
        </w:rPr>
        <w:t> </w:t>
      </w:r>
      <w:r>
        <w:rPr/>
        <w:t>realizados</w:t>
      </w:r>
      <w:r>
        <w:rPr>
          <w:spacing w:val="-14"/>
        </w:rPr>
        <w:t> </w:t>
      </w:r>
      <w:r>
        <w:rPr/>
        <w:t>para</w:t>
      </w:r>
      <w:r>
        <w:rPr>
          <w:spacing w:val="-15"/>
        </w:rPr>
        <w:t> </w:t>
      </w:r>
      <w:r>
        <w:rPr/>
        <w:t>prevenir</w:t>
      </w:r>
      <w:r>
        <w:rPr>
          <w:spacing w:val="-15"/>
        </w:rPr>
        <w:t> </w:t>
      </w:r>
      <w:r>
        <w:rPr/>
        <w:t>la</w:t>
      </w:r>
      <w:r>
        <w:rPr>
          <w:spacing w:val="-13"/>
        </w:rPr>
        <w:t> </w:t>
      </w:r>
      <w:r>
        <w:rPr/>
        <w:t>caries</w:t>
      </w:r>
      <w:r>
        <w:rPr>
          <w:spacing w:val="-16"/>
        </w:rPr>
        <w:t> </w:t>
      </w:r>
      <w:r>
        <w:rPr/>
        <w:t>fueron</w:t>
      </w:r>
      <w:r>
        <w:rPr>
          <w:spacing w:val="-16"/>
        </w:rPr>
        <w:t> </w:t>
      </w:r>
      <w:r>
        <w:rPr/>
        <w:t>muchos,</w:t>
      </w:r>
      <w:r>
        <w:rPr>
          <w:spacing w:val="-16"/>
        </w:rPr>
        <w:t> </w:t>
      </w:r>
      <w:r>
        <w:rPr/>
        <w:t>entre</w:t>
      </w:r>
      <w:r>
        <w:rPr>
          <w:spacing w:val="-16"/>
        </w:rPr>
        <w:t> </w:t>
      </w:r>
      <w:r>
        <w:rPr/>
        <w:t>ellos</w:t>
      </w:r>
      <w:r>
        <w:rPr>
          <w:spacing w:val="-16"/>
        </w:rPr>
        <w:t> </w:t>
      </w:r>
      <w:r>
        <w:rPr/>
        <w:t>está</w:t>
      </w:r>
      <w:r>
        <w:rPr>
          <w:spacing w:val="-13"/>
        </w:rPr>
        <w:t> </w:t>
      </w:r>
      <w:r>
        <w:rPr/>
        <w:t>el</w:t>
      </w:r>
      <w:r>
        <w:rPr>
          <w:spacing w:val="-14"/>
        </w:rPr>
        <w:t> </w:t>
      </w:r>
      <w:r>
        <w:rPr/>
        <w:t>de</w:t>
      </w:r>
      <w:r>
        <w:rPr>
          <w:spacing w:val="-13"/>
        </w:rPr>
        <w:t> </w:t>
      </w:r>
      <w:r>
        <w:rPr/>
        <w:t>Hyatt quien propuso la odontotomía profiláctica, que es la colocación de una amalgama, mediante la preparación de una cavidad clase I sobre una superficie oclusal</w:t>
      </w:r>
      <w:r>
        <w:rPr>
          <w:spacing w:val="-31"/>
        </w:rPr>
        <w:t> </w:t>
      </w:r>
      <w:r>
        <w:rPr/>
        <w:t>sana.</w:t>
      </w:r>
    </w:p>
    <w:p>
      <w:pPr>
        <w:pStyle w:val="BodyText"/>
      </w:pPr>
    </w:p>
    <w:p>
      <w:pPr>
        <w:pStyle w:val="BodyText"/>
        <w:spacing w:line="360" w:lineRule="auto" w:before="142"/>
        <w:ind w:left="118" w:right="119"/>
        <w:jc w:val="both"/>
      </w:pPr>
      <w:r>
        <w:rPr/>
        <w:t>Posteriormente a principios del S. XX, un grupo de odontólogos clínicos probaron prevenirla con la aplicación de nitrato de plata (W.D. Miller, 1905), nitrocelulosa (Gore, 1939)</w:t>
      </w:r>
      <w:r>
        <w:rPr>
          <w:spacing w:val="-10"/>
        </w:rPr>
        <w:t> </w:t>
      </w:r>
      <w:r>
        <w:rPr/>
        <w:t>y</w:t>
      </w:r>
      <w:r>
        <w:rPr>
          <w:spacing w:val="-12"/>
        </w:rPr>
        <w:t> </w:t>
      </w:r>
      <w:r>
        <w:rPr/>
        <w:t>zinc</w:t>
      </w:r>
      <w:r>
        <w:rPr>
          <w:spacing w:val="-9"/>
        </w:rPr>
        <w:t> </w:t>
      </w:r>
      <w:r>
        <w:rPr/>
        <w:t>(Ast</w:t>
      </w:r>
      <w:r>
        <w:rPr>
          <w:spacing w:val="-9"/>
        </w:rPr>
        <w:t> </w:t>
      </w:r>
      <w:r>
        <w:rPr/>
        <w:t>y</w:t>
      </w:r>
      <w:r>
        <w:rPr>
          <w:spacing w:val="-12"/>
        </w:rPr>
        <w:t> </w:t>
      </w:r>
      <w:r>
        <w:rPr/>
        <w:t>col.,</w:t>
      </w:r>
      <w:r>
        <w:rPr>
          <w:spacing w:val="-9"/>
        </w:rPr>
        <w:t> </w:t>
      </w:r>
      <w:r>
        <w:rPr/>
        <w:t>1950)</w:t>
      </w:r>
      <w:r>
        <w:rPr>
          <w:spacing w:val="-10"/>
        </w:rPr>
        <w:t> </w:t>
      </w:r>
      <w:r>
        <w:rPr/>
        <w:t>sobre</w:t>
      </w:r>
      <w:r>
        <w:rPr>
          <w:spacing w:val="-11"/>
        </w:rPr>
        <w:t> </w:t>
      </w:r>
      <w:r>
        <w:rPr/>
        <w:t>las</w:t>
      </w:r>
      <w:r>
        <w:rPr>
          <w:spacing w:val="-11"/>
        </w:rPr>
        <w:t> </w:t>
      </w:r>
      <w:r>
        <w:rPr/>
        <w:t>fisuras</w:t>
      </w:r>
      <w:r>
        <w:rPr>
          <w:spacing w:val="-9"/>
        </w:rPr>
        <w:t> </w:t>
      </w:r>
      <w:r>
        <w:rPr/>
        <w:t>y</w:t>
      </w:r>
      <w:r>
        <w:rPr>
          <w:spacing w:val="-12"/>
        </w:rPr>
        <w:t> </w:t>
      </w:r>
      <w:r>
        <w:rPr/>
        <w:t>pequeñas</w:t>
      </w:r>
      <w:r>
        <w:rPr>
          <w:spacing w:val="-9"/>
        </w:rPr>
        <w:t> </w:t>
      </w:r>
      <w:r>
        <w:rPr/>
        <w:t>cavidades</w:t>
      </w:r>
      <w:r>
        <w:rPr>
          <w:spacing w:val="-9"/>
        </w:rPr>
        <w:t> </w:t>
      </w:r>
      <w:r>
        <w:rPr/>
        <w:t>que</w:t>
      </w:r>
      <w:r>
        <w:rPr>
          <w:spacing w:val="-8"/>
        </w:rPr>
        <w:t> </w:t>
      </w:r>
      <w:r>
        <w:rPr/>
        <w:t>había</w:t>
      </w:r>
      <w:r>
        <w:rPr>
          <w:spacing w:val="-11"/>
        </w:rPr>
        <w:t> </w:t>
      </w:r>
      <w:r>
        <w:rPr/>
        <w:t>formado el proceso carioso, la intención de utilizar estos materiales consistía en proporcionar un medio dentro de las fisuras que inhibiera el crecimiento bacteriano y un esmalte más resistente, dicho intento pronto dejó de usarse y cayó en el olvido debido al escaso</w:t>
      </w:r>
      <w:r>
        <w:rPr>
          <w:spacing w:val="-32"/>
        </w:rPr>
        <w:t> </w:t>
      </w:r>
      <w:r>
        <w:rPr/>
        <w:t>éxito logrado y sobre todo porque con la fricción que se generaba en los movimientos de oclusión sobre las capas colocadas eran fácilmente</w:t>
      </w:r>
      <w:r>
        <w:rPr>
          <w:spacing w:val="-19"/>
        </w:rPr>
        <w:t> </w:t>
      </w:r>
      <w:r>
        <w:rPr/>
        <w:t>eliminadas.</w:t>
      </w:r>
    </w:p>
    <w:p>
      <w:pPr>
        <w:pStyle w:val="BodyText"/>
      </w:pPr>
    </w:p>
    <w:p>
      <w:pPr>
        <w:pStyle w:val="BodyText"/>
        <w:spacing w:line="360" w:lineRule="auto" w:before="142"/>
        <w:ind w:left="118" w:right="111"/>
        <w:jc w:val="both"/>
      </w:pPr>
      <w:r>
        <w:rPr/>
        <w:t>En la búsqueda de la solución al problema de la retención, Whilst Rock (1947) experimentó el uso del ácido sobre el esmalte y solamente en la zona de aplicación del material sellador para producir una descalcificación y con ello una mejor retención del material por adhesión; informó sobre el uso de dos materiales de poliuretano sobre las fisuras</w:t>
      </w:r>
      <w:r>
        <w:rPr>
          <w:spacing w:val="-13"/>
        </w:rPr>
        <w:t> </w:t>
      </w:r>
      <w:r>
        <w:rPr/>
        <w:t>y</w:t>
      </w:r>
      <w:r>
        <w:rPr>
          <w:spacing w:val="-13"/>
        </w:rPr>
        <w:t> </w:t>
      </w:r>
      <w:r>
        <w:rPr/>
        <w:t>las</w:t>
      </w:r>
      <w:r>
        <w:rPr>
          <w:spacing w:val="-12"/>
        </w:rPr>
        <w:t> </w:t>
      </w:r>
      <w:r>
        <w:rPr/>
        <w:t>pequeñas</w:t>
      </w:r>
      <w:r>
        <w:rPr>
          <w:spacing w:val="-15"/>
        </w:rPr>
        <w:t> </w:t>
      </w:r>
      <w:r>
        <w:rPr/>
        <w:t>cavidades</w:t>
      </w:r>
      <w:r>
        <w:rPr>
          <w:spacing w:val="-13"/>
        </w:rPr>
        <w:t> </w:t>
      </w:r>
      <w:r>
        <w:rPr/>
        <w:t>presentes</w:t>
      </w:r>
      <w:r>
        <w:rPr>
          <w:spacing w:val="-13"/>
        </w:rPr>
        <w:t> </w:t>
      </w:r>
      <w:r>
        <w:rPr/>
        <w:t>en</w:t>
      </w:r>
      <w:r>
        <w:rPr>
          <w:spacing w:val="-10"/>
        </w:rPr>
        <w:t> </w:t>
      </w:r>
      <w:r>
        <w:rPr/>
        <w:t>la</w:t>
      </w:r>
      <w:r>
        <w:rPr>
          <w:spacing w:val="-12"/>
        </w:rPr>
        <w:t> </w:t>
      </w:r>
      <w:r>
        <w:rPr/>
        <w:t>cara</w:t>
      </w:r>
      <w:r>
        <w:rPr>
          <w:spacing w:val="-15"/>
        </w:rPr>
        <w:t> </w:t>
      </w:r>
      <w:r>
        <w:rPr/>
        <w:t>oclusal</w:t>
      </w:r>
      <w:r>
        <w:rPr>
          <w:spacing w:val="-13"/>
        </w:rPr>
        <w:t> </w:t>
      </w:r>
      <w:r>
        <w:rPr/>
        <w:t>de</w:t>
      </w:r>
      <w:r>
        <w:rPr>
          <w:spacing w:val="-12"/>
        </w:rPr>
        <w:t> </w:t>
      </w:r>
      <w:r>
        <w:rPr/>
        <w:t>los</w:t>
      </w:r>
      <w:r>
        <w:rPr>
          <w:spacing w:val="-15"/>
        </w:rPr>
        <w:t> </w:t>
      </w:r>
      <w:r>
        <w:rPr/>
        <w:t>dientes,</w:t>
      </w:r>
      <w:r>
        <w:rPr>
          <w:spacing w:val="-12"/>
        </w:rPr>
        <w:t> </w:t>
      </w:r>
      <w:r>
        <w:rPr/>
        <w:t>uno</w:t>
      </w:r>
      <w:r>
        <w:rPr>
          <w:spacing w:val="-12"/>
        </w:rPr>
        <w:t> </w:t>
      </w:r>
      <w:r>
        <w:rPr/>
        <w:t>de</w:t>
      </w:r>
      <w:r>
        <w:rPr>
          <w:spacing w:val="-12"/>
        </w:rPr>
        <w:t> </w:t>
      </w:r>
      <w:r>
        <w:rPr/>
        <w:t>ellos se  aplicó  sobre  una  zona  previamente  descalcificada  y  el  segundo  fue    </w:t>
      </w:r>
      <w:r>
        <w:rPr>
          <w:spacing w:val="27"/>
        </w:rPr>
        <w:t> </w:t>
      </w:r>
      <w:r>
        <w:rPr/>
        <w:t>aplicado</w:t>
      </w:r>
    </w:p>
    <w:p>
      <w:pPr>
        <w:spacing w:after="0" w:line="360" w:lineRule="auto"/>
        <w:jc w:val="both"/>
        <w:sectPr>
          <w:pgSz w:w="12240" w:h="15840"/>
          <w:pgMar w:header="0" w:footer="947" w:top="1360" w:bottom="1140" w:left="1300" w:right="1300"/>
        </w:sectPr>
      </w:pPr>
    </w:p>
    <w:p>
      <w:pPr>
        <w:pStyle w:val="BodyText"/>
        <w:spacing w:line="357" w:lineRule="auto" w:before="57"/>
        <w:ind w:left="118" w:right="120"/>
        <w:jc w:val="both"/>
        <w:rPr>
          <w:sz w:val="16"/>
        </w:rPr>
      </w:pPr>
      <w:r>
        <w:rPr/>
        <w:t>directamente sobre la superficie externa del diente sin preparar con ácido. Ninguno de los materiales fue retenido sobre el diente y no se tuvo tampoco ningún efecto sobre la aparición de la caries.</w:t>
      </w:r>
      <w:r>
        <w:rPr>
          <w:position w:val="8"/>
          <w:sz w:val="16"/>
        </w:rPr>
        <w:t>2</w:t>
      </w:r>
    </w:p>
    <w:p>
      <w:pPr>
        <w:pStyle w:val="BodyText"/>
        <w:spacing w:before="2"/>
        <w:rPr>
          <w:sz w:val="36"/>
        </w:rPr>
      </w:pPr>
    </w:p>
    <w:p>
      <w:pPr>
        <w:pStyle w:val="BodyText"/>
        <w:spacing w:line="360" w:lineRule="auto" w:before="1"/>
        <w:ind w:left="118" w:right="114"/>
        <w:jc w:val="both"/>
        <w:rPr>
          <w:sz w:val="16"/>
        </w:rPr>
      </w:pPr>
      <w:r>
        <w:rPr/>
        <w:t>Buonocore</w:t>
      </w:r>
      <w:r>
        <w:rPr>
          <w:spacing w:val="-14"/>
        </w:rPr>
        <w:t> </w:t>
      </w:r>
      <w:r>
        <w:rPr/>
        <w:t>(1955)</w:t>
      </w:r>
      <w:r>
        <w:rPr>
          <w:spacing w:val="-15"/>
        </w:rPr>
        <w:t> </w:t>
      </w:r>
      <w:r>
        <w:rPr/>
        <w:t>decidió</w:t>
      </w:r>
      <w:r>
        <w:rPr>
          <w:spacing w:val="-13"/>
        </w:rPr>
        <w:t> </w:t>
      </w:r>
      <w:r>
        <w:rPr/>
        <w:t>seguir</w:t>
      </w:r>
      <w:r>
        <w:rPr>
          <w:spacing w:val="-15"/>
        </w:rPr>
        <w:t> </w:t>
      </w:r>
      <w:r>
        <w:rPr/>
        <w:t>con</w:t>
      </w:r>
      <w:r>
        <w:rPr>
          <w:spacing w:val="-13"/>
        </w:rPr>
        <w:t> </w:t>
      </w:r>
      <w:r>
        <w:rPr/>
        <w:t>los</w:t>
      </w:r>
      <w:r>
        <w:rPr>
          <w:spacing w:val="-13"/>
        </w:rPr>
        <w:t> </w:t>
      </w:r>
      <w:r>
        <w:rPr/>
        <w:t>experimentos</w:t>
      </w:r>
      <w:r>
        <w:rPr>
          <w:spacing w:val="-14"/>
        </w:rPr>
        <w:t> </w:t>
      </w:r>
      <w:r>
        <w:rPr/>
        <w:t>de</w:t>
      </w:r>
      <w:r>
        <w:rPr>
          <w:spacing w:val="-20"/>
        </w:rPr>
        <w:t> </w:t>
      </w:r>
      <w:r>
        <w:rPr/>
        <w:t>Whilst</w:t>
      </w:r>
      <w:r>
        <w:rPr>
          <w:spacing w:val="-13"/>
        </w:rPr>
        <w:t> </w:t>
      </w:r>
      <w:r>
        <w:rPr/>
        <w:t>Rock</w:t>
      </w:r>
      <w:r>
        <w:rPr>
          <w:spacing w:val="-14"/>
        </w:rPr>
        <w:t> </w:t>
      </w:r>
      <w:r>
        <w:rPr/>
        <w:t>y</w:t>
      </w:r>
      <w:r>
        <w:rPr>
          <w:spacing w:val="-16"/>
        </w:rPr>
        <w:t> </w:t>
      </w:r>
      <w:r>
        <w:rPr/>
        <w:t>siguió</w:t>
      </w:r>
      <w:r>
        <w:rPr>
          <w:spacing w:val="-13"/>
        </w:rPr>
        <w:t> </w:t>
      </w:r>
      <w:r>
        <w:rPr/>
        <w:t>intentando probar</w:t>
      </w:r>
      <w:r>
        <w:rPr>
          <w:spacing w:val="-11"/>
        </w:rPr>
        <w:t> </w:t>
      </w:r>
      <w:r>
        <w:rPr/>
        <w:t>con</w:t>
      </w:r>
      <w:r>
        <w:rPr>
          <w:spacing w:val="-12"/>
        </w:rPr>
        <w:t> </w:t>
      </w:r>
      <w:r>
        <w:rPr/>
        <w:t>diversos</w:t>
      </w:r>
      <w:r>
        <w:rPr>
          <w:spacing w:val="-10"/>
        </w:rPr>
        <w:t> </w:t>
      </w:r>
      <w:r>
        <w:rPr/>
        <w:t>ácidos</w:t>
      </w:r>
      <w:r>
        <w:rPr>
          <w:spacing w:val="-10"/>
        </w:rPr>
        <w:t> </w:t>
      </w:r>
      <w:r>
        <w:rPr/>
        <w:t>a</w:t>
      </w:r>
      <w:r>
        <w:rPr>
          <w:spacing w:val="-12"/>
        </w:rPr>
        <w:t> </w:t>
      </w:r>
      <w:r>
        <w:rPr/>
        <w:t>diferentes</w:t>
      </w:r>
      <w:r>
        <w:rPr>
          <w:spacing w:val="-10"/>
        </w:rPr>
        <w:t> </w:t>
      </w:r>
      <w:r>
        <w:rPr/>
        <w:t>concentraciones</w:t>
      </w:r>
      <w:r>
        <w:rPr>
          <w:spacing w:val="-10"/>
        </w:rPr>
        <w:t> </w:t>
      </w:r>
      <w:r>
        <w:rPr/>
        <w:t>para</w:t>
      </w:r>
      <w:r>
        <w:rPr>
          <w:spacing w:val="-10"/>
        </w:rPr>
        <w:t> </w:t>
      </w:r>
      <w:r>
        <w:rPr/>
        <w:t>generar</w:t>
      </w:r>
      <w:r>
        <w:rPr>
          <w:spacing w:val="-11"/>
        </w:rPr>
        <w:t> </w:t>
      </w:r>
      <w:r>
        <w:rPr/>
        <w:t>y</w:t>
      </w:r>
      <w:r>
        <w:rPr>
          <w:spacing w:val="-13"/>
        </w:rPr>
        <w:t> </w:t>
      </w:r>
      <w:r>
        <w:rPr/>
        <w:t>marcar</w:t>
      </w:r>
      <w:r>
        <w:rPr>
          <w:spacing w:val="-11"/>
        </w:rPr>
        <w:t> </w:t>
      </w:r>
      <w:r>
        <w:rPr/>
        <w:t>una</w:t>
      </w:r>
      <w:r>
        <w:rPr>
          <w:spacing w:val="-12"/>
        </w:rPr>
        <w:t> </w:t>
      </w:r>
      <w:r>
        <w:rPr/>
        <w:t>zona de retención eficaz antes de aplicar los materiales de sellado. La superficie de esmalte es rugosa y para aumentar esa rugosidad del esmalte ideo una técnica que consistía en profundizar el tamaño de los microporos mediante el previo acondicionamiento con una solución de ácido ortofosfórico a una concentración variable. Estos intentos y modificaciones</w:t>
      </w:r>
      <w:r>
        <w:rPr>
          <w:spacing w:val="-7"/>
        </w:rPr>
        <w:t> </w:t>
      </w:r>
      <w:r>
        <w:rPr/>
        <w:t>en</w:t>
      </w:r>
      <w:r>
        <w:rPr>
          <w:spacing w:val="-8"/>
        </w:rPr>
        <w:t> </w:t>
      </w:r>
      <w:r>
        <w:rPr/>
        <w:t>la</w:t>
      </w:r>
      <w:r>
        <w:rPr>
          <w:spacing w:val="-6"/>
        </w:rPr>
        <w:t> </w:t>
      </w:r>
      <w:r>
        <w:rPr/>
        <w:t>técnica</w:t>
      </w:r>
      <w:r>
        <w:rPr>
          <w:spacing w:val="-6"/>
        </w:rPr>
        <w:t> </w:t>
      </w:r>
      <w:r>
        <w:rPr/>
        <w:t>por</w:t>
      </w:r>
      <w:r>
        <w:rPr>
          <w:spacing w:val="-10"/>
        </w:rPr>
        <w:t> </w:t>
      </w:r>
      <w:r>
        <w:rPr/>
        <w:t>fin</w:t>
      </w:r>
      <w:r>
        <w:rPr>
          <w:spacing w:val="-6"/>
        </w:rPr>
        <w:t> </w:t>
      </w:r>
      <w:r>
        <w:rPr/>
        <w:t>tuvieron</w:t>
      </w:r>
      <w:r>
        <w:rPr>
          <w:spacing w:val="-6"/>
        </w:rPr>
        <w:t> </w:t>
      </w:r>
      <w:r>
        <w:rPr/>
        <w:t>un</w:t>
      </w:r>
      <w:r>
        <w:rPr>
          <w:spacing w:val="-6"/>
        </w:rPr>
        <w:t> </w:t>
      </w:r>
      <w:r>
        <w:rPr/>
        <w:t>efecto</w:t>
      </w:r>
      <w:r>
        <w:rPr>
          <w:spacing w:val="-8"/>
        </w:rPr>
        <w:t> </w:t>
      </w:r>
      <w:r>
        <w:rPr/>
        <w:t>exitoso</w:t>
      </w:r>
      <w:r>
        <w:rPr>
          <w:spacing w:val="-6"/>
        </w:rPr>
        <w:t> </w:t>
      </w:r>
      <w:r>
        <w:rPr/>
        <w:t>en</w:t>
      </w:r>
      <w:r>
        <w:rPr>
          <w:spacing w:val="-6"/>
        </w:rPr>
        <w:t> </w:t>
      </w:r>
      <w:r>
        <w:rPr/>
        <w:t>la</w:t>
      </w:r>
      <w:r>
        <w:rPr>
          <w:spacing w:val="-9"/>
        </w:rPr>
        <w:t> </w:t>
      </w:r>
      <w:r>
        <w:rPr/>
        <w:t>adhesión</w:t>
      </w:r>
      <w:r>
        <w:rPr>
          <w:spacing w:val="-6"/>
        </w:rPr>
        <w:t> </w:t>
      </w:r>
      <w:r>
        <w:rPr/>
        <w:t>de</w:t>
      </w:r>
      <w:r>
        <w:rPr>
          <w:spacing w:val="-6"/>
        </w:rPr>
        <w:t> </w:t>
      </w:r>
      <w:r>
        <w:rPr/>
        <w:t>resina</w:t>
      </w:r>
      <w:r>
        <w:rPr>
          <w:spacing w:val="-8"/>
        </w:rPr>
        <w:t> </w:t>
      </w:r>
      <w:r>
        <w:rPr/>
        <w:t>al diente y la técnica de grabar y marcar con ácido una zona de retención, fue pronto difundida e introducida de forma sistemática en el sellado de fisuras.</w:t>
      </w:r>
      <w:r>
        <w:rPr>
          <w:position w:val="8"/>
          <w:sz w:val="16"/>
        </w:rPr>
        <w:t>2,</w:t>
      </w:r>
      <w:r>
        <w:rPr>
          <w:spacing w:val="-20"/>
          <w:position w:val="8"/>
          <w:sz w:val="16"/>
        </w:rPr>
        <w:t> </w:t>
      </w:r>
      <w:r>
        <w:rPr>
          <w:position w:val="8"/>
          <w:sz w:val="16"/>
        </w:rPr>
        <w:t>3</w:t>
      </w:r>
    </w:p>
    <w:p>
      <w:pPr>
        <w:pStyle w:val="BodyText"/>
        <w:rPr>
          <w:sz w:val="36"/>
        </w:rPr>
      </w:pPr>
    </w:p>
    <w:p>
      <w:pPr>
        <w:pStyle w:val="BodyText"/>
        <w:spacing w:line="357" w:lineRule="auto"/>
        <w:ind w:left="118" w:right="115"/>
        <w:jc w:val="both"/>
        <w:rPr>
          <w:sz w:val="16"/>
        </w:rPr>
      </w:pPr>
      <w:r>
        <w:rPr/>
        <w:t>Whilst Rock (1972) retoma también sus investigaciones buscando al mismo tiempo que Ibse (1973), McCune (1973) el perfeccionamiento de esta nueva técnica de selladores con retención. Los resultados de todos estos estudios perfeccionaron y elevaron satisfactoriamente el porcentaje de retención de las resinas como selladores.</w:t>
      </w:r>
      <w:r>
        <w:rPr>
          <w:position w:val="8"/>
          <w:sz w:val="16"/>
        </w:rPr>
        <w:t>2</w:t>
      </w:r>
    </w:p>
    <w:p>
      <w:pPr>
        <w:pStyle w:val="BodyText"/>
        <w:spacing w:before="2"/>
        <w:rPr>
          <w:sz w:val="36"/>
        </w:rPr>
      </w:pPr>
    </w:p>
    <w:p>
      <w:pPr>
        <w:pStyle w:val="BodyText"/>
        <w:spacing w:line="357" w:lineRule="auto" w:before="1"/>
        <w:ind w:left="118" w:right="113"/>
        <w:jc w:val="both"/>
        <w:rPr>
          <w:sz w:val="16"/>
        </w:rPr>
      </w:pPr>
      <w:r>
        <w:rPr/>
        <w:t>Buonocore a finales del decenio de 1960-69. Describe un método para unir polimetilmetacrilato (PMMA) al esmalte de humano, acondicionado con ácido fosfórico. </w:t>
      </w:r>
      <w:r>
        <w:rPr>
          <w:position w:val="8"/>
          <w:sz w:val="16"/>
        </w:rPr>
        <w:t>7</w:t>
      </w:r>
    </w:p>
    <w:p>
      <w:pPr>
        <w:pStyle w:val="BodyText"/>
        <w:spacing w:before="2"/>
        <w:rPr>
          <w:sz w:val="36"/>
        </w:rPr>
      </w:pPr>
    </w:p>
    <w:p>
      <w:pPr>
        <w:pStyle w:val="BodyText"/>
        <w:spacing w:line="360" w:lineRule="auto" w:before="1"/>
        <w:ind w:left="118" w:right="116"/>
        <w:jc w:val="both"/>
      </w:pPr>
      <w:r>
        <w:rPr/>
        <w:t>Para 1965, Bowen había desarrollado la resina bis-GMA que es producto de reacción química del bisfenol A glicidil metacrilato. Esta es la resina de base para la mayoría de los selladores comerciales vigentes.</w:t>
      </w:r>
    </w:p>
    <w:p>
      <w:pPr>
        <w:pStyle w:val="BodyText"/>
      </w:pPr>
    </w:p>
    <w:p>
      <w:pPr>
        <w:pStyle w:val="BodyText"/>
        <w:spacing w:line="360" w:lineRule="auto" w:before="142"/>
        <w:ind w:left="118" w:right="121"/>
        <w:jc w:val="both"/>
      </w:pPr>
      <w:r>
        <w:rPr/>
        <w:t>Nuevamente a principios de 1970, en los Estados Unidos de Norteamérica, se genera nuevamente un repentino interés en el sellado de las fisuras y en 1984 Eidelman logró determinar que la exposición del esmalte al ácido durante 20 segundos proporcionaba una superficie con la suficiente desmineralización para obtener una adecuada</w:t>
      </w:r>
      <w:r>
        <w:rPr>
          <w:spacing w:val="-37"/>
        </w:rPr>
        <w:t> </w:t>
      </w:r>
      <w:r>
        <w:rPr/>
        <w:t>retención.</w:t>
      </w:r>
    </w:p>
    <w:p>
      <w:pPr>
        <w:spacing w:after="0" w:line="360" w:lineRule="auto"/>
        <w:jc w:val="both"/>
        <w:sectPr>
          <w:pgSz w:w="12240" w:h="15840"/>
          <w:pgMar w:header="0" w:footer="947" w:top="1360" w:bottom="1140" w:left="1300" w:right="1300"/>
        </w:sectPr>
      </w:pPr>
    </w:p>
    <w:p>
      <w:pPr>
        <w:pStyle w:val="BodyText"/>
        <w:spacing w:line="360" w:lineRule="auto" w:before="57"/>
        <w:ind w:left="118" w:right="120"/>
        <w:jc w:val="both"/>
      </w:pPr>
      <w:r>
        <w:rPr/>
        <w:t>En 1990, Whilst Rock empezó a experimentar con un tipo de ácido en forma de gel, demostrando</w:t>
      </w:r>
      <w:r>
        <w:rPr>
          <w:spacing w:val="-8"/>
        </w:rPr>
        <w:t> </w:t>
      </w:r>
      <w:r>
        <w:rPr/>
        <w:t>con</w:t>
      </w:r>
      <w:r>
        <w:rPr>
          <w:spacing w:val="-8"/>
        </w:rPr>
        <w:t> </w:t>
      </w:r>
      <w:r>
        <w:rPr/>
        <w:t>sus</w:t>
      </w:r>
      <w:r>
        <w:rPr>
          <w:spacing w:val="-9"/>
        </w:rPr>
        <w:t> </w:t>
      </w:r>
      <w:r>
        <w:rPr/>
        <w:t>estudios</w:t>
      </w:r>
      <w:r>
        <w:rPr>
          <w:spacing w:val="-7"/>
        </w:rPr>
        <w:t> </w:t>
      </w:r>
      <w:r>
        <w:rPr/>
        <w:t>que</w:t>
      </w:r>
      <w:r>
        <w:rPr>
          <w:spacing w:val="-8"/>
        </w:rPr>
        <w:t> </w:t>
      </w:r>
      <w:r>
        <w:rPr/>
        <w:t>el</w:t>
      </w:r>
      <w:r>
        <w:rPr>
          <w:spacing w:val="-7"/>
        </w:rPr>
        <w:t> </w:t>
      </w:r>
      <w:r>
        <w:rPr/>
        <w:t>uso</w:t>
      </w:r>
      <w:r>
        <w:rPr>
          <w:spacing w:val="-6"/>
        </w:rPr>
        <w:t> </w:t>
      </w:r>
      <w:r>
        <w:rPr/>
        <w:t>de</w:t>
      </w:r>
      <w:r>
        <w:rPr>
          <w:spacing w:val="-8"/>
        </w:rPr>
        <w:t> </w:t>
      </w:r>
      <w:r>
        <w:rPr/>
        <w:t>un</w:t>
      </w:r>
      <w:r>
        <w:rPr>
          <w:spacing w:val="-6"/>
        </w:rPr>
        <w:t> </w:t>
      </w:r>
      <w:r>
        <w:rPr/>
        <w:t>ácido</w:t>
      </w:r>
      <w:r>
        <w:rPr>
          <w:spacing w:val="-8"/>
        </w:rPr>
        <w:t> </w:t>
      </w:r>
      <w:r>
        <w:rPr/>
        <w:t>en</w:t>
      </w:r>
      <w:r>
        <w:rPr>
          <w:spacing w:val="-8"/>
        </w:rPr>
        <w:t> </w:t>
      </w:r>
      <w:r>
        <w:rPr/>
        <w:t>forma</w:t>
      </w:r>
      <w:r>
        <w:rPr>
          <w:spacing w:val="-8"/>
        </w:rPr>
        <w:t> </w:t>
      </w:r>
      <w:r>
        <w:rPr/>
        <w:t>de</w:t>
      </w:r>
      <w:r>
        <w:rPr>
          <w:spacing w:val="-6"/>
        </w:rPr>
        <w:t> </w:t>
      </w:r>
      <w:r>
        <w:rPr/>
        <w:t>gel</w:t>
      </w:r>
      <w:r>
        <w:rPr>
          <w:spacing w:val="-7"/>
        </w:rPr>
        <w:t> </w:t>
      </w:r>
      <w:r>
        <w:rPr/>
        <w:t>tiene</w:t>
      </w:r>
      <w:r>
        <w:rPr>
          <w:spacing w:val="-8"/>
        </w:rPr>
        <w:t> </w:t>
      </w:r>
      <w:r>
        <w:rPr/>
        <w:t>muchas</w:t>
      </w:r>
      <w:r>
        <w:rPr>
          <w:spacing w:val="-9"/>
        </w:rPr>
        <w:t> </w:t>
      </w:r>
      <w:r>
        <w:rPr/>
        <w:t>más ventajas que el de forma líquida pues es más fácil de manipular, pero por otro lado, presentaba el inconveniente de requerir mayor tiempo de aplicación para lograr la retención adecuada; a pesar de ello se demostró que ambos son igual de</w:t>
      </w:r>
      <w:r>
        <w:rPr>
          <w:spacing w:val="-29"/>
        </w:rPr>
        <w:t> </w:t>
      </w:r>
      <w:r>
        <w:rPr/>
        <w:t>efectivos.</w:t>
      </w:r>
    </w:p>
    <w:p>
      <w:pPr>
        <w:pStyle w:val="BodyText"/>
      </w:pPr>
    </w:p>
    <w:p>
      <w:pPr>
        <w:pStyle w:val="BodyText"/>
        <w:spacing w:line="360" w:lineRule="auto" w:before="142"/>
        <w:ind w:left="118" w:right="121"/>
        <w:jc w:val="both"/>
      </w:pPr>
      <w:r>
        <w:rPr/>
        <w:t>McConnachie (1992) sugiere que el tiempo de grabado con ácido, para los primeros molares temporales debería ser el doble que para los dientes permanentes por las diferencias en la formación de la capa externa del diente, para ello sugiere la utilización de dique de hule, algodón y eyector, todo esto con la finalidad de evitar el contacto y contaminación con saliva de la superficie del diente hasta antes de la polimerización del sellador. Estudios recientes han reportado que es absolutamente necesario mantener seca la superficie del diente para una buena retención.</w:t>
      </w:r>
    </w:p>
    <w:p>
      <w:pPr>
        <w:pStyle w:val="BodyText"/>
      </w:pPr>
    </w:p>
    <w:p>
      <w:pPr>
        <w:pStyle w:val="BodyText"/>
        <w:spacing w:line="360" w:lineRule="auto" w:before="142"/>
        <w:ind w:left="118" w:right="113"/>
        <w:jc w:val="both"/>
      </w:pPr>
      <w:r>
        <w:rPr/>
        <w:t>Estudios longitudinales realizados por Weerheijm en adolescentes y adultos jóvenes evidenciaron la presencia de caries oclusal debajo del sellador en las fisuras, con radiografías pudo demostrar esto. Este autor atribuye la dificultad del diagnóstico de la caries oclusal a la edad de los pacientes, sobre todo cuando el paciente es mayor de 20 años de edad.</w:t>
      </w:r>
    </w:p>
    <w:p>
      <w:pPr>
        <w:pStyle w:val="BodyText"/>
      </w:pPr>
    </w:p>
    <w:p>
      <w:pPr>
        <w:pStyle w:val="BodyText"/>
        <w:spacing w:line="360" w:lineRule="auto" w:before="142"/>
        <w:ind w:left="118" w:right="121"/>
        <w:jc w:val="both"/>
      </w:pPr>
      <w:r>
        <w:rPr/>
        <w:t>Por otro lado, Handelman, Washburn y Wopperer aplicaron un sellador polimerizado por rayos ultravioleta en fosas y fisuras de órganos dentarios con caries incipientes. Informaron un descenso de 2,000 veces en el recuento de los microorganismos cultivables en muestras de dentina cariada de los dientes sellados, en comparación con los controles no sellados al término de 2 años.</w:t>
      </w:r>
    </w:p>
    <w:p>
      <w:pPr>
        <w:pStyle w:val="BodyText"/>
      </w:pPr>
    </w:p>
    <w:p>
      <w:pPr>
        <w:pStyle w:val="BodyText"/>
        <w:spacing w:line="360" w:lineRule="auto" w:before="142"/>
        <w:ind w:left="118" w:right="115"/>
        <w:jc w:val="both"/>
      </w:pPr>
      <w:r>
        <w:rPr/>
        <w:t>Jeronimus, Till y Sveen aplicaron tres selladores diferentes de fosas y fisuras sobre molares</w:t>
      </w:r>
      <w:r>
        <w:rPr>
          <w:spacing w:val="-8"/>
        </w:rPr>
        <w:t> </w:t>
      </w:r>
      <w:r>
        <w:rPr/>
        <w:t>con</w:t>
      </w:r>
      <w:r>
        <w:rPr>
          <w:spacing w:val="-7"/>
        </w:rPr>
        <w:t> </w:t>
      </w:r>
      <w:r>
        <w:rPr/>
        <w:t>caries</w:t>
      </w:r>
      <w:r>
        <w:rPr>
          <w:spacing w:val="-5"/>
        </w:rPr>
        <w:t> </w:t>
      </w:r>
      <w:r>
        <w:rPr/>
        <w:t>incipientes,</w:t>
      </w:r>
      <w:r>
        <w:rPr>
          <w:spacing w:val="-7"/>
        </w:rPr>
        <w:t> </w:t>
      </w:r>
      <w:r>
        <w:rPr/>
        <w:t>moderadas</w:t>
      </w:r>
      <w:r>
        <w:rPr>
          <w:spacing w:val="-8"/>
        </w:rPr>
        <w:t> </w:t>
      </w:r>
      <w:r>
        <w:rPr/>
        <w:t>o</w:t>
      </w:r>
      <w:r>
        <w:rPr>
          <w:spacing w:val="-7"/>
        </w:rPr>
        <w:t> </w:t>
      </w:r>
      <w:r>
        <w:rPr/>
        <w:t>profundas.</w:t>
      </w:r>
      <w:r>
        <w:rPr>
          <w:spacing w:val="-7"/>
        </w:rPr>
        <w:t> </w:t>
      </w:r>
      <w:r>
        <w:rPr/>
        <w:t>Obtuvieron</w:t>
      </w:r>
      <w:r>
        <w:rPr>
          <w:spacing w:val="-7"/>
        </w:rPr>
        <w:t> </w:t>
      </w:r>
      <w:r>
        <w:rPr/>
        <w:t>muestras</w:t>
      </w:r>
      <w:r>
        <w:rPr>
          <w:spacing w:val="-5"/>
        </w:rPr>
        <w:t> </w:t>
      </w:r>
      <w:r>
        <w:rPr/>
        <w:t>de</w:t>
      </w:r>
      <w:r>
        <w:rPr>
          <w:spacing w:val="-7"/>
        </w:rPr>
        <w:t> </w:t>
      </w:r>
      <w:r>
        <w:rPr/>
        <w:t>dentina cariada</w:t>
      </w:r>
      <w:r>
        <w:rPr>
          <w:spacing w:val="-16"/>
        </w:rPr>
        <w:t> </w:t>
      </w:r>
      <w:r>
        <w:rPr/>
        <w:t>luego</w:t>
      </w:r>
      <w:r>
        <w:rPr>
          <w:spacing w:val="-16"/>
        </w:rPr>
        <w:t> </w:t>
      </w:r>
      <w:r>
        <w:rPr/>
        <w:t>de</w:t>
      </w:r>
      <w:r>
        <w:rPr>
          <w:spacing w:val="-18"/>
        </w:rPr>
        <w:t> </w:t>
      </w:r>
      <w:r>
        <w:rPr/>
        <w:t>2,</w:t>
      </w:r>
      <w:r>
        <w:rPr>
          <w:spacing w:val="-18"/>
        </w:rPr>
        <w:t> </w:t>
      </w:r>
      <w:r>
        <w:rPr/>
        <w:t>3</w:t>
      </w:r>
      <w:r>
        <w:rPr>
          <w:spacing w:val="-16"/>
        </w:rPr>
        <w:t> </w:t>
      </w:r>
      <w:r>
        <w:rPr/>
        <w:t>y</w:t>
      </w:r>
      <w:r>
        <w:rPr>
          <w:spacing w:val="-19"/>
        </w:rPr>
        <w:t> </w:t>
      </w:r>
      <w:r>
        <w:rPr/>
        <w:t>4</w:t>
      </w:r>
      <w:r>
        <w:rPr>
          <w:spacing w:val="-16"/>
        </w:rPr>
        <w:t> </w:t>
      </w:r>
      <w:r>
        <w:rPr/>
        <w:t>semanas</w:t>
      </w:r>
      <w:r>
        <w:rPr>
          <w:spacing w:val="-16"/>
        </w:rPr>
        <w:t> </w:t>
      </w:r>
      <w:r>
        <w:rPr/>
        <w:t>después</w:t>
      </w:r>
      <w:r>
        <w:rPr>
          <w:spacing w:val="-16"/>
        </w:rPr>
        <w:t> </w:t>
      </w:r>
      <w:r>
        <w:rPr/>
        <w:t>de</w:t>
      </w:r>
      <w:r>
        <w:rPr>
          <w:spacing w:val="-18"/>
        </w:rPr>
        <w:t> </w:t>
      </w:r>
      <w:r>
        <w:rPr/>
        <w:t>la</w:t>
      </w:r>
      <w:r>
        <w:rPr>
          <w:spacing w:val="-16"/>
        </w:rPr>
        <w:t> </w:t>
      </w:r>
      <w:r>
        <w:rPr/>
        <w:t>aplicación</w:t>
      </w:r>
      <w:r>
        <w:rPr>
          <w:spacing w:val="-16"/>
        </w:rPr>
        <w:t> </w:t>
      </w:r>
      <w:r>
        <w:rPr/>
        <w:t>del</w:t>
      </w:r>
      <w:r>
        <w:rPr>
          <w:spacing w:val="-17"/>
        </w:rPr>
        <w:t> </w:t>
      </w:r>
      <w:r>
        <w:rPr/>
        <w:t>sellador</w:t>
      </w:r>
      <w:r>
        <w:rPr>
          <w:spacing w:val="-17"/>
        </w:rPr>
        <w:t> </w:t>
      </w:r>
      <w:r>
        <w:rPr/>
        <w:t>e</w:t>
      </w:r>
      <w:r>
        <w:rPr>
          <w:spacing w:val="-16"/>
        </w:rPr>
        <w:t> </w:t>
      </w:r>
      <w:r>
        <w:rPr/>
        <w:t>hicieron</w:t>
      </w:r>
      <w:r>
        <w:rPr>
          <w:spacing w:val="-16"/>
        </w:rPr>
        <w:t> </w:t>
      </w:r>
      <w:r>
        <w:rPr/>
        <w:t>cultivos bacteriológicos. Encontrando que generalmente había cultivos positivos en los dientes donde se había perdido el</w:t>
      </w:r>
      <w:r>
        <w:rPr>
          <w:spacing w:val="-13"/>
        </w:rPr>
        <w:t> </w:t>
      </w:r>
      <w:r>
        <w:rPr/>
        <w:t>sellador.</w:t>
      </w:r>
    </w:p>
    <w:p>
      <w:pPr>
        <w:spacing w:after="0" w:line="360" w:lineRule="auto"/>
        <w:jc w:val="both"/>
        <w:sectPr>
          <w:pgSz w:w="12240" w:h="15840"/>
          <w:pgMar w:header="0" w:footer="947" w:top="1360" w:bottom="1140" w:left="1300" w:right="1300"/>
        </w:sectPr>
      </w:pPr>
    </w:p>
    <w:p>
      <w:pPr>
        <w:pStyle w:val="BodyText"/>
        <w:spacing w:before="7"/>
        <w:rPr>
          <w:sz w:val="22"/>
        </w:rPr>
      </w:pPr>
    </w:p>
    <w:p>
      <w:pPr>
        <w:pStyle w:val="BodyText"/>
        <w:spacing w:line="360" w:lineRule="auto" w:before="69"/>
        <w:ind w:left="118" w:right="114"/>
        <w:jc w:val="both"/>
        <w:rPr>
          <w:sz w:val="16"/>
        </w:rPr>
      </w:pPr>
      <w:r>
        <w:rPr/>
        <w:t>Afortunadamente</w:t>
      </w:r>
      <w:r>
        <w:rPr>
          <w:spacing w:val="-14"/>
        </w:rPr>
        <w:t> </w:t>
      </w:r>
      <w:r>
        <w:rPr/>
        <w:t>las</w:t>
      </w:r>
      <w:r>
        <w:rPr>
          <w:spacing w:val="-17"/>
        </w:rPr>
        <w:t> </w:t>
      </w:r>
      <w:r>
        <w:rPr/>
        <w:t>pruebas</w:t>
      </w:r>
      <w:r>
        <w:rPr>
          <w:spacing w:val="-15"/>
        </w:rPr>
        <w:t> </w:t>
      </w:r>
      <w:r>
        <w:rPr/>
        <w:t>clínicas</w:t>
      </w:r>
      <w:r>
        <w:rPr>
          <w:spacing w:val="-14"/>
        </w:rPr>
        <w:t> </w:t>
      </w:r>
      <w:r>
        <w:rPr/>
        <w:t>realizadas</w:t>
      </w:r>
      <w:r>
        <w:rPr>
          <w:spacing w:val="-15"/>
        </w:rPr>
        <w:t> </w:t>
      </w:r>
      <w:r>
        <w:rPr/>
        <w:t>por</w:t>
      </w:r>
      <w:r>
        <w:rPr>
          <w:spacing w:val="-16"/>
        </w:rPr>
        <w:t> </w:t>
      </w:r>
      <w:r>
        <w:rPr/>
        <w:t>Handelman</w:t>
      </w:r>
      <w:r>
        <w:rPr>
          <w:spacing w:val="-16"/>
        </w:rPr>
        <w:t> </w:t>
      </w:r>
      <w:r>
        <w:rPr/>
        <w:t>y</w:t>
      </w:r>
      <w:r>
        <w:rPr>
          <w:spacing w:val="-17"/>
        </w:rPr>
        <w:t> </w:t>
      </w:r>
      <w:r>
        <w:rPr/>
        <w:t>Swift,</w:t>
      </w:r>
      <w:r>
        <w:rPr>
          <w:spacing w:val="-14"/>
        </w:rPr>
        <w:t> </w:t>
      </w:r>
      <w:r>
        <w:rPr/>
        <w:t>han</w:t>
      </w:r>
      <w:r>
        <w:rPr>
          <w:spacing w:val="-17"/>
        </w:rPr>
        <w:t> </w:t>
      </w:r>
      <w:r>
        <w:rPr/>
        <w:t>demostrado que el diente con caries oclusal temprana o caries más avanzada que es tratado con un sellador de fosas y fisuras ofrece una respuesta favorable haciendo que la caries pase a un estado de latencia; estos estudios demostraron que se presenta un decremento en</w:t>
      </w:r>
      <w:r>
        <w:rPr>
          <w:spacing w:val="-34"/>
        </w:rPr>
        <w:t> </w:t>
      </w:r>
      <w:r>
        <w:rPr/>
        <w:t>el número de organismos viables que afectan la dentina y que la actividad metabólica de los remanentes bacterianos es reducida. La colocación de selladores sobre caries en esmalte se ha demostrado que es eficaz en la inhibición de la progresión de la</w:t>
      </w:r>
      <w:r>
        <w:rPr>
          <w:spacing w:val="-19"/>
        </w:rPr>
        <w:t> </w:t>
      </w:r>
      <w:r>
        <w:rPr/>
        <w:t>lesión.</w:t>
      </w:r>
      <w:r>
        <w:rPr>
          <w:position w:val="8"/>
          <w:sz w:val="16"/>
        </w:rPr>
        <w:t>2</w:t>
      </w:r>
    </w:p>
    <w:p>
      <w:pPr>
        <w:pStyle w:val="BodyText"/>
        <w:spacing w:before="7"/>
        <w:rPr>
          <w:sz w:val="35"/>
        </w:rPr>
      </w:pPr>
    </w:p>
    <w:p>
      <w:pPr>
        <w:pStyle w:val="BodyText"/>
        <w:spacing w:line="360" w:lineRule="auto"/>
        <w:ind w:left="118" w:right="116"/>
        <w:jc w:val="both"/>
      </w:pPr>
      <w:r>
        <w:rPr/>
        <w:t>En 2003 D. Locker y A. Jokovic, </w:t>
      </w:r>
      <w:r>
        <w:rPr>
          <w:position w:val="8"/>
          <w:sz w:val="16"/>
        </w:rPr>
        <w:t>8 </w:t>
      </w:r>
      <w:r>
        <w:rPr/>
        <w:t>reportaron que los selladores se deben colocar tan pronto</w:t>
      </w:r>
      <w:r>
        <w:rPr>
          <w:spacing w:val="-4"/>
        </w:rPr>
        <w:t> </w:t>
      </w:r>
      <w:r>
        <w:rPr/>
        <w:t>como</w:t>
      </w:r>
      <w:r>
        <w:rPr>
          <w:spacing w:val="-5"/>
        </w:rPr>
        <w:t> </w:t>
      </w:r>
      <w:r>
        <w:rPr/>
        <w:t>sea</w:t>
      </w:r>
      <w:r>
        <w:rPr>
          <w:spacing w:val="-5"/>
        </w:rPr>
        <w:t> </w:t>
      </w:r>
      <w:r>
        <w:rPr/>
        <w:t>posible</w:t>
      </w:r>
      <w:r>
        <w:rPr>
          <w:spacing w:val="-5"/>
        </w:rPr>
        <w:t> </w:t>
      </w:r>
      <w:r>
        <w:rPr/>
        <w:t>después</w:t>
      </w:r>
      <w:r>
        <w:rPr>
          <w:spacing w:val="-5"/>
        </w:rPr>
        <w:t> </w:t>
      </w:r>
      <w:r>
        <w:rPr/>
        <w:t>de</w:t>
      </w:r>
      <w:r>
        <w:rPr>
          <w:spacing w:val="-5"/>
        </w:rPr>
        <w:t> </w:t>
      </w:r>
      <w:r>
        <w:rPr/>
        <w:t>que</w:t>
      </w:r>
      <w:r>
        <w:rPr>
          <w:spacing w:val="-5"/>
        </w:rPr>
        <w:t> </w:t>
      </w:r>
      <w:r>
        <w:rPr/>
        <w:t>la</w:t>
      </w:r>
      <w:r>
        <w:rPr>
          <w:spacing w:val="-5"/>
        </w:rPr>
        <w:t> </w:t>
      </w:r>
      <w:r>
        <w:rPr/>
        <w:t>superficie</w:t>
      </w:r>
      <w:r>
        <w:rPr>
          <w:spacing w:val="-5"/>
        </w:rPr>
        <w:t> </w:t>
      </w:r>
      <w:r>
        <w:rPr/>
        <w:t>oclusal</w:t>
      </w:r>
      <w:r>
        <w:rPr>
          <w:spacing w:val="-6"/>
        </w:rPr>
        <w:t> </w:t>
      </w:r>
      <w:r>
        <w:rPr/>
        <w:t>es</w:t>
      </w:r>
      <w:r>
        <w:rPr>
          <w:spacing w:val="-5"/>
        </w:rPr>
        <w:t> </w:t>
      </w:r>
      <w:r>
        <w:rPr/>
        <w:t>libre</w:t>
      </w:r>
      <w:r>
        <w:rPr>
          <w:spacing w:val="-5"/>
        </w:rPr>
        <w:t> </w:t>
      </w:r>
      <w:r>
        <w:rPr/>
        <w:t>de</w:t>
      </w:r>
      <w:r>
        <w:rPr>
          <w:spacing w:val="-5"/>
        </w:rPr>
        <w:t> </w:t>
      </w:r>
      <w:r>
        <w:rPr/>
        <w:t>tejido</w:t>
      </w:r>
      <w:r>
        <w:rPr>
          <w:spacing w:val="-5"/>
        </w:rPr>
        <w:t> </w:t>
      </w:r>
      <w:r>
        <w:rPr/>
        <w:t>gingival</w:t>
      </w:r>
      <w:r>
        <w:rPr>
          <w:spacing w:val="-3"/>
        </w:rPr>
        <w:t> </w:t>
      </w:r>
      <w:r>
        <w:rPr/>
        <w:t>y hasta 4 años después de la</w:t>
      </w:r>
      <w:r>
        <w:rPr>
          <w:spacing w:val="-17"/>
        </w:rPr>
        <w:t> </w:t>
      </w:r>
      <w:r>
        <w:rPr/>
        <w:t>erupción.</w:t>
      </w:r>
    </w:p>
    <w:p>
      <w:pPr>
        <w:pStyle w:val="BodyText"/>
      </w:pPr>
    </w:p>
    <w:p>
      <w:pPr>
        <w:pStyle w:val="BodyText"/>
        <w:spacing w:line="360" w:lineRule="auto" w:before="142"/>
        <w:ind w:left="118" w:right="113"/>
        <w:jc w:val="both"/>
        <w:rPr>
          <w:sz w:val="16"/>
        </w:rPr>
      </w:pPr>
      <w:r>
        <w:rPr/>
        <w:t>En</w:t>
      </w:r>
      <w:r>
        <w:rPr>
          <w:spacing w:val="-18"/>
        </w:rPr>
        <w:t> </w:t>
      </w:r>
      <w:r>
        <w:rPr/>
        <w:t>2008</w:t>
      </w:r>
      <w:r>
        <w:rPr>
          <w:spacing w:val="33"/>
        </w:rPr>
        <w:t> </w:t>
      </w:r>
      <w:r>
        <w:rPr/>
        <w:t>un</w:t>
      </w:r>
      <w:r>
        <w:rPr>
          <w:spacing w:val="-18"/>
        </w:rPr>
        <w:t> </w:t>
      </w:r>
      <w:r>
        <w:rPr/>
        <w:t>panel</w:t>
      </w:r>
      <w:r>
        <w:rPr>
          <w:spacing w:val="-17"/>
        </w:rPr>
        <w:t> </w:t>
      </w:r>
      <w:r>
        <w:rPr/>
        <w:t>de</w:t>
      </w:r>
      <w:r>
        <w:rPr>
          <w:spacing w:val="-18"/>
        </w:rPr>
        <w:t> </w:t>
      </w:r>
      <w:r>
        <w:rPr/>
        <w:t>expertos</w:t>
      </w:r>
      <w:r>
        <w:rPr>
          <w:spacing w:val="-16"/>
        </w:rPr>
        <w:t> </w:t>
      </w:r>
      <w:r>
        <w:rPr/>
        <w:t>del</w:t>
      </w:r>
      <w:r>
        <w:rPr>
          <w:spacing w:val="-19"/>
        </w:rPr>
        <w:t> </w:t>
      </w:r>
      <w:r>
        <w:rPr/>
        <w:t>Consejo</w:t>
      </w:r>
      <w:r>
        <w:rPr>
          <w:spacing w:val="-18"/>
        </w:rPr>
        <w:t> </w:t>
      </w:r>
      <w:r>
        <w:rPr/>
        <w:t>de</w:t>
      </w:r>
      <w:r>
        <w:rPr>
          <w:spacing w:val="-18"/>
        </w:rPr>
        <w:t> </w:t>
      </w:r>
      <w:r>
        <w:rPr/>
        <w:t>Asuntos</w:t>
      </w:r>
      <w:r>
        <w:rPr>
          <w:spacing w:val="-19"/>
        </w:rPr>
        <w:t> </w:t>
      </w:r>
      <w:r>
        <w:rPr/>
        <w:t>Científicos</w:t>
      </w:r>
      <w:r>
        <w:rPr>
          <w:spacing w:val="-18"/>
        </w:rPr>
        <w:t> </w:t>
      </w:r>
      <w:r>
        <w:rPr/>
        <w:t>de</w:t>
      </w:r>
      <w:r>
        <w:rPr>
          <w:spacing w:val="-15"/>
        </w:rPr>
        <w:t> </w:t>
      </w:r>
      <w:r>
        <w:rPr/>
        <w:t>la</w:t>
      </w:r>
      <w:r>
        <w:rPr>
          <w:spacing w:val="-18"/>
        </w:rPr>
        <w:t> </w:t>
      </w:r>
      <w:r>
        <w:rPr/>
        <w:t>Asociación</w:t>
      </w:r>
      <w:r>
        <w:rPr>
          <w:spacing w:val="-16"/>
        </w:rPr>
        <w:t> </w:t>
      </w:r>
      <w:r>
        <w:rPr/>
        <w:t>Dental Americana</w:t>
      </w:r>
      <w:r>
        <w:rPr>
          <w:spacing w:val="-20"/>
        </w:rPr>
        <w:t> </w:t>
      </w:r>
      <w:r>
        <w:rPr/>
        <w:t>concluyeron</w:t>
      </w:r>
      <w:r>
        <w:rPr>
          <w:spacing w:val="-20"/>
        </w:rPr>
        <w:t> </w:t>
      </w:r>
      <w:r>
        <w:rPr/>
        <w:t>que</w:t>
      </w:r>
      <w:r>
        <w:rPr>
          <w:spacing w:val="-20"/>
        </w:rPr>
        <w:t> </w:t>
      </w:r>
      <w:r>
        <w:rPr/>
        <w:t>los</w:t>
      </w:r>
      <w:r>
        <w:rPr>
          <w:spacing w:val="-20"/>
        </w:rPr>
        <w:t> </w:t>
      </w:r>
      <w:r>
        <w:rPr/>
        <w:t>selladores</w:t>
      </w:r>
      <w:r>
        <w:rPr>
          <w:spacing w:val="-21"/>
        </w:rPr>
        <w:t> </w:t>
      </w:r>
      <w:r>
        <w:rPr/>
        <w:t>también</w:t>
      </w:r>
      <w:r>
        <w:rPr>
          <w:spacing w:val="-20"/>
        </w:rPr>
        <w:t> </w:t>
      </w:r>
      <w:r>
        <w:rPr/>
        <w:t>son</w:t>
      </w:r>
      <w:r>
        <w:rPr>
          <w:spacing w:val="-22"/>
        </w:rPr>
        <w:t> </w:t>
      </w:r>
      <w:r>
        <w:rPr/>
        <w:t>un</w:t>
      </w:r>
      <w:r>
        <w:rPr>
          <w:spacing w:val="-20"/>
        </w:rPr>
        <w:t> </w:t>
      </w:r>
      <w:r>
        <w:rPr/>
        <w:t>enfoque</w:t>
      </w:r>
      <w:r>
        <w:rPr>
          <w:spacing w:val="-20"/>
        </w:rPr>
        <w:t> </w:t>
      </w:r>
      <w:r>
        <w:rPr/>
        <w:t>preventivo</w:t>
      </w:r>
      <w:r>
        <w:rPr>
          <w:spacing w:val="-20"/>
        </w:rPr>
        <w:t> </w:t>
      </w:r>
      <w:r>
        <w:rPr/>
        <w:t>secundario eficaz cuando se coloca solo sobre lesiones de caries tempranas no cavitadas pero la información sobre los beneficios del sellador específica que en las lesiones de más alto riesgo a caries es</w:t>
      </w:r>
      <w:r>
        <w:rPr>
          <w:spacing w:val="-5"/>
        </w:rPr>
        <w:t> </w:t>
      </w:r>
      <w:r>
        <w:rPr/>
        <w:t>deficiente.</w:t>
      </w:r>
      <w:r>
        <w:rPr>
          <w:position w:val="8"/>
          <w:sz w:val="16"/>
        </w:rPr>
        <w:t>9</w:t>
      </w:r>
    </w:p>
    <w:p>
      <w:pPr>
        <w:pStyle w:val="BodyText"/>
        <w:spacing w:before="6"/>
        <w:rPr>
          <w:sz w:val="35"/>
        </w:rPr>
      </w:pPr>
    </w:p>
    <w:p>
      <w:pPr>
        <w:pStyle w:val="BodyText"/>
        <w:spacing w:line="360" w:lineRule="auto"/>
        <w:ind w:left="118" w:right="113"/>
        <w:jc w:val="both"/>
      </w:pPr>
      <w:r>
        <w:rPr/>
        <w:t>Makhija SK y colaboradores, </w:t>
      </w:r>
      <w:r>
        <w:rPr>
          <w:position w:val="8"/>
          <w:sz w:val="16"/>
        </w:rPr>
        <w:t>10 </w:t>
      </w:r>
      <w:r>
        <w:rPr/>
        <w:t>realizaron un estudio donde el propósito fue investigar la relación entre la caries de los niños en el momento de la colocación del sellador y el "éxito"</w:t>
      </w:r>
      <w:r>
        <w:rPr>
          <w:spacing w:val="-14"/>
        </w:rPr>
        <w:t> </w:t>
      </w:r>
      <w:r>
        <w:rPr/>
        <w:t>de</w:t>
      </w:r>
      <w:r>
        <w:rPr>
          <w:spacing w:val="-17"/>
        </w:rPr>
        <w:t> </w:t>
      </w:r>
      <w:r>
        <w:rPr/>
        <w:t>ese</w:t>
      </w:r>
      <w:r>
        <w:rPr>
          <w:spacing w:val="-14"/>
        </w:rPr>
        <w:t> </w:t>
      </w:r>
      <w:r>
        <w:rPr/>
        <w:t>diente</w:t>
      </w:r>
      <w:r>
        <w:rPr>
          <w:spacing w:val="-14"/>
        </w:rPr>
        <w:t> </w:t>
      </w:r>
      <w:r>
        <w:rPr/>
        <w:t>en</w:t>
      </w:r>
      <w:r>
        <w:rPr>
          <w:spacing w:val="-14"/>
        </w:rPr>
        <w:t> </w:t>
      </w:r>
      <w:r>
        <w:rPr/>
        <w:t>las</w:t>
      </w:r>
      <w:r>
        <w:rPr>
          <w:spacing w:val="-14"/>
        </w:rPr>
        <w:t> </w:t>
      </w:r>
      <w:r>
        <w:rPr/>
        <w:t>visitas</w:t>
      </w:r>
      <w:r>
        <w:rPr>
          <w:spacing w:val="-15"/>
        </w:rPr>
        <w:t> </w:t>
      </w:r>
      <w:r>
        <w:rPr/>
        <w:t>de</w:t>
      </w:r>
      <w:r>
        <w:rPr>
          <w:spacing w:val="-14"/>
        </w:rPr>
        <w:t> </w:t>
      </w:r>
      <w:r>
        <w:rPr/>
        <w:t>seguimiento.</w:t>
      </w:r>
      <w:r>
        <w:rPr>
          <w:spacing w:val="-9"/>
        </w:rPr>
        <w:t> </w:t>
      </w:r>
      <w:r>
        <w:rPr/>
        <w:t>En</w:t>
      </w:r>
      <w:r>
        <w:rPr>
          <w:spacing w:val="-14"/>
        </w:rPr>
        <w:t> </w:t>
      </w:r>
      <w:r>
        <w:rPr/>
        <w:t>la</w:t>
      </w:r>
      <w:r>
        <w:rPr>
          <w:spacing w:val="-17"/>
        </w:rPr>
        <w:t> </w:t>
      </w:r>
      <w:r>
        <w:rPr/>
        <w:t>dentición</w:t>
      </w:r>
      <w:r>
        <w:rPr>
          <w:spacing w:val="-14"/>
        </w:rPr>
        <w:t> </w:t>
      </w:r>
      <w:r>
        <w:rPr/>
        <w:t>permanente</w:t>
      </w:r>
      <w:r>
        <w:rPr>
          <w:spacing w:val="-14"/>
        </w:rPr>
        <w:t> </w:t>
      </w:r>
      <w:r>
        <w:rPr/>
        <w:t>y</w:t>
      </w:r>
      <w:r>
        <w:rPr>
          <w:spacing w:val="-17"/>
        </w:rPr>
        <w:t> </w:t>
      </w:r>
      <w:r>
        <w:rPr/>
        <w:t>primaria, los que no tenían caries en el momento de la colocación del sellador tuvieron un éxito mucho mayor en comparación con aquellos con </w:t>
      </w:r>
      <w:r>
        <w:rPr>
          <w:spacing w:val="2"/>
        </w:rPr>
        <w:t>una </w:t>
      </w:r>
      <w:r>
        <w:rPr/>
        <w:t>puntuación de caries mayor a 0. Llegando</w:t>
      </w:r>
      <w:r>
        <w:rPr>
          <w:spacing w:val="-8"/>
        </w:rPr>
        <w:t> </w:t>
      </w:r>
      <w:r>
        <w:rPr/>
        <w:t>a</w:t>
      </w:r>
      <w:r>
        <w:rPr>
          <w:spacing w:val="-6"/>
        </w:rPr>
        <w:t> </w:t>
      </w:r>
      <w:r>
        <w:rPr/>
        <w:t>la</w:t>
      </w:r>
      <w:r>
        <w:rPr>
          <w:spacing w:val="-6"/>
        </w:rPr>
        <w:t> </w:t>
      </w:r>
      <w:r>
        <w:rPr/>
        <w:t>conclusión</w:t>
      </w:r>
      <w:r>
        <w:rPr>
          <w:spacing w:val="-6"/>
        </w:rPr>
        <w:t> </w:t>
      </w:r>
      <w:r>
        <w:rPr/>
        <w:t>que</w:t>
      </w:r>
      <w:r>
        <w:rPr>
          <w:spacing w:val="-6"/>
        </w:rPr>
        <w:t> </w:t>
      </w:r>
      <w:r>
        <w:rPr/>
        <w:t>los</w:t>
      </w:r>
      <w:r>
        <w:rPr>
          <w:spacing w:val="-7"/>
        </w:rPr>
        <w:t> </w:t>
      </w:r>
      <w:r>
        <w:rPr/>
        <w:t>niños</w:t>
      </w:r>
      <w:r>
        <w:rPr>
          <w:spacing w:val="-7"/>
        </w:rPr>
        <w:t> </w:t>
      </w:r>
      <w:r>
        <w:rPr/>
        <w:t>con</w:t>
      </w:r>
      <w:r>
        <w:rPr>
          <w:spacing w:val="-6"/>
        </w:rPr>
        <w:t> </w:t>
      </w:r>
      <w:r>
        <w:rPr/>
        <w:t>experiencia</w:t>
      </w:r>
      <w:r>
        <w:rPr>
          <w:spacing w:val="-4"/>
        </w:rPr>
        <w:t> </w:t>
      </w:r>
      <w:r>
        <w:rPr/>
        <w:t>anterior</w:t>
      </w:r>
      <w:r>
        <w:rPr>
          <w:spacing w:val="-7"/>
        </w:rPr>
        <w:t> </w:t>
      </w:r>
      <w:r>
        <w:rPr/>
        <w:t>a</w:t>
      </w:r>
      <w:r>
        <w:rPr>
          <w:spacing w:val="-6"/>
        </w:rPr>
        <w:t> </w:t>
      </w:r>
      <w:r>
        <w:rPr/>
        <w:t>caries</w:t>
      </w:r>
      <w:r>
        <w:rPr>
          <w:spacing w:val="-4"/>
        </w:rPr>
        <w:t> </w:t>
      </w:r>
      <w:r>
        <w:rPr/>
        <w:t>pueden</w:t>
      </w:r>
      <w:r>
        <w:rPr>
          <w:spacing w:val="-8"/>
        </w:rPr>
        <w:t> </w:t>
      </w:r>
      <w:r>
        <w:rPr/>
        <w:t>estar</w:t>
      </w:r>
      <w:r>
        <w:rPr>
          <w:spacing w:val="-10"/>
        </w:rPr>
        <w:t> </w:t>
      </w:r>
      <w:r>
        <w:rPr/>
        <w:t>en mayor</w:t>
      </w:r>
      <w:r>
        <w:rPr>
          <w:spacing w:val="-8"/>
        </w:rPr>
        <w:t> </w:t>
      </w:r>
      <w:r>
        <w:rPr/>
        <w:t>riesgo</w:t>
      </w:r>
      <w:r>
        <w:rPr>
          <w:spacing w:val="-7"/>
        </w:rPr>
        <w:t> </w:t>
      </w:r>
      <w:r>
        <w:rPr/>
        <w:t>de</w:t>
      </w:r>
      <w:r>
        <w:rPr>
          <w:spacing w:val="-9"/>
        </w:rPr>
        <w:t> </w:t>
      </w:r>
      <w:r>
        <w:rPr/>
        <w:t>fracaso</w:t>
      </w:r>
      <w:r>
        <w:rPr>
          <w:spacing w:val="-7"/>
        </w:rPr>
        <w:t> </w:t>
      </w:r>
      <w:r>
        <w:rPr/>
        <w:t>después</w:t>
      </w:r>
      <w:r>
        <w:rPr>
          <w:spacing w:val="-8"/>
        </w:rPr>
        <w:t> </w:t>
      </w:r>
      <w:r>
        <w:rPr/>
        <w:t>de</w:t>
      </w:r>
      <w:r>
        <w:rPr>
          <w:spacing w:val="-7"/>
        </w:rPr>
        <w:t> </w:t>
      </w:r>
      <w:r>
        <w:rPr/>
        <w:t>1</w:t>
      </w:r>
      <w:r>
        <w:rPr>
          <w:spacing w:val="-9"/>
        </w:rPr>
        <w:t> </w:t>
      </w:r>
      <w:r>
        <w:rPr/>
        <w:t>año</w:t>
      </w:r>
      <w:r>
        <w:rPr>
          <w:spacing w:val="-7"/>
        </w:rPr>
        <w:t> </w:t>
      </w:r>
      <w:r>
        <w:rPr/>
        <w:t>y,</w:t>
      </w:r>
      <w:r>
        <w:rPr>
          <w:spacing w:val="-7"/>
        </w:rPr>
        <w:t> </w:t>
      </w:r>
      <w:r>
        <w:rPr/>
        <w:t>por</w:t>
      </w:r>
      <w:r>
        <w:rPr>
          <w:spacing w:val="-8"/>
        </w:rPr>
        <w:t> </w:t>
      </w:r>
      <w:r>
        <w:rPr/>
        <w:t>lo</w:t>
      </w:r>
      <w:r>
        <w:rPr>
          <w:spacing w:val="-7"/>
        </w:rPr>
        <w:t> </w:t>
      </w:r>
      <w:r>
        <w:rPr/>
        <w:t>tanto,</w:t>
      </w:r>
      <w:r>
        <w:rPr>
          <w:spacing w:val="-10"/>
        </w:rPr>
        <w:t> </w:t>
      </w:r>
      <w:r>
        <w:rPr/>
        <w:t>puede</w:t>
      </w:r>
      <w:r>
        <w:rPr>
          <w:spacing w:val="-7"/>
        </w:rPr>
        <w:t> </w:t>
      </w:r>
      <w:r>
        <w:rPr/>
        <w:t>requerir</w:t>
      </w:r>
      <w:r>
        <w:rPr>
          <w:spacing w:val="-8"/>
        </w:rPr>
        <w:t> </w:t>
      </w:r>
      <w:r>
        <w:rPr/>
        <w:t>mantenimiento.</w:t>
      </w:r>
    </w:p>
    <w:p>
      <w:pPr>
        <w:pStyle w:val="BodyText"/>
      </w:pPr>
    </w:p>
    <w:p>
      <w:pPr>
        <w:pStyle w:val="BodyText"/>
        <w:spacing w:line="360" w:lineRule="auto" w:before="142"/>
        <w:ind w:left="118" w:right="116"/>
        <w:jc w:val="both"/>
      </w:pPr>
      <w:r>
        <w:rPr/>
        <w:t>Going</w:t>
      </w:r>
      <w:r>
        <w:rPr>
          <w:spacing w:val="-17"/>
        </w:rPr>
        <w:t> </w:t>
      </w:r>
      <w:r>
        <w:rPr/>
        <w:t>se</w:t>
      </w:r>
      <w:r>
        <w:rPr>
          <w:spacing w:val="-16"/>
        </w:rPr>
        <w:t> </w:t>
      </w:r>
      <w:r>
        <w:rPr/>
        <w:t>encontró</w:t>
      </w:r>
      <w:r>
        <w:rPr>
          <w:spacing w:val="-16"/>
        </w:rPr>
        <w:t> </w:t>
      </w:r>
      <w:r>
        <w:rPr/>
        <w:t>que</w:t>
      </w:r>
      <w:r>
        <w:rPr>
          <w:spacing w:val="-18"/>
        </w:rPr>
        <w:t> </w:t>
      </w:r>
      <w:r>
        <w:rPr/>
        <w:t>la</w:t>
      </w:r>
      <w:r>
        <w:rPr>
          <w:spacing w:val="-16"/>
        </w:rPr>
        <w:t> </w:t>
      </w:r>
      <w:r>
        <w:rPr/>
        <w:t>protección</w:t>
      </w:r>
      <w:r>
        <w:rPr>
          <w:spacing w:val="-16"/>
        </w:rPr>
        <w:t> </w:t>
      </w:r>
      <w:r>
        <w:rPr/>
        <w:t>contra</w:t>
      </w:r>
      <w:r>
        <w:rPr>
          <w:spacing w:val="-16"/>
        </w:rPr>
        <w:t> </w:t>
      </w:r>
      <w:r>
        <w:rPr/>
        <w:t>las</w:t>
      </w:r>
      <w:r>
        <w:rPr>
          <w:spacing w:val="-18"/>
        </w:rPr>
        <w:t> </w:t>
      </w:r>
      <w:r>
        <w:rPr/>
        <w:t>caries</w:t>
      </w:r>
      <w:r>
        <w:rPr>
          <w:spacing w:val="-16"/>
        </w:rPr>
        <w:t> </w:t>
      </w:r>
      <w:r>
        <w:rPr/>
        <w:t>continúa</w:t>
      </w:r>
      <w:r>
        <w:rPr>
          <w:spacing w:val="-16"/>
        </w:rPr>
        <w:t> </w:t>
      </w:r>
      <w:r>
        <w:rPr/>
        <w:t>algún</w:t>
      </w:r>
      <w:r>
        <w:rPr>
          <w:spacing w:val="-16"/>
        </w:rPr>
        <w:t> </w:t>
      </w:r>
      <w:r>
        <w:rPr/>
        <w:t>tiempo</w:t>
      </w:r>
      <w:r>
        <w:rPr>
          <w:spacing w:val="-16"/>
        </w:rPr>
        <w:t> </w:t>
      </w:r>
      <w:r>
        <w:rPr/>
        <w:t>más</w:t>
      </w:r>
      <w:r>
        <w:rPr>
          <w:spacing w:val="-16"/>
        </w:rPr>
        <w:t> </w:t>
      </w:r>
      <w:r>
        <w:rPr/>
        <w:t>después de</w:t>
      </w:r>
      <w:r>
        <w:rPr>
          <w:spacing w:val="-13"/>
        </w:rPr>
        <w:t> </w:t>
      </w:r>
      <w:r>
        <w:rPr/>
        <w:t>la</w:t>
      </w:r>
      <w:r>
        <w:rPr>
          <w:spacing w:val="-13"/>
        </w:rPr>
        <w:t> </w:t>
      </w:r>
      <w:r>
        <w:rPr/>
        <w:t>pérdida</w:t>
      </w:r>
      <w:r>
        <w:rPr>
          <w:spacing w:val="-16"/>
        </w:rPr>
        <w:t> </w:t>
      </w:r>
      <w:r>
        <w:rPr/>
        <w:t>del</w:t>
      </w:r>
      <w:r>
        <w:rPr>
          <w:spacing w:val="-14"/>
        </w:rPr>
        <w:t> </w:t>
      </w:r>
      <w:r>
        <w:rPr/>
        <w:t>sellador,</w:t>
      </w:r>
      <w:r>
        <w:rPr>
          <w:spacing w:val="-14"/>
        </w:rPr>
        <w:t> </w:t>
      </w:r>
      <w:r>
        <w:rPr/>
        <w:t>afirmando</w:t>
      </w:r>
      <w:r>
        <w:rPr>
          <w:spacing w:val="-13"/>
        </w:rPr>
        <w:t> </w:t>
      </w:r>
      <w:r>
        <w:rPr/>
        <w:t>que</w:t>
      </w:r>
      <w:r>
        <w:rPr>
          <w:spacing w:val="-13"/>
        </w:rPr>
        <w:t> </w:t>
      </w:r>
      <w:r>
        <w:rPr/>
        <w:t>esta</w:t>
      </w:r>
      <w:r>
        <w:rPr>
          <w:spacing w:val="-16"/>
        </w:rPr>
        <w:t> </w:t>
      </w:r>
      <w:r>
        <w:rPr/>
        <w:t>protección</w:t>
      </w:r>
      <w:r>
        <w:rPr>
          <w:spacing w:val="-13"/>
        </w:rPr>
        <w:t> </w:t>
      </w:r>
      <w:r>
        <w:rPr/>
        <w:t>continua</w:t>
      </w:r>
      <w:r>
        <w:rPr>
          <w:spacing w:val="-12"/>
        </w:rPr>
        <w:t> </w:t>
      </w:r>
      <w:r>
        <w:rPr/>
        <w:t>se</w:t>
      </w:r>
      <w:r>
        <w:rPr>
          <w:spacing w:val="-16"/>
        </w:rPr>
        <w:t> </w:t>
      </w:r>
      <w:r>
        <w:rPr/>
        <w:t>debía</w:t>
      </w:r>
      <w:r>
        <w:rPr>
          <w:spacing w:val="-13"/>
        </w:rPr>
        <w:t> </w:t>
      </w:r>
      <w:r>
        <w:rPr/>
        <w:t>a</w:t>
      </w:r>
      <w:r>
        <w:rPr>
          <w:spacing w:val="-13"/>
        </w:rPr>
        <w:t> </w:t>
      </w:r>
      <w:r>
        <w:rPr/>
        <w:t>la</w:t>
      </w:r>
      <w:r>
        <w:rPr>
          <w:spacing w:val="-16"/>
        </w:rPr>
        <w:t> </w:t>
      </w:r>
      <w:r>
        <w:rPr/>
        <w:t>presencia de</w:t>
      </w:r>
      <w:r>
        <w:rPr>
          <w:spacing w:val="-14"/>
        </w:rPr>
        <w:t> </w:t>
      </w:r>
      <w:r>
        <w:rPr/>
        <w:t>resina</w:t>
      </w:r>
      <w:r>
        <w:rPr>
          <w:spacing w:val="-16"/>
        </w:rPr>
        <w:t> </w:t>
      </w:r>
      <w:r>
        <w:rPr/>
        <w:t>en</w:t>
      </w:r>
      <w:r>
        <w:rPr>
          <w:spacing w:val="-14"/>
        </w:rPr>
        <w:t> </w:t>
      </w:r>
      <w:r>
        <w:rPr/>
        <w:t>los</w:t>
      </w:r>
      <w:r>
        <w:rPr>
          <w:spacing w:val="-14"/>
        </w:rPr>
        <w:t> </w:t>
      </w:r>
      <w:r>
        <w:rPr/>
        <w:t>microporos</w:t>
      </w:r>
      <w:r>
        <w:rPr>
          <w:spacing w:val="-14"/>
        </w:rPr>
        <w:t> </w:t>
      </w:r>
      <w:r>
        <w:rPr/>
        <w:t>del</w:t>
      </w:r>
      <w:r>
        <w:rPr>
          <w:spacing w:val="-14"/>
        </w:rPr>
        <w:t> </w:t>
      </w:r>
      <w:r>
        <w:rPr/>
        <w:t>esmalte.</w:t>
      </w:r>
      <w:r>
        <w:rPr>
          <w:spacing w:val="-11"/>
        </w:rPr>
        <w:t> </w:t>
      </w:r>
      <w:r>
        <w:rPr/>
        <w:t>Igualmente,</w:t>
      </w:r>
      <w:r>
        <w:rPr>
          <w:spacing w:val="-14"/>
        </w:rPr>
        <w:t> </w:t>
      </w:r>
      <w:r>
        <w:rPr/>
        <w:t>Gibson</w:t>
      </w:r>
      <w:r>
        <w:rPr>
          <w:spacing w:val="-14"/>
        </w:rPr>
        <w:t> </w:t>
      </w:r>
      <w:r>
        <w:rPr/>
        <w:t>y</w:t>
      </w:r>
      <w:r>
        <w:rPr>
          <w:spacing w:val="-16"/>
        </w:rPr>
        <w:t> </w:t>
      </w:r>
      <w:r>
        <w:rPr/>
        <w:t>Richardson</w:t>
      </w:r>
      <w:r>
        <w:rPr>
          <w:spacing w:val="-14"/>
        </w:rPr>
        <w:t> </w:t>
      </w:r>
      <w:r>
        <w:rPr/>
        <w:t>mostraron</w:t>
      </w:r>
      <w:r>
        <w:rPr>
          <w:spacing w:val="-14"/>
        </w:rPr>
        <w:t> </w:t>
      </w:r>
      <w:r>
        <w:rPr/>
        <w:t>que 30</w:t>
      </w:r>
      <w:r>
        <w:rPr>
          <w:spacing w:val="19"/>
        </w:rPr>
        <w:t> </w:t>
      </w:r>
      <w:r>
        <w:rPr/>
        <w:t>meses</w:t>
      </w:r>
      <w:r>
        <w:rPr>
          <w:spacing w:val="20"/>
        </w:rPr>
        <w:t> </w:t>
      </w:r>
      <w:r>
        <w:rPr/>
        <w:t>después</w:t>
      </w:r>
      <w:r>
        <w:rPr>
          <w:spacing w:val="18"/>
        </w:rPr>
        <w:t> </w:t>
      </w:r>
      <w:r>
        <w:rPr/>
        <w:t>de</w:t>
      </w:r>
      <w:r>
        <w:rPr>
          <w:spacing w:val="19"/>
        </w:rPr>
        <w:t> </w:t>
      </w:r>
      <w:r>
        <w:rPr/>
        <w:t>la</w:t>
      </w:r>
      <w:r>
        <w:rPr>
          <w:spacing w:val="21"/>
        </w:rPr>
        <w:t> </w:t>
      </w:r>
      <w:r>
        <w:rPr/>
        <w:t>aplicación</w:t>
      </w:r>
      <w:r>
        <w:rPr>
          <w:spacing w:val="19"/>
        </w:rPr>
        <w:t> </w:t>
      </w:r>
      <w:r>
        <w:rPr/>
        <w:t>de</w:t>
      </w:r>
      <w:r>
        <w:rPr>
          <w:spacing w:val="19"/>
        </w:rPr>
        <w:t> </w:t>
      </w:r>
      <w:r>
        <w:rPr/>
        <w:t>selladores</w:t>
      </w:r>
      <w:r>
        <w:rPr>
          <w:spacing w:val="18"/>
        </w:rPr>
        <w:t> </w:t>
      </w:r>
      <w:r>
        <w:rPr/>
        <w:t>de</w:t>
      </w:r>
      <w:r>
        <w:rPr>
          <w:spacing w:val="19"/>
        </w:rPr>
        <w:t> </w:t>
      </w:r>
      <w:r>
        <w:rPr/>
        <w:t>fosas</w:t>
      </w:r>
      <w:r>
        <w:rPr>
          <w:spacing w:val="18"/>
        </w:rPr>
        <w:t> </w:t>
      </w:r>
      <w:r>
        <w:rPr/>
        <w:t>y</w:t>
      </w:r>
      <w:r>
        <w:rPr>
          <w:spacing w:val="18"/>
        </w:rPr>
        <w:t> </w:t>
      </w:r>
      <w:r>
        <w:rPr/>
        <w:t>fisuras,</w:t>
      </w:r>
      <w:r>
        <w:rPr>
          <w:spacing w:val="21"/>
        </w:rPr>
        <w:t> </w:t>
      </w:r>
      <w:r>
        <w:rPr/>
        <w:t>el</w:t>
      </w:r>
      <w:r>
        <w:rPr>
          <w:spacing w:val="18"/>
        </w:rPr>
        <w:t> </w:t>
      </w:r>
      <w:r>
        <w:rPr/>
        <w:t>progreso</w:t>
      </w:r>
      <w:r>
        <w:rPr>
          <w:spacing w:val="19"/>
        </w:rPr>
        <w:t> </w:t>
      </w:r>
      <w:r>
        <w:rPr/>
        <w:t>de</w:t>
      </w:r>
      <w:r>
        <w:rPr>
          <w:spacing w:val="21"/>
        </w:rPr>
        <w:t> </w:t>
      </w:r>
      <w:r>
        <w:rPr/>
        <w:t>la</w:t>
      </w:r>
    </w:p>
    <w:p>
      <w:pPr>
        <w:spacing w:after="0" w:line="360" w:lineRule="auto"/>
        <w:jc w:val="both"/>
        <w:sectPr>
          <w:pgSz w:w="12240" w:h="15840"/>
          <w:pgMar w:header="0" w:footer="947" w:top="1500" w:bottom="1140" w:left="1300" w:right="1300"/>
        </w:sectPr>
      </w:pPr>
    </w:p>
    <w:p>
      <w:pPr>
        <w:pStyle w:val="BodyText"/>
        <w:spacing w:line="355" w:lineRule="auto" w:before="57"/>
        <w:ind w:left="118" w:right="123"/>
        <w:jc w:val="both"/>
        <w:rPr>
          <w:sz w:val="16"/>
        </w:rPr>
      </w:pPr>
      <w:r>
        <w:rPr/>
        <w:t>caries era inhibido en las fisuras selladas, afirmando que un sellador intacto no permite que la caries se inicie ni progrese.</w:t>
      </w:r>
      <w:r>
        <w:rPr>
          <w:position w:val="8"/>
          <w:sz w:val="16"/>
        </w:rPr>
        <w:t>2</w:t>
      </w:r>
    </w:p>
    <w:p>
      <w:pPr>
        <w:pStyle w:val="BodyText"/>
        <w:rPr>
          <w:sz w:val="36"/>
        </w:rPr>
      </w:pPr>
    </w:p>
    <w:p>
      <w:pPr>
        <w:pStyle w:val="BodyText"/>
        <w:spacing w:line="360" w:lineRule="auto"/>
        <w:ind w:left="118" w:right="116"/>
        <w:jc w:val="both"/>
      </w:pPr>
      <w:r>
        <w:rPr/>
        <w:t>En</w:t>
      </w:r>
      <w:r>
        <w:rPr>
          <w:spacing w:val="-13"/>
        </w:rPr>
        <w:t> </w:t>
      </w:r>
      <w:r>
        <w:rPr/>
        <w:t>2008</w:t>
      </w:r>
      <w:r>
        <w:rPr>
          <w:spacing w:val="-13"/>
        </w:rPr>
        <w:t> </w:t>
      </w:r>
      <w:hyperlink r:id="rId9">
        <w:r>
          <w:rPr/>
          <w:t>Tianviwat</w:t>
        </w:r>
        <w:r>
          <w:rPr>
            <w:spacing w:val="-11"/>
          </w:rPr>
          <w:t> </w:t>
        </w:r>
        <w:r>
          <w:rPr/>
          <w:t>S</w:t>
        </w:r>
      </w:hyperlink>
      <w:r>
        <w:rPr/>
        <w:t>,</w:t>
      </w:r>
      <w:r>
        <w:rPr>
          <w:spacing w:val="-13"/>
        </w:rPr>
        <w:t> </w:t>
      </w:r>
      <w:r>
        <w:rPr>
          <w:position w:val="8"/>
          <w:sz w:val="16"/>
        </w:rPr>
        <w:t>11</w:t>
      </w:r>
      <w:r>
        <w:rPr>
          <w:spacing w:val="10"/>
          <w:position w:val="8"/>
          <w:sz w:val="16"/>
        </w:rPr>
        <w:t> </w:t>
      </w:r>
      <w:r>
        <w:rPr/>
        <w:t>llega</w:t>
      </w:r>
      <w:r>
        <w:rPr>
          <w:spacing w:val="-12"/>
        </w:rPr>
        <w:t> </w:t>
      </w:r>
      <w:r>
        <w:rPr/>
        <w:t>a</w:t>
      </w:r>
      <w:r>
        <w:rPr>
          <w:spacing w:val="-13"/>
        </w:rPr>
        <w:t> </w:t>
      </w:r>
      <w:r>
        <w:rPr/>
        <w:t>la</w:t>
      </w:r>
      <w:r>
        <w:rPr>
          <w:spacing w:val="-12"/>
        </w:rPr>
        <w:t> </w:t>
      </w:r>
      <w:r>
        <w:rPr/>
        <w:t>conclusión</w:t>
      </w:r>
      <w:r>
        <w:rPr>
          <w:spacing w:val="-13"/>
        </w:rPr>
        <w:t> </w:t>
      </w:r>
      <w:r>
        <w:rPr/>
        <w:t>que</w:t>
      </w:r>
      <w:r>
        <w:rPr>
          <w:spacing w:val="-10"/>
        </w:rPr>
        <w:t> </w:t>
      </w:r>
      <w:r>
        <w:rPr/>
        <w:t>en</w:t>
      </w:r>
      <w:r>
        <w:rPr>
          <w:spacing w:val="-13"/>
        </w:rPr>
        <w:t> </w:t>
      </w:r>
      <w:r>
        <w:rPr/>
        <w:t>casos</w:t>
      </w:r>
      <w:r>
        <w:rPr>
          <w:spacing w:val="-14"/>
        </w:rPr>
        <w:t> </w:t>
      </w:r>
      <w:r>
        <w:rPr/>
        <w:t>donde</w:t>
      </w:r>
      <w:r>
        <w:rPr>
          <w:spacing w:val="-13"/>
        </w:rPr>
        <w:t> </w:t>
      </w:r>
      <w:r>
        <w:rPr/>
        <w:t>la</w:t>
      </w:r>
      <w:r>
        <w:rPr>
          <w:spacing w:val="-13"/>
        </w:rPr>
        <w:t> </w:t>
      </w:r>
      <w:r>
        <w:rPr/>
        <w:t>retención</w:t>
      </w:r>
      <w:r>
        <w:rPr>
          <w:spacing w:val="-13"/>
        </w:rPr>
        <w:t> </w:t>
      </w:r>
      <w:r>
        <w:rPr/>
        <w:t>del</w:t>
      </w:r>
      <w:r>
        <w:rPr>
          <w:spacing w:val="-13"/>
        </w:rPr>
        <w:t> </w:t>
      </w:r>
      <w:r>
        <w:rPr/>
        <w:t>sellador sea parcial, el riesgo de caries será alto, lo que sugiere la necesidad urgente de mejorar la aplicación del</w:t>
      </w:r>
      <w:r>
        <w:rPr>
          <w:spacing w:val="-8"/>
        </w:rPr>
        <w:t> </w:t>
      </w:r>
      <w:r>
        <w:rPr/>
        <w:t>sellador.</w:t>
      </w:r>
    </w:p>
    <w:p>
      <w:pPr>
        <w:pStyle w:val="BodyText"/>
        <w:spacing w:before="10"/>
        <w:rPr>
          <w:sz w:val="35"/>
        </w:rPr>
      </w:pPr>
    </w:p>
    <w:p>
      <w:pPr>
        <w:pStyle w:val="BodyText"/>
        <w:spacing w:line="360" w:lineRule="auto"/>
        <w:ind w:left="118" w:right="114"/>
        <w:jc w:val="both"/>
      </w:pPr>
      <w:r>
        <w:rPr/>
        <w:t>Un año después Griffin SO y colaboradores, </w:t>
      </w:r>
      <w:r>
        <w:rPr>
          <w:position w:val="8"/>
          <w:sz w:val="16"/>
        </w:rPr>
        <w:t>12 </w:t>
      </w:r>
      <w:r>
        <w:rPr/>
        <w:t>examinaron el riesgo de desarrollo de caries en los dientes con sellador, sellador parcial o totalmente perdido. Se revisaron los dientes anteriormente sellados en relación con los dientes que nunca han recibido selladores. Los dientes con pérdida total del sellador o pérdida parcial no estaban en mayor riesgo de desarrollar caries en comparación con dientes que nunca habían sido sellados.</w:t>
      </w:r>
    </w:p>
    <w:p>
      <w:pPr>
        <w:pStyle w:val="BodyText"/>
        <w:spacing w:before="10"/>
        <w:rPr>
          <w:sz w:val="35"/>
        </w:rPr>
      </w:pPr>
    </w:p>
    <w:p>
      <w:pPr>
        <w:pStyle w:val="BodyText"/>
        <w:spacing w:line="360" w:lineRule="auto"/>
        <w:ind w:left="118" w:right="112"/>
        <w:jc w:val="both"/>
      </w:pPr>
      <w:r>
        <w:rPr/>
        <w:t>Sin embargo S. Zimmer y colaboradores, </w:t>
      </w:r>
      <w:r>
        <w:rPr>
          <w:position w:val="8"/>
          <w:sz w:val="16"/>
        </w:rPr>
        <w:t>13 </w:t>
      </w:r>
      <w:r>
        <w:rPr/>
        <w:t>en un estudio donde establecieron la retención de un sellador de bis-GMA, en 354 selladores, después de tres años encontró caries en dos casos, donde en cada caso la caries se desarrolló después de la pérdida parcial, mientras que en otro caso, la caries precedía de la pérdida completa.</w:t>
      </w:r>
    </w:p>
    <w:p>
      <w:pPr>
        <w:pStyle w:val="BodyText"/>
      </w:pPr>
    </w:p>
    <w:p>
      <w:pPr>
        <w:pStyle w:val="BodyText"/>
        <w:spacing w:line="357" w:lineRule="auto" w:before="142"/>
        <w:ind w:left="118" w:right="117"/>
        <w:jc w:val="both"/>
        <w:rPr>
          <w:sz w:val="16"/>
        </w:rPr>
      </w:pPr>
      <w:r>
        <w:rPr/>
        <w:t>La caries dental es uno de los problemas más relevantes dentro del ámbito</w:t>
      </w:r>
      <w:r>
        <w:rPr>
          <w:spacing w:val="-44"/>
        </w:rPr>
        <w:t> </w:t>
      </w:r>
      <w:r>
        <w:rPr/>
        <w:t>odontológico y de la Salud Pública. Según la Organización Mundial de la Salud, entre el 60 a 90% de los niños del mundo presentan caries.</w:t>
      </w:r>
      <w:r>
        <w:rPr>
          <w:position w:val="8"/>
          <w:sz w:val="16"/>
        </w:rPr>
        <w:t>14,</w:t>
      </w:r>
      <w:r>
        <w:rPr>
          <w:spacing w:val="-15"/>
          <w:position w:val="8"/>
          <w:sz w:val="16"/>
        </w:rPr>
        <w:t> </w:t>
      </w:r>
      <w:r>
        <w:rPr>
          <w:position w:val="8"/>
          <w:sz w:val="16"/>
        </w:rPr>
        <w:t>15</w:t>
      </w:r>
    </w:p>
    <w:p>
      <w:pPr>
        <w:pStyle w:val="BodyText"/>
        <w:spacing w:before="9"/>
        <w:rPr>
          <w:sz w:val="35"/>
        </w:rPr>
      </w:pPr>
    </w:p>
    <w:p>
      <w:pPr>
        <w:pStyle w:val="BodyText"/>
        <w:spacing w:line="360" w:lineRule="auto"/>
        <w:ind w:left="118" w:right="111"/>
        <w:jc w:val="both"/>
      </w:pPr>
      <w:r>
        <w:rPr/>
        <w:t>En Alemania, se realizó un estudio, </w:t>
      </w:r>
      <w:r>
        <w:rPr>
          <w:position w:val="8"/>
          <w:sz w:val="16"/>
        </w:rPr>
        <w:t>16 </w:t>
      </w:r>
      <w:r>
        <w:rPr/>
        <w:t>para determinar la efectividad clínica y el costo- efectividad de los selladores de fisuras en niños y adolescentes con un alto riesgo de caries, los resultados de los estudios indican un buen efecto protector, en tanto que la evaluación económica sugieren ahorro de costos en niños y adolescentes en situación de alto riesgo de caries con larga duración del período de seguimiento. Sin embargo, debido</w:t>
      </w:r>
      <w:r>
        <w:rPr>
          <w:spacing w:val="-8"/>
        </w:rPr>
        <w:t> </w:t>
      </w:r>
      <w:r>
        <w:rPr/>
        <w:t>a</w:t>
      </w:r>
      <w:r>
        <w:rPr>
          <w:spacing w:val="-11"/>
        </w:rPr>
        <w:t> </w:t>
      </w:r>
      <w:r>
        <w:rPr/>
        <w:t>fallas</w:t>
      </w:r>
      <w:r>
        <w:rPr>
          <w:spacing w:val="-9"/>
        </w:rPr>
        <w:t> </w:t>
      </w:r>
      <w:r>
        <w:rPr/>
        <w:t>metodológicas</w:t>
      </w:r>
      <w:r>
        <w:rPr>
          <w:spacing w:val="-9"/>
        </w:rPr>
        <w:t> </w:t>
      </w:r>
      <w:r>
        <w:rPr/>
        <w:t>la</w:t>
      </w:r>
      <w:r>
        <w:rPr>
          <w:spacing w:val="-9"/>
        </w:rPr>
        <w:t> </w:t>
      </w:r>
      <w:r>
        <w:rPr/>
        <w:t>evidencia</w:t>
      </w:r>
      <w:r>
        <w:rPr>
          <w:spacing w:val="-9"/>
        </w:rPr>
        <w:t> </w:t>
      </w:r>
      <w:r>
        <w:rPr/>
        <w:t>sobre</w:t>
      </w:r>
      <w:r>
        <w:rPr>
          <w:spacing w:val="-9"/>
        </w:rPr>
        <w:t> </w:t>
      </w:r>
      <w:r>
        <w:rPr/>
        <w:t>el</w:t>
      </w:r>
      <w:r>
        <w:rPr>
          <w:spacing w:val="-10"/>
        </w:rPr>
        <w:t> </w:t>
      </w:r>
      <w:r>
        <w:rPr/>
        <w:t>costo-efectividad</w:t>
      </w:r>
      <w:r>
        <w:rPr>
          <w:spacing w:val="-8"/>
        </w:rPr>
        <w:t> </w:t>
      </w:r>
      <w:r>
        <w:rPr/>
        <w:t>de</w:t>
      </w:r>
      <w:r>
        <w:rPr>
          <w:spacing w:val="-8"/>
        </w:rPr>
        <w:t> </w:t>
      </w:r>
      <w:r>
        <w:rPr/>
        <w:t>los</w:t>
      </w:r>
      <w:r>
        <w:rPr>
          <w:spacing w:val="-9"/>
        </w:rPr>
        <w:t> </w:t>
      </w:r>
      <w:r>
        <w:rPr/>
        <w:t>selladores</w:t>
      </w:r>
      <w:r>
        <w:rPr>
          <w:spacing w:val="-11"/>
        </w:rPr>
        <w:t> </w:t>
      </w:r>
      <w:r>
        <w:rPr/>
        <w:t>de fosas y fisuras es</w:t>
      </w:r>
      <w:r>
        <w:rPr>
          <w:spacing w:val="-4"/>
        </w:rPr>
        <w:t> </w:t>
      </w:r>
      <w:r>
        <w:rPr/>
        <w:t>insuficiente.</w:t>
      </w:r>
    </w:p>
    <w:p>
      <w:pPr>
        <w:spacing w:after="0" w:line="360" w:lineRule="auto"/>
        <w:jc w:val="both"/>
        <w:sectPr>
          <w:pgSz w:w="12240" w:h="15840"/>
          <w:pgMar w:header="0" w:footer="947" w:top="1360" w:bottom="1140" w:left="1300" w:right="1300"/>
        </w:sectPr>
      </w:pPr>
    </w:p>
    <w:p>
      <w:pPr>
        <w:pStyle w:val="BodyText"/>
        <w:spacing w:line="360" w:lineRule="auto" w:before="57"/>
        <w:ind w:left="118" w:right="112"/>
        <w:jc w:val="both"/>
        <w:rPr>
          <w:sz w:val="16"/>
        </w:rPr>
      </w:pPr>
      <w:r>
        <w:rPr/>
        <w:t>Mientras que en Grecia se evaluó el patrón de utilización y distribución de los selladores de fosas y fisuras en los primeros y segundos molares permanentes de adolescentes griegos y evaluar el uso actual de los selladores y algunos factores sociodemográficos dando como resultado que los adolescentes de las zonas rurales tenían menos posibilidades de tener sellantes en comparación con los niños de las zonas urbanas.</w:t>
      </w:r>
      <w:r>
        <w:rPr>
          <w:position w:val="8"/>
          <w:sz w:val="16"/>
        </w:rPr>
        <w:t>17</w:t>
      </w:r>
    </w:p>
    <w:p>
      <w:pPr>
        <w:pStyle w:val="BodyText"/>
        <w:rPr>
          <w:sz w:val="36"/>
        </w:rPr>
      </w:pPr>
    </w:p>
    <w:p>
      <w:pPr>
        <w:pStyle w:val="BodyText"/>
        <w:spacing w:line="360" w:lineRule="auto"/>
        <w:ind w:left="118" w:right="112"/>
        <w:jc w:val="both"/>
        <w:rPr>
          <w:sz w:val="16"/>
        </w:rPr>
      </w:pPr>
      <w:r>
        <w:rPr/>
        <w:t>En la mayoría de los países en vías de desarrollo más del 90% de las lesiones de caries se</w:t>
      </w:r>
      <w:r>
        <w:rPr>
          <w:spacing w:val="-13"/>
        </w:rPr>
        <w:t> </w:t>
      </w:r>
      <w:r>
        <w:rPr/>
        <w:t>encuentran</w:t>
      </w:r>
      <w:r>
        <w:rPr>
          <w:spacing w:val="-13"/>
        </w:rPr>
        <w:t> </w:t>
      </w:r>
      <w:r>
        <w:rPr/>
        <w:t>sin</w:t>
      </w:r>
      <w:r>
        <w:rPr>
          <w:spacing w:val="-13"/>
        </w:rPr>
        <w:t> </w:t>
      </w:r>
      <w:r>
        <w:rPr/>
        <w:t>tratamiento.</w:t>
      </w:r>
      <w:r>
        <w:rPr>
          <w:spacing w:val="-30"/>
        </w:rPr>
        <w:t> </w:t>
      </w:r>
      <w:r>
        <w:rPr/>
        <w:t>Teniendo</w:t>
      </w:r>
      <w:r>
        <w:rPr>
          <w:spacing w:val="-13"/>
        </w:rPr>
        <w:t> </w:t>
      </w:r>
      <w:r>
        <w:rPr/>
        <w:t>en</w:t>
      </w:r>
      <w:r>
        <w:rPr>
          <w:spacing w:val="-13"/>
        </w:rPr>
        <w:t> </w:t>
      </w:r>
      <w:r>
        <w:rPr/>
        <w:t>cuenta</w:t>
      </w:r>
      <w:r>
        <w:rPr>
          <w:spacing w:val="-13"/>
        </w:rPr>
        <w:t> </w:t>
      </w:r>
      <w:r>
        <w:rPr/>
        <w:t>que</w:t>
      </w:r>
      <w:r>
        <w:rPr>
          <w:spacing w:val="-13"/>
        </w:rPr>
        <w:t> </w:t>
      </w:r>
      <w:r>
        <w:rPr/>
        <w:t>es</w:t>
      </w:r>
      <w:r>
        <w:rPr>
          <w:spacing w:val="-14"/>
        </w:rPr>
        <w:t> </w:t>
      </w:r>
      <w:r>
        <w:rPr/>
        <w:t>la</w:t>
      </w:r>
      <w:r>
        <w:rPr>
          <w:spacing w:val="-13"/>
        </w:rPr>
        <w:t> </w:t>
      </w:r>
      <w:r>
        <w:rPr/>
        <w:t>principal</w:t>
      </w:r>
      <w:r>
        <w:rPr>
          <w:spacing w:val="-14"/>
        </w:rPr>
        <w:t> </w:t>
      </w:r>
      <w:r>
        <w:rPr/>
        <w:t>enfermedad</w:t>
      </w:r>
      <w:r>
        <w:rPr>
          <w:spacing w:val="-13"/>
        </w:rPr>
        <w:t> </w:t>
      </w:r>
      <w:r>
        <w:rPr/>
        <w:t>dental, es definitivamente beneficioso utilizar una política de focalización para tratamientos con selladores en los dientes con un alto riesgo, con el fin de evitar el trabajo y los costos innecesarios en los tratamientos curativos en comparación con las intervenciones preventivas. </w:t>
      </w:r>
      <w:r>
        <w:rPr>
          <w:position w:val="8"/>
          <w:sz w:val="16"/>
        </w:rPr>
        <w:t>14,</w:t>
      </w:r>
      <w:r>
        <w:rPr>
          <w:spacing w:val="-27"/>
          <w:position w:val="8"/>
          <w:sz w:val="16"/>
        </w:rPr>
        <w:t> </w:t>
      </w:r>
      <w:r>
        <w:rPr>
          <w:position w:val="8"/>
          <w:sz w:val="16"/>
        </w:rPr>
        <w:t>18</w:t>
      </w:r>
    </w:p>
    <w:p>
      <w:pPr>
        <w:pStyle w:val="BodyText"/>
        <w:rPr>
          <w:sz w:val="36"/>
        </w:rPr>
      </w:pPr>
    </w:p>
    <w:p>
      <w:pPr>
        <w:pStyle w:val="BodyText"/>
        <w:spacing w:line="360" w:lineRule="auto"/>
        <w:ind w:left="118" w:right="115"/>
        <w:jc w:val="both"/>
      </w:pPr>
      <w:r>
        <w:rPr/>
        <w:t>Pese</w:t>
      </w:r>
      <w:r>
        <w:rPr>
          <w:spacing w:val="-8"/>
        </w:rPr>
        <w:t> </w:t>
      </w:r>
      <w:r>
        <w:rPr/>
        <w:t>a</w:t>
      </w:r>
      <w:r>
        <w:rPr>
          <w:spacing w:val="-6"/>
        </w:rPr>
        <w:t> </w:t>
      </w:r>
      <w:r>
        <w:rPr/>
        <w:t>que</w:t>
      </w:r>
      <w:r>
        <w:rPr>
          <w:spacing w:val="-8"/>
        </w:rPr>
        <w:t> </w:t>
      </w:r>
      <w:r>
        <w:rPr/>
        <w:t>existen</w:t>
      </w:r>
      <w:r>
        <w:rPr>
          <w:spacing w:val="-8"/>
        </w:rPr>
        <w:t> </w:t>
      </w:r>
      <w:r>
        <w:rPr/>
        <w:t>muchos</w:t>
      </w:r>
      <w:r>
        <w:rPr>
          <w:spacing w:val="-9"/>
        </w:rPr>
        <w:t> </w:t>
      </w:r>
      <w:r>
        <w:rPr/>
        <w:t>programas</w:t>
      </w:r>
      <w:r>
        <w:rPr>
          <w:spacing w:val="-9"/>
        </w:rPr>
        <w:t> </w:t>
      </w:r>
      <w:r>
        <w:rPr/>
        <w:t>de</w:t>
      </w:r>
      <w:r>
        <w:rPr>
          <w:spacing w:val="-8"/>
        </w:rPr>
        <w:t> </w:t>
      </w:r>
      <w:r>
        <w:rPr/>
        <w:t>prevención</w:t>
      </w:r>
      <w:r>
        <w:rPr>
          <w:spacing w:val="-6"/>
        </w:rPr>
        <w:t> </w:t>
      </w:r>
      <w:r>
        <w:rPr/>
        <w:t>tales</w:t>
      </w:r>
      <w:r>
        <w:rPr>
          <w:spacing w:val="-9"/>
        </w:rPr>
        <w:t> </w:t>
      </w:r>
      <w:r>
        <w:rPr/>
        <w:t>como</w:t>
      </w:r>
      <w:r>
        <w:rPr>
          <w:spacing w:val="-8"/>
        </w:rPr>
        <w:t> </w:t>
      </w:r>
      <w:r>
        <w:rPr/>
        <w:t>la</w:t>
      </w:r>
      <w:r>
        <w:rPr>
          <w:spacing w:val="-9"/>
        </w:rPr>
        <w:t> </w:t>
      </w:r>
      <w:r>
        <w:rPr/>
        <w:t>fluoruración</w:t>
      </w:r>
      <w:r>
        <w:rPr>
          <w:spacing w:val="-8"/>
        </w:rPr>
        <w:t> </w:t>
      </w:r>
      <w:r>
        <w:rPr/>
        <w:t>de</w:t>
      </w:r>
      <w:r>
        <w:rPr>
          <w:spacing w:val="-8"/>
        </w:rPr>
        <w:t> </w:t>
      </w:r>
      <w:r>
        <w:rPr/>
        <w:t>agua y educación en salud bucal, entre otras actividades, se constata la necesidad de utilizar métodos complementarios para el control de la enfermedad. Actualmente, el Ministerio de Salud de Chile considera la prevención de lesiones de caries como una de las prioridades de salud del país, focalizando sus actividades en la población menor de 20 años.</w:t>
      </w:r>
      <w:r>
        <w:rPr>
          <w:spacing w:val="-13"/>
        </w:rPr>
        <w:t> </w:t>
      </w:r>
      <w:r>
        <w:rPr/>
        <w:t>Se</w:t>
      </w:r>
      <w:r>
        <w:rPr>
          <w:spacing w:val="-11"/>
        </w:rPr>
        <w:t> </w:t>
      </w:r>
      <w:r>
        <w:rPr/>
        <w:t>cree</w:t>
      </w:r>
      <w:r>
        <w:rPr>
          <w:spacing w:val="-11"/>
        </w:rPr>
        <w:t> </w:t>
      </w:r>
      <w:r>
        <w:rPr/>
        <w:t>que</w:t>
      </w:r>
      <w:r>
        <w:rPr>
          <w:spacing w:val="-13"/>
        </w:rPr>
        <w:t> </w:t>
      </w:r>
      <w:r>
        <w:rPr/>
        <w:t>los</w:t>
      </w:r>
      <w:r>
        <w:rPr>
          <w:spacing w:val="-13"/>
        </w:rPr>
        <w:t> </w:t>
      </w:r>
      <w:r>
        <w:rPr/>
        <w:t>selladores</w:t>
      </w:r>
      <w:r>
        <w:rPr>
          <w:spacing w:val="-11"/>
        </w:rPr>
        <w:t> </w:t>
      </w:r>
      <w:r>
        <w:rPr/>
        <w:t>de</w:t>
      </w:r>
      <w:r>
        <w:rPr>
          <w:spacing w:val="-15"/>
        </w:rPr>
        <w:t> </w:t>
      </w:r>
      <w:r>
        <w:rPr/>
        <w:t>fosas</w:t>
      </w:r>
      <w:r>
        <w:rPr>
          <w:spacing w:val="-12"/>
        </w:rPr>
        <w:t> </w:t>
      </w:r>
      <w:r>
        <w:rPr/>
        <w:t>y</w:t>
      </w:r>
      <w:r>
        <w:rPr>
          <w:spacing w:val="-16"/>
        </w:rPr>
        <w:t> </w:t>
      </w:r>
      <w:r>
        <w:rPr/>
        <w:t>fisuras,</w:t>
      </w:r>
      <w:r>
        <w:rPr>
          <w:spacing w:val="-13"/>
        </w:rPr>
        <w:t> </w:t>
      </w:r>
      <w:r>
        <w:rPr/>
        <w:t>ampliamente</w:t>
      </w:r>
      <w:r>
        <w:rPr>
          <w:spacing w:val="-13"/>
        </w:rPr>
        <w:t> </w:t>
      </w:r>
      <w:r>
        <w:rPr/>
        <w:t>utilizados</w:t>
      </w:r>
      <w:r>
        <w:rPr>
          <w:spacing w:val="-12"/>
        </w:rPr>
        <w:t> </w:t>
      </w:r>
      <w:r>
        <w:rPr/>
        <w:t>en</w:t>
      </w:r>
      <w:r>
        <w:rPr>
          <w:spacing w:val="-13"/>
        </w:rPr>
        <w:t> </w:t>
      </w:r>
      <w:r>
        <w:rPr/>
        <w:t>programas comunitarios de control de caries, son uno de los materiales más efectivos para este</w:t>
      </w:r>
      <w:r>
        <w:rPr>
          <w:spacing w:val="-23"/>
        </w:rPr>
        <w:t> </w:t>
      </w:r>
      <w:r>
        <w:rPr/>
        <w:t>fin.</w:t>
      </w:r>
    </w:p>
    <w:p>
      <w:pPr>
        <w:pStyle w:val="BodyText"/>
      </w:pPr>
    </w:p>
    <w:p>
      <w:pPr>
        <w:pStyle w:val="BodyText"/>
        <w:spacing w:line="357" w:lineRule="auto" w:before="142"/>
        <w:ind w:left="118" w:right="122"/>
        <w:jc w:val="both"/>
        <w:rPr>
          <w:sz w:val="16"/>
        </w:rPr>
      </w:pPr>
      <w:r>
        <w:rPr/>
        <w:t>Los</w:t>
      </w:r>
      <w:r>
        <w:rPr>
          <w:spacing w:val="-10"/>
        </w:rPr>
        <w:t> </w:t>
      </w:r>
      <w:r>
        <w:rPr/>
        <w:t>sellantes</w:t>
      </w:r>
      <w:r>
        <w:rPr>
          <w:spacing w:val="-10"/>
        </w:rPr>
        <w:t> </w:t>
      </w:r>
      <w:r>
        <w:rPr/>
        <w:t>actúan</w:t>
      </w:r>
      <w:r>
        <w:rPr>
          <w:spacing w:val="-12"/>
        </w:rPr>
        <w:t> </w:t>
      </w:r>
      <w:r>
        <w:rPr/>
        <w:t>eliminando</w:t>
      </w:r>
      <w:r>
        <w:rPr>
          <w:spacing w:val="-9"/>
        </w:rPr>
        <w:t> </w:t>
      </w:r>
      <w:r>
        <w:rPr/>
        <w:t>la</w:t>
      </w:r>
      <w:r>
        <w:rPr>
          <w:spacing w:val="-10"/>
        </w:rPr>
        <w:t> </w:t>
      </w:r>
      <w:r>
        <w:rPr/>
        <w:t>irregularidad</w:t>
      </w:r>
      <w:r>
        <w:rPr>
          <w:spacing w:val="-9"/>
        </w:rPr>
        <w:t> </w:t>
      </w:r>
      <w:r>
        <w:rPr/>
        <w:t>de</w:t>
      </w:r>
      <w:r>
        <w:rPr>
          <w:spacing w:val="-9"/>
        </w:rPr>
        <w:t> </w:t>
      </w:r>
      <w:r>
        <w:rPr/>
        <w:t>la</w:t>
      </w:r>
      <w:r>
        <w:rPr>
          <w:spacing w:val="-10"/>
        </w:rPr>
        <w:t> </w:t>
      </w:r>
      <w:r>
        <w:rPr/>
        <w:t>superficie</w:t>
      </w:r>
      <w:r>
        <w:rPr>
          <w:spacing w:val="-9"/>
        </w:rPr>
        <w:t> </w:t>
      </w:r>
      <w:r>
        <w:rPr/>
        <w:t>oclusal,</w:t>
      </w:r>
      <w:r>
        <w:rPr>
          <w:spacing w:val="-10"/>
        </w:rPr>
        <w:t> </w:t>
      </w:r>
      <w:r>
        <w:rPr/>
        <w:t>lo</w:t>
      </w:r>
      <w:r>
        <w:rPr>
          <w:spacing w:val="-10"/>
        </w:rPr>
        <w:t> </w:t>
      </w:r>
      <w:r>
        <w:rPr/>
        <w:t>que</w:t>
      </w:r>
      <w:r>
        <w:rPr>
          <w:spacing w:val="-9"/>
        </w:rPr>
        <w:t> </w:t>
      </w:r>
      <w:r>
        <w:rPr/>
        <w:t>dificulta</w:t>
      </w:r>
      <w:r>
        <w:rPr>
          <w:spacing w:val="-9"/>
        </w:rPr>
        <w:t> </w:t>
      </w:r>
      <w:r>
        <w:rPr/>
        <w:t>la adhesión bacteriana y facilita la higiene</w:t>
      </w:r>
      <w:r>
        <w:rPr>
          <w:spacing w:val="-32"/>
        </w:rPr>
        <w:t> </w:t>
      </w:r>
      <w:r>
        <w:rPr>
          <w:position w:val="8"/>
          <w:sz w:val="16"/>
        </w:rPr>
        <w:t>14</w:t>
      </w:r>
    </w:p>
    <w:p>
      <w:pPr>
        <w:pStyle w:val="BodyText"/>
        <w:rPr>
          <w:sz w:val="36"/>
        </w:rPr>
      </w:pPr>
    </w:p>
    <w:p>
      <w:pPr>
        <w:pStyle w:val="BodyText"/>
        <w:ind w:left="118"/>
        <w:jc w:val="both"/>
      </w:pPr>
      <w:r>
        <w:rPr/>
        <w:t>Se cree que hoy existen básicamente dos tipos de selladores:</w:t>
      </w:r>
    </w:p>
    <w:p>
      <w:pPr>
        <w:pStyle w:val="ListParagraph"/>
        <w:numPr>
          <w:ilvl w:val="0"/>
          <w:numId w:val="4"/>
        </w:numPr>
        <w:tabs>
          <w:tab w:pos="838" w:val="left" w:leader="none"/>
          <w:tab w:pos="839" w:val="left" w:leader="none"/>
        </w:tabs>
        <w:spacing w:line="240" w:lineRule="auto" w:before="140" w:after="0"/>
        <w:ind w:left="838" w:right="0" w:hanging="360"/>
        <w:jc w:val="left"/>
        <w:rPr>
          <w:rFonts w:ascii="Symbol"/>
          <w:sz w:val="24"/>
        </w:rPr>
      </w:pPr>
      <w:r>
        <w:rPr>
          <w:sz w:val="24"/>
        </w:rPr>
        <w:t>Los sistemas</w:t>
      </w:r>
      <w:r>
        <w:rPr>
          <w:spacing w:val="-8"/>
          <w:sz w:val="24"/>
        </w:rPr>
        <w:t> </w:t>
      </w:r>
      <w:r>
        <w:rPr>
          <w:sz w:val="24"/>
        </w:rPr>
        <w:t>resinosos</w:t>
      </w:r>
    </w:p>
    <w:p>
      <w:pPr>
        <w:pStyle w:val="ListParagraph"/>
        <w:numPr>
          <w:ilvl w:val="0"/>
          <w:numId w:val="4"/>
        </w:numPr>
        <w:tabs>
          <w:tab w:pos="839" w:val="left" w:leader="none"/>
        </w:tabs>
        <w:spacing w:line="355" w:lineRule="auto" w:before="135" w:after="0"/>
        <w:ind w:left="838" w:right="113" w:hanging="360"/>
        <w:jc w:val="both"/>
        <w:rPr>
          <w:rFonts w:ascii="Symbol" w:hAnsi="Symbol"/>
          <w:sz w:val="24"/>
        </w:rPr>
      </w:pPr>
      <w:r>
        <w:rPr>
          <w:sz w:val="24"/>
        </w:rPr>
        <w:t>Los cementos de polialquenolato de vidrio, comúnmente llamado ionómero de vidrio,</w:t>
      </w:r>
      <w:r>
        <w:rPr>
          <w:spacing w:val="-17"/>
          <w:sz w:val="24"/>
        </w:rPr>
        <w:t> </w:t>
      </w:r>
      <w:r>
        <w:rPr>
          <w:sz w:val="24"/>
        </w:rPr>
        <w:t>ha</w:t>
      </w:r>
      <w:r>
        <w:rPr>
          <w:spacing w:val="-17"/>
          <w:sz w:val="24"/>
        </w:rPr>
        <w:t> </w:t>
      </w:r>
      <w:r>
        <w:rPr>
          <w:sz w:val="24"/>
        </w:rPr>
        <w:t>sido</w:t>
      </w:r>
      <w:r>
        <w:rPr>
          <w:spacing w:val="-19"/>
          <w:sz w:val="24"/>
        </w:rPr>
        <w:t> </w:t>
      </w:r>
      <w:r>
        <w:rPr>
          <w:sz w:val="24"/>
        </w:rPr>
        <w:t>propuesto</w:t>
      </w:r>
      <w:r>
        <w:rPr>
          <w:spacing w:val="-17"/>
          <w:sz w:val="24"/>
        </w:rPr>
        <w:t> </w:t>
      </w:r>
      <w:r>
        <w:rPr>
          <w:sz w:val="24"/>
        </w:rPr>
        <w:t>para</w:t>
      </w:r>
      <w:r>
        <w:rPr>
          <w:spacing w:val="-17"/>
          <w:sz w:val="24"/>
        </w:rPr>
        <w:t> </w:t>
      </w:r>
      <w:r>
        <w:rPr>
          <w:sz w:val="24"/>
        </w:rPr>
        <w:t>estos</w:t>
      </w:r>
      <w:r>
        <w:rPr>
          <w:spacing w:val="-20"/>
          <w:sz w:val="24"/>
        </w:rPr>
        <w:t> </w:t>
      </w:r>
      <w:r>
        <w:rPr>
          <w:sz w:val="24"/>
        </w:rPr>
        <w:t>fines,</w:t>
      </w:r>
      <w:r>
        <w:rPr>
          <w:spacing w:val="-19"/>
          <w:sz w:val="24"/>
        </w:rPr>
        <w:t> </w:t>
      </w:r>
      <w:r>
        <w:rPr>
          <w:sz w:val="24"/>
        </w:rPr>
        <w:t>no</w:t>
      </w:r>
      <w:r>
        <w:rPr>
          <w:spacing w:val="-17"/>
          <w:sz w:val="24"/>
        </w:rPr>
        <w:t> </w:t>
      </w:r>
      <w:r>
        <w:rPr>
          <w:sz w:val="24"/>
        </w:rPr>
        <w:t>solo</w:t>
      </w:r>
      <w:r>
        <w:rPr>
          <w:spacing w:val="-17"/>
          <w:sz w:val="24"/>
        </w:rPr>
        <w:t> </w:t>
      </w:r>
      <w:r>
        <w:rPr>
          <w:sz w:val="24"/>
        </w:rPr>
        <w:t>porque</w:t>
      </w:r>
      <w:r>
        <w:rPr>
          <w:spacing w:val="-17"/>
          <w:sz w:val="24"/>
        </w:rPr>
        <w:t> </w:t>
      </w:r>
      <w:r>
        <w:rPr>
          <w:sz w:val="24"/>
        </w:rPr>
        <w:t>se</w:t>
      </w:r>
      <w:r>
        <w:rPr>
          <w:spacing w:val="-19"/>
          <w:sz w:val="24"/>
        </w:rPr>
        <w:t> </w:t>
      </w:r>
      <w:r>
        <w:rPr>
          <w:sz w:val="24"/>
        </w:rPr>
        <w:t>adhiere</w:t>
      </w:r>
      <w:r>
        <w:rPr>
          <w:spacing w:val="-15"/>
          <w:sz w:val="24"/>
        </w:rPr>
        <w:t> </w:t>
      </w:r>
      <w:r>
        <w:rPr>
          <w:sz w:val="24"/>
        </w:rPr>
        <w:t>químicamente a la estructura adamantina, sino también porque es reservorio, libera y gana flúor constantemente, lo que evita la formación de caries en la zona que interesa.</w:t>
      </w:r>
      <w:r>
        <w:rPr>
          <w:spacing w:val="-19"/>
          <w:sz w:val="24"/>
        </w:rPr>
        <w:t> </w:t>
      </w:r>
      <w:r>
        <w:rPr>
          <w:position w:val="8"/>
          <w:sz w:val="16"/>
        </w:rPr>
        <w:t>4</w:t>
      </w:r>
    </w:p>
    <w:p>
      <w:pPr>
        <w:spacing w:after="0" w:line="355" w:lineRule="auto"/>
        <w:jc w:val="both"/>
        <w:rPr>
          <w:rFonts w:ascii="Symbol" w:hAnsi="Symbol"/>
          <w:sz w:val="24"/>
        </w:rPr>
        <w:sectPr>
          <w:pgSz w:w="12240" w:h="15840"/>
          <w:pgMar w:header="0" w:footer="947" w:top="1360" w:bottom="1140" w:left="1300" w:right="1300"/>
        </w:sectPr>
      </w:pPr>
    </w:p>
    <w:p>
      <w:pPr>
        <w:pStyle w:val="BodyText"/>
        <w:spacing w:line="360" w:lineRule="auto" w:before="57"/>
        <w:ind w:left="118" w:right="113"/>
        <w:jc w:val="both"/>
      </w:pPr>
      <w:r>
        <w:rPr/>
        <w:t>Aunque los ionómeros de vidrio son materiales odontológicos excelentes, como elementos preventivos no deben ser utilizados porque:</w:t>
      </w:r>
    </w:p>
    <w:p>
      <w:pPr>
        <w:pStyle w:val="ListParagraph"/>
        <w:numPr>
          <w:ilvl w:val="0"/>
          <w:numId w:val="5"/>
        </w:numPr>
        <w:tabs>
          <w:tab w:pos="904" w:val="left" w:leader="none"/>
        </w:tabs>
        <w:spacing w:line="240" w:lineRule="auto" w:before="5" w:after="0"/>
        <w:ind w:left="903" w:right="0" w:hanging="360"/>
        <w:jc w:val="left"/>
        <w:rPr>
          <w:sz w:val="24"/>
        </w:rPr>
      </w:pPr>
      <w:r>
        <w:rPr>
          <w:sz w:val="24"/>
        </w:rPr>
        <w:t>Como materiales cerámicos son muy</w:t>
      </w:r>
      <w:r>
        <w:rPr>
          <w:spacing w:val="-22"/>
          <w:sz w:val="24"/>
        </w:rPr>
        <w:t> </w:t>
      </w:r>
      <w:r>
        <w:rPr>
          <w:sz w:val="24"/>
        </w:rPr>
        <w:t>quebradizos</w:t>
      </w:r>
    </w:p>
    <w:p>
      <w:pPr>
        <w:pStyle w:val="ListParagraph"/>
        <w:numPr>
          <w:ilvl w:val="0"/>
          <w:numId w:val="5"/>
        </w:numPr>
        <w:tabs>
          <w:tab w:pos="904" w:val="left" w:leader="none"/>
        </w:tabs>
        <w:spacing w:line="240" w:lineRule="auto" w:before="137" w:after="0"/>
        <w:ind w:left="903" w:right="0" w:hanging="360"/>
        <w:jc w:val="left"/>
        <w:rPr>
          <w:sz w:val="24"/>
        </w:rPr>
      </w:pPr>
      <w:r>
        <w:rPr>
          <w:sz w:val="24"/>
        </w:rPr>
        <w:t>Tienen poca capacidad de fluidez y</w:t>
      </w:r>
      <w:r>
        <w:rPr>
          <w:spacing w:val="-15"/>
          <w:sz w:val="24"/>
        </w:rPr>
        <w:t> </w:t>
      </w:r>
      <w:r>
        <w:rPr>
          <w:sz w:val="24"/>
        </w:rPr>
        <w:t>humectancia</w:t>
      </w:r>
    </w:p>
    <w:p>
      <w:pPr>
        <w:pStyle w:val="ListParagraph"/>
        <w:numPr>
          <w:ilvl w:val="0"/>
          <w:numId w:val="5"/>
        </w:numPr>
        <w:tabs>
          <w:tab w:pos="904" w:val="left" w:leader="none"/>
        </w:tabs>
        <w:spacing w:line="240" w:lineRule="auto" w:before="139" w:after="0"/>
        <w:ind w:left="903" w:right="0" w:hanging="360"/>
        <w:jc w:val="left"/>
        <w:rPr>
          <w:sz w:val="24"/>
        </w:rPr>
      </w:pPr>
      <w:r>
        <w:rPr>
          <w:sz w:val="24"/>
        </w:rPr>
        <w:t>La adhesión ionómero-esmalte es menor que con la</w:t>
      </w:r>
      <w:r>
        <w:rPr>
          <w:spacing w:val="-23"/>
          <w:sz w:val="24"/>
        </w:rPr>
        <w:t> </w:t>
      </w:r>
      <w:r>
        <w:rPr>
          <w:sz w:val="24"/>
        </w:rPr>
        <w:t>resina.</w:t>
      </w:r>
    </w:p>
    <w:p>
      <w:pPr>
        <w:pStyle w:val="ListParagraph"/>
        <w:numPr>
          <w:ilvl w:val="0"/>
          <w:numId w:val="5"/>
        </w:numPr>
        <w:tabs>
          <w:tab w:pos="904" w:val="left" w:leader="none"/>
        </w:tabs>
        <w:spacing w:line="240" w:lineRule="auto" w:before="137" w:after="0"/>
        <w:ind w:left="903" w:right="0" w:hanging="360"/>
        <w:jc w:val="left"/>
        <w:rPr>
          <w:sz w:val="24"/>
        </w:rPr>
      </w:pPr>
      <w:r>
        <w:rPr>
          <w:sz w:val="24"/>
        </w:rPr>
        <w:t>Son hidrosensibles en las primeras 20</w:t>
      </w:r>
      <w:r>
        <w:rPr>
          <w:spacing w:val="-13"/>
          <w:sz w:val="24"/>
        </w:rPr>
        <w:t> </w:t>
      </w:r>
      <w:r>
        <w:rPr>
          <w:sz w:val="24"/>
        </w:rPr>
        <w:t>horas</w:t>
      </w:r>
    </w:p>
    <w:p>
      <w:pPr>
        <w:pStyle w:val="ListParagraph"/>
        <w:numPr>
          <w:ilvl w:val="0"/>
          <w:numId w:val="5"/>
        </w:numPr>
        <w:tabs>
          <w:tab w:pos="904" w:val="left" w:leader="none"/>
        </w:tabs>
        <w:spacing w:line="240" w:lineRule="auto" w:before="139" w:after="0"/>
        <w:ind w:left="903" w:right="0" w:hanging="360"/>
        <w:jc w:val="left"/>
        <w:rPr>
          <w:sz w:val="24"/>
        </w:rPr>
      </w:pPr>
      <w:r>
        <w:rPr>
          <w:sz w:val="24"/>
        </w:rPr>
        <w:t>Demandan de largo tiempo para su</w:t>
      </w:r>
      <w:r>
        <w:rPr>
          <w:spacing w:val="-20"/>
          <w:sz w:val="24"/>
        </w:rPr>
        <w:t> </w:t>
      </w:r>
      <w:r>
        <w:rPr>
          <w:sz w:val="24"/>
        </w:rPr>
        <w:t>fraguado.</w:t>
      </w:r>
    </w:p>
    <w:p>
      <w:pPr>
        <w:pStyle w:val="BodyText"/>
      </w:pPr>
    </w:p>
    <w:p>
      <w:pPr>
        <w:pStyle w:val="BodyText"/>
      </w:pPr>
    </w:p>
    <w:p>
      <w:pPr>
        <w:pStyle w:val="BodyText"/>
        <w:spacing w:line="357" w:lineRule="auto"/>
        <w:ind w:left="118" w:right="113"/>
        <w:jc w:val="both"/>
        <w:rPr>
          <w:sz w:val="16"/>
        </w:rPr>
      </w:pPr>
      <w:r>
        <w:rPr/>
        <w:t>La literatura en diferentes estudios demuestra que a los 6 meses de evaluación el índice de</w:t>
      </w:r>
      <w:r>
        <w:rPr>
          <w:spacing w:val="-3"/>
        </w:rPr>
        <w:t> </w:t>
      </w:r>
      <w:r>
        <w:rPr/>
        <w:t>desprendimiento</w:t>
      </w:r>
      <w:r>
        <w:rPr>
          <w:spacing w:val="-6"/>
        </w:rPr>
        <w:t> </w:t>
      </w:r>
      <w:r>
        <w:rPr/>
        <w:t>de</w:t>
      </w:r>
      <w:r>
        <w:rPr>
          <w:spacing w:val="-6"/>
        </w:rPr>
        <w:t> </w:t>
      </w:r>
      <w:r>
        <w:rPr/>
        <w:t>los</w:t>
      </w:r>
      <w:r>
        <w:rPr>
          <w:spacing w:val="-4"/>
        </w:rPr>
        <w:t> </w:t>
      </w:r>
      <w:r>
        <w:rPr/>
        <w:t>selladores</w:t>
      </w:r>
      <w:r>
        <w:rPr>
          <w:spacing w:val="-3"/>
        </w:rPr>
        <w:t> </w:t>
      </w:r>
      <w:r>
        <w:rPr/>
        <w:t>a</w:t>
      </w:r>
      <w:r>
        <w:rPr>
          <w:spacing w:val="-4"/>
        </w:rPr>
        <w:t> </w:t>
      </w:r>
      <w:r>
        <w:rPr/>
        <w:t>base</w:t>
      </w:r>
      <w:r>
        <w:rPr>
          <w:spacing w:val="-6"/>
        </w:rPr>
        <w:t> </w:t>
      </w:r>
      <w:r>
        <w:rPr/>
        <w:t>de</w:t>
      </w:r>
      <w:r>
        <w:rPr>
          <w:spacing w:val="-4"/>
        </w:rPr>
        <w:t> </w:t>
      </w:r>
      <w:r>
        <w:rPr/>
        <w:t>ionómero</w:t>
      </w:r>
      <w:r>
        <w:rPr>
          <w:spacing w:val="-4"/>
        </w:rPr>
        <w:t> </w:t>
      </w:r>
      <w:r>
        <w:rPr/>
        <w:t>varía</w:t>
      </w:r>
      <w:r>
        <w:rPr>
          <w:spacing w:val="-4"/>
        </w:rPr>
        <w:t> </w:t>
      </w:r>
      <w:r>
        <w:rPr/>
        <w:t>entre</w:t>
      </w:r>
      <w:r>
        <w:rPr>
          <w:spacing w:val="-4"/>
        </w:rPr>
        <w:t> </w:t>
      </w:r>
      <w:r>
        <w:rPr/>
        <w:t>un</w:t>
      </w:r>
      <w:r>
        <w:rPr>
          <w:spacing w:val="-4"/>
        </w:rPr>
        <w:t> </w:t>
      </w:r>
      <w:r>
        <w:rPr/>
        <w:t>70</w:t>
      </w:r>
      <w:r>
        <w:rPr>
          <w:spacing w:val="-4"/>
        </w:rPr>
        <w:t> </w:t>
      </w:r>
      <w:r>
        <w:rPr/>
        <w:t>y</w:t>
      </w:r>
      <w:r>
        <w:rPr>
          <w:spacing w:val="-7"/>
        </w:rPr>
        <w:t> </w:t>
      </w:r>
      <w:r>
        <w:rPr/>
        <w:t>un</w:t>
      </w:r>
      <w:r>
        <w:rPr>
          <w:spacing w:val="-4"/>
        </w:rPr>
        <w:t> </w:t>
      </w:r>
      <w:r>
        <w:rPr/>
        <w:t>96%,</w:t>
      </w:r>
      <w:r>
        <w:rPr>
          <w:spacing w:val="-4"/>
        </w:rPr>
        <w:t> </w:t>
      </w:r>
      <w:r>
        <w:rPr/>
        <w:t>lo que sugiere un fracaso clínico importante. Sin embargo debe señalarse que “parecería” que esos surcos que han perdido sus sellantes a base de ionómero de vidrio se tornan más resistentes a la caries dental.</w:t>
      </w:r>
      <w:r>
        <w:rPr>
          <w:position w:val="8"/>
          <w:sz w:val="16"/>
        </w:rPr>
        <w:t>4 </w:t>
      </w:r>
      <w:r>
        <w:rPr/>
        <w:t>Pueden ser utilizados como sellantes transitorios y demuestran ser eficaces como selladores de fosas y fisuras a más largo</w:t>
      </w:r>
      <w:r>
        <w:rPr>
          <w:spacing w:val="-22"/>
        </w:rPr>
        <w:t> </w:t>
      </w:r>
      <w:r>
        <w:rPr/>
        <w:t>plazo.</w:t>
      </w:r>
      <w:r>
        <w:rPr>
          <w:position w:val="8"/>
          <w:sz w:val="16"/>
        </w:rPr>
        <w:t>19</w:t>
      </w:r>
    </w:p>
    <w:p>
      <w:pPr>
        <w:pStyle w:val="BodyText"/>
        <w:spacing w:line="355" w:lineRule="auto" w:before="4"/>
        <w:ind w:left="118" w:right="117"/>
        <w:jc w:val="both"/>
        <w:rPr>
          <w:sz w:val="16"/>
        </w:rPr>
      </w:pPr>
      <w:r>
        <w:rPr/>
        <w:t>Los ionómeros de alta viscosidad, aumentan la concentración de fluoruro interproximal más que los selladores de base de resina. </w:t>
      </w:r>
      <w:r>
        <w:rPr>
          <w:position w:val="8"/>
          <w:sz w:val="16"/>
        </w:rPr>
        <w:t>20</w:t>
      </w:r>
    </w:p>
    <w:p>
      <w:pPr>
        <w:pStyle w:val="BodyText"/>
        <w:spacing w:before="6"/>
        <w:rPr>
          <w:sz w:val="36"/>
        </w:rPr>
      </w:pPr>
    </w:p>
    <w:p>
      <w:pPr>
        <w:pStyle w:val="BodyText"/>
        <w:spacing w:line="360" w:lineRule="auto"/>
        <w:ind w:left="118" w:right="111"/>
        <w:jc w:val="both"/>
        <w:rPr>
          <w:sz w:val="16"/>
        </w:rPr>
      </w:pPr>
      <w:r>
        <w:rPr/>
        <w:t>Pero también hay revisiones donde se evaluó la evidencia sobre la prevención de caries preventiva, con el uso de cemento de ionómero de vidrio en relación con selladores de fisuras a base de resina en la cual no se encontró ninguna evidencia de que el sellador de resina sea un material superior al ionómero de vidrio en la prevención de la caries dental.</w:t>
      </w:r>
      <w:r>
        <w:rPr>
          <w:spacing w:val="-10"/>
        </w:rPr>
        <w:t> </w:t>
      </w:r>
      <w:r>
        <w:rPr/>
        <w:t>Por</w:t>
      </w:r>
      <w:r>
        <w:rPr>
          <w:spacing w:val="-11"/>
        </w:rPr>
        <w:t> </w:t>
      </w:r>
      <w:r>
        <w:rPr/>
        <w:t>lo</w:t>
      </w:r>
      <w:r>
        <w:rPr>
          <w:spacing w:val="-10"/>
        </w:rPr>
        <w:t> </w:t>
      </w:r>
      <w:r>
        <w:rPr/>
        <w:t>tanto,</w:t>
      </w:r>
      <w:r>
        <w:rPr>
          <w:spacing w:val="-10"/>
        </w:rPr>
        <w:t> </w:t>
      </w:r>
      <w:r>
        <w:rPr/>
        <w:t>concluyen</w:t>
      </w:r>
      <w:r>
        <w:rPr>
          <w:spacing w:val="-9"/>
        </w:rPr>
        <w:t> </w:t>
      </w:r>
      <w:r>
        <w:rPr/>
        <w:t>que</w:t>
      </w:r>
      <w:r>
        <w:rPr>
          <w:spacing w:val="-9"/>
        </w:rPr>
        <w:t> </w:t>
      </w:r>
      <w:r>
        <w:rPr/>
        <w:t>ambos</w:t>
      </w:r>
      <w:r>
        <w:rPr>
          <w:spacing w:val="-10"/>
        </w:rPr>
        <w:t> </w:t>
      </w:r>
      <w:r>
        <w:rPr/>
        <w:t>materiales</w:t>
      </w:r>
      <w:r>
        <w:rPr>
          <w:spacing w:val="-10"/>
        </w:rPr>
        <w:t> </w:t>
      </w:r>
      <w:r>
        <w:rPr/>
        <w:t>parecen</w:t>
      </w:r>
      <w:r>
        <w:rPr>
          <w:spacing w:val="-9"/>
        </w:rPr>
        <w:t> </w:t>
      </w:r>
      <w:r>
        <w:rPr/>
        <w:t>ser</w:t>
      </w:r>
      <w:r>
        <w:rPr>
          <w:spacing w:val="-11"/>
        </w:rPr>
        <w:t> </w:t>
      </w:r>
      <w:r>
        <w:rPr/>
        <w:t>igualmente</w:t>
      </w:r>
      <w:r>
        <w:rPr>
          <w:spacing w:val="-9"/>
        </w:rPr>
        <w:t> </w:t>
      </w:r>
      <w:r>
        <w:rPr/>
        <w:t>adecuados para</w:t>
      </w:r>
      <w:r>
        <w:rPr>
          <w:spacing w:val="-7"/>
        </w:rPr>
        <w:t> </w:t>
      </w:r>
      <w:r>
        <w:rPr/>
        <w:t>la</w:t>
      </w:r>
      <w:r>
        <w:rPr>
          <w:spacing w:val="-9"/>
        </w:rPr>
        <w:t> </w:t>
      </w:r>
      <w:r>
        <w:rPr/>
        <w:t>aplicación</w:t>
      </w:r>
      <w:r>
        <w:rPr>
          <w:spacing w:val="-6"/>
        </w:rPr>
        <w:t> </w:t>
      </w:r>
      <w:r>
        <w:rPr/>
        <w:t>clínica</w:t>
      </w:r>
      <w:r>
        <w:rPr>
          <w:spacing w:val="-6"/>
        </w:rPr>
        <w:t> </w:t>
      </w:r>
      <w:r>
        <w:rPr/>
        <w:t>como</w:t>
      </w:r>
      <w:r>
        <w:rPr>
          <w:spacing w:val="-8"/>
        </w:rPr>
        <w:t> </w:t>
      </w:r>
      <w:r>
        <w:rPr/>
        <w:t>materiales</w:t>
      </w:r>
      <w:r>
        <w:rPr>
          <w:spacing w:val="-5"/>
        </w:rPr>
        <w:t> </w:t>
      </w:r>
      <w:r>
        <w:rPr/>
        <w:t>para</w:t>
      </w:r>
      <w:r>
        <w:rPr>
          <w:spacing w:val="-7"/>
        </w:rPr>
        <w:t> </w:t>
      </w:r>
      <w:r>
        <w:rPr/>
        <w:t>el</w:t>
      </w:r>
      <w:r>
        <w:rPr>
          <w:spacing w:val="-7"/>
        </w:rPr>
        <w:t> </w:t>
      </w:r>
      <w:r>
        <w:rPr/>
        <w:t>sellado</w:t>
      </w:r>
      <w:r>
        <w:rPr>
          <w:spacing w:val="-6"/>
        </w:rPr>
        <w:t> </w:t>
      </w:r>
      <w:r>
        <w:rPr/>
        <w:t>de</w:t>
      </w:r>
      <w:r>
        <w:rPr>
          <w:spacing w:val="-7"/>
        </w:rPr>
        <w:t> </w:t>
      </w:r>
      <w:r>
        <w:rPr/>
        <w:t>fosas</w:t>
      </w:r>
      <w:r>
        <w:rPr>
          <w:spacing w:val="-7"/>
        </w:rPr>
        <w:t> </w:t>
      </w:r>
      <w:r>
        <w:rPr/>
        <w:t>y</w:t>
      </w:r>
      <w:r>
        <w:rPr>
          <w:spacing w:val="-9"/>
        </w:rPr>
        <w:t> </w:t>
      </w:r>
      <w:r>
        <w:rPr/>
        <w:t>fisuras</w:t>
      </w:r>
      <w:r>
        <w:rPr>
          <w:spacing w:val="-7"/>
        </w:rPr>
        <w:t> </w:t>
      </w:r>
      <w:r>
        <w:rPr/>
        <w:t>aun</w:t>
      </w:r>
      <w:r>
        <w:rPr>
          <w:spacing w:val="-8"/>
        </w:rPr>
        <w:t> </w:t>
      </w:r>
      <w:r>
        <w:rPr/>
        <w:t>tomando en cuenta que la retención del ionómero es inferior al del sellador de resina.</w:t>
      </w:r>
      <w:r>
        <w:rPr>
          <w:position w:val="8"/>
          <w:sz w:val="16"/>
        </w:rPr>
        <w:t>21,</w:t>
      </w:r>
      <w:r>
        <w:rPr>
          <w:spacing w:val="-19"/>
          <w:position w:val="8"/>
          <w:sz w:val="16"/>
        </w:rPr>
        <w:t> </w:t>
      </w:r>
      <w:r>
        <w:rPr>
          <w:position w:val="8"/>
          <w:sz w:val="16"/>
        </w:rPr>
        <w:t>14</w:t>
      </w:r>
    </w:p>
    <w:p>
      <w:pPr>
        <w:pStyle w:val="BodyText"/>
        <w:rPr>
          <w:sz w:val="36"/>
        </w:rPr>
      </w:pPr>
    </w:p>
    <w:p>
      <w:pPr>
        <w:pStyle w:val="BodyText"/>
        <w:spacing w:line="357" w:lineRule="auto" w:before="1"/>
        <w:ind w:left="118" w:right="116"/>
        <w:jc w:val="both"/>
        <w:rPr>
          <w:sz w:val="16"/>
        </w:rPr>
      </w:pPr>
      <w:r>
        <w:rPr/>
        <w:t>Bajo las condiciones generalmente húmedas en la vía oral, el cemento de ionómero de vidrio ofrece una alternativa. Debido a sus propiedades hidrofílicas, no es tan sensible a la humedad como la resina hidrófoba. </w:t>
      </w:r>
      <w:r>
        <w:rPr>
          <w:position w:val="8"/>
          <w:sz w:val="16"/>
        </w:rPr>
        <w:t>22</w:t>
      </w:r>
    </w:p>
    <w:p>
      <w:pPr>
        <w:spacing w:after="0" w:line="357" w:lineRule="auto"/>
        <w:jc w:val="both"/>
        <w:rPr>
          <w:sz w:val="16"/>
        </w:rPr>
        <w:sectPr>
          <w:pgSz w:w="12240" w:h="15840"/>
          <w:pgMar w:header="0" w:footer="947" w:top="1360" w:bottom="1140" w:left="1300" w:right="1300"/>
        </w:sectPr>
      </w:pPr>
    </w:p>
    <w:p>
      <w:pPr>
        <w:pStyle w:val="BodyText"/>
        <w:spacing w:line="357" w:lineRule="auto" w:before="57"/>
        <w:ind w:left="118" w:right="117"/>
        <w:jc w:val="both"/>
        <w:rPr>
          <w:sz w:val="16"/>
        </w:rPr>
      </w:pPr>
      <w:r>
        <w:rPr/>
        <w:t>Boksman y Carson reportan un estudio de evaluación clínica de dos años usando un ionómero</w:t>
      </w:r>
      <w:r>
        <w:rPr>
          <w:spacing w:val="-9"/>
        </w:rPr>
        <w:t> </w:t>
      </w:r>
      <w:r>
        <w:rPr/>
        <w:t>de</w:t>
      </w:r>
      <w:r>
        <w:rPr>
          <w:spacing w:val="-8"/>
        </w:rPr>
        <w:t> </w:t>
      </w:r>
      <w:r>
        <w:rPr/>
        <w:t>vidrio</w:t>
      </w:r>
      <w:r>
        <w:rPr>
          <w:spacing w:val="-6"/>
        </w:rPr>
        <w:t> </w:t>
      </w:r>
      <w:r>
        <w:rPr/>
        <w:t>tipo</w:t>
      </w:r>
      <w:r>
        <w:rPr>
          <w:spacing w:val="-8"/>
        </w:rPr>
        <w:t> </w:t>
      </w:r>
      <w:r>
        <w:rPr/>
        <w:t>III</w:t>
      </w:r>
      <w:r>
        <w:rPr>
          <w:spacing w:val="-9"/>
        </w:rPr>
        <w:t> </w:t>
      </w:r>
      <w:r>
        <w:rPr/>
        <w:t>usado</w:t>
      </w:r>
      <w:r>
        <w:rPr>
          <w:spacing w:val="-6"/>
        </w:rPr>
        <w:t> </w:t>
      </w:r>
      <w:r>
        <w:rPr/>
        <w:t>como</w:t>
      </w:r>
      <w:r>
        <w:rPr>
          <w:spacing w:val="-6"/>
        </w:rPr>
        <w:t> </w:t>
      </w:r>
      <w:r>
        <w:rPr/>
        <w:t>sellador,</w:t>
      </w:r>
      <w:r>
        <w:rPr>
          <w:spacing w:val="-6"/>
        </w:rPr>
        <w:t> </w:t>
      </w:r>
      <w:r>
        <w:rPr/>
        <w:t>se</w:t>
      </w:r>
      <w:r>
        <w:rPr>
          <w:spacing w:val="-6"/>
        </w:rPr>
        <w:t> </w:t>
      </w:r>
      <w:r>
        <w:rPr/>
        <w:t>encontró</w:t>
      </w:r>
      <w:r>
        <w:rPr>
          <w:spacing w:val="-9"/>
        </w:rPr>
        <w:t> </w:t>
      </w:r>
      <w:r>
        <w:rPr/>
        <w:t>un</w:t>
      </w:r>
      <w:r>
        <w:rPr>
          <w:spacing w:val="-6"/>
        </w:rPr>
        <w:t> </w:t>
      </w:r>
      <w:r>
        <w:rPr/>
        <w:t>índice</w:t>
      </w:r>
      <w:r>
        <w:rPr>
          <w:spacing w:val="-6"/>
        </w:rPr>
        <w:t> </w:t>
      </w:r>
      <w:r>
        <w:rPr/>
        <w:t>de</w:t>
      </w:r>
      <w:r>
        <w:rPr>
          <w:spacing w:val="-8"/>
        </w:rPr>
        <w:t> </w:t>
      </w:r>
      <w:r>
        <w:rPr/>
        <w:t>éxito</w:t>
      </w:r>
      <w:r>
        <w:rPr>
          <w:spacing w:val="-6"/>
        </w:rPr>
        <w:t> </w:t>
      </w:r>
      <w:r>
        <w:rPr/>
        <w:t>de</w:t>
      </w:r>
      <w:r>
        <w:rPr>
          <w:spacing w:val="-6"/>
        </w:rPr>
        <w:t> </w:t>
      </w:r>
      <w:r>
        <w:rPr/>
        <w:t>solo</w:t>
      </w:r>
      <w:r>
        <w:rPr>
          <w:spacing w:val="-6"/>
        </w:rPr>
        <w:t> </w:t>
      </w:r>
      <w:r>
        <w:rPr/>
        <w:t>un 19% en la evaluación a un</w:t>
      </w:r>
      <w:r>
        <w:rPr>
          <w:spacing w:val="-6"/>
        </w:rPr>
        <w:t> </w:t>
      </w:r>
      <w:r>
        <w:rPr/>
        <w:t>año.</w:t>
      </w:r>
      <w:r>
        <w:rPr>
          <w:position w:val="8"/>
          <w:sz w:val="16"/>
        </w:rPr>
        <w:t>4</w:t>
      </w:r>
    </w:p>
    <w:p>
      <w:pPr>
        <w:pStyle w:val="BodyText"/>
        <w:spacing w:before="2"/>
        <w:rPr>
          <w:sz w:val="36"/>
        </w:rPr>
      </w:pPr>
    </w:p>
    <w:p>
      <w:pPr>
        <w:pStyle w:val="BodyText"/>
        <w:tabs>
          <w:tab w:pos="598" w:val="left" w:leader="none"/>
          <w:tab w:pos="1623" w:val="left" w:leader="none"/>
          <w:tab w:pos="3019" w:val="left" w:leader="none"/>
          <w:tab w:pos="3496" w:val="left" w:leader="none"/>
          <w:tab w:pos="4477" w:val="left" w:leader="none"/>
          <w:tab w:pos="5690" w:val="left" w:leader="none"/>
          <w:tab w:pos="6486" w:val="left" w:leader="none"/>
          <w:tab w:pos="7788" w:val="left" w:leader="none"/>
          <w:tab w:pos="8478" w:val="left" w:leader="none"/>
        </w:tabs>
        <w:spacing w:line="360" w:lineRule="auto" w:before="1"/>
        <w:ind w:left="118" w:right="114"/>
      </w:pPr>
      <w:r>
        <w:rPr/>
        <w:t>La</w:t>
        <w:tab/>
        <w:t>primera</w:t>
        <w:tab/>
        <w:t>generación</w:t>
        <w:tab/>
        <w:t>de</w:t>
        <w:tab/>
        <w:t>resinas</w:t>
        <w:tab/>
        <w:t>utilizadas</w:t>
        <w:tab/>
        <w:t>como</w:t>
        <w:tab/>
        <w:t>selladores</w:t>
        <w:tab/>
        <w:t>eran</w:t>
        <w:tab/>
        <w:t>derivados cianoacrilatos y epoxis, pero su retención era insuficiente y sus resultados muy insatisfactorios. Posteriormente se utilizaron las resinas BIS-GMA, monómero formado por</w:t>
      </w:r>
      <w:r>
        <w:rPr>
          <w:spacing w:val="-11"/>
        </w:rPr>
        <w:t> </w:t>
      </w:r>
      <w:r>
        <w:rPr/>
        <w:t>la</w:t>
      </w:r>
      <w:r>
        <w:rPr>
          <w:spacing w:val="-10"/>
        </w:rPr>
        <w:t> </w:t>
      </w:r>
      <w:r>
        <w:rPr/>
        <w:t>reacción</w:t>
      </w:r>
      <w:r>
        <w:rPr>
          <w:spacing w:val="-11"/>
        </w:rPr>
        <w:t> </w:t>
      </w:r>
      <w:r>
        <w:rPr/>
        <w:t>del</w:t>
      </w:r>
      <w:r>
        <w:rPr>
          <w:spacing w:val="-11"/>
        </w:rPr>
        <w:t> </w:t>
      </w:r>
      <w:r>
        <w:rPr/>
        <w:t>bis-phenol</w:t>
      </w:r>
      <w:r>
        <w:rPr>
          <w:spacing w:val="-11"/>
        </w:rPr>
        <w:t> </w:t>
      </w:r>
      <w:r>
        <w:rPr/>
        <w:t>A</w:t>
      </w:r>
      <w:r>
        <w:rPr>
          <w:spacing w:val="-12"/>
        </w:rPr>
        <w:t> </w:t>
      </w:r>
      <w:r>
        <w:rPr/>
        <w:t>y</w:t>
      </w:r>
      <w:r>
        <w:rPr>
          <w:spacing w:val="-12"/>
        </w:rPr>
        <w:t> </w:t>
      </w:r>
      <w:r>
        <w:rPr/>
        <w:t>glycidil</w:t>
      </w:r>
      <w:r>
        <w:rPr>
          <w:spacing w:val="-11"/>
        </w:rPr>
        <w:t> </w:t>
      </w:r>
      <w:r>
        <w:rPr/>
        <w:t>methacrylato.</w:t>
      </w:r>
      <w:r>
        <w:rPr>
          <w:spacing w:val="-10"/>
        </w:rPr>
        <w:t> </w:t>
      </w:r>
      <w:r>
        <w:rPr/>
        <w:t>Los</w:t>
      </w:r>
      <w:r>
        <w:rPr>
          <w:spacing w:val="-10"/>
        </w:rPr>
        <w:t> </w:t>
      </w:r>
      <w:r>
        <w:rPr/>
        <w:t>BIS-GMA</w:t>
      </w:r>
      <w:r>
        <w:rPr>
          <w:spacing w:val="-10"/>
        </w:rPr>
        <w:t> </w:t>
      </w:r>
      <w:r>
        <w:rPr/>
        <w:t>son</w:t>
      </w:r>
      <w:r>
        <w:rPr>
          <w:spacing w:val="-12"/>
        </w:rPr>
        <w:t> </w:t>
      </w:r>
      <w:r>
        <w:rPr/>
        <w:t>las</w:t>
      </w:r>
      <w:r>
        <w:rPr>
          <w:spacing w:val="-10"/>
        </w:rPr>
        <w:t> </w:t>
      </w:r>
      <w:r>
        <w:rPr/>
        <w:t>resinas</w:t>
      </w:r>
      <w:r>
        <w:rPr>
          <w:spacing w:val="-10"/>
        </w:rPr>
        <w:t> </w:t>
      </w:r>
      <w:r>
        <w:rPr/>
        <w:t>que constituyen la base de los composite. Actualmente son los selladores de elección </w:t>
      </w:r>
      <w:r>
        <w:rPr>
          <w:spacing w:val="-2"/>
        </w:rPr>
        <w:t>que </w:t>
      </w:r>
      <w:r>
        <w:rPr/>
        <w:t>están reforzados para aumentar su resistencia a la abrasión con partículas de material endurecedor como vidrio, porcelana o cuarzo.</w:t>
      </w:r>
      <w:r>
        <w:rPr>
          <w:position w:val="8"/>
          <w:sz w:val="16"/>
        </w:rPr>
        <w:t>3 </w:t>
      </w:r>
      <w:r>
        <w:rPr/>
        <w:t>Este sellador viene envasado en un recipiente totalmente opaco y tiene una vida útil de unos 12 meses.</w:t>
      </w:r>
      <w:r>
        <w:rPr>
          <w:position w:val="8"/>
          <w:sz w:val="16"/>
        </w:rPr>
        <w:t>23 </w:t>
      </w:r>
      <w:r>
        <w:rPr/>
        <w:t>Su composición es una matriz orgánica, en algunas ocasiones rellenos minerales, óxidos metálicos para darle color, agentes para promover la reacción química de endurecimiento (sistema oxido-reducción) a veces con el fin de aumentar la resistencia a la abrasión, elementos fotosensibles</w:t>
      </w:r>
      <w:r>
        <w:rPr>
          <w:spacing w:val="-15"/>
        </w:rPr>
        <w:t> </w:t>
      </w:r>
      <w:r>
        <w:rPr/>
        <w:t>(en</w:t>
      </w:r>
      <w:r>
        <w:rPr>
          <w:spacing w:val="-14"/>
        </w:rPr>
        <w:t> </w:t>
      </w:r>
      <w:r>
        <w:rPr/>
        <w:t>el</w:t>
      </w:r>
      <w:r>
        <w:rPr>
          <w:spacing w:val="-15"/>
        </w:rPr>
        <w:t> </w:t>
      </w:r>
      <w:r>
        <w:rPr/>
        <w:t>caso</w:t>
      </w:r>
      <w:r>
        <w:rPr>
          <w:spacing w:val="-14"/>
        </w:rPr>
        <w:t> </w:t>
      </w:r>
      <w:r>
        <w:rPr/>
        <w:t>que</w:t>
      </w:r>
      <w:r>
        <w:rPr>
          <w:spacing w:val="-14"/>
        </w:rPr>
        <w:t> </w:t>
      </w:r>
      <w:r>
        <w:rPr/>
        <w:t>endurezca</w:t>
      </w:r>
      <w:r>
        <w:rPr>
          <w:spacing w:val="-14"/>
        </w:rPr>
        <w:t> </w:t>
      </w:r>
      <w:r>
        <w:rPr/>
        <w:t>en</w:t>
      </w:r>
      <w:r>
        <w:rPr>
          <w:spacing w:val="-14"/>
        </w:rPr>
        <w:t> </w:t>
      </w:r>
      <w:r>
        <w:rPr/>
        <w:t>presencia</w:t>
      </w:r>
      <w:r>
        <w:rPr>
          <w:spacing w:val="-14"/>
        </w:rPr>
        <w:t> </w:t>
      </w:r>
      <w:r>
        <w:rPr/>
        <w:t>de</w:t>
      </w:r>
      <w:r>
        <w:rPr>
          <w:spacing w:val="-14"/>
        </w:rPr>
        <w:t> </w:t>
      </w:r>
      <w:r>
        <w:rPr/>
        <w:t>luz),</w:t>
      </w:r>
      <w:r>
        <w:rPr>
          <w:spacing w:val="-15"/>
        </w:rPr>
        <w:t> </w:t>
      </w:r>
      <w:r>
        <w:rPr/>
        <w:t>estabilizadores,</w:t>
      </w:r>
      <w:r>
        <w:rPr>
          <w:spacing w:val="-14"/>
        </w:rPr>
        <w:t> </w:t>
      </w:r>
      <w:r>
        <w:rPr/>
        <w:t>entre</w:t>
      </w:r>
      <w:r>
        <w:rPr>
          <w:spacing w:val="-14"/>
        </w:rPr>
        <w:t> </w:t>
      </w:r>
      <w:r>
        <w:rPr/>
        <w:t>otros elementos.</w:t>
      </w:r>
    </w:p>
    <w:p>
      <w:pPr>
        <w:pStyle w:val="BodyText"/>
        <w:spacing w:before="2"/>
        <w:ind w:left="118"/>
        <w:jc w:val="both"/>
      </w:pPr>
      <w:r>
        <w:rPr/>
        <w:t>De acuerdo a su mecanismo de endurecimiento se clasifican en:</w:t>
      </w:r>
    </w:p>
    <w:p>
      <w:pPr>
        <w:pStyle w:val="ListParagraph"/>
        <w:numPr>
          <w:ilvl w:val="1"/>
          <w:numId w:val="5"/>
        </w:numPr>
        <w:tabs>
          <w:tab w:pos="1042" w:val="left" w:leader="none"/>
          <w:tab w:pos="1043" w:val="left" w:leader="none"/>
        </w:tabs>
        <w:spacing w:line="240" w:lineRule="auto" w:before="140" w:after="0"/>
        <w:ind w:left="1042" w:right="0" w:hanging="360"/>
        <w:jc w:val="left"/>
        <w:rPr>
          <w:sz w:val="24"/>
        </w:rPr>
      </w:pPr>
      <w:r>
        <w:rPr>
          <w:sz w:val="24"/>
        </w:rPr>
        <w:t>Autopolimerizables mediante la adición de una</w:t>
      </w:r>
      <w:r>
        <w:rPr>
          <w:spacing w:val="-25"/>
          <w:sz w:val="24"/>
        </w:rPr>
        <w:t> </w:t>
      </w:r>
      <w:r>
        <w:rPr>
          <w:sz w:val="24"/>
        </w:rPr>
        <w:t>catalizador</w:t>
      </w:r>
    </w:p>
    <w:p>
      <w:pPr>
        <w:pStyle w:val="ListParagraph"/>
        <w:numPr>
          <w:ilvl w:val="1"/>
          <w:numId w:val="5"/>
        </w:numPr>
        <w:tabs>
          <w:tab w:pos="1042" w:val="left" w:leader="none"/>
          <w:tab w:pos="1043" w:val="left" w:leader="none"/>
        </w:tabs>
        <w:spacing w:line="240" w:lineRule="auto" w:before="135" w:after="0"/>
        <w:ind w:left="1042" w:right="0" w:hanging="360"/>
        <w:jc w:val="left"/>
        <w:rPr>
          <w:sz w:val="16"/>
        </w:rPr>
      </w:pPr>
      <w:r>
        <w:rPr>
          <w:sz w:val="24"/>
        </w:rPr>
        <w:t>Fotopolimerizables.</w:t>
      </w:r>
      <w:r>
        <w:rPr>
          <w:position w:val="8"/>
          <w:sz w:val="16"/>
        </w:rPr>
        <w:t>4</w:t>
      </w:r>
    </w:p>
    <w:p>
      <w:pPr>
        <w:pStyle w:val="BodyText"/>
        <w:rPr>
          <w:sz w:val="26"/>
        </w:rPr>
      </w:pPr>
    </w:p>
    <w:p>
      <w:pPr>
        <w:pStyle w:val="BodyText"/>
        <w:spacing w:before="9"/>
        <w:rPr>
          <w:sz w:val="21"/>
        </w:rPr>
      </w:pPr>
    </w:p>
    <w:p>
      <w:pPr>
        <w:pStyle w:val="BodyText"/>
        <w:spacing w:line="357" w:lineRule="auto"/>
        <w:ind w:left="118" w:right="119"/>
        <w:jc w:val="both"/>
        <w:rPr>
          <w:sz w:val="16"/>
        </w:rPr>
      </w:pPr>
      <w:r>
        <w:rPr/>
        <w:t>Los selladores de primera generación eran iniciados con luz ultravioleta, los selladores de segunda generación son autopolimerizables y los selladores de tercera generación utilizan luz visible.</w:t>
      </w:r>
      <w:r>
        <w:rPr>
          <w:position w:val="8"/>
          <w:sz w:val="16"/>
        </w:rPr>
        <w:t>7</w:t>
      </w:r>
    </w:p>
    <w:p>
      <w:pPr>
        <w:pStyle w:val="BodyText"/>
        <w:spacing w:before="3"/>
        <w:rPr>
          <w:sz w:val="36"/>
        </w:rPr>
      </w:pPr>
    </w:p>
    <w:p>
      <w:pPr>
        <w:pStyle w:val="BodyText"/>
        <w:spacing w:line="360" w:lineRule="auto"/>
        <w:ind w:left="118" w:right="470"/>
      </w:pPr>
      <w:r>
        <w:rPr/>
        <w:t>Un informe basado en la evidencia canadiense resumió algunos principios científicos importantes respecto a los selladores:</w:t>
      </w:r>
    </w:p>
    <w:p>
      <w:pPr>
        <w:pStyle w:val="ListParagraph"/>
        <w:numPr>
          <w:ilvl w:val="0"/>
          <w:numId w:val="4"/>
        </w:numPr>
        <w:tabs>
          <w:tab w:pos="838" w:val="left" w:leader="none"/>
          <w:tab w:pos="839" w:val="left" w:leader="none"/>
        </w:tabs>
        <w:spacing w:line="352" w:lineRule="auto" w:before="3" w:after="0"/>
        <w:ind w:left="838" w:right="578" w:hanging="360"/>
        <w:jc w:val="left"/>
        <w:rPr>
          <w:rFonts w:ascii="Symbol" w:hAnsi="Symbol"/>
          <w:color w:val="202020"/>
          <w:sz w:val="24"/>
        </w:rPr>
      </w:pPr>
      <w:r>
        <w:rPr>
          <w:color w:val="202020"/>
          <w:sz w:val="24"/>
        </w:rPr>
        <w:t>Los selladores han demostrado ser seguros y eficaces en la prevención de la caries</w:t>
      </w:r>
      <w:r>
        <w:rPr>
          <w:color w:val="202020"/>
          <w:spacing w:val="-3"/>
          <w:sz w:val="24"/>
        </w:rPr>
        <w:t> </w:t>
      </w:r>
      <w:r>
        <w:rPr>
          <w:color w:val="202020"/>
          <w:sz w:val="24"/>
        </w:rPr>
        <w:t>dental.</w:t>
      </w:r>
    </w:p>
    <w:p>
      <w:pPr>
        <w:pStyle w:val="ListParagraph"/>
        <w:numPr>
          <w:ilvl w:val="0"/>
          <w:numId w:val="4"/>
        </w:numPr>
        <w:tabs>
          <w:tab w:pos="905" w:val="left" w:leader="none"/>
          <w:tab w:pos="906" w:val="left" w:leader="none"/>
        </w:tabs>
        <w:spacing w:line="350" w:lineRule="auto" w:before="11" w:after="0"/>
        <w:ind w:left="838" w:right="425" w:hanging="360"/>
        <w:jc w:val="left"/>
        <w:rPr>
          <w:rFonts w:ascii="Symbol" w:hAnsi="Symbol"/>
          <w:color w:val="202020"/>
          <w:sz w:val="24"/>
        </w:rPr>
      </w:pPr>
      <w:r>
        <w:rPr>
          <w:color w:val="202020"/>
          <w:sz w:val="24"/>
        </w:rPr>
        <w:t>Además de la prevención de la caries, los selladores pueden detener la</w:t>
      </w:r>
      <w:r>
        <w:rPr>
          <w:color w:val="202020"/>
          <w:spacing w:val="-31"/>
          <w:sz w:val="24"/>
        </w:rPr>
        <w:t> </w:t>
      </w:r>
      <w:r>
        <w:rPr>
          <w:color w:val="202020"/>
          <w:sz w:val="24"/>
        </w:rPr>
        <w:t>caries incipiente.</w:t>
      </w:r>
    </w:p>
    <w:p>
      <w:pPr>
        <w:spacing w:after="0" w:line="350" w:lineRule="auto"/>
        <w:jc w:val="left"/>
        <w:rPr>
          <w:rFonts w:ascii="Symbol" w:hAnsi="Symbol"/>
          <w:sz w:val="24"/>
        </w:rPr>
        <w:sectPr>
          <w:pgSz w:w="12240" w:h="15840"/>
          <w:pgMar w:header="0" w:footer="947" w:top="1360" w:bottom="1140" w:left="1300" w:right="1300"/>
        </w:sectPr>
      </w:pPr>
    </w:p>
    <w:p>
      <w:pPr>
        <w:pStyle w:val="ListParagraph"/>
        <w:numPr>
          <w:ilvl w:val="0"/>
          <w:numId w:val="4"/>
        </w:numPr>
        <w:tabs>
          <w:tab w:pos="838" w:val="left" w:leader="none"/>
          <w:tab w:pos="839" w:val="left" w:leader="none"/>
        </w:tabs>
        <w:spacing w:line="355" w:lineRule="auto" w:before="37" w:after="0"/>
        <w:ind w:left="838" w:right="369" w:hanging="360"/>
        <w:jc w:val="left"/>
        <w:rPr>
          <w:rFonts w:ascii="Symbol"/>
          <w:color w:val="202020"/>
          <w:sz w:val="24"/>
        </w:rPr>
      </w:pPr>
      <w:r>
        <w:rPr>
          <w:color w:val="202020"/>
          <w:sz w:val="24"/>
        </w:rPr>
        <w:t>Los selladores deben ser colocados en las fosas y fisuras de los dientes de mayor riesgo (predominantemente primeros y segundos molares permanentes) en individuos</w:t>
      </w:r>
      <w:r>
        <w:rPr>
          <w:color w:val="202020"/>
          <w:spacing w:val="-9"/>
          <w:sz w:val="24"/>
        </w:rPr>
        <w:t> </w:t>
      </w:r>
      <w:r>
        <w:rPr>
          <w:color w:val="202020"/>
          <w:sz w:val="24"/>
        </w:rPr>
        <w:t>susceptibles.</w:t>
      </w:r>
    </w:p>
    <w:p>
      <w:pPr>
        <w:pStyle w:val="ListParagraph"/>
        <w:numPr>
          <w:ilvl w:val="0"/>
          <w:numId w:val="4"/>
        </w:numPr>
        <w:tabs>
          <w:tab w:pos="838" w:val="left" w:leader="none"/>
          <w:tab w:pos="839" w:val="left" w:leader="none"/>
        </w:tabs>
        <w:spacing w:line="350" w:lineRule="auto" w:before="8" w:after="0"/>
        <w:ind w:left="838" w:right="931" w:hanging="360"/>
        <w:jc w:val="left"/>
        <w:rPr>
          <w:rFonts w:ascii="Symbol" w:hAnsi="Symbol"/>
          <w:color w:val="202020"/>
          <w:sz w:val="24"/>
        </w:rPr>
      </w:pPr>
      <w:r>
        <w:rPr>
          <w:color w:val="202020"/>
          <w:sz w:val="24"/>
        </w:rPr>
        <w:t>Los niños con experiencia de caries anterior deben ser considerados</w:t>
      </w:r>
      <w:r>
        <w:rPr>
          <w:color w:val="202020"/>
          <w:spacing w:val="-28"/>
          <w:sz w:val="24"/>
        </w:rPr>
        <w:t> </w:t>
      </w:r>
      <w:r>
        <w:rPr>
          <w:color w:val="202020"/>
          <w:sz w:val="24"/>
        </w:rPr>
        <w:t>para selladores.</w:t>
      </w:r>
    </w:p>
    <w:p>
      <w:pPr>
        <w:pStyle w:val="ListParagraph"/>
        <w:numPr>
          <w:ilvl w:val="0"/>
          <w:numId w:val="4"/>
        </w:numPr>
        <w:tabs>
          <w:tab w:pos="838" w:val="left" w:leader="none"/>
          <w:tab w:pos="839" w:val="left" w:leader="none"/>
        </w:tabs>
        <w:spacing w:line="355" w:lineRule="auto" w:before="16" w:after="0"/>
        <w:ind w:left="838" w:right="412" w:hanging="360"/>
        <w:jc w:val="left"/>
        <w:rPr>
          <w:rFonts w:ascii="Symbol" w:hAnsi="Symbol"/>
          <w:color w:val="202020"/>
          <w:sz w:val="24"/>
        </w:rPr>
      </w:pPr>
      <w:r>
        <w:rPr>
          <w:color w:val="202020"/>
          <w:sz w:val="24"/>
        </w:rPr>
        <w:t>Deben utilizarse selladores de resina autopolimerizable y de fotocurado ya</w:t>
      </w:r>
      <w:r>
        <w:rPr>
          <w:color w:val="202020"/>
          <w:spacing w:val="-30"/>
          <w:sz w:val="24"/>
        </w:rPr>
        <w:t> </w:t>
      </w:r>
      <w:r>
        <w:rPr>
          <w:color w:val="202020"/>
          <w:sz w:val="24"/>
        </w:rPr>
        <w:t>que tienen tasas de retención satisfactorios. Cementos de ionómero de vidrio no deben</w:t>
      </w:r>
      <w:r>
        <w:rPr>
          <w:color w:val="202020"/>
          <w:spacing w:val="-8"/>
          <w:sz w:val="24"/>
        </w:rPr>
        <w:t> </w:t>
      </w:r>
      <w:r>
        <w:rPr>
          <w:color w:val="202020"/>
          <w:sz w:val="24"/>
        </w:rPr>
        <w:t>utilizarse.</w:t>
      </w:r>
    </w:p>
    <w:p>
      <w:pPr>
        <w:pStyle w:val="ListParagraph"/>
        <w:numPr>
          <w:ilvl w:val="0"/>
          <w:numId w:val="4"/>
        </w:numPr>
        <w:tabs>
          <w:tab w:pos="838" w:val="left" w:leader="none"/>
          <w:tab w:pos="839" w:val="left" w:leader="none"/>
        </w:tabs>
        <w:spacing w:line="345" w:lineRule="auto" w:before="11" w:after="0"/>
        <w:ind w:left="838" w:right="344" w:hanging="360"/>
        <w:jc w:val="left"/>
        <w:rPr>
          <w:rFonts w:ascii="Symbol" w:hAnsi="Symbol"/>
          <w:color w:val="202020"/>
          <w:sz w:val="24"/>
        </w:rPr>
      </w:pPr>
      <w:r>
        <w:rPr>
          <w:color w:val="202020"/>
          <w:sz w:val="24"/>
        </w:rPr>
        <w:t>Los selladores deben ser evaluados clínicamente, sobre todo cuando se</w:t>
      </w:r>
      <w:r>
        <w:rPr>
          <w:color w:val="202020"/>
          <w:spacing w:val="-27"/>
          <w:sz w:val="24"/>
        </w:rPr>
        <w:t> </w:t>
      </w:r>
      <w:r>
        <w:rPr>
          <w:color w:val="202020"/>
          <w:sz w:val="24"/>
        </w:rPr>
        <w:t>coloca sobre la caries</w:t>
      </w:r>
      <w:r>
        <w:rPr>
          <w:color w:val="202020"/>
          <w:spacing w:val="-5"/>
          <w:sz w:val="24"/>
        </w:rPr>
        <w:t> </w:t>
      </w:r>
      <w:r>
        <w:rPr>
          <w:color w:val="202020"/>
          <w:sz w:val="24"/>
        </w:rPr>
        <w:t>incipiente</w:t>
      </w:r>
      <w:r>
        <w:rPr>
          <w:sz w:val="24"/>
        </w:rPr>
        <w:t>.</w:t>
      </w:r>
      <w:r>
        <w:rPr>
          <w:position w:val="8"/>
          <w:sz w:val="16"/>
        </w:rPr>
        <w:t>8</w:t>
      </w:r>
    </w:p>
    <w:p>
      <w:pPr>
        <w:pStyle w:val="BodyText"/>
        <w:spacing w:before="5"/>
        <w:rPr>
          <w:sz w:val="37"/>
        </w:rPr>
      </w:pPr>
    </w:p>
    <w:p>
      <w:pPr>
        <w:pStyle w:val="BodyText"/>
        <w:spacing w:line="357" w:lineRule="auto"/>
        <w:ind w:left="118" w:right="111"/>
        <w:jc w:val="both"/>
        <w:rPr>
          <w:sz w:val="16"/>
        </w:rPr>
      </w:pPr>
      <w:r>
        <w:rPr/>
        <w:t>Algunos fabricantes han incorporado rellenos minerales a sus selladores para mejorar sus propiedades fisicomecánicas.</w:t>
      </w:r>
      <w:r>
        <w:rPr>
          <w:position w:val="8"/>
          <w:sz w:val="16"/>
        </w:rPr>
        <w:t>4 </w:t>
      </w:r>
      <w:r>
        <w:rPr/>
        <w:t>Por lo general microrelleno de dióxido de silicio o incluso de cuarzo.</w:t>
      </w:r>
      <w:r>
        <w:rPr>
          <w:position w:val="8"/>
          <w:sz w:val="16"/>
        </w:rPr>
        <w:t>24 </w:t>
      </w:r>
      <w:r>
        <w:rPr/>
        <w:t>Además de Bis-GMA contiene también bolillas microscópicas de vidrio, esto hace que el sellador sea más resistente a la abrasión, estos selladores son materiales</w:t>
      </w:r>
      <w:r>
        <w:rPr>
          <w:spacing w:val="-9"/>
        </w:rPr>
        <w:t> </w:t>
      </w:r>
      <w:r>
        <w:rPr/>
        <w:t>opacos</w:t>
      </w:r>
      <w:r>
        <w:rPr>
          <w:spacing w:val="-12"/>
        </w:rPr>
        <w:t> </w:t>
      </w:r>
      <w:r>
        <w:rPr/>
        <w:t>de</w:t>
      </w:r>
      <w:r>
        <w:rPr>
          <w:spacing w:val="-8"/>
        </w:rPr>
        <w:t> </w:t>
      </w:r>
      <w:r>
        <w:rPr/>
        <w:t>color</w:t>
      </w:r>
      <w:r>
        <w:rPr>
          <w:spacing w:val="-9"/>
        </w:rPr>
        <w:t> </w:t>
      </w:r>
      <w:r>
        <w:rPr/>
        <w:t>del</w:t>
      </w:r>
      <w:r>
        <w:rPr>
          <w:spacing w:val="-10"/>
        </w:rPr>
        <w:t> </w:t>
      </w:r>
      <w:r>
        <w:rPr/>
        <w:t>diente</w:t>
      </w:r>
      <w:r>
        <w:rPr>
          <w:spacing w:val="-10"/>
        </w:rPr>
        <w:t> </w:t>
      </w:r>
      <w:r>
        <w:rPr/>
        <w:t>o</w:t>
      </w:r>
      <w:r>
        <w:rPr>
          <w:spacing w:val="-8"/>
        </w:rPr>
        <w:t> </w:t>
      </w:r>
      <w:r>
        <w:rPr/>
        <w:t>blancos</w:t>
      </w:r>
      <w:r>
        <w:rPr>
          <w:spacing w:val="-9"/>
        </w:rPr>
        <w:t> </w:t>
      </w:r>
      <w:r>
        <w:rPr/>
        <w:t>y</w:t>
      </w:r>
      <w:r>
        <w:rPr>
          <w:spacing w:val="-12"/>
        </w:rPr>
        <w:t> </w:t>
      </w:r>
      <w:r>
        <w:rPr/>
        <w:t>los</w:t>
      </w:r>
      <w:r>
        <w:rPr>
          <w:spacing w:val="-9"/>
        </w:rPr>
        <w:t> </w:t>
      </w:r>
      <w:r>
        <w:rPr/>
        <w:t>que</w:t>
      </w:r>
      <w:r>
        <w:rPr>
          <w:spacing w:val="-8"/>
        </w:rPr>
        <w:t> </w:t>
      </w:r>
      <w:r>
        <w:rPr/>
        <w:t>no</w:t>
      </w:r>
      <w:r>
        <w:rPr>
          <w:spacing w:val="-8"/>
        </w:rPr>
        <w:t> </w:t>
      </w:r>
      <w:r>
        <w:rPr/>
        <w:t>tienen</w:t>
      </w:r>
      <w:r>
        <w:rPr>
          <w:spacing w:val="-8"/>
        </w:rPr>
        <w:t> </w:t>
      </w:r>
      <w:r>
        <w:rPr/>
        <w:t>material</w:t>
      </w:r>
      <w:r>
        <w:rPr>
          <w:spacing w:val="-10"/>
        </w:rPr>
        <w:t> </w:t>
      </w:r>
      <w:r>
        <w:rPr/>
        <w:t>de</w:t>
      </w:r>
      <w:r>
        <w:rPr>
          <w:spacing w:val="-8"/>
        </w:rPr>
        <w:t> </w:t>
      </w:r>
      <w:r>
        <w:rPr/>
        <w:t>relleno</w:t>
      </w:r>
      <w:r>
        <w:rPr>
          <w:spacing w:val="-11"/>
        </w:rPr>
        <w:t> </w:t>
      </w:r>
      <w:r>
        <w:rPr/>
        <w:t>se desgastan</w:t>
      </w:r>
      <w:r>
        <w:rPr>
          <w:spacing w:val="-12"/>
        </w:rPr>
        <w:t> </w:t>
      </w:r>
      <w:r>
        <w:rPr/>
        <w:t>más</w:t>
      </w:r>
      <w:r>
        <w:rPr>
          <w:spacing w:val="-10"/>
        </w:rPr>
        <w:t> </w:t>
      </w:r>
      <w:r>
        <w:rPr/>
        <w:t>rápido</w:t>
      </w:r>
      <w:r>
        <w:rPr>
          <w:spacing w:val="-10"/>
        </w:rPr>
        <w:t> </w:t>
      </w:r>
      <w:r>
        <w:rPr>
          <w:position w:val="8"/>
          <w:sz w:val="16"/>
        </w:rPr>
        <w:t>7</w:t>
      </w:r>
      <w:r>
        <w:rPr/>
        <w:t>,</w:t>
      </w:r>
      <w:r>
        <w:rPr>
          <w:spacing w:val="-10"/>
        </w:rPr>
        <w:t> </w:t>
      </w:r>
      <w:r>
        <w:rPr/>
        <w:t>estas</w:t>
      </w:r>
      <w:r>
        <w:rPr>
          <w:spacing w:val="-10"/>
        </w:rPr>
        <w:t> </w:t>
      </w:r>
      <w:r>
        <w:rPr/>
        <w:t>resinas</w:t>
      </w:r>
      <w:r>
        <w:rPr>
          <w:spacing w:val="-10"/>
        </w:rPr>
        <w:t> </w:t>
      </w:r>
      <w:r>
        <w:rPr/>
        <w:t>se</w:t>
      </w:r>
      <w:r>
        <w:rPr>
          <w:spacing w:val="-12"/>
        </w:rPr>
        <w:t> </w:t>
      </w:r>
      <w:r>
        <w:rPr/>
        <w:t>pueden</w:t>
      </w:r>
      <w:r>
        <w:rPr>
          <w:spacing w:val="-9"/>
        </w:rPr>
        <w:t> </w:t>
      </w:r>
      <w:r>
        <w:rPr/>
        <w:t>suministrar</w:t>
      </w:r>
      <w:r>
        <w:rPr>
          <w:spacing w:val="-11"/>
        </w:rPr>
        <w:t> </w:t>
      </w:r>
      <w:r>
        <w:rPr/>
        <w:t>como</w:t>
      </w:r>
      <w:r>
        <w:rPr>
          <w:spacing w:val="-12"/>
        </w:rPr>
        <w:t> </w:t>
      </w:r>
      <w:r>
        <w:rPr/>
        <w:t>material</w:t>
      </w:r>
      <w:r>
        <w:rPr>
          <w:spacing w:val="-11"/>
        </w:rPr>
        <w:t> </w:t>
      </w:r>
      <w:r>
        <w:rPr/>
        <w:t>transparente con o sin color.</w:t>
      </w:r>
      <w:r>
        <w:rPr>
          <w:position w:val="8"/>
          <w:sz w:val="16"/>
        </w:rPr>
        <w:t>25 </w:t>
      </w:r>
      <w:r>
        <w:rPr/>
        <w:t>El sellador sin carga permite mayor penetración en profundidad de las proyecciones resinosas en el esmalte</w:t>
      </w:r>
      <w:r>
        <w:rPr>
          <w:spacing w:val="-14"/>
        </w:rPr>
        <w:t> </w:t>
      </w:r>
      <w:r>
        <w:rPr/>
        <w:t>acondicionado.</w:t>
      </w:r>
      <w:r>
        <w:rPr>
          <w:position w:val="8"/>
          <w:sz w:val="16"/>
        </w:rPr>
        <w:t>26</w:t>
      </w:r>
    </w:p>
    <w:p>
      <w:pPr>
        <w:pStyle w:val="BodyText"/>
        <w:spacing w:before="9"/>
        <w:rPr>
          <w:sz w:val="35"/>
        </w:rPr>
      </w:pPr>
    </w:p>
    <w:p>
      <w:pPr>
        <w:spacing w:before="0"/>
        <w:ind w:left="118" w:right="0" w:firstLine="0"/>
        <w:jc w:val="both"/>
        <w:rPr>
          <w:i/>
          <w:sz w:val="24"/>
        </w:rPr>
      </w:pPr>
      <w:r>
        <w:rPr>
          <w:sz w:val="24"/>
        </w:rPr>
        <w:t>Los  productos  aceptados  actualmente  por  la  </w:t>
      </w:r>
      <w:r>
        <w:rPr>
          <w:i/>
          <w:sz w:val="24"/>
        </w:rPr>
        <w:t>American  Dental  Association   </w:t>
      </w:r>
      <w:r>
        <w:rPr>
          <w:i/>
          <w:spacing w:val="66"/>
          <w:sz w:val="24"/>
        </w:rPr>
        <w:t> </w:t>
      </w:r>
      <w:r>
        <w:rPr>
          <w:i/>
          <w:sz w:val="24"/>
        </w:rPr>
        <w:t>(ADA)</w:t>
      </w:r>
    </w:p>
    <w:p>
      <w:pPr>
        <w:pStyle w:val="BodyText"/>
        <w:spacing w:before="141"/>
        <w:ind w:left="118"/>
        <w:jc w:val="both"/>
      </w:pPr>
      <w:r>
        <w:rPr/>
        <w:t>incluyen:</w:t>
      </w:r>
    </w:p>
    <w:p>
      <w:pPr>
        <w:pStyle w:val="ListParagraph"/>
        <w:numPr>
          <w:ilvl w:val="0"/>
          <w:numId w:val="4"/>
        </w:numPr>
        <w:tabs>
          <w:tab w:pos="838" w:val="left" w:leader="none"/>
          <w:tab w:pos="839" w:val="left" w:leader="none"/>
        </w:tabs>
        <w:spacing w:line="240" w:lineRule="auto" w:before="137" w:after="0"/>
        <w:ind w:left="838" w:right="0" w:hanging="360"/>
        <w:jc w:val="left"/>
        <w:rPr>
          <w:rFonts w:ascii="Symbol"/>
          <w:sz w:val="24"/>
        </w:rPr>
      </w:pPr>
      <w:r>
        <w:rPr>
          <w:sz w:val="24"/>
        </w:rPr>
        <w:t>Baritone L3, Type II Confi-Dental Products</w:t>
      </w:r>
      <w:r>
        <w:rPr>
          <w:spacing w:val="-16"/>
          <w:sz w:val="24"/>
        </w:rPr>
        <w:t> </w:t>
      </w:r>
      <w:r>
        <w:rPr>
          <w:sz w:val="24"/>
        </w:rPr>
        <w:t>Co.</w:t>
      </w:r>
    </w:p>
    <w:p>
      <w:pPr>
        <w:pStyle w:val="ListParagraph"/>
        <w:numPr>
          <w:ilvl w:val="0"/>
          <w:numId w:val="4"/>
        </w:numPr>
        <w:tabs>
          <w:tab w:pos="838" w:val="left" w:leader="none"/>
          <w:tab w:pos="839" w:val="left" w:leader="none"/>
        </w:tabs>
        <w:spacing w:line="240" w:lineRule="auto" w:before="138" w:after="0"/>
        <w:ind w:left="838" w:right="0" w:hanging="360"/>
        <w:jc w:val="left"/>
        <w:rPr>
          <w:rFonts w:ascii="Symbol"/>
          <w:sz w:val="24"/>
        </w:rPr>
      </w:pPr>
      <w:r>
        <w:rPr>
          <w:sz w:val="24"/>
        </w:rPr>
        <w:t>Alpha-Dent Chemical Cure Pita and Fissure Sealant, Dental Technologies,</w:t>
      </w:r>
      <w:r>
        <w:rPr>
          <w:spacing w:val="-15"/>
          <w:sz w:val="24"/>
        </w:rPr>
        <w:t> </w:t>
      </w:r>
      <w:r>
        <w:rPr>
          <w:sz w:val="24"/>
        </w:rPr>
        <w:t>Inc.</w:t>
      </w:r>
    </w:p>
    <w:p>
      <w:pPr>
        <w:pStyle w:val="ListParagraph"/>
        <w:numPr>
          <w:ilvl w:val="0"/>
          <w:numId w:val="4"/>
        </w:numPr>
        <w:tabs>
          <w:tab w:pos="838" w:val="left" w:leader="none"/>
          <w:tab w:pos="839" w:val="left" w:leader="none"/>
        </w:tabs>
        <w:spacing w:line="240" w:lineRule="auto" w:before="136" w:after="0"/>
        <w:ind w:left="838" w:right="0" w:hanging="360"/>
        <w:jc w:val="left"/>
        <w:rPr>
          <w:rFonts w:ascii="Symbol"/>
          <w:sz w:val="24"/>
        </w:rPr>
      </w:pPr>
      <w:r>
        <w:rPr>
          <w:sz w:val="24"/>
        </w:rPr>
        <w:t>Alpha-Dent Light Cure pit and Fissure Sealant, Dental Technologies,</w:t>
      </w:r>
      <w:r>
        <w:rPr>
          <w:spacing w:val="-21"/>
          <w:sz w:val="24"/>
        </w:rPr>
        <w:t> </w:t>
      </w:r>
      <w:r>
        <w:rPr>
          <w:sz w:val="24"/>
        </w:rPr>
        <w:t>Inc.</w:t>
      </w:r>
    </w:p>
    <w:p>
      <w:pPr>
        <w:pStyle w:val="ListParagraph"/>
        <w:numPr>
          <w:ilvl w:val="0"/>
          <w:numId w:val="4"/>
        </w:numPr>
        <w:tabs>
          <w:tab w:pos="838" w:val="left" w:leader="none"/>
          <w:tab w:pos="839" w:val="left" w:leader="none"/>
        </w:tabs>
        <w:spacing w:line="350" w:lineRule="auto" w:before="135" w:after="0"/>
        <w:ind w:left="838" w:right="123" w:hanging="360"/>
        <w:jc w:val="left"/>
        <w:rPr>
          <w:rFonts w:ascii="Symbol"/>
          <w:sz w:val="24"/>
        </w:rPr>
      </w:pPr>
      <w:r>
        <w:rPr>
          <w:sz w:val="24"/>
        </w:rPr>
        <w:t>Prisma-shield Compules Tips VLC Tinted Pit &amp; Fissure Sealant Dentsply L.D. Caulk</w:t>
      </w:r>
      <w:r>
        <w:rPr>
          <w:spacing w:val="-5"/>
          <w:sz w:val="24"/>
        </w:rPr>
        <w:t> </w:t>
      </w:r>
      <w:r>
        <w:rPr>
          <w:sz w:val="24"/>
        </w:rPr>
        <w:t>Division.</w:t>
      </w:r>
    </w:p>
    <w:p>
      <w:pPr>
        <w:pStyle w:val="ListParagraph"/>
        <w:numPr>
          <w:ilvl w:val="0"/>
          <w:numId w:val="4"/>
        </w:numPr>
        <w:tabs>
          <w:tab w:pos="838" w:val="left" w:leader="none"/>
          <w:tab w:pos="839" w:val="left" w:leader="none"/>
        </w:tabs>
        <w:spacing w:line="240" w:lineRule="auto" w:before="16" w:after="0"/>
        <w:ind w:left="838" w:right="0" w:hanging="360"/>
        <w:jc w:val="left"/>
        <w:rPr>
          <w:rFonts w:ascii="Symbol"/>
          <w:sz w:val="24"/>
        </w:rPr>
      </w:pPr>
      <w:r>
        <w:rPr>
          <w:sz w:val="24"/>
        </w:rPr>
        <w:t>Prisma-shield VLC Filled Pit &amp; Fissure Sealant Dentsply L.D. Caulk</w:t>
      </w:r>
      <w:r>
        <w:rPr>
          <w:spacing w:val="-17"/>
          <w:sz w:val="24"/>
        </w:rPr>
        <w:t> </w:t>
      </w:r>
      <w:r>
        <w:rPr>
          <w:sz w:val="24"/>
        </w:rPr>
        <w:t>Division.</w:t>
      </w:r>
    </w:p>
    <w:p>
      <w:pPr>
        <w:pStyle w:val="ListParagraph"/>
        <w:numPr>
          <w:ilvl w:val="0"/>
          <w:numId w:val="4"/>
        </w:numPr>
        <w:tabs>
          <w:tab w:pos="838" w:val="left" w:leader="none"/>
          <w:tab w:pos="839" w:val="left" w:leader="none"/>
        </w:tabs>
        <w:spacing w:line="240" w:lineRule="auto" w:before="135" w:after="0"/>
        <w:ind w:left="838" w:right="0" w:hanging="360"/>
        <w:jc w:val="left"/>
        <w:rPr>
          <w:rFonts w:ascii="Symbol"/>
          <w:sz w:val="24"/>
        </w:rPr>
      </w:pPr>
      <w:r>
        <w:rPr>
          <w:sz w:val="24"/>
        </w:rPr>
        <w:t>Helioseal F, Type II Ivoclar-Vivadent,</w:t>
      </w:r>
      <w:r>
        <w:rPr>
          <w:spacing w:val="-13"/>
          <w:sz w:val="24"/>
        </w:rPr>
        <w:t> </w:t>
      </w:r>
      <w:r>
        <w:rPr>
          <w:sz w:val="24"/>
        </w:rPr>
        <w:t>Inc.</w:t>
      </w:r>
    </w:p>
    <w:p>
      <w:pPr>
        <w:pStyle w:val="ListParagraph"/>
        <w:numPr>
          <w:ilvl w:val="0"/>
          <w:numId w:val="4"/>
        </w:numPr>
        <w:tabs>
          <w:tab w:pos="838" w:val="left" w:leader="none"/>
          <w:tab w:pos="839" w:val="left" w:leader="none"/>
        </w:tabs>
        <w:spacing w:line="240" w:lineRule="auto" w:before="135" w:after="0"/>
        <w:ind w:left="838" w:right="0" w:hanging="360"/>
        <w:jc w:val="left"/>
        <w:rPr>
          <w:rFonts w:ascii="Symbol"/>
          <w:sz w:val="24"/>
        </w:rPr>
      </w:pPr>
      <w:r>
        <w:rPr>
          <w:sz w:val="24"/>
        </w:rPr>
        <w:t>Helioseal, Type II Ivoclar-Vivadent,</w:t>
      </w:r>
      <w:r>
        <w:rPr>
          <w:spacing w:val="-13"/>
          <w:sz w:val="24"/>
        </w:rPr>
        <w:t> </w:t>
      </w:r>
      <w:r>
        <w:rPr>
          <w:sz w:val="24"/>
        </w:rPr>
        <w:t>Inc.</w:t>
      </w:r>
    </w:p>
    <w:p>
      <w:pPr>
        <w:pStyle w:val="ListParagraph"/>
        <w:numPr>
          <w:ilvl w:val="0"/>
          <w:numId w:val="4"/>
        </w:numPr>
        <w:tabs>
          <w:tab w:pos="838" w:val="left" w:leader="none"/>
          <w:tab w:pos="839" w:val="left" w:leader="none"/>
        </w:tabs>
        <w:spacing w:line="240" w:lineRule="auto" w:before="138" w:after="0"/>
        <w:ind w:left="838" w:right="0" w:hanging="360"/>
        <w:jc w:val="left"/>
        <w:rPr>
          <w:rFonts w:ascii="Symbol"/>
          <w:sz w:val="24"/>
        </w:rPr>
      </w:pPr>
      <w:r>
        <w:rPr>
          <w:sz w:val="24"/>
        </w:rPr>
        <w:t>Seal-Rite Low Viscosity, Tipe IIPulpodent</w:t>
      </w:r>
      <w:r>
        <w:rPr>
          <w:spacing w:val="-15"/>
          <w:sz w:val="24"/>
        </w:rPr>
        <w:t> </w:t>
      </w:r>
      <w:r>
        <w:rPr>
          <w:sz w:val="24"/>
        </w:rPr>
        <w:t>Corp.</w:t>
      </w:r>
    </w:p>
    <w:p>
      <w:pPr>
        <w:spacing w:after="0" w:line="240" w:lineRule="auto"/>
        <w:jc w:val="left"/>
        <w:rPr>
          <w:rFonts w:ascii="Symbol"/>
          <w:sz w:val="24"/>
        </w:rPr>
        <w:sectPr>
          <w:pgSz w:w="12240" w:h="15840"/>
          <w:pgMar w:header="0" w:footer="947" w:top="1380" w:bottom="1140" w:left="1300" w:right="1300"/>
        </w:sectPr>
      </w:pPr>
    </w:p>
    <w:p>
      <w:pPr>
        <w:pStyle w:val="ListParagraph"/>
        <w:numPr>
          <w:ilvl w:val="0"/>
          <w:numId w:val="4"/>
        </w:numPr>
        <w:tabs>
          <w:tab w:pos="838" w:val="left" w:leader="none"/>
          <w:tab w:pos="839" w:val="left" w:leader="none"/>
        </w:tabs>
        <w:spacing w:line="240" w:lineRule="auto" w:before="57" w:after="0"/>
        <w:ind w:left="838" w:right="0" w:hanging="360"/>
        <w:jc w:val="left"/>
        <w:rPr>
          <w:rFonts w:ascii="Symbol"/>
          <w:sz w:val="24"/>
        </w:rPr>
      </w:pPr>
      <w:r>
        <w:rPr>
          <w:sz w:val="24"/>
        </w:rPr>
        <w:t>Seal-Rite, Type II Pulpodent</w:t>
      </w:r>
      <w:r>
        <w:rPr>
          <w:spacing w:val="-8"/>
          <w:sz w:val="24"/>
        </w:rPr>
        <w:t> </w:t>
      </w:r>
      <w:r>
        <w:rPr>
          <w:sz w:val="24"/>
        </w:rPr>
        <w:t>Corp.</w:t>
      </w:r>
      <w:r>
        <w:rPr>
          <w:position w:val="8"/>
          <w:sz w:val="16"/>
        </w:rPr>
        <w:t>7</w:t>
      </w:r>
    </w:p>
    <w:p>
      <w:pPr>
        <w:pStyle w:val="BodyText"/>
        <w:rPr>
          <w:sz w:val="26"/>
        </w:rPr>
      </w:pPr>
    </w:p>
    <w:p>
      <w:pPr>
        <w:pStyle w:val="BodyText"/>
        <w:spacing w:before="9"/>
        <w:rPr>
          <w:sz w:val="21"/>
        </w:rPr>
      </w:pPr>
    </w:p>
    <w:p>
      <w:pPr>
        <w:pStyle w:val="BodyText"/>
        <w:spacing w:line="360" w:lineRule="auto"/>
        <w:ind w:left="118" w:right="297"/>
      </w:pPr>
      <w:r>
        <w:rPr/>
        <w:t>Por otra parte los selladores a base de resina han mostrado ser exitosos clínicamente. Los selladores a base de resina presentan ciertas características como son:</w:t>
      </w:r>
    </w:p>
    <w:p>
      <w:pPr>
        <w:pStyle w:val="ListParagraph"/>
        <w:numPr>
          <w:ilvl w:val="0"/>
          <w:numId w:val="6"/>
        </w:numPr>
        <w:tabs>
          <w:tab w:pos="839" w:val="left" w:leader="none"/>
        </w:tabs>
        <w:spacing w:line="240" w:lineRule="auto" w:before="5" w:after="0"/>
        <w:ind w:left="838" w:right="0" w:hanging="360"/>
        <w:jc w:val="left"/>
        <w:rPr>
          <w:sz w:val="24"/>
        </w:rPr>
      </w:pPr>
      <w:r>
        <w:rPr>
          <w:sz w:val="24"/>
        </w:rPr>
        <w:t>Fácil</w:t>
      </w:r>
      <w:r>
        <w:rPr>
          <w:spacing w:val="-3"/>
          <w:sz w:val="24"/>
        </w:rPr>
        <w:t> </w:t>
      </w:r>
      <w:r>
        <w:rPr>
          <w:sz w:val="24"/>
        </w:rPr>
        <w:t>manejo</w:t>
      </w:r>
    </w:p>
    <w:p>
      <w:pPr>
        <w:pStyle w:val="ListParagraph"/>
        <w:numPr>
          <w:ilvl w:val="0"/>
          <w:numId w:val="6"/>
        </w:numPr>
        <w:tabs>
          <w:tab w:pos="839" w:val="left" w:leader="none"/>
        </w:tabs>
        <w:spacing w:line="240" w:lineRule="auto" w:before="137" w:after="0"/>
        <w:ind w:left="838" w:right="0" w:hanging="360"/>
        <w:jc w:val="left"/>
        <w:rPr>
          <w:sz w:val="24"/>
        </w:rPr>
      </w:pPr>
      <w:r>
        <w:rPr>
          <w:sz w:val="24"/>
        </w:rPr>
        <w:t>Gran capacidad de</w:t>
      </w:r>
      <w:r>
        <w:rPr>
          <w:spacing w:val="-11"/>
          <w:sz w:val="24"/>
        </w:rPr>
        <w:t> </w:t>
      </w:r>
      <w:r>
        <w:rPr>
          <w:sz w:val="24"/>
        </w:rPr>
        <w:t>humectancia</w:t>
      </w:r>
    </w:p>
    <w:p>
      <w:pPr>
        <w:pStyle w:val="ListParagraph"/>
        <w:numPr>
          <w:ilvl w:val="0"/>
          <w:numId w:val="6"/>
        </w:numPr>
        <w:tabs>
          <w:tab w:pos="839" w:val="left" w:leader="none"/>
        </w:tabs>
        <w:spacing w:line="240" w:lineRule="auto" w:before="137" w:after="0"/>
        <w:ind w:left="838" w:right="0" w:hanging="360"/>
        <w:jc w:val="left"/>
        <w:rPr>
          <w:sz w:val="24"/>
        </w:rPr>
      </w:pPr>
      <w:r>
        <w:rPr>
          <w:sz w:val="24"/>
        </w:rPr>
        <w:t>Fuerte adhesión al</w:t>
      </w:r>
      <w:r>
        <w:rPr>
          <w:spacing w:val="-8"/>
          <w:sz w:val="24"/>
        </w:rPr>
        <w:t> </w:t>
      </w:r>
      <w:r>
        <w:rPr>
          <w:sz w:val="24"/>
        </w:rPr>
        <w:t>esmalte</w:t>
      </w:r>
    </w:p>
    <w:p>
      <w:pPr>
        <w:pStyle w:val="ListParagraph"/>
        <w:numPr>
          <w:ilvl w:val="0"/>
          <w:numId w:val="6"/>
        </w:numPr>
        <w:tabs>
          <w:tab w:pos="839" w:val="left" w:leader="none"/>
        </w:tabs>
        <w:spacing w:line="240" w:lineRule="auto" w:before="139" w:after="0"/>
        <w:ind w:left="838" w:right="0" w:hanging="360"/>
        <w:jc w:val="left"/>
        <w:rPr>
          <w:sz w:val="24"/>
        </w:rPr>
      </w:pPr>
      <w:r>
        <w:rPr>
          <w:sz w:val="24"/>
        </w:rPr>
        <w:t>Endurecen totalmente en algunos</w:t>
      </w:r>
      <w:r>
        <w:rPr>
          <w:spacing w:val="-19"/>
          <w:sz w:val="24"/>
        </w:rPr>
        <w:t> </w:t>
      </w:r>
      <w:r>
        <w:rPr>
          <w:sz w:val="24"/>
        </w:rPr>
        <w:t>minutos</w:t>
      </w:r>
    </w:p>
    <w:p>
      <w:pPr>
        <w:pStyle w:val="ListParagraph"/>
        <w:numPr>
          <w:ilvl w:val="0"/>
          <w:numId w:val="6"/>
        </w:numPr>
        <w:tabs>
          <w:tab w:pos="839" w:val="left" w:leader="none"/>
        </w:tabs>
        <w:spacing w:line="240" w:lineRule="auto" w:before="137" w:after="0"/>
        <w:ind w:left="838" w:right="0" w:hanging="360"/>
        <w:jc w:val="left"/>
        <w:rPr>
          <w:sz w:val="24"/>
        </w:rPr>
      </w:pPr>
      <w:r>
        <w:rPr>
          <w:sz w:val="24"/>
        </w:rPr>
        <w:t>Son</w:t>
      </w:r>
      <w:r>
        <w:rPr>
          <w:spacing w:val="-6"/>
          <w:sz w:val="24"/>
        </w:rPr>
        <w:t> </w:t>
      </w:r>
      <w:r>
        <w:rPr>
          <w:sz w:val="24"/>
        </w:rPr>
        <w:t>insolubles</w:t>
      </w:r>
    </w:p>
    <w:p>
      <w:pPr>
        <w:pStyle w:val="ListParagraph"/>
        <w:numPr>
          <w:ilvl w:val="0"/>
          <w:numId w:val="6"/>
        </w:numPr>
        <w:tabs>
          <w:tab w:pos="839" w:val="left" w:leader="none"/>
        </w:tabs>
        <w:spacing w:line="240" w:lineRule="auto" w:before="139" w:after="0"/>
        <w:ind w:left="838" w:right="0" w:hanging="360"/>
        <w:jc w:val="left"/>
        <w:rPr>
          <w:sz w:val="24"/>
        </w:rPr>
      </w:pPr>
      <w:r>
        <w:rPr>
          <w:sz w:val="24"/>
        </w:rPr>
        <w:t>Resiste a la función</w:t>
      </w:r>
      <w:r>
        <w:rPr>
          <w:spacing w:val="-6"/>
          <w:sz w:val="24"/>
        </w:rPr>
        <w:t> </w:t>
      </w:r>
      <w:r>
        <w:rPr>
          <w:sz w:val="24"/>
        </w:rPr>
        <w:t>oclusal</w:t>
      </w:r>
    </w:p>
    <w:p>
      <w:pPr>
        <w:pStyle w:val="ListParagraph"/>
        <w:numPr>
          <w:ilvl w:val="0"/>
          <w:numId w:val="6"/>
        </w:numPr>
        <w:tabs>
          <w:tab w:pos="839" w:val="left" w:leader="none"/>
        </w:tabs>
        <w:spacing w:line="240" w:lineRule="auto" w:before="137" w:after="0"/>
        <w:ind w:left="838" w:right="0" w:hanging="360"/>
        <w:jc w:val="left"/>
        <w:rPr>
          <w:sz w:val="24"/>
        </w:rPr>
      </w:pPr>
      <w:r>
        <w:rPr>
          <w:sz w:val="24"/>
        </w:rPr>
        <w:t>Fáciles de</w:t>
      </w:r>
      <w:r>
        <w:rPr>
          <w:spacing w:val="-3"/>
          <w:sz w:val="24"/>
        </w:rPr>
        <w:t> </w:t>
      </w:r>
      <w:r>
        <w:rPr>
          <w:sz w:val="24"/>
        </w:rPr>
        <w:t>reparar</w:t>
      </w:r>
    </w:p>
    <w:p>
      <w:pPr>
        <w:pStyle w:val="ListParagraph"/>
        <w:numPr>
          <w:ilvl w:val="0"/>
          <w:numId w:val="6"/>
        </w:numPr>
        <w:tabs>
          <w:tab w:pos="839" w:val="left" w:leader="none"/>
        </w:tabs>
        <w:spacing w:line="240" w:lineRule="auto" w:before="139" w:after="0"/>
        <w:ind w:left="838" w:right="0" w:hanging="360"/>
        <w:jc w:val="left"/>
        <w:rPr>
          <w:sz w:val="24"/>
        </w:rPr>
      </w:pPr>
      <w:r>
        <w:rPr>
          <w:sz w:val="24"/>
        </w:rPr>
        <w:t>Alto porcentaje de éxito a la evaluación de periodos de 24</w:t>
      </w:r>
      <w:r>
        <w:rPr>
          <w:spacing w:val="-24"/>
          <w:sz w:val="24"/>
        </w:rPr>
        <w:t> </w:t>
      </w:r>
      <w:r>
        <w:rPr>
          <w:sz w:val="24"/>
        </w:rPr>
        <w:t>meses</w:t>
      </w:r>
    </w:p>
    <w:p>
      <w:pPr>
        <w:pStyle w:val="ListParagraph"/>
        <w:numPr>
          <w:ilvl w:val="0"/>
          <w:numId w:val="6"/>
        </w:numPr>
        <w:tabs>
          <w:tab w:pos="839" w:val="left" w:leader="none"/>
        </w:tabs>
        <w:spacing w:line="240" w:lineRule="auto" w:before="132" w:after="0"/>
        <w:ind w:left="838" w:right="0" w:hanging="360"/>
        <w:jc w:val="left"/>
        <w:rPr>
          <w:sz w:val="16"/>
        </w:rPr>
      </w:pPr>
      <w:r>
        <w:rPr>
          <w:sz w:val="24"/>
        </w:rPr>
        <w:t>Algunos pueden liberar</w:t>
      </w:r>
      <w:r>
        <w:rPr>
          <w:spacing w:val="-8"/>
          <w:sz w:val="24"/>
        </w:rPr>
        <w:t> </w:t>
      </w:r>
      <w:r>
        <w:rPr>
          <w:sz w:val="24"/>
        </w:rPr>
        <w:t>flúor.</w:t>
      </w:r>
      <w:r>
        <w:rPr>
          <w:position w:val="8"/>
          <w:sz w:val="16"/>
        </w:rPr>
        <w:t>4</w:t>
      </w:r>
    </w:p>
    <w:p>
      <w:pPr>
        <w:pStyle w:val="BodyText"/>
        <w:rPr>
          <w:sz w:val="26"/>
        </w:rPr>
      </w:pPr>
    </w:p>
    <w:p>
      <w:pPr>
        <w:pStyle w:val="BodyText"/>
        <w:rPr>
          <w:sz w:val="22"/>
        </w:rPr>
      </w:pPr>
    </w:p>
    <w:p>
      <w:pPr>
        <w:pStyle w:val="Heading1"/>
        <w:spacing w:before="0"/>
      </w:pPr>
      <w:r>
        <w:rPr/>
        <w:t>Indicaciones</w:t>
      </w:r>
    </w:p>
    <w:p>
      <w:pPr>
        <w:pStyle w:val="BodyText"/>
        <w:spacing w:line="357" w:lineRule="auto" w:before="139"/>
        <w:ind w:left="118" w:right="117"/>
        <w:jc w:val="both"/>
        <w:rPr>
          <w:sz w:val="16"/>
        </w:rPr>
      </w:pPr>
      <w:r>
        <w:rPr/>
        <w:t>La</w:t>
      </w:r>
      <w:r>
        <w:rPr>
          <w:spacing w:val="-15"/>
        </w:rPr>
        <w:t> </w:t>
      </w:r>
      <w:r>
        <w:rPr/>
        <w:t>utilización</w:t>
      </w:r>
      <w:r>
        <w:rPr>
          <w:spacing w:val="-15"/>
        </w:rPr>
        <w:t> </w:t>
      </w:r>
      <w:r>
        <w:rPr/>
        <w:t>de</w:t>
      </w:r>
      <w:r>
        <w:rPr>
          <w:spacing w:val="-15"/>
        </w:rPr>
        <w:t> </w:t>
      </w:r>
      <w:r>
        <w:rPr/>
        <w:t>los</w:t>
      </w:r>
      <w:r>
        <w:rPr>
          <w:spacing w:val="-16"/>
        </w:rPr>
        <w:t> </w:t>
      </w:r>
      <w:r>
        <w:rPr/>
        <w:t>selladores</w:t>
      </w:r>
      <w:r>
        <w:rPr>
          <w:spacing w:val="-17"/>
        </w:rPr>
        <w:t> </w:t>
      </w:r>
      <w:r>
        <w:rPr/>
        <w:t>debe</w:t>
      </w:r>
      <w:r>
        <w:rPr>
          <w:spacing w:val="-15"/>
        </w:rPr>
        <w:t> </w:t>
      </w:r>
      <w:r>
        <w:rPr/>
        <w:t>ser</w:t>
      </w:r>
      <w:r>
        <w:rPr>
          <w:spacing w:val="-16"/>
        </w:rPr>
        <w:t> </w:t>
      </w:r>
      <w:r>
        <w:rPr/>
        <w:t>individualizada,</w:t>
      </w:r>
      <w:r>
        <w:rPr>
          <w:spacing w:val="-15"/>
        </w:rPr>
        <w:t> </w:t>
      </w:r>
      <w:r>
        <w:rPr/>
        <w:t>limitándose</w:t>
      </w:r>
      <w:r>
        <w:rPr>
          <w:spacing w:val="-17"/>
        </w:rPr>
        <w:t> </w:t>
      </w:r>
      <w:r>
        <w:rPr/>
        <w:t>a</w:t>
      </w:r>
      <w:r>
        <w:rPr>
          <w:spacing w:val="-15"/>
        </w:rPr>
        <w:t> </w:t>
      </w:r>
      <w:r>
        <w:rPr/>
        <w:t>aquellos</w:t>
      </w:r>
      <w:r>
        <w:rPr>
          <w:spacing w:val="-17"/>
        </w:rPr>
        <w:t> </w:t>
      </w:r>
      <w:r>
        <w:rPr/>
        <w:t>individuos que presentan hábitos de higiene bucal y dieta que los coloquen como pacientes en riesgo a caries.</w:t>
      </w:r>
      <w:r>
        <w:rPr>
          <w:spacing w:val="-5"/>
        </w:rPr>
        <w:t> </w:t>
      </w:r>
      <w:r>
        <w:rPr>
          <w:position w:val="8"/>
          <w:sz w:val="16"/>
        </w:rPr>
        <w:t>26</w:t>
      </w:r>
    </w:p>
    <w:p>
      <w:pPr>
        <w:pStyle w:val="BodyText"/>
        <w:spacing w:before="2"/>
        <w:rPr>
          <w:sz w:val="36"/>
        </w:rPr>
      </w:pPr>
    </w:p>
    <w:p>
      <w:pPr>
        <w:pStyle w:val="BodyText"/>
        <w:spacing w:line="357" w:lineRule="auto" w:before="1"/>
        <w:ind w:left="118" w:right="114"/>
        <w:jc w:val="both"/>
        <w:rPr>
          <w:sz w:val="16"/>
        </w:rPr>
      </w:pPr>
      <w:r>
        <w:rPr/>
        <w:t>El grupo de población infantil, como en la mayoría de acciones preventivas, debe ser considerado un grupo prioritario. Así como atendiendo el hecho de que las piezas con mayor riesgo de caries oclusales son los primeros y segundos molares, </w:t>
      </w:r>
      <w:r>
        <w:rPr>
          <w:position w:val="8"/>
          <w:sz w:val="16"/>
        </w:rPr>
        <w:t>3 </w:t>
      </w:r>
      <w:r>
        <w:rPr/>
        <w:t>habrá que considerar grupos de edad en relación con la erupción de estas piezas, entre los 3 y 4 años de edad es el periodo más importante para el sellado de los dientes temporales elegibles,</w:t>
      </w:r>
      <w:r>
        <w:rPr>
          <w:spacing w:val="-13"/>
        </w:rPr>
        <w:t> </w:t>
      </w:r>
      <w:r>
        <w:rPr/>
        <w:t>6-7</w:t>
      </w:r>
      <w:r>
        <w:rPr>
          <w:spacing w:val="-16"/>
        </w:rPr>
        <w:t> </w:t>
      </w:r>
      <w:r>
        <w:rPr/>
        <w:t>años</w:t>
      </w:r>
      <w:r>
        <w:rPr>
          <w:spacing w:val="-16"/>
        </w:rPr>
        <w:t> </w:t>
      </w:r>
      <w:r>
        <w:rPr/>
        <w:t>para</w:t>
      </w:r>
      <w:r>
        <w:rPr>
          <w:spacing w:val="-13"/>
        </w:rPr>
        <w:t> </w:t>
      </w:r>
      <w:r>
        <w:rPr/>
        <w:t>los</w:t>
      </w:r>
      <w:r>
        <w:rPr>
          <w:spacing w:val="-13"/>
        </w:rPr>
        <w:t> </w:t>
      </w:r>
      <w:r>
        <w:rPr/>
        <w:t>primeros</w:t>
      </w:r>
      <w:r>
        <w:rPr>
          <w:spacing w:val="-16"/>
        </w:rPr>
        <w:t> </w:t>
      </w:r>
      <w:r>
        <w:rPr/>
        <w:t>molares</w:t>
      </w:r>
      <w:r>
        <w:rPr>
          <w:spacing w:val="-16"/>
        </w:rPr>
        <w:t> </w:t>
      </w:r>
      <w:r>
        <w:rPr/>
        <w:t>permanentes</w:t>
      </w:r>
      <w:r>
        <w:rPr>
          <w:spacing w:val="-14"/>
        </w:rPr>
        <w:t> </w:t>
      </w:r>
      <w:r>
        <w:rPr/>
        <w:t>y</w:t>
      </w:r>
      <w:r>
        <w:rPr>
          <w:spacing w:val="-16"/>
        </w:rPr>
        <w:t> </w:t>
      </w:r>
      <w:r>
        <w:rPr/>
        <w:t>de</w:t>
      </w:r>
      <w:r>
        <w:rPr>
          <w:spacing w:val="-13"/>
        </w:rPr>
        <w:t> </w:t>
      </w:r>
      <w:r>
        <w:rPr/>
        <w:t>los</w:t>
      </w:r>
      <w:r>
        <w:rPr>
          <w:spacing w:val="-14"/>
        </w:rPr>
        <w:t> </w:t>
      </w:r>
      <w:r>
        <w:rPr/>
        <w:t>11</w:t>
      </w:r>
      <w:r>
        <w:rPr>
          <w:spacing w:val="-13"/>
        </w:rPr>
        <w:t> </w:t>
      </w:r>
      <w:r>
        <w:rPr/>
        <w:t>a</w:t>
      </w:r>
      <w:r>
        <w:rPr>
          <w:spacing w:val="-13"/>
        </w:rPr>
        <w:t> </w:t>
      </w:r>
      <w:r>
        <w:rPr/>
        <w:t>los</w:t>
      </w:r>
      <w:r>
        <w:rPr>
          <w:spacing w:val="-16"/>
        </w:rPr>
        <w:t> </w:t>
      </w:r>
      <w:r>
        <w:rPr/>
        <w:t>13</w:t>
      </w:r>
      <w:r>
        <w:rPr>
          <w:spacing w:val="-16"/>
        </w:rPr>
        <w:t> </w:t>
      </w:r>
      <w:r>
        <w:rPr/>
        <w:t>años</w:t>
      </w:r>
      <w:r>
        <w:rPr>
          <w:spacing w:val="-16"/>
        </w:rPr>
        <w:t> </w:t>
      </w:r>
      <w:r>
        <w:rPr/>
        <w:t>para los segundos molares permanentes y</w:t>
      </w:r>
      <w:r>
        <w:rPr>
          <w:spacing w:val="-12"/>
        </w:rPr>
        <w:t> </w:t>
      </w:r>
      <w:r>
        <w:rPr/>
        <w:t>premolares.</w:t>
      </w:r>
      <w:r>
        <w:rPr>
          <w:position w:val="8"/>
          <w:sz w:val="16"/>
        </w:rPr>
        <w:t>7</w:t>
      </w:r>
    </w:p>
    <w:p>
      <w:pPr>
        <w:pStyle w:val="BodyText"/>
        <w:spacing w:before="2"/>
        <w:rPr>
          <w:sz w:val="36"/>
        </w:rPr>
      </w:pPr>
    </w:p>
    <w:p>
      <w:pPr>
        <w:pStyle w:val="BodyText"/>
        <w:spacing w:line="357" w:lineRule="auto" w:before="1"/>
        <w:ind w:left="118" w:right="113"/>
        <w:jc w:val="both"/>
        <w:rPr>
          <w:sz w:val="16"/>
        </w:rPr>
      </w:pPr>
      <w:r>
        <w:rPr/>
        <w:t>Como</w:t>
      </w:r>
      <w:r>
        <w:rPr>
          <w:spacing w:val="-9"/>
        </w:rPr>
        <w:t> </w:t>
      </w:r>
      <w:r>
        <w:rPr/>
        <w:t>norma</w:t>
      </w:r>
      <w:r>
        <w:rPr>
          <w:spacing w:val="-9"/>
        </w:rPr>
        <w:t> </w:t>
      </w:r>
      <w:r>
        <w:rPr/>
        <w:t>básica</w:t>
      </w:r>
      <w:r>
        <w:rPr>
          <w:spacing w:val="-9"/>
        </w:rPr>
        <w:t> </w:t>
      </w:r>
      <w:r>
        <w:rPr/>
        <w:t>el</w:t>
      </w:r>
      <w:r>
        <w:rPr>
          <w:spacing w:val="-10"/>
        </w:rPr>
        <w:t> </w:t>
      </w:r>
      <w:r>
        <w:rPr/>
        <w:t>sellador</w:t>
      </w:r>
      <w:r>
        <w:rPr>
          <w:spacing w:val="-10"/>
        </w:rPr>
        <w:t> </w:t>
      </w:r>
      <w:r>
        <w:rPr/>
        <w:t>debe</w:t>
      </w:r>
      <w:r>
        <w:rPr>
          <w:spacing w:val="-7"/>
        </w:rPr>
        <w:t> </w:t>
      </w:r>
      <w:r>
        <w:rPr/>
        <w:t>aplicarse</w:t>
      </w:r>
      <w:r>
        <w:rPr>
          <w:spacing w:val="-8"/>
        </w:rPr>
        <w:t> </w:t>
      </w:r>
      <w:r>
        <w:rPr/>
        <w:t>sobre</w:t>
      </w:r>
      <w:r>
        <w:rPr>
          <w:spacing w:val="-8"/>
        </w:rPr>
        <w:t> </w:t>
      </w:r>
      <w:r>
        <w:rPr/>
        <w:t>órganos</w:t>
      </w:r>
      <w:r>
        <w:rPr>
          <w:spacing w:val="-8"/>
        </w:rPr>
        <w:t> </w:t>
      </w:r>
      <w:r>
        <w:rPr/>
        <w:t>dentarios</w:t>
      </w:r>
      <w:r>
        <w:rPr>
          <w:spacing w:val="-8"/>
        </w:rPr>
        <w:t> </w:t>
      </w:r>
      <w:r>
        <w:rPr/>
        <w:t>libres</w:t>
      </w:r>
      <w:r>
        <w:rPr>
          <w:spacing w:val="-8"/>
        </w:rPr>
        <w:t> </w:t>
      </w:r>
      <w:r>
        <w:rPr/>
        <w:t>de</w:t>
      </w:r>
      <w:r>
        <w:rPr>
          <w:spacing w:val="-2"/>
        </w:rPr>
        <w:t> </w:t>
      </w:r>
      <w:r>
        <w:rPr/>
        <w:t>caries</w:t>
      </w:r>
      <w:r>
        <w:rPr>
          <w:spacing w:val="-12"/>
        </w:rPr>
        <w:t> </w:t>
      </w:r>
      <w:r>
        <w:rPr/>
        <w:t>u obturaciones. Serán candidatas preferentes las superficies oclusales de anatomía con fisuras profundas y cúspides  pronunciadas</w:t>
      </w:r>
      <w:r>
        <w:rPr>
          <w:spacing w:val="-9"/>
        </w:rPr>
        <w:t> </w:t>
      </w:r>
      <w:r>
        <w:rPr>
          <w:position w:val="8"/>
          <w:sz w:val="16"/>
        </w:rPr>
        <w:t>3</w:t>
      </w:r>
    </w:p>
    <w:p>
      <w:pPr>
        <w:spacing w:after="0" w:line="357" w:lineRule="auto"/>
        <w:jc w:val="both"/>
        <w:rPr>
          <w:sz w:val="16"/>
        </w:rPr>
        <w:sectPr>
          <w:pgSz w:w="12240" w:h="15840"/>
          <w:pgMar w:header="0" w:footer="947" w:top="1360" w:bottom="1140" w:left="1300" w:right="1300"/>
        </w:sectPr>
      </w:pPr>
    </w:p>
    <w:p>
      <w:pPr>
        <w:pStyle w:val="Heading1"/>
        <w:spacing w:before="57"/>
      </w:pPr>
      <w:r>
        <w:rPr/>
        <w:t>Contraindicaciones</w:t>
      </w:r>
    </w:p>
    <w:p>
      <w:pPr>
        <w:pStyle w:val="BodyText"/>
        <w:spacing w:line="357" w:lineRule="auto" w:before="137"/>
        <w:ind w:left="118" w:right="123"/>
        <w:jc w:val="both"/>
        <w:rPr>
          <w:sz w:val="16"/>
        </w:rPr>
      </w:pPr>
      <w:r>
        <w:rPr/>
        <w:t>El uso de sellantes de fosas y fisuras está contraindicado cuando está presente caries rampante o lesiones interproximales.</w:t>
      </w:r>
      <w:r>
        <w:rPr>
          <w:position w:val="8"/>
          <w:sz w:val="16"/>
        </w:rPr>
        <w:t>24</w:t>
      </w:r>
    </w:p>
    <w:p>
      <w:pPr>
        <w:pStyle w:val="BodyText"/>
        <w:spacing w:before="2"/>
        <w:rPr>
          <w:sz w:val="36"/>
        </w:rPr>
      </w:pPr>
    </w:p>
    <w:p>
      <w:pPr>
        <w:pStyle w:val="BodyText"/>
        <w:spacing w:line="357" w:lineRule="auto" w:before="1"/>
        <w:ind w:left="118" w:right="116"/>
        <w:jc w:val="both"/>
        <w:rPr>
          <w:sz w:val="16"/>
        </w:rPr>
      </w:pPr>
      <w:r>
        <w:rPr/>
        <w:t>Si</w:t>
      </w:r>
      <w:r>
        <w:rPr>
          <w:spacing w:val="-8"/>
        </w:rPr>
        <w:t> </w:t>
      </w:r>
      <w:r>
        <w:rPr/>
        <w:t>el</w:t>
      </w:r>
      <w:r>
        <w:rPr>
          <w:spacing w:val="-8"/>
        </w:rPr>
        <w:t> </w:t>
      </w:r>
      <w:r>
        <w:rPr/>
        <w:t>comportamiento</w:t>
      </w:r>
      <w:r>
        <w:rPr>
          <w:spacing w:val="-9"/>
        </w:rPr>
        <w:t> </w:t>
      </w:r>
      <w:r>
        <w:rPr/>
        <w:t>del</w:t>
      </w:r>
      <w:r>
        <w:rPr>
          <w:spacing w:val="-8"/>
        </w:rPr>
        <w:t> </w:t>
      </w:r>
      <w:r>
        <w:rPr/>
        <w:t>paciente</w:t>
      </w:r>
      <w:r>
        <w:rPr>
          <w:spacing w:val="-9"/>
        </w:rPr>
        <w:t> </w:t>
      </w:r>
      <w:r>
        <w:rPr/>
        <w:t>no</w:t>
      </w:r>
      <w:r>
        <w:rPr>
          <w:spacing w:val="-9"/>
        </w:rPr>
        <w:t> </w:t>
      </w:r>
      <w:r>
        <w:rPr/>
        <w:t>permite</w:t>
      </w:r>
      <w:r>
        <w:rPr>
          <w:spacing w:val="-12"/>
        </w:rPr>
        <w:t> </w:t>
      </w:r>
      <w:r>
        <w:rPr/>
        <w:t>aplicar</w:t>
      </w:r>
      <w:r>
        <w:rPr>
          <w:spacing w:val="-8"/>
        </w:rPr>
        <w:t> </w:t>
      </w:r>
      <w:r>
        <w:rPr/>
        <w:t>técnicas</w:t>
      </w:r>
      <w:r>
        <w:rPr>
          <w:spacing w:val="-10"/>
        </w:rPr>
        <w:t> </w:t>
      </w:r>
      <w:r>
        <w:rPr/>
        <w:t>adecuadas</w:t>
      </w:r>
      <w:r>
        <w:rPr>
          <w:spacing w:val="-10"/>
        </w:rPr>
        <w:t> </w:t>
      </w:r>
      <w:r>
        <w:rPr/>
        <w:t>de</w:t>
      </w:r>
      <w:r>
        <w:rPr>
          <w:spacing w:val="-9"/>
        </w:rPr>
        <w:t> </w:t>
      </w:r>
      <w:r>
        <w:rPr/>
        <w:t>campo</w:t>
      </w:r>
      <w:r>
        <w:rPr>
          <w:spacing w:val="-7"/>
        </w:rPr>
        <w:t> </w:t>
      </w:r>
      <w:r>
        <w:rPr/>
        <w:t>seco durante el procedimiento, lesiones cariosas oclusales abiertas, si se encuentra caries</w:t>
      </w:r>
      <w:r>
        <w:rPr>
          <w:spacing w:val="-30"/>
        </w:rPr>
        <w:t> </w:t>
      </w:r>
      <w:r>
        <w:rPr/>
        <w:t>en otras superficies del mismo diente, en la cual restaurar rompería un sellado intacto y si se presenta una gran restauración de sitios oclusales.</w:t>
      </w:r>
      <w:r>
        <w:rPr>
          <w:spacing w:val="-8"/>
        </w:rPr>
        <w:t> </w:t>
      </w:r>
      <w:r>
        <w:rPr>
          <w:position w:val="8"/>
          <w:sz w:val="16"/>
        </w:rPr>
        <w:t>7</w:t>
      </w:r>
    </w:p>
    <w:p>
      <w:pPr>
        <w:pStyle w:val="BodyText"/>
        <w:spacing w:before="3"/>
        <w:rPr>
          <w:sz w:val="36"/>
        </w:rPr>
      </w:pPr>
    </w:p>
    <w:p>
      <w:pPr>
        <w:pStyle w:val="Heading1"/>
        <w:spacing w:before="0"/>
      </w:pPr>
      <w:r>
        <w:rPr/>
        <w:t>Efectividad</w:t>
      </w:r>
    </w:p>
    <w:p>
      <w:pPr>
        <w:pStyle w:val="BodyText"/>
        <w:spacing w:line="360" w:lineRule="auto" w:before="139"/>
        <w:ind w:left="118" w:right="112"/>
        <w:jc w:val="both"/>
      </w:pPr>
      <w:r>
        <w:rPr/>
        <w:t>Puede decirse que la retención de los selladores de fisuras es entre 80-90% el primer año, 40-60% a los seis años.</w:t>
      </w:r>
    </w:p>
    <w:p>
      <w:pPr>
        <w:pStyle w:val="BodyText"/>
      </w:pPr>
    </w:p>
    <w:p>
      <w:pPr>
        <w:pStyle w:val="Heading1"/>
        <w:spacing w:before="142"/>
      </w:pPr>
      <w:r>
        <w:rPr/>
        <w:t>Color</w:t>
      </w:r>
    </w:p>
    <w:p>
      <w:pPr>
        <w:pStyle w:val="BodyText"/>
        <w:spacing w:line="355" w:lineRule="auto" w:before="139"/>
        <w:ind w:left="118" w:right="119"/>
        <w:jc w:val="both"/>
        <w:rPr>
          <w:sz w:val="16"/>
        </w:rPr>
      </w:pPr>
      <w:r>
        <w:rPr/>
        <w:t>Determinadas marcas comerciales presentan selladores con tinciones u opacificadores para facilitar la identificación y el control de los selladores.</w:t>
      </w:r>
      <w:r>
        <w:rPr>
          <w:position w:val="8"/>
          <w:sz w:val="16"/>
        </w:rPr>
        <w:t>3</w:t>
      </w:r>
    </w:p>
    <w:p>
      <w:pPr>
        <w:pStyle w:val="BodyText"/>
        <w:spacing w:before="1"/>
        <w:rPr>
          <w:sz w:val="36"/>
        </w:rPr>
      </w:pPr>
    </w:p>
    <w:p>
      <w:pPr>
        <w:pStyle w:val="BodyText"/>
        <w:spacing w:line="357" w:lineRule="auto"/>
        <w:ind w:left="118" w:right="117"/>
        <w:jc w:val="both"/>
        <w:rPr>
          <w:sz w:val="16"/>
        </w:rPr>
      </w:pPr>
      <w:r>
        <w:rPr/>
        <w:t>Se clasifican en blancos, transparentes, color diente.</w:t>
      </w:r>
      <w:r>
        <w:rPr>
          <w:position w:val="8"/>
          <w:sz w:val="16"/>
        </w:rPr>
        <w:t>4 </w:t>
      </w:r>
      <w:r>
        <w:rPr/>
        <w:t>Los selladores transparentes son claros, rosa o ámbar. Los selladores claros y los del color del diente son estéticos, pero son difíciles de detectar en un examen de revisón.</w:t>
      </w:r>
      <w:r>
        <w:rPr>
          <w:position w:val="8"/>
          <w:sz w:val="16"/>
        </w:rPr>
        <w:t>24</w:t>
      </w:r>
    </w:p>
    <w:p>
      <w:pPr>
        <w:pStyle w:val="BodyText"/>
        <w:spacing w:before="2"/>
        <w:rPr>
          <w:sz w:val="36"/>
        </w:rPr>
      </w:pPr>
    </w:p>
    <w:p>
      <w:pPr>
        <w:pStyle w:val="BodyText"/>
        <w:spacing w:line="360" w:lineRule="auto" w:before="1"/>
        <w:ind w:left="118" w:right="116"/>
        <w:jc w:val="both"/>
        <w:rPr>
          <w:sz w:val="16"/>
        </w:rPr>
      </w:pPr>
      <w:r>
        <w:rPr/>
        <w:t>El sistema transparente ha sido sugerido con la idea de ver “a través del sellante” los cambios en el fondo del surco. Otros lo han propuesto como una verdadera solución estética en la odontología preventiva, ya que el paciente queda protegido sin que el protector se vea. Sin embargo los selladores transparentes son mucho más difíciles de controlar tanto por parte del dentista como por el paciente mismo. En el caso de los sellantes blancos estos son más fáciles de controlar, no solo en el consultorio, si no por el paciente en su casa.</w:t>
      </w:r>
      <w:r>
        <w:rPr>
          <w:position w:val="8"/>
          <w:sz w:val="16"/>
        </w:rPr>
        <w:t>4</w:t>
      </w:r>
    </w:p>
    <w:p>
      <w:pPr>
        <w:spacing w:after="0" w:line="360" w:lineRule="auto"/>
        <w:jc w:val="both"/>
        <w:rPr>
          <w:sz w:val="16"/>
        </w:rPr>
        <w:sectPr>
          <w:pgSz w:w="12240" w:h="15840"/>
          <w:pgMar w:header="0" w:footer="947" w:top="1360" w:bottom="1140" w:left="1300" w:right="1300"/>
        </w:sectPr>
      </w:pPr>
    </w:p>
    <w:p>
      <w:pPr>
        <w:pStyle w:val="Heading1"/>
        <w:spacing w:before="57"/>
      </w:pPr>
      <w:r>
        <w:rPr/>
        <w:t>Sellante químicamente curado</w:t>
      </w:r>
    </w:p>
    <w:p>
      <w:pPr>
        <w:pStyle w:val="BodyText"/>
        <w:spacing w:line="357" w:lineRule="auto" w:before="137"/>
        <w:ind w:left="118" w:right="112"/>
        <w:jc w:val="both"/>
        <w:rPr>
          <w:sz w:val="16"/>
        </w:rPr>
      </w:pPr>
      <w:r>
        <w:rPr/>
        <w:t>La mezcla exacta sin agitación vigorosa puede ayudar a prevenir la formación de burbujas de aire. La adición del catalizador a la base inmediatamente inicia la polimerización del material, esto debe ser tomado en cuenta a fin de que no se pierda el tiempo en llevar el material al diente grabado con ácido.</w:t>
      </w:r>
      <w:r>
        <w:rPr>
          <w:position w:val="8"/>
          <w:sz w:val="16"/>
        </w:rPr>
        <w:t>24 </w:t>
      </w:r>
      <w:r>
        <w:rPr/>
        <w:t>No deben excederse los periodos de manipulación y colocación del sellador, incluso aunque el material pueda todavía perecer líquido. Una vez que inicia el endurecimiento, el cual se presenta rápidamente.</w:t>
      </w:r>
      <w:r>
        <w:rPr>
          <w:position w:val="8"/>
          <w:sz w:val="16"/>
        </w:rPr>
        <w:t>7</w:t>
      </w:r>
    </w:p>
    <w:p>
      <w:pPr>
        <w:pStyle w:val="BodyText"/>
        <w:spacing w:before="3"/>
        <w:rPr>
          <w:sz w:val="36"/>
        </w:rPr>
      </w:pPr>
    </w:p>
    <w:p>
      <w:pPr>
        <w:pStyle w:val="Heading1"/>
        <w:spacing w:before="0"/>
      </w:pPr>
      <w:r>
        <w:rPr/>
        <w:t>Sellante fotopolimerizable por la luz visible</w:t>
      </w:r>
    </w:p>
    <w:p>
      <w:pPr>
        <w:pStyle w:val="BodyText"/>
        <w:spacing w:line="360" w:lineRule="auto" w:before="139"/>
        <w:ind w:left="118" w:right="121"/>
        <w:jc w:val="both"/>
        <w:rPr>
          <w:sz w:val="16"/>
        </w:rPr>
      </w:pPr>
      <w:r>
        <w:rPr/>
        <w:t>El sellado de un sellador polimerizado por luz no es completado sin la exposición del material a la lámpara de curado, pero la luz de operación y la luz del ambiente también pueden afectar el material durante un periodo de tiempo, por lo que el material debe ser dispensado solo cuando es el momento de colocarlo sobre el diente. El tiempo de polimerización es más corto en los productos de fotocurado que en los de autocurado.</w:t>
      </w:r>
      <w:r>
        <w:rPr>
          <w:position w:val="8"/>
          <w:sz w:val="16"/>
        </w:rPr>
        <w:t>7</w:t>
      </w:r>
    </w:p>
    <w:p>
      <w:pPr>
        <w:pStyle w:val="BodyText"/>
        <w:rPr>
          <w:sz w:val="36"/>
        </w:rPr>
      </w:pPr>
    </w:p>
    <w:p>
      <w:pPr>
        <w:pStyle w:val="BodyText"/>
        <w:spacing w:line="357" w:lineRule="auto"/>
        <w:ind w:left="118" w:right="120"/>
        <w:jc w:val="both"/>
        <w:rPr>
          <w:sz w:val="16"/>
        </w:rPr>
      </w:pPr>
      <w:r>
        <w:rPr/>
        <w:t>Con</w:t>
      </w:r>
      <w:r>
        <w:rPr>
          <w:spacing w:val="-8"/>
        </w:rPr>
        <w:t> </w:t>
      </w:r>
      <w:r>
        <w:rPr/>
        <w:t>la</w:t>
      </w:r>
      <w:r>
        <w:rPr>
          <w:spacing w:val="-9"/>
        </w:rPr>
        <w:t> </w:t>
      </w:r>
      <w:r>
        <w:rPr/>
        <w:t>aplicación</w:t>
      </w:r>
      <w:r>
        <w:rPr>
          <w:spacing w:val="-8"/>
        </w:rPr>
        <w:t> </w:t>
      </w:r>
      <w:r>
        <w:rPr/>
        <w:t>cuidadosa,</w:t>
      </w:r>
      <w:r>
        <w:rPr>
          <w:spacing w:val="-11"/>
        </w:rPr>
        <w:t> </w:t>
      </w:r>
      <w:r>
        <w:rPr/>
        <w:t>es</w:t>
      </w:r>
      <w:r>
        <w:rPr>
          <w:spacing w:val="-9"/>
        </w:rPr>
        <w:t> </w:t>
      </w:r>
      <w:r>
        <w:rPr/>
        <w:t>evitada</w:t>
      </w:r>
      <w:r>
        <w:rPr>
          <w:spacing w:val="-8"/>
        </w:rPr>
        <w:t> </w:t>
      </w:r>
      <w:r>
        <w:rPr/>
        <w:t>la</w:t>
      </w:r>
      <w:r>
        <w:rPr>
          <w:spacing w:val="-9"/>
        </w:rPr>
        <w:t> </w:t>
      </w:r>
      <w:r>
        <w:rPr/>
        <w:t>incorporación</w:t>
      </w:r>
      <w:r>
        <w:rPr>
          <w:spacing w:val="-11"/>
        </w:rPr>
        <w:t> </w:t>
      </w:r>
      <w:r>
        <w:rPr/>
        <w:t>de</w:t>
      </w:r>
      <w:r>
        <w:rPr>
          <w:spacing w:val="-8"/>
        </w:rPr>
        <w:t> </w:t>
      </w:r>
      <w:r>
        <w:rPr/>
        <w:t>burbujas</w:t>
      </w:r>
      <w:r>
        <w:rPr>
          <w:spacing w:val="-11"/>
        </w:rPr>
        <w:t> </w:t>
      </w:r>
      <w:r>
        <w:rPr/>
        <w:t>de</w:t>
      </w:r>
      <w:r>
        <w:rPr>
          <w:spacing w:val="-8"/>
        </w:rPr>
        <w:t> </w:t>
      </w:r>
      <w:r>
        <w:rPr/>
        <w:t>aire.</w:t>
      </w:r>
      <w:r>
        <w:rPr>
          <w:spacing w:val="-11"/>
        </w:rPr>
        <w:t> </w:t>
      </w:r>
      <w:r>
        <w:rPr/>
        <w:t>También</w:t>
      </w:r>
      <w:r>
        <w:rPr>
          <w:spacing w:val="-8"/>
        </w:rPr>
        <w:t> </w:t>
      </w:r>
      <w:r>
        <w:rPr/>
        <w:t>se debe tener cuidado de evitar la aplicación de grandes cantidades de material de</w:t>
      </w:r>
      <w:r>
        <w:rPr>
          <w:spacing w:val="-36"/>
        </w:rPr>
        <w:t> </w:t>
      </w:r>
      <w:r>
        <w:rPr/>
        <w:t>sellado. Si una gran superficie requiere polimerización, coloque la luz directamente sobre cada área de la superficie oclusal por el tiempo</w:t>
      </w:r>
      <w:r>
        <w:rPr>
          <w:spacing w:val="-17"/>
        </w:rPr>
        <w:t> </w:t>
      </w:r>
      <w:r>
        <w:rPr/>
        <w:t>recomendado.</w:t>
      </w:r>
      <w:r>
        <w:rPr>
          <w:position w:val="8"/>
          <w:sz w:val="16"/>
        </w:rPr>
        <w:t>24</w:t>
      </w:r>
    </w:p>
    <w:p>
      <w:pPr>
        <w:pStyle w:val="BodyText"/>
        <w:spacing w:before="2"/>
        <w:rPr>
          <w:sz w:val="36"/>
        </w:rPr>
      </w:pPr>
    </w:p>
    <w:p>
      <w:pPr>
        <w:pStyle w:val="Heading1"/>
        <w:spacing w:before="1"/>
      </w:pPr>
      <w:r>
        <w:rPr/>
        <w:t>Selladores con flúor</w:t>
      </w:r>
    </w:p>
    <w:p>
      <w:pPr>
        <w:pStyle w:val="BodyText"/>
        <w:spacing w:line="357" w:lineRule="auto" w:before="139"/>
        <w:ind w:left="118" w:right="116"/>
        <w:jc w:val="both"/>
        <w:rPr>
          <w:sz w:val="16"/>
        </w:rPr>
      </w:pPr>
      <w:r>
        <w:rPr/>
        <w:t>Hoy</w:t>
      </w:r>
      <w:r>
        <w:rPr>
          <w:spacing w:val="-11"/>
        </w:rPr>
        <w:t> </w:t>
      </w:r>
      <w:r>
        <w:rPr/>
        <w:t>se</w:t>
      </w:r>
      <w:r>
        <w:rPr>
          <w:spacing w:val="-8"/>
        </w:rPr>
        <w:t> </w:t>
      </w:r>
      <w:r>
        <w:rPr/>
        <w:t>debate</w:t>
      </w:r>
      <w:r>
        <w:rPr>
          <w:spacing w:val="-8"/>
        </w:rPr>
        <w:t> </w:t>
      </w:r>
      <w:r>
        <w:rPr/>
        <w:t>la</w:t>
      </w:r>
      <w:r>
        <w:rPr>
          <w:spacing w:val="-9"/>
        </w:rPr>
        <w:t> </w:t>
      </w:r>
      <w:r>
        <w:rPr/>
        <w:t>capacidad</w:t>
      </w:r>
      <w:r>
        <w:rPr>
          <w:spacing w:val="-8"/>
        </w:rPr>
        <w:t> </w:t>
      </w:r>
      <w:r>
        <w:rPr/>
        <w:t>o</w:t>
      </w:r>
      <w:r>
        <w:rPr>
          <w:spacing w:val="-8"/>
        </w:rPr>
        <w:t> </w:t>
      </w:r>
      <w:r>
        <w:rPr/>
        <w:t>no</w:t>
      </w:r>
      <w:r>
        <w:rPr>
          <w:spacing w:val="-8"/>
        </w:rPr>
        <w:t> </w:t>
      </w:r>
      <w:r>
        <w:rPr/>
        <w:t>de</w:t>
      </w:r>
      <w:r>
        <w:rPr>
          <w:spacing w:val="-8"/>
        </w:rPr>
        <w:t> </w:t>
      </w:r>
      <w:r>
        <w:rPr/>
        <w:t>los</w:t>
      </w:r>
      <w:r>
        <w:rPr>
          <w:spacing w:val="-11"/>
        </w:rPr>
        <w:t> </w:t>
      </w:r>
      <w:r>
        <w:rPr/>
        <w:t>fluoruros</w:t>
      </w:r>
      <w:r>
        <w:rPr>
          <w:spacing w:val="-9"/>
        </w:rPr>
        <w:t> </w:t>
      </w:r>
      <w:r>
        <w:rPr/>
        <w:t>incorporados</w:t>
      </w:r>
      <w:r>
        <w:rPr>
          <w:spacing w:val="-9"/>
        </w:rPr>
        <w:t> </w:t>
      </w:r>
      <w:r>
        <w:rPr/>
        <w:t>en</w:t>
      </w:r>
      <w:r>
        <w:rPr>
          <w:spacing w:val="-8"/>
        </w:rPr>
        <w:t> </w:t>
      </w:r>
      <w:r>
        <w:rPr/>
        <w:t>los</w:t>
      </w:r>
      <w:r>
        <w:rPr>
          <w:spacing w:val="-9"/>
        </w:rPr>
        <w:t> </w:t>
      </w:r>
      <w:r>
        <w:rPr/>
        <w:t>selladores</w:t>
      </w:r>
      <w:r>
        <w:rPr>
          <w:spacing w:val="-9"/>
        </w:rPr>
        <w:t> </w:t>
      </w:r>
      <w:r>
        <w:rPr/>
        <w:t>de</w:t>
      </w:r>
      <w:r>
        <w:rPr>
          <w:spacing w:val="-11"/>
        </w:rPr>
        <w:t> </w:t>
      </w:r>
      <w:r>
        <w:rPr/>
        <w:t>fosas y</w:t>
      </w:r>
      <w:r>
        <w:rPr>
          <w:spacing w:val="-17"/>
        </w:rPr>
        <w:t> </w:t>
      </w:r>
      <w:r>
        <w:rPr/>
        <w:t>fisuras</w:t>
      </w:r>
      <w:r>
        <w:rPr>
          <w:spacing w:val="-17"/>
        </w:rPr>
        <w:t> </w:t>
      </w:r>
      <w:r>
        <w:rPr/>
        <w:t>en</w:t>
      </w:r>
      <w:r>
        <w:rPr>
          <w:spacing w:val="-14"/>
        </w:rPr>
        <w:t> </w:t>
      </w:r>
      <w:r>
        <w:rPr/>
        <w:t>la</w:t>
      </w:r>
      <w:r>
        <w:rPr>
          <w:spacing w:val="-14"/>
        </w:rPr>
        <w:t> </w:t>
      </w:r>
      <w:r>
        <w:rPr/>
        <w:t>remineralizacion</w:t>
      </w:r>
      <w:r>
        <w:rPr>
          <w:spacing w:val="-11"/>
        </w:rPr>
        <w:t> </w:t>
      </w:r>
      <w:r>
        <w:rPr/>
        <w:t>dental</w:t>
      </w:r>
      <w:r>
        <w:rPr>
          <w:spacing w:val="-15"/>
        </w:rPr>
        <w:t> </w:t>
      </w:r>
      <w:r>
        <w:rPr/>
        <w:t>contigua.</w:t>
      </w:r>
      <w:r>
        <w:rPr>
          <w:spacing w:val="-14"/>
        </w:rPr>
        <w:t> </w:t>
      </w:r>
      <w:r>
        <w:rPr/>
        <w:t>Hay</w:t>
      </w:r>
      <w:r>
        <w:rPr>
          <w:spacing w:val="-17"/>
        </w:rPr>
        <w:t> </w:t>
      </w:r>
      <w:r>
        <w:rPr/>
        <w:t>estudios</w:t>
      </w:r>
      <w:r>
        <w:rPr>
          <w:spacing w:val="-14"/>
        </w:rPr>
        <w:t> </w:t>
      </w:r>
      <w:r>
        <w:rPr/>
        <w:t>que</w:t>
      </w:r>
      <w:r>
        <w:rPr>
          <w:spacing w:val="-14"/>
        </w:rPr>
        <w:t> </w:t>
      </w:r>
      <w:r>
        <w:rPr/>
        <w:t>demuestran</w:t>
      </w:r>
      <w:r>
        <w:rPr>
          <w:spacing w:val="-16"/>
        </w:rPr>
        <w:t> </w:t>
      </w:r>
      <w:r>
        <w:rPr/>
        <w:t>que</w:t>
      </w:r>
      <w:r>
        <w:rPr>
          <w:spacing w:val="-14"/>
        </w:rPr>
        <w:t> </w:t>
      </w:r>
      <w:r>
        <w:rPr/>
        <w:t>el</w:t>
      </w:r>
      <w:r>
        <w:rPr>
          <w:spacing w:val="-19"/>
        </w:rPr>
        <w:t> </w:t>
      </w:r>
      <w:r>
        <w:rPr/>
        <w:t>flúor de una resina puede salir de la estructura plástica y remineralizar el</w:t>
      </w:r>
      <w:r>
        <w:rPr>
          <w:spacing w:val="-15"/>
        </w:rPr>
        <w:t> </w:t>
      </w:r>
      <w:r>
        <w:rPr/>
        <w:t>esmalte.</w:t>
      </w:r>
      <w:r>
        <w:rPr>
          <w:position w:val="8"/>
          <w:sz w:val="16"/>
        </w:rPr>
        <w:t>4</w:t>
      </w:r>
    </w:p>
    <w:p>
      <w:pPr>
        <w:pStyle w:val="BodyText"/>
        <w:spacing w:before="3"/>
        <w:rPr>
          <w:sz w:val="36"/>
        </w:rPr>
      </w:pPr>
    </w:p>
    <w:p>
      <w:pPr>
        <w:pStyle w:val="BodyText"/>
        <w:spacing w:line="357" w:lineRule="auto"/>
        <w:ind w:left="118" w:right="123"/>
        <w:jc w:val="both"/>
        <w:rPr>
          <w:sz w:val="16"/>
        </w:rPr>
      </w:pPr>
      <w:r>
        <w:rPr/>
        <w:t>Estos selladores han demostrado propiedades antibacterianas comparadas con los no fluorados.</w:t>
      </w:r>
      <w:r>
        <w:rPr>
          <w:position w:val="8"/>
          <w:sz w:val="16"/>
        </w:rPr>
        <w:t>7</w:t>
      </w:r>
    </w:p>
    <w:p>
      <w:pPr>
        <w:spacing w:after="0" w:line="357" w:lineRule="auto"/>
        <w:jc w:val="both"/>
        <w:rPr>
          <w:sz w:val="16"/>
        </w:rPr>
        <w:sectPr>
          <w:pgSz w:w="12240" w:h="15840"/>
          <w:pgMar w:header="0" w:footer="947" w:top="1360" w:bottom="1140" w:left="1300" w:right="1300"/>
        </w:sectPr>
      </w:pPr>
    </w:p>
    <w:p>
      <w:pPr>
        <w:pStyle w:val="BodyText"/>
        <w:spacing w:line="357" w:lineRule="auto" w:before="57"/>
        <w:ind w:left="118" w:right="116"/>
        <w:jc w:val="both"/>
        <w:rPr>
          <w:sz w:val="16"/>
        </w:rPr>
      </w:pPr>
      <w:r>
        <w:rPr/>
        <w:t>Otra preocupación es la colocación de selladores inmediatamente después de la aplicación tópica de flúor. Estudios clínicos e </w:t>
      </w:r>
      <w:r>
        <w:rPr>
          <w:i/>
        </w:rPr>
        <w:t>in vitro </w:t>
      </w:r>
      <w:r>
        <w:rPr/>
        <w:t>han demostrado que el fluoruro tópico no interfiere con la unión entre el sellante y el esmalte.</w:t>
      </w:r>
      <w:r>
        <w:rPr>
          <w:position w:val="8"/>
          <w:sz w:val="16"/>
        </w:rPr>
        <w:t>24</w:t>
      </w:r>
    </w:p>
    <w:p>
      <w:pPr>
        <w:pStyle w:val="BodyText"/>
        <w:spacing w:before="9"/>
        <w:rPr>
          <w:sz w:val="35"/>
        </w:rPr>
      </w:pPr>
    </w:p>
    <w:p>
      <w:pPr>
        <w:pStyle w:val="BodyText"/>
        <w:spacing w:line="360" w:lineRule="auto"/>
        <w:ind w:left="118" w:right="113"/>
        <w:jc w:val="both"/>
      </w:pPr>
      <w:r>
        <w:rPr/>
        <w:t>Huda Nazar y colaboradores, </w:t>
      </w:r>
      <w:r>
        <w:rPr>
          <w:position w:val="8"/>
          <w:sz w:val="16"/>
        </w:rPr>
        <w:t>27 </w:t>
      </w:r>
      <w:r>
        <w:rPr/>
        <w:t>evaluaron la eficacia de retención del sellador y la prevención de la caries utilizando un sellador con adhesivo de unión y otro sin adhesivo en escolares de Kuwait pero la prevención de la caries no se mejoró en ninguno de los dos casos.</w:t>
      </w:r>
    </w:p>
    <w:p>
      <w:pPr>
        <w:pStyle w:val="BodyText"/>
      </w:pPr>
    </w:p>
    <w:p>
      <w:pPr>
        <w:pStyle w:val="Heading1"/>
        <w:spacing w:before="142"/>
      </w:pPr>
      <w:r>
        <w:rPr/>
        <w:t>Técnica de aplicación</w:t>
      </w:r>
    </w:p>
    <w:p>
      <w:pPr>
        <w:pStyle w:val="BodyText"/>
        <w:spacing w:line="357" w:lineRule="auto" w:before="139"/>
        <w:ind w:left="118" w:right="113"/>
        <w:jc w:val="both"/>
        <w:rPr>
          <w:sz w:val="16"/>
        </w:rPr>
      </w:pPr>
      <w:r>
        <w:rPr/>
        <w:t>En los casos donde las fisuras son muy estrechas, podemos modificarlas, realizando un desgaste mínimo a nivel de la estructura adamantina llamado ameloplastia. Este procedimiento</w:t>
      </w:r>
      <w:r>
        <w:rPr>
          <w:spacing w:val="-6"/>
        </w:rPr>
        <w:t> </w:t>
      </w:r>
      <w:r>
        <w:rPr/>
        <w:t>se</w:t>
      </w:r>
      <w:r>
        <w:rPr>
          <w:spacing w:val="-8"/>
        </w:rPr>
        <w:t> </w:t>
      </w:r>
      <w:r>
        <w:rPr/>
        <w:t>realiza</w:t>
      </w:r>
      <w:r>
        <w:rPr>
          <w:spacing w:val="-6"/>
        </w:rPr>
        <w:t> </w:t>
      </w:r>
      <w:r>
        <w:rPr/>
        <w:t>con</w:t>
      </w:r>
      <w:r>
        <w:rPr>
          <w:spacing w:val="-6"/>
        </w:rPr>
        <w:t> </w:t>
      </w:r>
      <w:r>
        <w:rPr/>
        <w:t>la</w:t>
      </w:r>
      <w:r>
        <w:rPr>
          <w:spacing w:val="-6"/>
        </w:rPr>
        <w:t> </w:t>
      </w:r>
      <w:r>
        <w:rPr/>
        <w:t>idea</w:t>
      </w:r>
      <w:r>
        <w:rPr>
          <w:spacing w:val="-8"/>
        </w:rPr>
        <w:t> </w:t>
      </w:r>
      <w:r>
        <w:rPr/>
        <w:t>de</w:t>
      </w:r>
      <w:r>
        <w:rPr>
          <w:spacing w:val="-8"/>
        </w:rPr>
        <w:t> </w:t>
      </w:r>
      <w:r>
        <w:rPr/>
        <w:t>aumentar</w:t>
      </w:r>
      <w:r>
        <w:rPr>
          <w:spacing w:val="-7"/>
        </w:rPr>
        <w:t> </w:t>
      </w:r>
      <w:r>
        <w:rPr/>
        <w:t>la</w:t>
      </w:r>
      <w:r>
        <w:rPr>
          <w:spacing w:val="-9"/>
        </w:rPr>
        <w:t> </w:t>
      </w:r>
      <w:r>
        <w:rPr/>
        <w:t>visibilidad</w:t>
      </w:r>
      <w:r>
        <w:rPr>
          <w:spacing w:val="-6"/>
        </w:rPr>
        <w:t> </w:t>
      </w:r>
      <w:r>
        <w:rPr/>
        <w:t>del</w:t>
      </w:r>
      <w:r>
        <w:rPr>
          <w:spacing w:val="-10"/>
        </w:rPr>
        <w:t> </w:t>
      </w:r>
      <w:r>
        <w:rPr/>
        <w:t>área</w:t>
      </w:r>
      <w:r>
        <w:rPr>
          <w:spacing w:val="-6"/>
        </w:rPr>
        <w:t> </w:t>
      </w:r>
      <w:r>
        <w:rPr/>
        <w:t>y</w:t>
      </w:r>
      <w:r>
        <w:rPr>
          <w:spacing w:val="-9"/>
        </w:rPr>
        <w:t> </w:t>
      </w:r>
      <w:r>
        <w:rPr/>
        <w:t>también</w:t>
      </w:r>
      <w:r>
        <w:rPr>
          <w:spacing w:val="-8"/>
        </w:rPr>
        <w:t> </w:t>
      </w:r>
      <w:r>
        <w:rPr/>
        <w:t>facilitar la entrada del sellador. Esta apertura se realiza con piedras o puntas de diamante extrafinas (fresas diamantadas grano ultrafino) y de forma bicóncava.</w:t>
      </w:r>
      <w:r>
        <w:rPr>
          <w:position w:val="8"/>
          <w:sz w:val="16"/>
        </w:rPr>
        <w:t>4 </w:t>
      </w:r>
      <w:r>
        <w:rPr/>
        <w:t>Sin embargo el uso inadecuado o agresivo de la abertura de las fisuras a menudo remueve lo último de esmalte que recubre la dentina en el fondo de las fisuras, lo que deja el diente más susceptible a futuras caries en caso de pérdida del</w:t>
      </w:r>
      <w:r>
        <w:rPr>
          <w:spacing w:val="-22"/>
        </w:rPr>
        <w:t> </w:t>
      </w:r>
      <w:r>
        <w:rPr/>
        <w:t>sellador.</w:t>
      </w:r>
      <w:r>
        <w:rPr>
          <w:position w:val="8"/>
          <w:sz w:val="16"/>
        </w:rPr>
        <w:t>24</w:t>
      </w:r>
    </w:p>
    <w:p>
      <w:pPr>
        <w:pStyle w:val="BodyText"/>
        <w:spacing w:before="2"/>
        <w:rPr>
          <w:sz w:val="36"/>
        </w:rPr>
      </w:pPr>
    </w:p>
    <w:p>
      <w:pPr>
        <w:pStyle w:val="Heading1"/>
        <w:spacing w:before="1"/>
      </w:pPr>
      <w:r>
        <w:rPr/>
        <w:t>Requisitos para la retención del sellador</w:t>
      </w:r>
    </w:p>
    <w:p>
      <w:pPr>
        <w:pStyle w:val="BodyText"/>
        <w:spacing w:line="357" w:lineRule="auto" w:before="139"/>
        <w:ind w:left="118" w:right="109"/>
        <w:jc w:val="both"/>
        <w:rPr>
          <w:sz w:val="16"/>
        </w:rPr>
      </w:pPr>
      <w:r>
        <w:rPr/>
        <w:t>Tener</w:t>
      </w:r>
      <w:r>
        <w:rPr>
          <w:spacing w:val="-16"/>
        </w:rPr>
        <w:t> </w:t>
      </w:r>
      <w:r>
        <w:rPr/>
        <w:t>una</w:t>
      </w:r>
      <w:r>
        <w:rPr>
          <w:spacing w:val="-14"/>
        </w:rPr>
        <w:t> </w:t>
      </w:r>
      <w:r>
        <w:rPr/>
        <w:t>superficie</w:t>
      </w:r>
      <w:r>
        <w:rPr>
          <w:spacing w:val="-14"/>
        </w:rPr>
        <w:t> </w:t>
      </w:r>
      <w:r>
        <w:rPr/>
        <w:t>máxima,</w:t>
      </w:r>
      <w:r>
        <w:rPr>
          <w:spacing w:val="-14"/>
        </w:rPr>
        <w:t> </w:t>
      </w:r>
      <w:r>
        <w:rPr/>
        <w:t>presentar</w:t>
      </w:r>
      <w:r>
        <w:rPr>
          <w:spacing w:val="-16"/>
        </w:rPr>
        <w:t> </w:t>
      </w:r>
      <w:r>
        <w:rPr/>
        <w:t>cavidades</w:t>
      </w:r>
      <w:r>
        <w:rPr>
          <w:spacing w:val="-15"/>
        </w:rPr>
        <w:t> </w:t>
      </w:r>
      <w:r>
        <w:rPr/>
        <w:t>y</w:t>
      </w:r>
      <w:r>
        <w:rPr>
          <w:spacing w:val="-20"/>
        </w:rPr>
        <w:t> </w:t>
      </w:r>
      <w:r>
        <w:rPr/>
        <w:t>fisuras</w:t>
      </w:r>
      <w:r>
        <w:rPr>
          <w:spacing w:val="-15"/>
        </w:rPr>
        <w:t> </w:t>
      </w:r>
      <w:r>
        <w:rPr/>
        <w:t>irregulares</w:t>
      </w:r>
      <w:r>
        <w:rPr>
          <w:spacing w:val="-15"/>
        </w:rPr>
        <w:t> </w:t>
      </w:r>
      <w:r>
        <w:rPr/>
        <w:t>y</w:t>
      </w:r>
      <w:r>
        <w:rPr>
          <w:spacing w:val="-17"/>
        </w:rPr>
        <w:t> </w:t>
      </w:r>
      <w:r>
        <w:rPr/>
        <w:t>profundas,</w:t>
      </w:r>
      <w:r>
        <w:rPr>
          <w:spacing w:val="-17"/>
        </w:rPr>
        <w:t> </w:t>
      </w:r>
      <w:r>
        <w:rPr/>
        <w:t>estar limpia, en el momento de la colocación del sellador encontrarse absolutamente seca y no estar contaminada con residuos de saliva, para incrementar el potencial adherente previo a la colocación del sellador en la superficie oclusal se agregan acondicionadores dentales (grabadores).</w:t>
      </w:r>
      <w:r>
        <w:rPr>
          <w:position w:val="8"/>
          <w:sz w:val="16"/>
        </w:rPr>
        <w:t>7 </w:t>
      </w:r>
      <w:r>
        <w:rPr/>
        <w:t>Si no se utiliza una técnica adecuada en la colocación del sellador, el agente de adhesión y de unión no mejora la retención del</w:t>
      </w:r>
      <w:r>
        <w:rPr>
          <w:spacing w:val="-20"/>
        </w:rPr>
        <w:t> </w:t>
      </w:r>
      <w:r>
        <w:rPr/>
        <w:t>sellador.</w:t>
      </w:r>
      <w:r>
        <w:rPr>
          <w:position w:val="8"/>
          <w:sz w:val="16"/>
        </w:rPr>
        <w:t>28</w:t>
      </w:r>
    </w:p>
    <w:p>
      <w:pPr>
        <w:pStyle w:val="BodyText"/>
        <w:spacing w:before="2"/>
        <w:rPr>
          <w:sz w:val="36"/>
        </w:rPr>
      </w:pPr>
    </w:p>
    <w:p>
      <w:pPr>
        <w:pStyle w:val="Heading1"/>
        <w:spacing w:before="1"/>
      </w:pPr>
      <w:r>
        <w:rPr/>
        <w:t>Profilaxis previa</w:t>
      </w:r>
    </w:p>
    <w:p>
      <w:pPr>
        <w:pStyle w:val="BodyText"/>
        <w:spacing w:line="360" w:lineRule="auto" w:before="137"/>
        <w:ind w:left="118" w:right="117"/>
        <w:jc w:val="both"/>
      </w:pPr>
      <w:r>
        <w:rPr/>
        <w:t>La</w:t>
      </w:r>
      <w:r>
        <w:rPr>
          <w:spacing w:val="-5"/>
        </w:rPr>
        <w:t> </w:t>
      </w:r>
      <w:r>
        <w:rPr/>
        <w:t>limpieza</w:t>
      </w:r>
      <w:r>
        <w:rPr>
          <w:spacing w:val="-5"/>
        </w:rPr>
        <w:t> </w:t>
      </w:r>
      <w:r>
        <w:rPr/>
        <w:t>mecánica</w:t>
      </w:r>
      <w:r>
        <w:rPr>
          <w:spacing w:val="-7"/>
        </w:rPr>
        <w:t> </w:t>
      </w:r>
      <w:r>
        <w:rPr/>
        <w:t>de</w:t>
      </w:r>
      <w:r>
        <w:rPr>
          <w:spacing w:val="-5"/>
        </w:rPr>
        <w:t> </w:t>
      </w:r>
      <w:r>
        <w:rPr/>
        <w:t>la</w:t>
      </w:r>
      <w:r>
        <w:rPr>
          <w:spacing w:val="-5"/>
        </w:rPr>
        <w:t> </w:t>
      </w:r>
      <w:r>
        <w:rPr/>
        <w:t>superficie</w:t>
      </w:r>
      <w:r>
        <w:rPr>
          <w:spacing w:val="-7"/>
        </w:rPr>
        <w:t> </w:t>
      </w:r>
      <w:r>
        <w:rPr/>
        <w:t>del</w:t>
      </w:r>
      <w:r>
        <w:rPr>
          <w:spacing w:val="-6"/>
        </w:rPr>
        <w:t> </w:t>
      </w:r>
      <w:r>
        <w:rPr/>
        <w:t>esmalte</w:t>
      </w:r>
      <w:r>
        <w:rPr>
          <w:spacing w:val="-7"/>
        </w:rPr>
        <w:t> </w:t>
      </w:r>
      <w:r>
        <w:rPr/>
        <w:t>contribuye</w:t>
      </w:r>
      <w:r>
        <w:rPr>
          <w:spacing w:val="-5"/>
        </w:rPr>
        <w:t> </w:t>
      </w:r>
      <w:r>
        <w:rPr/>
        <w:t>a</w:t>
      </w:r>
      <w:r>
        <w:rPr>
          <w:spacing w:val="-5"/>
        </w:rPr>
        <w:t> </w:t>
      </w:r>
      <w:r>
        <w:rPr/>
        <w:t>aumentar</w:t>
      </w:r>
      <w:r>
        <w:rPr>
          <w:spacing w:val="-6"/>
        </w:rPr>
        <w:t> </w:t>
      </w:r>
      <w:r>
        <w:rPr/>
        <w:t>la</w:t>
      </w:r>
      <w:r>
        <w:rPr>
          <w:spacing w:val="-5"/>
        </w:rPr>
        <w:t> </w:t>
      </w:r>
      <w:r>
        <w:rPr/>
        <w:t>retención</w:t>
      </w:r>
      <w:r>
        <w:rPr>
          <w:spacing w:val="-5"/>
        </w:rPr>
        <w:t> </w:t>
      </w:r>
      <w:r>
        <w:rPr/>
        <w:t>del sellador. Con ella se elimina placa, materia alba, residuos que impiden o disminuyen la acción</w:t>
      </w:r>
      <w:r>
        <w:rPr>
          <w:spacing w:val="-7"/>
        </w:rPr>
        <w:t> </w:t>
      </w:r>
      <w:r>
        <w:rPr/>
        <w:t>del</w:t>
      </w:r>
      <w:r>
        <w:rPr>
          <w:spacing w:val="-8"/>
        </w:rPr>
        <w:t> </w:t>
      </w:r>
      <w:r>
        <w:rPr/>
        <w:t>acondicionador.</w:t>
      </w:r>
      <w:r>
        <w:rPr>
          <w:spacing w:val="-6"/>
        </w:rPr>
        <w:t> </w:t>
      </w:r>
      <w:r>
        <w:rPr/>
        <w:t>Estudios</w:t>
      </w:r>
      <w:r>
        <w:rPr>
          <w:spacing w:val="-7"/>
        </w:rPr>
        <w:t> </w:t>
      </w:r>
      <w:r>
        <w:rPr/>
        <w:t>realizados</w:t>
      </w:r>
      <w:r>
        <w:rPr>
          <w:spacing w:val="-5"/>
        </w:rPr>
        <w:t> </w:t>
      </w:r>
      <w:r>
        <w:rPr/>
        <w:t>demuestran</w:t>
      </w:r>
      <w:r>
        <w:rPr>
          <w:spacing w:val="-7"/>
        </w:rPr>
        <w:t> </w:t>
      </w:r>
      <w:r>
        <w:rPr/>
        <w:t>que</w:t>
      </w:r>
      <w:r>
        <w:rPr>
          <w:spacing w:val="-5"/>
        </w:rPr>
        <w:t> </w:t>
      </w:r>
      <w:r>
        <w:rPr/>
        <w:t>sin</w:t>
      </w:r>
      <w:r>
        <w:rPr>
          <w:spacing w:val="-10"/>
        </w:rPr>
        <w:t> </w:t>
      </w:r>
      <w:r>
        <w:rPr/>
        <w:t>una</w:t>
      </w:r>
      <w:r>
        <w:rPr>
          <w:spacing w:val="-7"/>
        </w:rPr>
        <w:t> </w:t>
      </w:r>
      <w:r>
        <w:rPr/>
        <w:t>profilaxis</w:t>
      </w:r>
      <w:r>
        <w:rPr>
          <w:spacing w:val="-6"/>
        </w:rPr>
        <w:t> </w:t>
      </w:r>
      <w:r>
        <w:rPr/>
        <w:t>previa,</w:t>
      </w:r>
    </w:p>
    <w:p>
      <w:pPr>
        <w:spacing w:after="0" w:line="360" w:lineRule="auto"/>
        <w:jc w:val="both"/>
        <w:sectPr>
          <w:pgSz w:w="12240" w:h="15840"/>
          <w:pgMar w:header="0" w:footer="947" w:top="1360" w:bottom="1140" w:left="1300" w:right="1300"/>
        </w:sectPr>
      </w:pPr>
    </w:p>
    <w:p>
      <w:pPr>
        <w:pStyle w:val="BodyText"/>
        <w:spacing w:line="357" w:lineRule="auto" w:before="52"/>
        <w:ind w:left="118" w:right="116"/>
        <w:jc w:val="both"/>
        <w:rPr>
          <w:sz w:val="16"/>
        </w:rPr>
      </w:pPr>
      <w:r>
        <w:rPr/>
        <w:t>la retención del sellador se reduce a un tercio.</w:t>
      </w:r>
      <w:r>
        <w:rPr>
          <w:position w:val="8"/>
          <w:sz w:val="16"/>
        </w:rPr>
        <w:t>3 </w:t>
      </w:r>
      <w:r>
        <w:rPr/>
        <w:t>Recientemente se demostró que la limpieza dental con las nuevas pastas profilácticas, fluoradas o sin fluorar no afectan la fuerza de fijación de los selladores. El uso de un pulido de aire ha demostrado limpiar meticulosamente y remover los detritos residuales de las fosas y fisuras.</w:t>
      </w:r>
      <w:r>
        <w:rPr>
          <w:position w:val="8"/>
          <w:sz w:val="16"/>
        </w:rPr>
        <w:t>7</w:t>
      </w:r>
    </w:p>
    <w:p>
      <w:pPr>
        <w:pStyle w:val="BodyText"/>
        <w:spacing w:before="2"/>
        <w:rPr>
          <w:sz w:val="36"/>
        </w:rPr>
      </w:pPr>
    </w:p>
    <w:p>
      <w:pPr>
        <w:pStyle w:val="Heading1"/>
        <w:spacing w:before="1"/>
      </w:pPr>
      <w:r>
        <w:rPr/>
        <w:t>Aislamiento</w:t>
      </w:r>
    </w:p>
    <w:p>
      <w:pPr>
        <w:pStyle w:val="BodyText"/>
        <w:spacing w:line="357" w:lineRule="auto" w:before="139"/>
        <w:ind w:left="118" w:right="114"/>
        <w:jc w:val="both"/>
        <w:rPr>
          <w:sz w:val="16"/>
        </w:rPr>
      </w:pPr>
      <w:r>
        <w:rPr/>
        <w:t>El correcto aislamiento de la superficie a sellar es fundamental para el buen éxito del sellador, pues evita la contaminación por saliva.</w:t>
      </w:r>
      <w:r>
        <w:rPr>
          <w:position w:val="8"/>
          <w:sz w:val="16"/>
        </w:rPr>
        <w:t>3 </w:t>
      </w:r>
      <w:r>
        <w:rPr/>
        <w:t>Una eventual contaminación por humedad</w:t>
      </w:r>
      <w:r>
        <w:rPr>
          <w:spacing w:val="-4"/>
        </w:rPr>
        <w:t> </w:t>
      </w:r>
      <w:r>
        <w:rPr/>
        <w:t>sea</w:t>
      </w:r>
      <w:r>
        <w:rPr>
          <w:spacing w:val="-6"/>
        </w:rPr>
        <w:t> </w:t>
      </w:r>
      <w:r>
        <w:rPr/>
        <w:t>por</w:t>
      </w:r>
      <w:r>
        <w:rPr>
          <w:spacing w:val="-7"/>
        </w:rPr>
        <w:t> </w:t>
      </w:r>
      <w:r>
        <w:rPr/>
        <w:t>medio</w:t>
      </w:r>
      <w:r>
        <w:rPr>
          <w:spacing w:val="-4"/>
        </w:rPr>
        <w:t> </w:t>
      </w:r>
      <w:r>
        <w:rPr/>
        <w:t>de</w:t>
      </w:r>
      <w:r>
        <w:rPr>
          <w:spacing w:val="-6"/>
        </w:rPr>
        <w:t> </w:t>
      </w:r>
      <w:r>
        <w:rPr/>
        <w:t>la</w:t>
      </w:r>
      <w:r>
        <w:rPr>
          <w:spacing w:val="-4"/>
        </w:rPr>
        <w:t> </w:t>
      </w:r>
      <w:r>
        <w:rPr/>
        <w:t>saliva,</w:t>
      </w:r>
      <w:r>
        <w:rPr>
          <w:spacing w:val="-4"/>
        </w:rPr>
        <w:t> </w:t>
      </w:r>
      <w:r>
        <w:rPr/>
        <w:t>por</w:t>
      </w:r>
      <w:r>
        <w:rPr>
          <w:spacing w:val="-5"/>
        </w:rPr>
        <w:t> </w:t>
      </w:r>
      <w:r>
        <w:rPr/>
        <w:t>el</w:t>
      </w:r>
      <w:r>
        <w:rPr>
          <w:spacing w:val="-7"/>
        </w:rPr>
        <w:t> </w:t>
      </w:r>
      <w:r>
        <w:rPr/>
        <w:t>fluido</w:t>
      </w:r>
      <w:r>
        <w:rPr>
          <w:spacing w:val="-3"/>
        </w:rPr>
        <w:t> </w:t>
      </w:r>
      <w:r>
        <w:rPr/>
        <w:t>gingival</w:t>
      </w:r>
      <w:r>
        <w:rPr>
          <w:spacing w:val="-5"/>
        </w:rPr>
        <w:t> </w:t>
      </w:r>
      <w:r>
        <w:rPr/>
        <w:t>o</w:t>
      </w:r>
      <w:r>
        <w:rPr>
          <w:spacing w:val="-4"/>
        </w:rPr>
        <w:t> </w:t>
      </w:r>
      <w:r>
        <w:rPr/>
        <w:t>la</w:t>
      </w:r>
      <w:r>
        <w:rPr>
          <w:spacing w:val="-4"/>
        </w:rPr>
        <w:t> </w:t>
      </w:r>
      <w:r>
        <w:rPr/>
        <w:t>sangre,</w:t>
      </w:r>
      <w:r>
        <w:rPr>
          <w:spacing w:val="-4"/>
        </w:rPr>
        <w:t> </w:t>
      </w:r>
      <w:r>
        <w:rPr/>
        <w:t>puede</w:t>
      </w:r>
      <w:r>
        <w:rPr>
          <w:spacing w:val="-6"/>
        </w:rPr>
        <w:t> </w:t>
      </w:r>
      <w:r>
        <w:rPr/>
        <w:t>disminuir</w:t>
      </w:r>
      <w:r>
        <w:rPr>
          <w:spacing w:val="-6"/>
        </w:rPr>
        <w:t> </w:t>
      </w:r>
      <w:r>
        <w:rPr/>
        <w:t>el potencial</w:t>
      </w:r>
      <w:r>
        <w:rPr>
          <w:spacing w:val="-16"/>
        </w:rPr>
        <w:t> </w:t>
      </w:r>
      <w:r>
        <w:rPr/>
        <w:t>de</w:t>
      </w:r>
      <w:r>
        <w:rPr>
          <w:spacing w:val="-15"/>
        </w:rPr>
        <w:t> </w:t>
      </w:r>
      <w:r>
        <w:rPr/>
        <w:t>adhesión</w:t>
      </w:r>
      <w:r>
        <w:rPr>
          <w:spacing w:val="-16"/>
        </w:rPr>
        <w:t> </w:t>
      </w:r>
      <w:r>
        <w:rPr/>
        <w:t>del</w:t>
      </w:r>
      <w:r>
        <w:rPr>
          <w:spacing w:val="-14"/>
        </w:rPr>
        <w:t> </w:t>
      </w:r>
      <w:r>
        <w:rPr/>
        <w:t>sellador</w:t>
      </w:r>
      <w:r>
        <w:rPr>
          <w:spacing w:val="-17"/>
        </w:rPr>
        <w:t> </w:t>
      </w:r>
      <w:r>
        <w:rPr/>
        <w:t>a</w:t>
      </w:r>
      <w:r>
        <w:rPr>
          <w:spacing w:val="-14"/>
        </w:rPr>
        <w:t> </w:t>
      </w:r>
      <w:r>
        <w:rPr/>
        <w:t>la</w:t>
      </w:r>
      <w:r>
        <w:rPr>
          <w:spacing w:val="-10"/>
        </w:rPr>
        <w:t> </w:t>
      </w:r>
      <w:r>
        <w:rPr/>
        <w:t>base</w:t>
      </w:r>
      <w:r>
        <w:rPr>
          <w:spacing w:val="-15"/>
        </w:rPr>
        <w:t> </w:t>
      </w:r>
      <w:r>
        <w:rPr/>
        <w:t>de</w:t>
      </w:r>
      <w:r>
        <w:rPr>
          <w:spacing w:val="-14"/>
        </w:rPr>
        <w:t> </w:t>
      </w:r>
      <w:r>
        <w:rPr/>
        <w:t>Bis-GMA</w:t>
      </w:r>
      <w:r>
        <w:rPr>
          <w:spacing w:val="-14"/>
        </w:rPr>
        <w:t> </w:t>
      </w:r>
      <w:r>
        <w:rPr/>
        <w:t>sobre</w:t>
      </w:r>
      <w:r>
        <w:rPr>
          <w:spacing w:val="-16"/>
        </w:rPr>
        <w:t> </w:t>
      </w:r>
      <w:r>
        <w:rPr/>
        <w:t>la</w:t>
      </w:r>
      <w:r>
        <w:rPr>
          <w:spacing w:val="-16"/>
        </w:rPr>
        <w:t> </w:t>
      </w:r>
      <w:r>
        <w:rPr/>
        <w:t>superficie</w:t>
      </w:r>
      <w:r>
        <w:rPr>
          <w:spacing w:val="-16"/>
        </w:rPr>
        <w:t> </w:t>
      </w:r>
      <w:r>
        <w:rPr/>
        <w:t>del</w:t>
      </w:r>
      <w:r>
        <w:rPr>
          <w:spacing w:val="-17"/>
        </w:rPr>
        <w:t> </w:t>
      </w:r>
      <w:r>
        <w:rPr/>
        <w:t>esmalte.</w:t>
      </w:r>
      <w:r>
        <w:rPr>
          <w:position w:val="8"/>
          <w:sz w:val="16"/>
        </w:rPr>
        <w:t>18 </w:t>
      </w:r>
      <w:r>
        <w:rPr/>
        <w:t>Este aislamiento se consigue idealmente mediante la colocación de un dique de goma. También puede obtenerse mediante rollos de algodón y aspiración</w:t>
      </w:r>
      <w:r>
        <w:rPr>
          <w:spacing w:val="-24"/>
        </w:rPr>
        <w:t> </w:t>
      </w:r>
      <w:r>
        <w:rPr/>
        <w:t>constante.</w:t>
      </w:r>
      <w:r>
        <w:rPr>
          <w:position w:val="8"/>
          <w:sz w:val="16"/>
        </w:rPr>
        <w:t>3</w:t>
      </w:r>
    </w:p>
    <w:p>
      <w:pPr>
        <w:pStyle w:val="BodyText"/>
        <w:spacing w:before="2"/>
        <w:rPr>
          <w:sz w:val="36"/>
        </w:rPr>
      </w:pPr>
    </w:p>
    <w:p>
      <w:pPr>
        <w:pStyle w:val="Heading1"/>
        <w:spacing w:before="1"/>
      </w:pPr>
      <w:r>
        <w:rPr/>
        <w:t>Acondicionamiento con ácido</w:t>
      </w:r>
    </w:p>
    <w:p>
      <w:pPr>
        <w:pStyle w:val="BodyText"/>
        <w:spacing w:line="360" w:lineRule="auto" w:before="139"/>
        <w:ind w:left="118" w:right="112"/>
        <w:jc w:val="both"/>
        <w:rPr>
          <w:sz w:val="16"/>
        </w:rPr>
      </w:pPr>
      <w:r>
        <w:rPr/>
        <w:t>El acondicionador universal más utilizado es el ácido ortofosfórico, con un rango de concentración entre 37% y 50% disponible en forma de solución o de gel, el tiempo de aplicación recomendada es de un minuto. Los estudios realizados recomiendan ampliar el tiempo de grabado a dos minutos, en el eventual caso de que el órgano dentario a sellar sea de primera dentición.</w:t>
      </w:r>
      <w:r>
        <w:rPr>
          <w:position w:val="8"/>
          <w:sz w:val="16"/>
        </w:rPr>
        <w:t>3</w:t>
      </w:r>
    </w:p>
    <w:p>
      <w:pPr>
        <w:pStyle w:val="BodyText"/>
        <w:rPr>
          <w:sz w:val="36"/>
        </w:rPr>
      </w:pPr>
    </w:p>
    <w:p>
      <w:pPr>
        <w:pStyle w:val="BodyText"/>
        <w:spacing w:line="357" w:lineRule="auto"/>
        <w:ind w:left="118" w:right="114"/>
        <w:jc w:val="both"/>
        <w:rPr>
          <w:sz w:val="16"/>
        </w:rPr>
      </w:pPr>
      <w:r>
        <w:rPr/>
        <w:t>El</w:t>
      </w:r>
      <w:r>
        <w:rPr>
          <w:spacing w:val="-14"/>
        </w:rPr>
        <w:t> </w:t>
      </w:r>
      <w:r>
        <w:rPr/>
        <w:t>ácido</w:t>
      </w:r>
      <w:r>
        <w:rPr>
          <w:spacing w:val="-13"/>
        </w:rPr>
        <w:t> </w:t>
      </w:r>
      <w:r>
        <w:rPr/>
        <w:t>grabador</w:t>
      </w:r>
      <w:r>
        <w:rPr>
          <w:spacing w:val="-15"/>
        </w:rPr>
        <w:t> </w:t>
      </w:r>
      <w:r>
        <w:rPr/>
        <w:t>en</w:t>
      </w:r>
      <w:r>
        <w:rPr>
          <w:spacing w:val="-13"/>
        </w:rPr>
        <w:t> </w:t>
      </w:r>
      <w:r>
        <w:rPr/>
        <w:t>solución</w:t>
      </w:r>
      <w:r>
        <w:rPr>
          <w:spacing w:val="-13"/>
        </w:rPr>
        <w:t> </w:t>
      </w:r>
      <w:r>
        <w:rPr/>
        <w:t>debe</w:t>
      </w:r>
      <w:r>
        <w:rPr>
          <w:spacing w:val="-13"/>
        </w:rPr>
        <w:t> </w:t>
      </w:r>
      <w:r>
        <w:rPr/>
        <w:t>ser</w:t>
      </w:r>
      <w:r>
        <w:rPr>
          <w:spacing w:val="-15"/>
        </w:rPr>
        <w:t> </w:t>
      </w:r>
      <w:r>
        <w:rPr/>
        <w:t>colocado</w:t>
      </w:r>
      <w:r>
        <w:rPr>
          <w:spacing w:val="-13"/>
        </w:rPr>
        <w:t> </w:t>
      </w:r>
      <w:r>
        <w:rPr/>
        <w:t>sobre</w:t>
      </w:r>
      <w:r>
        <w:rPr>
          <w:spacing w:val="-14"/>
        </w:rPr>
        <w:t> </w:t>
      </w:r>
      <w:r>
        <w:rPr/>
        <w:t>el</w:t>
      </w:r>
      <w:r>
        <w:rPr>
          <w:spacing w:val="-17"/>
        </w:rPr>
        <w:t> </w:t>
      </w:r>
      <w:r>
        <w:rPr/>
        <w:t>esmalte,</w:t>
      </w:r>
      <w:r>
        <w:rPr>
          <w:spacing w:val="-16"/>
        </w:rPr>
        <w:t> </w:t>
      </w:r>
      <w:r>
        <w:rPr/>
        <w:t>el</w:t>
      </w:r>
      <w:r>
        <w:rPr>
          <w:spacing w:val="-14"/>
        </w:rPr>
        <w:t> </w:t>
      </w:r>
      <w:r>
        <w:rPr/>
        <w:t>diente</w:t>
      </w:r>
      <w:r>
        <w:rPr>
          <w:spacing w:val="-15"/>
        </w:rPr>
        <w:t> </w:t>
      </w:r>
      <w:r>
        <w:rPr/>
        <w:t>debe</w:t>
      </w:r>
      <w:r>
        <w:rPr>
          <w:spacing w:val="-13"/>
        </w:rPr>
        <w:t> </w:t>
      </w:r>
      <w:r>
        <w:rPr/>
        <w:t>secarse completamente durante 10 segundos, la aplicación debe ser con un cepillo, esponja pequeña, torunda de algodón o aplicador, no se frota, se aplica con suavidad, 1 minuto para los dientes permanentes y 1 minuto y medio para los temporales. En general se recomienda un tiempo de grabado de 20 a 30 segundos.</w:t>
      </w:r>
      <w:r>
        <w:rPr>
          <w:position w:val="8"/>
          <w:sz w:val="16"/>
        </w:rPr>
        <w:t>7 </w:t>
      </w:r>
      <w:r>
        <w:rPr/>
        <w:t>El esmalte rico con fluorhidroxiapatita</w:t>
      </w:r>
      <w:r>
        <w:rPr>
          <w:spacing w:val="-12"/>
        </w:rPr>
        <w:t> </w:t>
      </w:r>
      <w:r>
        <w:rPr/>
        <w:t>puede</w:t>
      </w:r>
      <w:r>
        <w:rPr>
          <w:spacing w:val="-12"/>
        </w:rPr>
        <w:t> </w:t>
      </w:r>
      <w:r>
        <w:rPr/>
        <w:t>ser</w:t>
      </w:r>
      <w:r>
        <w:rPr>
          <w:spacing w:val="-13"/>
        </w:rPr>
        <w:t> </w:t>
      </w:r>
      <w:r>
        <w:rPr/>
        <w:t>resistente</w:t>
      </w:r>
      <w:r>
        <w:rPr>
          <w:spacing w:val="-11"/>
        </w:rPr>
        <w:t> </w:t>
      </w:r>
      <w:r>
        <w:rPr/>
        <w:t>al</w:t>
      </w:r>
      <w:r>
        <w:rPr>
          <w:spacing w:val="-13"/>
        </w:rPr>
        <w:t> </w:t>
      </w:r>
      <w:r>
        <w:rPr/>
        <w:t>ataque</w:t>
      </w:r>
      <w:r>
        <w:rPr>
          <w:spacing w:val="-12"/>
        </w:rPr>
        <w:t> </w:t>
      </w:r>
      <w:r>
        <w:rPr/>
        <w:t>químico</w:t>
      </w:r>
      <w:r>
        <w:rPr>
          <w:spacing w:val="-12"/>
        </w:rPr>
        <w:t> </w:t>
      </w:r>
      <w:r>
        <w:rPr/>
        <w:t>y</w:t>
      </w:r>
      <w:r>
        <w:rPr>
          <w:spacing w:val="-13"/>
        </w:rPr>
        <w:t> </w:t>
      </w:r>
      <w:r>
        <w:rPr/>
        <w:t>puede</w:t>
      </w:r>
      <w:r>
        <w:rPr>
          <w:spacing w:val="-14"/>
        </w:rPr>
        <w:t> </w:t>
      </w:r>
      <w:r>
        <w:rPr/>
        <w:t>necesitar</w:t>
      </w:r>
      <w:r>
        <w:rPr>
          <w:spacing w:val="-6"/>
        </w:rPr>
        <w:t> </w:t>
      </w:r>
      <w:r>
        <w:rPr/>
        <w:t>ser</w:t>
      </w:r>
      <w:r>
        <w:rPr>
          <w:spacing w:val="-13"/>
        </w:rPr>
        <w:t> </w:t>
      </w:r>
      <w:r>
        <w:rPr/>
        <w:t>expuesto durante 15 segundos más.</w:t>
      </w:r>
      <w:r>
        <w:rPr>
          <w:spacing w:val="38"/>
        </w:rPr>
        <w:t> </w:t>
      </w:r>
      <w:r>
        <w:rPr>
          <w:position w:val="8"/>
          <w:sz w:val="16"/>
        </w:rPr>
        <w:t>24</w:t>
      </w:r>
    </w:p>
    <w:p>
      <w:pPr>
        <w:pStyle w:val="BodyText"/>
        <w:spacing w:before="2"/>
        <w:rPr>
          <w:sz w:val="36"/>
        </w:rPr>
      </w:pPr>
    </w:p>
    <w:p>
      <w:pPr>
        <w:pStyle w:val="Heading1"/>
        <w:spacing w:before="1"/>
      </w:pPr>
      <w:r>
        <w:rPr/>
        <w:t>Lavado y secado</w:t>
      </w:r>
    </w:p>
    <w:p>
      <w:pPr>
        <w:pStyle w:val="BodyText"/>
        <w:spacing w:line="355" w:lineRule="auto" w:before="139"/>
        <w:ind w:left="118" w:right="111"/>
        <w:jc w:val="both"/>
        <w:rPr>
          <w:sz w:val="16"/>
        </w:rPr>
      </w:pPr>
      <w:r>
        <w:rPr/>
        <w:t>Una vez terminado el tiempo durante el cual el acondicionador ácido actuó, deberá eliminarse mediante una profusa limpieza con chorro de agua durante 15 segundos. </w:t>
      </w:r>
      <w:r>
        <w:rPr>
          <w:position w:val="8"/>
          <w:sz w:val="16"/>
        </w:rPr>
        <w:t>3</w:t>
      </w:r>
    </w:p>
    <w:p>
      <w:pPr>
        <w:spacing w:after="0" w:line="355" w:lineRule="auto"/>
        <w:jc w:val="both"/>
        <w:rPr>
          <w:sz w:val="16"/>
        </w:rPr>
        <w:sectPr>
          <w:pgSz w:w="12240" w:h="15840"/>
          <w:pgMar w:header="0" w:footer="947" w:top="1360" w:bottom="1140" w:left="1300" w:right="1300"/>
        </w:sectPr>
      </w:pPr>
    </w:p>
    <w:p>
      <w:pPr>
        <w:pStyle w:val="BodyText"/>
        <w:spacing w:line="357" w:lineRule="auto" w:before="52"/>
        <w:ind w:left="118" w:right="115"/>
        <w:jc w:val="both"/>
        <w:rPr>
          <w:sz w:val="16"/>
        </w:rPr>
      </w:pPr>
      <w:r>
        <w:rPr/>
        <w:t>Phillips propone un tiempo de lavado de 40 segundos.</w:t>
      </w:r>
      <w:r>
        <w:rPr>
          <w:position w:val="8"/>
          <w:sz w:val="16"/>
        </w:rPr>
        <w:t>24 </w:t>
      </w:r>
      <w:r>
        <w:rPr/>
        <w:t>El esmalte grabado es secado utilizando una corriente de aire comprimido libre de contaminantes de aceite por 10 segundos.</w:t>
      </w:r>
      <w:r>
        <w:rPr>
          <w:position w:val="8"/>
          <w:sz w:val="16"/>
        </w:rPr>
        <w:t>26 </w:t>
      </w:r>
      <w:r>
        <w:rPr/>
        <w:t>El esmalte seco grabado debe exhibir la apariencia blanquecina clara esto se debe a que el ácido grabador retirara casi 5 a 10 micras de la superficie original.</w:t>
      </w:r>
      <w:r>
        <w:rPr>
          <w:position w:val="8"/>
          <w:sz w:val="16"/>
        </w:rPr>
        <w:t>7</w:t>
      </w:r>
    </w:p>
    <w:p>
      <w:pPr>
        <w:pStyle w:val="BodyText"/>
        <w:spacing w:before="2"/>
        <w:rPr>
          <w:sz w:val="36"/>
        </w:rPr>
      </w:pPr>
    </w:p>
    <w:p>
      <w:pPr>
        <w:pStyle w:val="Heading1"/>
        <w:spacing w:before="1"/>
      </w:pPr>
      <w:r>
        <w:rPr/>
        <w:t>Colocación del sellador</w:t>
      </w:r>
    </w:p>
    <w:p>
      <w:pPr>
        <w:pStyle w:val="BodyText"/>
        <w:spacing w:line="357" w:lineRule="auto" w:before="139"/>
        <w:ind w:left="118" w:right="111"/>
        <w:jc w:val="both"/>
        <w:rPr>
          <w:sz w:val="16"/>
        </w:rPr>
      </w:pPr>
      <w:r>
        <w:rPr/>
        <w:t>La colocación del sellador deberá ser cuidadosa: se utilizara un pincel o un</w:t>
      </w:r>
      <w:r>
        <w:rPr>
          <w:spacing w:val="-38"/>
        </w:rPr>
        <w:t> </w:t>
      </w:r>
      <w:r>
        <w:rPr/>
        <w:t>dispensador, la manipulación debe ser mínima y se dejará deslizar el sellador sobre la superficie, a</w:t>
      </w:r>
      <w:r>
        <w:rPr>
          <w:spacing w:val="-45"/>
        </w:rPr>
        <w:t> </w:t>
      </w:r>
      <w:r>
        <w:rPr/>
        <w:t>fin de evitar introducir burbujas de aire en el interior. Finalmente toda la superficie sellada se</w:t>
      </w:r>
      <w:r>
        <w:rPr>
          <w:spacing w:val="-12"/>
        </w:rPr>
        <w:t> </w:t>
      </w:r>
      <w:r>
        <w:rPr/>
        <w:t>revisa</w:t>
      </w:r>
      <w:r>
        <w:rPr>
          <w:spacing w:val="-12"/>
        </w:rPr>
        <w:t> </w:t>
      </w:r>
      <w:r>
        <w:rPr/>
        <w:t>con</w:t>
      </w:r>
      <w:r>
        <w:rPr>
          <w:spacing w:val="-14"/>
        </w:rPr>
        <w:t> </w:t>
      </w:r>
      <w:r>
        <w:rPr/>
        <w:t>una</w:t>
      </w:r>
      <w:r>
        <w:rPr>
          <w:spacing w:val="-14"/>
        </w:rPr>
        <w:t> </w:t>
      </w:r>
      <w:r>
        <w:rPr/>
        <w:t>sonda</w:t>
      </w:r>
      <w:r>
        <w:rPr>
          <w:spacing w:val="-12"/>
        </w:rPr>
        <w:t> </w:t>
      </w:r>
      <w:r>
        <w:rPr/>
        <w:t>o</w:t>
      </w:r>
      <w:r>
        <w:rPr>
          <w:spacing w:val="-14"/>
        </w:rPr>
        <w:t> </w:t>
      </w:r>
      <w:r>
        <w:rPr/>
        <w:t>explorador</w:t>
      </w:r>
      <w:r>
        <w:rPr>
          <w:spacing w:val="-16"/>
        </w:rPr>
        <w:t> </w:t>
      </w:r>
      <w:r>
        <w:rPr/>
        <w:t>fino</w:t>
      </w:r>
      <w:r>
        <w:rPr>
          <w:spacing w:val="-9"/>
        </w:rPr>
        <w:t> </w:t>
      </w:r>
      <w:r>
        <w:rPr/>
        <w:t>en</w:t>
      </w:r>
      <w:r>
        <w:rPr>
          <w:spacing w:val="-14"/>
        </w:rPr>
        <w:t> </w:t>
      </w:r>
      <w:r>
        <w:rPr/>
        <w:t>busca</w:t>
      </w:r>
      <w:r>
        <w:rPr>
          <w:spacing w:val="-14"/>
        </w:rPr>
        <w:t> </w:t>
      </w:r>
      <w:r>
        <w:rPr/>
        <w:t>de</w:t>
      </w:r>
      <w:r>
        <w:rPr>
          <w:spacing w:val="-14"/>
        </w:rPr>
        <w:t> </w:t>
      </w:r>
      <w:r>
        <w:rPr/>
        <w:t>posibles</w:t>
      </w:r>
      <w:r>
        <w:rPr>
          <w:spacing w:val="-15"/>
        </w:rPr>
        <w:t> </w:t>
      </w:r>
      <w:r>
        <w:rPr/>
        <w:t>pérdidas</w:t>
      </w:r>
      <w:r>
        <w:rPr>
          <w:spacing w:val="-9"/>
        </w:rPr>
        <w:t> </w:t>
      </w:r>
      <w:r>
        <w:rPr/>
        <w:t>de</w:t>
      </w:r>
      <w:r>
        <w:rPr>
          <w:spacing w:val="-12"/>
        </w:rPr>
        <w:t> </w:t>
      </w:r>
      <w:r>
        <w:rPr/>
        <w:t>continuidad.</w:t>
      </w:r>
      <w:r>
        <w:rPr>
          <w:position w:val="8"/>
          <w:sz w:val="16"/>
        </w:rPr>
        <w:t>3</w:t>
      </w:r>
    </w:p>
    <w:p>
      <w:pPr>
        <w:pStyle w:val="BodyText"/>
        <w:spacing w:before="2"/>
        <w:rPr>
          <w:sz w:val="36"/>
        </w:rPr>
      </w:pPr>
    </w:p>
    <w:p>
      <w:pPr>
        <w:pStyle w:val="BodyText"/>
        <w:spacing w:line="357" w:lineRule="auto" w:before="1"/>
        <w:ind w:left="118" w:right="115"/>
        <w:jc w:val="both"/>
        <w:rPr>
          <w:sz w:val="16"/>
        </w:rPr>
      </w:pPr>
      <w:r>
        <w:rPr/>
        <w:t>La unión sellante-esmalte es del mismo tipo que la unión adhesivo-esmalte, aunque los adhesivos acídicos pretenden también unirse químicamente al tejido adamantino.</w:t>
      </w:r>
      <w:r>
        <w:rPr>
          <w:position w:val="8"/>
          <w:sz w:val="16"/>
        </w:rPr>
        <w:t>4</w:t>
      </w:r>
    </w:p>
    <w:p>
      <w:pPr>
        <w:pStyle w:val="BodyText"/>
        <w:spacing w:before="2"/>
        <w:rPr>
          <w:sz w:val="36"/>
        </w:rPr>
      </w:pPr>
    </w:p>
    <w:p>
      <w:pPr>
        <w:pStyle w:val="Heading1"/>
        <w:spacing w:before="1"/>
      </w:pPr>
      <w:r>
        <w:rPr/>
        <w:t>Evaluación de la retención de los selladores</w:t>
      </w:r>
    </w:p>
    <w:p>
      <w:pPr>
        <w:pStyle w:val="BodyText"/>
        <w:spacing w:line="360" w:lineRule="auto" w:before="137"/>
        <w:ind w:left="118" w:right="113"/>
        <w:jc w:val="both"/>
        <w:rPr>
          <w:sz w:val="16"/>
        </w:rPr>
      </w:pPr>
      <w:r>
        <w:rPr/>
        <w:t>Después de la completa polimerización del sellador debemos evaluar la calidad de la aplicación del material. Con la punta de una sonda se debe intentar remover el sellador de la superficie del esmalte, en el caso de que este haya sido removido, se realiza un nuevo acondicionamiento con ácido por 15 segundos más. Con la punta de la sonda recorrer toda la superficie del sellador para evaluar la presencia de burbujas.</w:t>
      </w:r>
      <w:r>
        <w:rPr>
          <w:position w:val="8"/>
          <w:sz w:val="16"/>
        </w:rPr>
        <w:t>26</w:t>
      </w:r>
    </w:p>
    <w:p>
      <w:pPr>
        <w:pStyle w:val="BodyText"/>
        <w:spacing w:line="360" w:lineRule="auto" w:before="159"/>
        <w:ind w:left="118" w:right="111"/>
        <w:jc w:val="both"/>
        <w:rPr>
          <w:sz w:val="16"/>
        </w:rPr>
      </w:pPr>
      <w:r>
        <w:rPr/>
        <w:t>Los selladores de resina tienen mejor retención en dientes recién erupcionados, que en dientes</w:t>
      </w:r>
      <w:r>
        <w:rPr>
          <w:spacing w:val="-9"/>
        </w:rPr>
        <w:t> </w:t>
      </w:r>
      <w:r>
        <w:rPr/>
        <w:t>con</w:t>
      </w:r>
      <w:r>
        <w:rPr>
          <w:spacing w:val="-8"/>
        </w:rPr>
        <w:t> </w:t>
      </w:r>
      <w:r>
        <w:rPr/>
        <w:t>una</w:t>
      </w:r>
      <w:r>
        <w:rPr>
          <w:spacing w:val="-8"/>
        </w:rPr>
        <w:t> </w:t>
      </w:r>
      <w:r>
        <w:rPr/>
        <w:t>superficie</w:t>
      </w:r>
      <w:r>
        <w:rPr>
          <w:spacing w:val="-9"/>
        </w:rPr>
        <w:t> </w:t>
      </w:r>
      <w:r>
        <w:rPr/>
        <w:t>más</w:t>
      </w:r>
      <w:r>
        <w:rPr>
          <w:spacing w:val="-9"/>
        </w:rPr>
        <w:t> </w:t>
      </w:r>
      <w:r>
        <w:rPr/>
        <w:t>dura;</w:t>
      </w:r>
      <w:r>
        <w:rPr>
          <w:spacing w:val="-9"/>
        </w:rPr>
        <w:t> </w:t>
      </w:r>
      <w:r>
        <w:rPr/>
        <w:t>tienen</w:t>
      </w:r>
      <w:r>
        <w:rPr>
          <w:spacing w:val="-11"/>
        </w:rPr>
        <w:t> </w:t>
      </w:r>
      <w:r>
        <w:rPr/>
        <w:t>mejor</w:t>
      </w:r>
      <w:r>
        <w:rPr>
          <w:spacing w:val="-9"/>
        </w:rPr>
        <w:t> </w:t>
      </w:r>
      <w:r>
        <w:rPr/>
        <w:t>retención</w:t>
      </w:r>
      <w:r>
        <w:rPr>
          <w:spacing w:val="-8"/>
        </w:rPr>
        <w:t> </w:t>
      </w:r>
      <w:r>
        <w:rPr/>
        <w:t>en</w:t>
      </w:r>
      <w:r>
        <w:rPr>
          <w:spacing w:val="-8"/>
        </w:rPr>
        <w:t> </w:t>
      </w:r>
      <w:r>
        <w:rPr/>
        <w:t>primeros</w:t>
      </w:r>
      <w:r>
        <w:rPr>
          <w:spacing w:val="-9"/>
        </w:rPr>
        <w:t> </w:t>
      </w:r>
      <w:r>
        <w:rPr/>
        <w:t>molares,</w:t>
      </w:r>
      <w:r>
        <w:rPr>
          <w:spacing w:val="-9"/>
        </w:rPr>
        <w:t> </w:t>
      </w:r>
      <w:r>
        <w:rPr/>
        <w:t>que</w:t>
      </w:r>
      <w:r>
        <w:rPr>
          <w:spacing w:val="-11"/>
        </w:rPr>
        <w:t> </w:t>
      </w:r>
      <w:r>
        <w:rPr/>
        <w:t>en segundos</w:t>
      </w:r>
      <w:r>
        <w:rPr>
          <w:spacing w:val="-9"/>
        </w:rPr>
        <w:t> </w:t>
      </w:r>
      <w:r>
        <w:rPr/>
        <w:t>molares,</w:t>
      </w:r>
      <w:r>
        <w:rPr>
          <w:spacing w:val="-9"/>
        </w:rPr>
        <w:t> </w:t>
      </w:r>
      <w:r>
        <w:rPr/>
        <w:t>mejor</w:t>
      </w:r>
      <w:r>
        <w:rPr>
          <w:spacing w:val="-7"/>
        </w:rPr>
        <w:t> </w:t>
      </w:r>
      <w:r>
        <w:rPr/>
        <w:t>retención</w:t>
      </w:r>
      <w:r>
        <w:rPr>
          <w:spacing w:val="-8"/>
        </w:rPr>
        <w:t> </w:t>
      </w:r>
      <w:r>
        <w:rPr/>
        <w:t>en</w:t>
      </w:r>
      <w:r>
        <w:rPr>
          <w:spacing w:val="-8"/>
        </w:rPr>
        <w:t> </w:t>
      </w:r>
      <w:r>
        <w:rPr/>
        <w:t>dientes</w:t>
      </w:r>
      <w:r>
        <w:rPr>
          <w:spacing w:val="-7"/>
        </w:rPr>
        <w:t> </w:t>
      </w:r>
      <w:r>
        <w:rPr/>
        <w:t>inferiores,</w:t>
      </w:r>
      <w:r>
        <w:rPr>
          <w:spacing w:val="-8"/>
        </w:rPr>
        <w:t> </w:t>
      </w:r>
      <w:r>
        <w:rPr/>
        <w:t>que</w:t>
      </w:r>
      <w:r>
        <w:rPr>
          <w:spacing w:val="-6"/>
        </w:rPr>
        <w:t> </w:t>
      </w:r>
      <w:r>
        <w:rPr/>
        <w:t>en</w:t>
      </w:r>
      <w:r>
        <w:rPr>
          <w:spacing w:val="-8"/>
        </w:rPr>
        <w:t> </w:t>
      </w:r>
      <w:r>
        <w:rPr/>
        <w:t>dientes</w:t>
      </w:r>
      <w:r>
        <w:rPr>
          <w:spacing w:val="-7"/>
        </w:rPr>
        <w:t> </w:t>
      </w:r>
      <w:r>
        <w:rPr/>
        <w:t>superiores.</w:t>
      </w:r>
      <w:r>
        <w:rPr>
          <w:position w:val="8"/>
          <w:sz w:val="16"/>
        </w:rPr>
        <w:t>7</w:t>
      </w:r>
      <w:r>
        <w:rPr>
          <w:spacing w:val="-7"/>
          <w:position w:val="8"/>
          <w:sz w:val="16"/>
        </w:rPr>
        <w:t> </w:t>
      </w:r>
      <w:r>
        <w:rPr/>
        <w:t>Los niños que tienen los molares cubiertos por un sellador son menos propensos a tener caries que los niños sin sellador al igual que los dientes que ya han sido sellados y que han</w:t>
      </w:r>
      <w:r>
        <w:rPr>
          <w:spacing w:val="-12"/>
        </w:rPr>
        <w:t> </w:t>
      </w:r>
      <w:r>
        <w:rPr/>
        <w:t>perdido</w:t>
      </w:r>
      <w:r>
        <w:rPr>
          <w:spacing w:val="-9"/>
        </w:rPr>
        <w:t> </w:t>
      </w:r>
      <w:r>
        <w:rPr/>
        <w:t>el</w:t>
      </w:r>
      <w:r>
        <w:rPr>
          <w:spacing w:val="-11"/>
        </w:rPr>
        <w:t> </w:t>
      </w:r>
      <w:r>
        <w:rPr/>
        <w:t>sellador,</w:t>
      </w:r>
      <w:r>
        <w:rPr>
          <w:spacing w:val="-10"/>
        </w:rPr>
        <w:t> </w:t>
      </w:r>
      <w:r>
        <w:rPr/>
        <w:t>tienen</w:t>
      </w:r>
      <w:r>
        <w:rPr>
          <w:spacing w:val="-12"/>
        </w:rPr>
        <w:t> </w:t>
      </w:r>
      <w:r>
        <w:rPr/>
        <w:t>menos</w:t>
      </w:r>
      <w:r>
        <w:rPr>
          <w:spacing w:val="-10"/>
        </w:rPr>
        <w:t> </w:t>
      </w:r>
      <w:r>
        <w:rPr/>
        <w:t>lesiones</w:t>
      </w:r>
      <w:r>
        <w:rPr>
          <w:spacing w:val="-10"/>
        </w:rPr>
        <w:t> </w:t>
      </w:r>
      <w:r>
        <w:rPr/>
        <w:t>que</w:t>
      </w:r>
      <w:r>
        <w:rPr>
          <w:spacing w:val="-9"/>
        </w:rPr>
        <w:t> </w:t>
      </w:r>
      <w:r>
        <w:rPr/>
        <w:t>en</w:t>
      </w:r>
      <w:r>
        <w:rPr>
          <w:spacing w:val="-9"/>
        </w:rPr>
        <w:t> </w:t>
      </w:r>
      <w:r>
        <w:rPr/>
        <w:t>los</w:t>
      </w:r>
      <w:r>
        <w:rPr>
          <w:spacing w:val="-12"/>
        </w:rPr>
        <w:t> </w:t>
      </w:r>
      <w:r>
        <w:rPr/>
        <w:t>dientes</w:t>
      </w:r>
      <w:r>
        <w:rPr>
          <w:spacing w:val="-10"/>
        </w:rPr>
        <w:t> </w:t>
      </w:r>
      <w:r>
        <w:rPr/>
        <w:t>control,</w:t>
      </w:r>
      <w:r>
        <w:rPr>
          <w:spacing w:val="-10"/>
        </w:rPr>
        <w:t> </w:t>
      </w:r>
      <w:r>
        <w:rPr/>
        <w:t>probablemente se</w:t>
      </w:r>
      <w:r>
        <w:rPr>
          <w:spacing w:val="-17"/>
        </w:rPr>
        <w:t> </w:t>
      </w:r>
      <w:r>
        <w:rPr/>
        <w:t>deba</w:t>
      </w:r>
      <w:r>
        <w:rPr>
          <w:spacing w:val="-19"/>
        </w:rPr>
        <w:t> </w:t>
      </w:r>
      <w:r>
        <w:rPr/>
        <w:t>a</w:t>
      </w:r>
      <w:r>
        <w:rPr>
          <w:spacing w:val="-17"/>
        </w:rPr>
        <w:t> </w:t>
      </w:r>
      <w:r>
        <w:rPr/>
        <w:t>la</w:t>
      </w:r>
      <w:r>
        <w:rPr>
          <w:spacing w:val="-19"/>
        </w:rPr>
        <w:t> </w:t>
      </w:r>
      <w:r>
        <w:rPr/>
        <w:t>presencia</w:t>
      </w:r>
      <w:r>
        <w:rPr>
          <w:spacing w:val="-21"/>
        </w:rPr>
        <w:t> </w:t>
      </w:r>
      <w:r>
        <w:rPr/>
        <w:t>de</w:t>
      </w:r>
      <w:r>
        <w:rPr>
          <w:spacing w:val="-19"/>
        </w:rPr>
        <w:t> </w:t>
      </w:r>
      <w:r>
        <w:rPr/>
        <w:t>prolongaciones</w:t>
      </w:r>
      <w:r>
        <w:rPr>
          <w:spacing w:val="-20"/>
        </w:rPr>
        <w:t> </w:t>
      </w:r>
      <w:r>
        <w:rPr/>
        <w:t>que</w:t>
      </w:r>
      <w:r>
        <w:rPr>
          <w:spacing w:val="-20"/>
        </w:rPr>
        <w:t> </w:t>
      </w:r>
      <w:r>
        <w:rPr/>
        <w:t>se</w:t>
      </w:r>
      <w:r>
        <w:rPr>
          <w:spacing w:val="-17"/>
        </w:rPr>
        <w:t> </w:t>
      </w:r>
      <w:r>
        <w:rPr/>
        <w:t>quedan</w:t>
      </w:r>
      <w:r>
        <w:rPr>
          <w:spacing w:val="-19"/>
        </w:rPr>
        <w:t> </w:t>
      </w:r>
      <w:r>
        <w:rPr/>
        <w:t>retenidas</w:t>
      </w:r>
      <w:r>
        <w:rPr>
          <w:spacing w:val="-20"/>
        </w:rPr>
        <w:t> </w:t>
      </w:r>
      <w:r>
        <w:rPr/>
        <w:t>en</w:t>
      </w:r>
      <w:r>
        <w:rPr>
          <w:spacing w:val="-17"/>
        </w:rPr>
        <w:t> </w:t>
      </w:r>
      <w:r>
        <w:rPr>
          <w:spacing w:val="3"/>
        </w:rPr>
        <w:t>el</w:t>
      </w:r>
      <w:r>
        <w:rPr>
          <w:spacing w:val="-20"/>
        </w:rPr>
        <w:t> </w:t>
      </w:r>
      <w:r>
        <w:rPr/>
        <w:t>esmalte</w:t>
      </w:r>
      <w:r>
        <w:rPr>
          <w:spacing w:val="-19"/>
        </w:rPr>
        <w:t> </w:t>
      </w:r>
      <w:r>
        <w:rPr/>
        <w:t>después de que el sellador se ha desprendido de la superficie.</w:t>
      </w:r>
      <w:r>
        <w:rPr>
          <w:spacing w:val="-18"/>
        </w:rPr>
        <w:t> </w:t>
      </w:r>
      <w:r>
        <w:rPr>
          <w:position w:val="8"/>
          <w:sz w:val="16"/>
        </w:rPr>
        <w:t>29</w:t>
      </w:r>
    </w:p>
    <w:p>
      <w:pPr>
        <w:pStyle w:val="BodyText"/>
        <w:spacing w:line="360" w:lineRule="auto" w:before="155"/>
        <w:ind w:left="118" w:right="117"/>
        <w:jc w:val="both"/>
      </w:pPr>
      <w:r>
        <w:rPr/>
        <w:t>En un estudio realizado por Simancas Pereira, </w:t>
      </w:r>
      <w:r>
        <w:rPr>
          <w:position w:val="8"/>
          <w:sz w:val="16"/>
        </w:rPr>
        <w:t>30 </w:t>
      </w:r>
      <w:r>
        <w:rPr/>
        <w:t>se evaluó la capacidad de penetración y sellado de un sellador de fosas y fisuras convencional, una resina fluida y un</w:t>
      </w:r>
      <w:r>
        <w:rPr>
          <w:spacing w:val="-30"/>
        </w:rPr>
        <w:t> </w:t>
      </w:r>
      <w:r>
        <w:rPr/>
        <w:t>ionómero</w:t>
      </w:r>
    </w:p>
    <w:p>
      <w:pPr>
        <w:spacing w:after="0" w:line="360" w:lineRule="auto"/>
        <w:jc w:val="both"/>
        <w:sectPr>
          <w:pgSz w:w="12240" w:h="15840"/>
          <w:pgMar w:header="0" w:footer="947" w:top="1360" w:bottom="1140" w:left="1300" w:right="1300"/>
        </w:sectPr>
      </w:pPr>
    </w:p>
    <w:p>
      <w:pPr>
        <w:pStyle w:val="BodyText"/>
        <w:spacing w:line="360" w:lineRule="auto" w:before="57"/>
        <w:ind w:left="118" w:right="112"/>
        <w:jc w:val="both"/>
      </w:pPr>
      <w:r>
        <w:rPr/>
        <w:t>de vidrio, en función del tipo de acondicionamiento (grabado ácido sólo, grabado ácido y adhesivo, adhesivo autograbador) y la preparación de la fisura (realización o no de ameloplastia) Se pudo concluir que el tipo de sellador, la aplicación del adhesivo y la realización de ameloplastia influyen en la capacidad de penetración.</w:t>
      </w:r>
    </w:p>
    <w:p>
      <w:pPr>
        <w:pStyle w:val="BodyText"/>
      </w:pPr>
    </w:p>
    <w:p>
      <w:pPr>
        <w:pStyle w:val="Heading1"/>
        <w:spacing w:before="142"/>
      </w:pPr>
      <w:r>
        <w:rPr/>
        <w:t>Evaluación de la oclusión</w:t>
      </w:r>
    </w:p>
    <w:p>
      <w:pPr>
        <w:pStyle w:val="BodyText"/>
        <w:spacing w:line="360" w:lineRule="auto" w:before="139"/>
        <w:ind w:left="118" w:right="112"/>
        <w:jc w:val="both"/>
        <w:rPr>
          <w:sz w:val="16"/>
        </w:rPr>
      </w:pPr>
      <w:r>
        <w:rPr/>
        <w:t>Se debe realizar la evaluación de la oclusión con el uso de un papel articular, esta evaluación no es obligatoria cuando se utiliza un sellador sin relleno, pues en menos de una semana este se auto-ajusta por el desgaste provocado por las fuerzas de masticación. Cuando se utiliza un sellador con relleno obligatoriamente se debe realizar la evaluación de oclusión y los excesos del material deben ser removidos con instrumentos cortantes rotatorios diamantados.</w:t>
      </w:r>
      <w:r>
        <w:rPr>
          <w:position w:val="8"/>
          <w:sz w:val="16"/>
        </w:rPr>
        <w:t>24</w:t>
      </w:r>
    </w:p>
    <w:p>
      <w:pPr>
        <w:pStyle w:val="BodyText"/>
        <w:rPr>
          <w:sz w:val="36"/>
        </w:rPr>
      </w:pPr>
    </w:p>
    <w:p>
      <w:pPr>
        <w:pStyle w:val="Heading1"/>
        <w:spacing w:before="0"/>
      </w:pPr>
      <w:r>
        <w:rPr/>
        <w:t>Sellador Helioseal F</w:t>
      </w:r>
    </w:p>
    <w:p>
      <w:pPr>
        <w:pStyle w:val="BodyText"/>
        <w:spacing w:line="360" w:lineRule="auto" w:before="139"/>
        <w:ind w:left="118" w:right="113"/>
        <w:jc w:val="both"/>
      </w:pPr>
      <w:r>
        <w:rPr/>
        <w:t>Es</w:t>
      </w:r>
      <w:r>
        <w:rPr>
          <w:spacing w:val="-17"/>
        </w:rPr>
        <w:t> </w:t>
      </w:r>
      <w:r>
        <w:rPr/>
        <w:t>un</w:t>
      </w:r>
      <w:r>
        <w:rPr>
          <w:spacing w:val="-19"/>
        </w:rPr>
        <w:t> </w:t>
      </w:r>
      <w:r>
        <w:rPr/>
        <w:t>sellador</w:t>
      </w:r>
      <w:r>
        <w:rPr>
          <w:spacing w:val="-18"/>
        </w:rPr>
        <w:t> </w:t>
      </w:r>
      <w:r>
        <w:rPr/>
        <w:t>de</w:t>
      </w:r>
      <w:r>
        <w:rPr>
          <w:spacing w:val="-19"/>
        </w:rPr>
        <w:t> </w:t>
      </w:r>
      <w:r>
        <w:rPr/>
        <w:t>fisuras</w:t>
      </w:r>
      <w:r>
        <w:rPr>
          <w:spacing w:val="-17"/>
        </w:rPr>
        <w:t> </w:t>
      </w:r>
      <w:r>
        <w:rPr/>
        <w:t>fotopolimerizable,</w:t>
      </w:r>
      <w:r>
        <w:rPr>
          <w:spacing w:val="-17"/>
        </w:rPr>
        <w:t> </w:t>
      </w:r>
      <w:r>
        <w:rPr/>
        <w:t>blanco</w:t>
      </w:r>
      <w:r>
        <w:rPr>
          <w:spacing w:val="-17"/>
        </w:rPr>
        <w:t> </w:t>
      </w:r>
      <w:r>
        <w:rPr/>
        <w:t>que</w:t>
      </w:r>
      <w:r>
        <w:rPr>
          <w:spacing w:val="-17"/>
        </w:rPr>
        <w:t> </w:t>
      </w:r>
      <w:r>
        <w:rPr/>
        <w:t>libera</w:t>
      </w:r>
      <w:r>
        <w:rPr>
          <w:spacing w:val="-19"/>
        </w:rPr>
        <w:t> </w:t>
      </w:r>
      <w:r>
        <w:rPr/>
        <w:t>fluor,</w:t>
      </w:r>
      <w:r>
        <w:rPr>
          <w:spacing w:val="-18"/>
        </w:rPr>
        <w:t> </w:t>
      </w:r>
      <w:r>
        <w:rPr/>
        <w:t>la</w:t>
      </w:r>
      <w:r>
        <w:rPr>
          <w:spacing w:val="-19"/>
        </w:rPr>
        <w:t> </w:t>
      </w:r>
      <w:r>
        <w:rPr/>
        <w:t>matriz</w:t>
      </w:r>
      <w:r>
        <w:rPr>
          <w:spacing w:val="-19"/>
        </w:rPr>
        <w:t> </w:t>
      </w:r>
      <w:r>
        <w:rPr/>
        <w:t>de</w:t>
      </w:r>
      <w:r>
        <w:rPr>
          <w:spacing w:val="-19"/>
        </w:rPr>
        <w:t> </w:t>
      </w:r>
      <w:r>
        <w:rPr/>
        <w:t>monómero se</w:t>
      </w:r>
      <w:r>
        <w:rPr>
          <w:spacing w:val="-9"/>
        </w:rPr>
        <w:t> </w:t>
      </w:r>
      <w:r>
        <w:rPr/>
        <w:t>compone</w:t>
      </w:r>
      <w:r>
        <w:rPr>
          <w:spacing w:val="-9"/>
        </w:rPr>
        <w:t> </w:t>
      </w:r>
      <w:r>
        <w:rPr/>
        <w:t>de</w:t>
      </w:r>
      <w:r>
        <w:rPr>
          <w:spacing w:val="-9"/>
        </w:rPr>
        <w:t> </w:t>
      </w:r>
      <w:r>
        <w:rPr/>
        <w:t>Bis-GMA,</w:t>
      </w:r>
      <w:r>
        <w:rPr>
          <w:spacing w:val="-10"/>
        </w:rPr>
        <w:t> </w:t>
      </w:r>
      <w:r>
        <w:rPr/>
        <w:t>dimetacrilato</w:t>
      </w:r>
      <w:r>
        <w:rPr>
          <w:spacing w:val="-12"/>
        </w:rPr>
        <w:t> </w:t>
      </w:r>
      <w:r>
        <w:rPr/>
        <w:t>de</w:t>
      </w:r>
      <w:r>
        <w:rPr>
          <w:spacing w:val="-9"/>
        </w:rPr>
        <w:t> </w:t>
      </w:r>
      <w:r>
        <w:rPr/>
        <w:t>uretano</w:t>
      </w:r>
      <w:r>
        <w:rPr>
          <w:spacing w:val="-9"/>
        </w:rPr>
        <w:t> </w:t>
      </w:r>
      <w:r>
        <w:rPr/>
        <w:t>y</w:t>
      </w:r>
      <w:r>
        <w:rPr>
          <w:spacing w:val="-13"/>
        </w:rPr>
        <w:t> </w:t>
      </w:r>
      <w:r>
        <w:rPr/>
        <w:t>trietilenglicoldimetacrilato</w:t>
      </w:r>
      <w:r>
        <w:rPr>
          <w:spacing w:val="-9"/>
        </w:rPr>
        <w:t> </w:t>
      </w:r>
      <w:r>
        <w:rPr/>
        <w:t>(58.6%</w:t>
      </w:r>
      <w:r>
        <w:rPr>
          <w:spacing w:val="-10"/>
        </w:rPr>
        <w:t> </w:t>
      </w:r>
      <w:r>
        <w:rPr/>
        <w:t>en peso). El material de relleno es el dióxido de silicio altamente disperso y vidrio de fluorosilicato (40.5% en peso) además contiene dióxido de titanio, estabilizadores y catalizadores</w:t>
      </w:r>
      <w:r>
        <w:rPr>
          <w:spacing w:val="-15"/>
        </w:rPr>
        <w:t> </w:t>
      </w:r>
      <w:r>
        <w:rPr/>
        <w:t>(&lt;1%</w:t>
      </w:r>
      <w:r>
        <w:rPr>
          <w:spacing w:val="-17"/>
        </w:rPr>
        <w:t> </w:t>
      </w:r>
      <w:r>
        <w:rPr/>
        <w:t>en</w:t>
      </w:r>
      <w:r>
        <w:rPr>
          <w:spacing w:val="-19"/>
        </w:rPr>
        <w:t> </w:t>
      </w:r>
      <w:r>
        <w:rPr/>
        <w:t>peso).</w:t>
      </w:r>
      <w:r>
        <w:rPr>
          <w:spacing w:val="-18"/>
        </w:rPr>
        <w:t> </w:t>
      </w:r>
      <w:r>
        <w:rPr/>
        <w:t>El</w:t>
      </w:r>
      <w:r>
        <w:rPr>
          <w:spacing w:val="-18"/>
        </w:rPr>
        <w:t> </w:t>
      </w:r>
      <w:r>
        <w:rPr/>
        <w:t>uso</w:t>
      </w:r>
      <w:r>
        <w:rPr>
          <w:spacing w:val="-16"/>
        </w:rPr>
        <w:t> </w:t>
      </w:r>
      <w:r>
        <w:rPr/>
        <w:t>de</w:t>
      </w:r>
      <w:r>
        <w:rPr>
          <w:spacing w:val="-16"/>
        </w:rPr>
        <w:t> </w:t>
      </w:r>
      <w:r>
        <w:rPr/>
        <w:t>este</w:t>
      </w:r>
      <w:r>
        <w:rPr>
          <w:spacing w:val="-16"/>
        </w:rPr>
        <w:t> </w:t>
      </w:r>
      <w:r>
        <w:rPr/>
        <w:t>producto</w:t>
      </w:r>
      <w:r>
        <w:rPr>
          <w:spacing w:val="-16"/>
        </w:rPr>
        <w:t> </w:t>
      </w:r>
      <w:r>
        <w:rPr/>
        <w:t>puede</w:t>
      </w:r>
      <w:r>
        <w:rPr>
          <w:spacing w:val="-16"/>
        </w:rPr>
        <w:t> </w:t>
      </w:r>
      <w:r>
        <w:rPr/>
        <w:t>provocar</w:t>
      </w:r>
      <w:r>
        <w:rPr>
          <w:spacing w:val="-16"/>
        </w:rPr>
        <w:t> </w:t>
      </w:r>
      <w:r>
        <w:rPr/>
        <w:t>alergias</w:t>
      </w:r>
      <w:r>
        <w:rPr>
          <w:spacing w:val="-14"/>
        </w:rPr>
        <w:t> </w:t>
      </w:r>
      <w:r>
        <w:rPr/>
        <w:t>al</w:t>
      </w:r>
      <w:r>
        <w:rPr>
          <w:spacing w:val="-15"/>
        </w:rPr>
        <w:t> </w:t>
      </w:r>
      <w:r>
        <w:rPr/>
        <w:t>contacto por lo que se recomienda no aplicar en caso de</w:t>
      </w:r>
      <w:r>
        <w:rPr>
          <w:spacing w:val="-24"/>
        </w:rPr>
        <w:t> </w:t>
      </w:r>
      <w:r>
        <w:rPr/>
        <w:t>alergia.</w:t>
      </w:r>
    </w:p>
    <w:p>
      <w:pPr>
        <w:pStyle w:val="BodyText"/>
      </w:pPr>
    </w:p>
    <w:p>
      <w:pPr>
        <w:pStyle w:val="BodyText"/>
        <w:spacing w:before="142"/>
        <w:ind w:left="118"/>
        <w:jc w:val="both"/>
      </w:pPr>
      <w:r>
        <w:rPr/>
        <w:t>De acuerdo al instructivo el procedimiento debe ser el siguiente.</w:t>
      </w:r>
    </w:p>
    <w:p>
      <w:pPr>
        <w:pStyle w:val="ListParagraph"/>
        <w:numPr>
          <w:ilvl w:val="0"/>
          <w:numId w:val="7"/>
        </w:numPr>
        <w:tabs>
          <w:tab w:pos="839" w:val="left" w:leader="none"/>
        </w:tabs>
        <w:spacing w:line="240" w:lineRule="auto" w:before="139" w:after="0"/>
        <w:ind w:left="838" w:right="0" w:hanging="360"/>
        <w:jc w:val="left"/>
        <w:rPr>
          <w:sz w:val="24"/>
        </w:rPr>
      </w:pPr>
      <w:r>
        <w:rPr>
          <w:sz w:val="24"/>
        </w:rPr>
        <w:t>Limpiar bien la superficie de</w:t>
      </w:r>
      <w:r>
        <w:rPr>
          <w:spacing w:val="-15"/>
          <w:sz w:val="24"/>
        </w:rPr>
        <w:t> </w:t>
      </w:r>
      <w:r>
        <w:rPr>
          <w:sz w:val="24"/>
        </w:rPr>
        <w:t>esmalte</w:t>
      </w:r>
    </w:p>
    <w:p>
      <w:pPr>
        <w:pStyle w:val="ListParagraph"/>
        <w:numPr>
          <w:ilvl w:val="0"/>
          <w:numId w:val="7"/>
        </w:numPr>
        <w:tabs>
          <w:tab w:pos="839" w:val="left" w:leader="none"/>
        </w:tabs>
        <w:spacing w:line="240" w:lineRule="auto" w:before="137" w:after="0"/>
        <w:ind w:left="838" w:right="0" w:hanging="360"/>
        <w:jc w:val="left"/>
        <w:rPr>
          <w:sz w:val="24"/>
        </w:rPr>
      </w:pPr>
      <w:r>
        <w:rPr>
          <w:sz w:val="24"/>
        </w:rPr>
        <w:t>Aislar el campo de trabajo, preferentemente con dique de</w:t>
      </w:r>
      <w:r>
        <w:rPr>
          <w:spacing w:val="-20"/>
          <w:sz w:val="24"/>
        </w:rPr>
        <w:t> </w:t>
      </w:r>
      <w:r>
        <w:rPr>
          <w:sz w:val="24"/>
        </w:rPr>
        <w:t>goma</w:t>
      </w:r>
    </w:p>
    <w:p>
      <w:pPr>
        <w:pStyle w:val="ListParagraph"/>
        <w:numPr>
          <w:ilvl w:val="0"/>
          <w:numId w:val="7"/>
        </w:numPr>
        <w:tabs>
          <w:tab w:pos="839" w:val="left" w:leader="none"/>
        </w:tabs>
        <w:spacing w:line="240" w:lineRule="auto" w:before="137" w:after="0"/>
        <w:ind w:left="838" w:right="0" w:hanging="360"/>
        <w:jc w:val="left"/>
        <w:rPr>
          <w:sz w:val="24"/>
        </w:rPr>
      </w:pPr>
      <w:r>
        <w:rPr>
          <w:sz w:val="24"/>
        </w:rPr>
        <w:t>Aplicar gel de grabado y dejar actuar entre 30 y 60</w:t>
      </w:r>
      <w:r>
        <w:rPr>
          <w:spacing w:val="-20"/>
          <w:sz w:val="24"/>
        </w:rPr>
        <w:t> </w:t>
      </w:r>
      <w:r>
        <w:rPr>
          <w:sz w:val="24"/>
        </w:rPr>
        <w:t>segundos</w:t>
      </w:r>
    </w:p>
    <w:p>
      <w:pPr>
        <w:pStyle w:val="ListParagraph"/>
        <w:numPr>
          <w:ilvl w:val="0"/>
          <w:numId w:val="7"/>
        </w:numPr>
        <w:tabs>
          <w:tab w:pos="839" w:val="left" w:leader="none"/>
        </w:tabs>
        <w:spacing w:line="240" w:lineRule="auto" w:before="140" w:after="0"/>
        <w:ind w:left="838" w:right="0" w:hanging="360"/>
        <w:jc w:val="left"/>
        <w:rPr>
          <w:sz w:val="24"/>
        </w:rPr>
      </w:pPr>
      <w:r>
        <w:rPr>
          <w:sz w:val="24"/>
        </w:rPr>
        <w:t>Lavar bien con chorro de</w:t>
      </w:r>
      <w:r>
        <w:rPr>
          <w:spacing w:val="-14"/>
          <w:sz w:val="24"/>
        </w:rPr>
        <w:t> </w:t>
      </w:r>
      <w:r>
        <w:rPr>
          <w:sz w:val="24"/>
        </w:rPr>
        <w:t>agua.</w:t>
      </w:r>
    </w:p>
    <w:p>
      <w:pPr>
        <w:pStyle w:val="ListParagraph"/>
        <w:numPr>
          <w:ilvl w:val="0"/>
          <w:numId w:val="7"/>
        </w:numPr>
        <w:tabs>
          <w:tab w:pos="839" w:val="left" w:leader="none"/>
        </w:tabs>
        <w:spacing w:line="360" w:lineRule="auto" w:before="137" w:after="0"/>
        <w:ind w:left="838" w:right="120" w:hanging="360"/>
        <w:jc w:val="left"/>
        <w:rPr>
          <w:sz w:val="24"/>
        </w:rPr>
      </w:pPr>
      <w:r>
        <w:rPr>
          <w:sz w:val="24"/>
        </w:rPr>
        <w:t>Secar con aire, sin grasa ni agua. El esmalte grabado debe tener un aspecto blanco mate. Evitar la contaminación con saliva de la zona</w:t>
      </w:r>
      <w:r>
        <w:rPr>
          <w:spacing w:val="-23"/>
          <w:sz w:val="24"/>
        </w:rPr>
        <w:t> </w:t>
      </w:r>
      <w:r>
        <w:rPr>
          <w:sz w:val="24"/>
        </w:rPr>
        <w:t>grabada.</w:t>
      </w:r>
    </w:p>
    <w:p>
      <w:pPr>
        <w:pStyle w:val="ListParagraph"/>
        <w:numPr>
          <w:ilvl w:val="0"/>
          <w:numId w:val="7"/>
        </w:numPr>
        <w:tabs>
          <w:tab w:pos="839" w:val="left" w:leader="none"/>
        </w:tabs>
        <w:spacing w:line="360" w:lineRule="auto" w:before="2" w:after="0"/>
        <w:ind w:left="838" w:right="122" w:hanging="360"/>
        <w:jc w:val="left"/>
        <w:rPr>
          <w:sz w:val="24"/>
        </w:rPr>
      </w:pPr>
      <w:r>
        <w:rPr>
          <w:sz w:val="24"/>
        </w:rPr>
        <w:t>Aplica Helioseal F directamente con la canula desechable o pincel desechable y extender.</w:t>
      </w:r>
    </w:p>
    <w:p>
      <w:pPr>
        <w:spacing w:after="0" w:line="360" w:lineRule="auto"/>
        <w:jc w:val="left"/>
        <w:rPr>
          <w:sz w:val="24"/>
        </w:rPr>
        <w:sectPr>
          <w:pgSz w:w="12240" w:h="15840"/>
          <w:pgMar w:header="0" w:footer="947" w:top="1360" w:bottom="1140" w:left="1300" w:right="1300"/>
        </w:sectPr>
      </w:pPr>
    </w:p>
    <w:p>
      <w:pPr>
        <w:pStyle w:val="ListParagraph"/>
        <w:numPr>
          <w:ilvl w:val="0"/>
          <w:numId w:val="7"/>
        </w:numPr>
        <w:tabs>
          <w:tab w:pos="905" w:val="left" w:leader="none"/>
          <w:tab w:pos="906" w:val="left" w:leader="none"/>
        </w:tabs>
        <w:spacing w:line="360" w:lineRule="auto" w:before="57" w:after="0"/>
        <w:ind w:left="838" w:right="115" w:hanging="360"/>
        <w:jc w:val="left"/>
        <w:rPr>
          <w:sz w:val="24"/>
        </w:rPr>
      </w:pPr>
      <w:r>
        <w:rPr>
          <w:sz w:val="24"/>
        </w:rPr>
        <w:t>Esperar aproximadamente 15 segundos. Seguidamente polimerizar el sellador con una lámpara de polimerización apropiada durante 20</w:t>
      </w:r>
      <w:r>
        <w:rPr>
          <w:spacing w:val="-26"/>
          <w:sz w:val="24"/>
        </w:rPr>
        <w:t> </w:t>
      </w:r>
      <w:r>
        <w:rPr>
          <w:sz w:val="24"/>
        </w:rPr>
        <w:t>segundos</w:t>
      </w:r>
    </w:p>
    <w:p>
      <w:pPr>
        <w:pStyle w:val="ListParagraph"/>
        <w:numPr>
          <w:ilvl w:val="0"/>
          <w:numId w:val="7"/>
        </w:numPr>
        <w:tabs>
          <w:tab w:pos="839" w:val="left" w:leader="none"/>
        </w:tabs>
        <w:spacing w:line="240" w:lineRule="auto" w:before="0" w:after="0"/>
        <w:ind w:left="838" w:right="0" w:hanging="360"/>
        <w:jc w:val="left"/>
        <w:rPr>
          <w:sz w:val="16"/>
        </w:rPr>
      </w:pPr>
      <w:r>
        <w:rPr>
          <w:sz w:val="24"/>
        </w:rPr>
        <w:t>Controlar el sellado y la oclusión.</w:t>
      </w:r>
      <w:r>
        <w:rPr>
          <w:spacing w:val="-7"/>
          <w:sz w:val="24"/>
        </w:rPr>
        <w:t> </w:t>
      </w:r>
      <w:r>
        <w:rPr>
          <w:position w:val="8"/>
          <w:sz w:val="16"/>
        </w:rPr>
        <w:t>31</w:t>
      </w:r>
    </w:p>
    <w:p>
      <w:pPr>
        <w:pStyle w:val="BodyText"/>
        <w:rPr>
          <w:sz w:val="26"/>
        </w:rPr>
      </w:pPr>
    </w:p>
    <w:p>
      <w:pPr>
        <w:pStyle w:val="BodyText"/>
        <w:spacing w:before="6"/>
        <w:rPr>
          <w:sz w:val="21"/>
        </w:rPr>
      </w:pPr>
    </w:p>
    <w:p>
      <w:pPr>
        <w:pStyle w:val="BodyText"/>
        <w:spacing w:line="360" w:lineRule="auto"/>
        <w:ind w:left="118" w:right="118"/>
        <w:jc w:val="both"/>
      </w:pPr>
      <w:r>
        <w:rPr/>
        <w:t>En un estudio realizado por Eliades, </w:t>
      </w:r>
      <w:r>
        <w:rPr>
          <w:position w:val="8"/>
          <w:sz w:val="16"/>
        </w:rPr>
        <w:t>32 </w:t>
      </w:r>
      <w:r>
        <w:rPr/>
        <w:t>cuyo objetivo fue evaluar las propiedades de los materiales</w:t>
      </w:r>
      <w:r>
        <w:rPr>
          <w:spacing w:val="-13"/>
        </w:rPr>
        <w:t> </w:t>
      </w:r>
      <w:r>
        <w:rPr/>
        <w:t>de</w:t>
      </w:r>
      <w:r>
        <w:rPr>
          <w:spacing w:val="-13"/>
        </w:rPr>
        <w:t> </w:t>
      </w:r>
      <w:r>
        <w:rPr/>
        <w:t>restauración</w:t>
      </w:r>
      <w:r>
        <w:rPr>
          <w:spacing w:val="-10"/>
        </w:rPr>
        <w:t> </w:t>
      </w:r>
      <w:r>
        <w:rPr/>
        <w:t>auto-adhesivos</w:t>
      </w:r>
      <w:r>
        <w:rPr>
          <w:spacing w:val="-14"/>
        </w:rPr>
        <w:t> </w:t>
      </w:r>
      <w:r>
        <w:rPr/>
        <w:t>utilizados</w:t>
      </w:r>
      <w:r>
        <w:rPr>
          <w:spacing w:val="-14"/>
        </w:rPr>
        <w:t> </w:t>
      </w:r>
      <w:r>
        <w:rPr/>
        <w:t>como</w:t>
      </w:r>
      <w:r>
        <w:rPr>
          <w:spacing w:val="-13"/>
        </w:rPr>
        <w:t> </w:t>
      </w:r>
      <w:r>
        <w:rPr/>
        <w:t>sellantes</w:t>
      </w:r>
      <w:r>
        <w:rPr>
          <w:spacing w:val="-16"/>
        </w:rPr>
        <w:t> </w:t>
      </w:r>
      <w:r>
        <w:rPr/>
        <w:t>en</w:t>
      </w:r>
      <w:r>
        <w:rPr>
          <w:spacing w:val="-13"/>
        </w:rPr>
        <w:t> </w:t>
      </w:r>
      <w:r>
        <w:rPr/>
        <w:t>comparación</w:t>
      </w:r>
      <w:r>
        <w:rPr>
          <w:spacing w:val="-13"/>
        </w:rPr>
        <w:t> </w:t>
      </w:r>
      <w:r>
        <w:rPr/>
        <w:t>con los</w:t>
      </w:r>
      <w:r>
        <w:rPr>
          <w:spacing w:val="-9"/>
        </w:rPr>
        <w:t> </w:t>
      </w:r>
      <w:r>
        <w:rPr/>
        <w:t>sellantes</w:t>
      </w:r>
      <w:r>
        <w:rPr>
          <w:spacing w:val="-9"/>
        </w:rPr>
        <w:t> </w:t>
      </w:r>
      <w:r>
        <w:rPr/>
        <w:t>con</w:t>
      </w:r>
      <w:r>
        <w:rPr>
          <w:spacing w:val="-11"/>
        </w:rPr>
        <w:t> </w:t>
      </w:r>
      <w:r>
        <w:rPr/>
        <w:t>monómeros</w:t>
      </w:r>
      <w:r>
        <w:rPr>
          <w:spacing w:val="-11"/>
        </w:rPr>
        <w:t> </w:t>
      </w:r>
      <w:r>
        <w:rPr/>
        <w:t>hidrófobos</w:t>
      </w:r>
      <w:r>
        <w:rPr>
          <w:spacing w:val="-9"/>
        </w:rPr>
        <w:t> </w:t>
      </w:r>
      <w:r>
        <w:rPr/>
        <w:t>o</w:t>
      </w:r>
      <w:r>
        <w:rPr>
          <w:spacing w:val="-11"/>
        </w:rPr>
        <w:t> </w:t>
      </w:r>
      <w:r>
        <w:rPr/>
        <w:t>hidrófilos.</w:t>
      </w:r>
      <w:r>
        <w:rPr>
          <w:spacing w:val="-11"/>
        </w:rPr>
        <w:t> </w:t>
      </w:r>
      <w:r>
        <w:rPr/>
        <w:t>Reportó</w:t>
      </w:r>
      <w:r>
        <w:rPr>
          <w:spacing w:val="-11"/>
        </w:rPr>
        <w:t> </w:t>
      </w:r>
      <w:r>
        <w:rPr/>
        <w:t>que</w:t>
      </w:r>
      <w:r>
        <w:rPr>
          <w:spacing w:val="-11"/>
        </w:rPr>
        <w:t> </w:t>
      </w:r>
      <w:r>
        <w:rPr/>
        <w:t>el</w:t>
      </w:r>
      <w:r>
        <w:rPr>
          <w:spacing w:val="-12"/>
        </w:rPr>
        <w:t> </w:t>
      </w:r>
      <w:r>
        <w:rPr/>
        <w:t>Helioseal</w:t>
      </w:r>
      <w:r>
        <w:rPr>
          <w:spacing w:val="-10"/>
        </w:rPr>
        <w:t> </w:t>
      </w:r>
      <w:r>
        <w:rPr/>
        <w:t>F</w:t>
      </w:r>
      <w:r>
        <w:rPr>
          <w:spacing w:val="-12"/>
        </w:rPr>
        <w:t> </w:t>
      </w:r>
      <w:r>
        <w:rPr/>
        <w:t>presentó mejores</w:t>
      </w:r>
      <w:r>
        <w:rPr>
          <w:spacing w:val="-8"/>
        </w:rPr>
        <w:t> </w:t>
      </w:r>
      <w:r>
        <w:rPr/>
        <w:t>propiedades</w:t>
      </w:r>
      <w:r>
        <w:rPr>
          <w:spacing w:val="-8"/>
        </w:rPr>
        <w:t> </w:t>
      </w:r>
      <w:r>
        <w:rPr/>
        <w:t>en</w:t>
      </w:r>
      <w:r>
        <w:rPr>
          <w:spacing w:val="-5"/>
        </w:rPr>
        <w:t> </w:t>
      </w:r>
      <w:r>
        <w:rPr/>
        <w:t>el</w:t>
      </w:r>
      <w:r>
        <w:rPr>
          <w:spacing w:val="-6"/>
        </w:rPr>
        <w:t> </w:t>
      </w:r>
      <w:r>
        <w:rPr/>
        <w:t>grado</w:t>
      </w:r>
      <w:r>
        <w:rPr>
          <w:spacing w:val="-7"/>
        </w:rPr>
        <w:t> </w:t>
      </w:r>
      <w:r>
        <w:rPr/>
        <w:t>de</w:t>
      </w:r>
      <w:r>
        <w:rPr>
          <w:spacing w:val="-5"/>
        </w:rPr>
        <w:t> </w:t>
      </w:r>
      <w:r>
        <w:rPr/>
        <w:t>inhibición</w:t>
      </w:r>
      <w:r>
        <w:rPr>
          <w:spacing w:val="-5"/>
        </w:rPr>
        <w:t> </w:t>
      </w:r>
      <w:r>
        <w:rPr/>
        <w:t>de</w:t>
      </w:r>
      <w:r>
        <w:rPr>
          <w:spacing w:val="-7"/>
        </w:rPr>
        <w:t> </w:t>
      </w:r>
      <w:r>
        <w:rPr/>
        <w:t>oxígeno,</w:t>
      </w:r>
      <w:r>
        <w:rPr>
          <w:spacing w:val="-5"/>
        </w:rPr>
        <w:t> </w:t>
      </w:r>
      <w:r>
        <w:rPr/>
        <w:t>flujo</w:t>
      </w:r>
      <w:r>
        <w:rPr>
          <w:spacing w:val="-5"/>
        </w:rPr>
        <w:t> </w:t>
      </w:r>
      <w:r>
        <w:rPr/>
        <w:t>del</w:t>
      </w:r>
      <w:r>
        <w:rPr>
          <w:spacing w:val="-8"/>
        </w:rPr>
        <w:t> </w:t>
      </w:r>
      <w:r>
        <w:rPr/>
        <w:t>material,</w:t>
      </w:r>
      <w:r>
        <w:rPr>
          <w:spacing w:val="-5"/>
        </w:rPr>
        <w:t> </w:t>
      </w:r>
      <w:r>
        <w:rPr/>
        <w:t>penetración de la fisura, adaptación y microfiltración en comparación con otros selladores. Sin embargo en otro estudio, </w:t>
      </w:r>
      <w:r>
        <w:rPr>
          <w:position w:val="8"/>
          <w:sz w:val="16"/>
        </w:rPr>
        <w:t>33 </w:t>
      </w:r>
      <w:r>
        <w:rPr/>
        <w:t>el Clinpro demostró tener una mayor resistencia de cizallamiento en comparación con el Helioseal</w:t>
      </w:r>
      <w:r>
        <w:rPr>
          <w:spacing w:val="-14"/>
        </w:rPr>
        <w:t> </w:t>
      </w:r>
      <w:r>
        <w:rPr/>
        <w:t>F.</w:t>
      </w:r>
    </w:p>
    <w:p>
      <w:pPr>
        <w:pStyle w:val="BodyText"/>
        <w:spacing w:before="10"/>
        <w:rPr>
          <w:sz w:val="35"/>
        </w:rPr>
      </w:pPr>
    </w:p>
    <w:p>
      <w:pPr>
        <w:pStyle w:val="BodyText"/>
        <w:spacing w:line="360" w:lineRule="auto"/>
        <w:ind w:left="118" w:right="114"/>
        <w:jc w:val="both"/>
      </w:pPr>
      <w:r>
        <w:rPr/>
        <w:t>Por</w:t>
      </w:r>
      <w:r>
        <w:rPr>
          <w:spacing w:val="-9"/>
        </w:rPr>
        <w:t> </w:t>
      </w:r>
      <w:r>
        <w:rPr/>
        <w:t>otra</w:t>
      </w:r>
      <w:r>
        <w:rPr>
          <w:spacing w:val="-8"/>
        </w:rPr>
        <w:t> </w:t>
      </w:r>
      <w:r>
        <w:rPr/>
        <w:t>parte</w:t>
      </w:r>
      <w:r>
        <w:rPr>
          <w:spacing w:val="-6"/>
        </w:rPr>
        <w:t> </w:t>
      </w:r>
      <w:r>
        <w:rPr/>
        <w:t>Koch</w:t>
      </w:r>
      <w:r>
        <w:rPr>
          <w:spacing w:val="-7"/>
        </w:rPr>
        <w:t> </w:t>
      </w:r>
      <w:r>
        <w:rPr/>
        <w:t>MJ,</w:t>
      </w:r>
      <w:r>
        <w:rPr>
          <w:spacing w:val="-8"/>
        </w:rPr>
        <w:t> </w:t>
      </w:r>
      <w:r>
        <w:rPr>
          <w:position w:val="8"/>
          <w:sz w:val="16"/>
        </w:rPr>
        <w:t>34</w:t>
      </w:r>
      <w:r>
        <w:rPr>
          <w:spacing w:val="-6"/>
          <w:position w:val="8"/>
          <w:sz w:val="16"/>
        </w:rPr>
        <w:t> </w:t>
      </w:r>
      <w:r>
        <w:rPr/>
        <w:t>comparó</w:t>
      </w:r>
      <w:r>
        <w:rPr>
          <w:spacing w:val="-8"/>
        </w:rPr>
        <w:t> </w:t>
      </w:r>
      <w:r>
        <w:rPr/>
        <w:t>la</w:t>
      </w:r>
      <w:r>
        <w:rPr>
          <w:spacing w:val="-8"/>
        </w:rPr>
        <w:t> </w:t>
      </w:r>
      <w:r>
        <w:rPr/>
        <w:t>retención</w:t>
      </w:r>
      <w:r>
        <w:rPr>
          <w:spacing w:val="-7"/>
        </w:rPr>
        <w:t> </w:t>
      </w:r>
      <w:r>
        <w:rPr/>
        <w:t>del</w:t>
      </w:r>
      <w:r>
        <w:rPr>
          <w:spacing w:val="-9"/>
        </w:rPr>
        <w:t> </w:t>
      </w:r>
      <w:r>
        <w:rPr/>
        <w:t>sellador</w:t>
      </w:r>
      <w:r>
        <w:rPr>
          <w:spacing w:val="-6"/>
        </w:rPr>
        <w:t> </w:t>
      </w:r>
      <w:r>
        <w:rPr/>
        <w:t>Helioseal</w:t>
      </w:r>
      <w:r>
        <w:rPr>
          <w:spacing w:val="-9"/>
        </w:rPr>
        <w:t> </w:t>
      </w:r>
      <w:r>
        <w:rPr/>
        <w:t>F</w:t>
      </w:r>
      <w:r>
        <w:rPr>
          <w:spacing w:val="-8"/>
        </w:rPr>
        <w:t> </w:t>
      </w:r>
      <w:r>
        <w:rPr/>
        <w:t>liberador</w:t>
      </w:r>
      <w:r>
        <w:rPr>
          <w:spacing w:val="-9"/>
        </w:rPr>
        <w:t> </w:t>
      </w:r>
      <w:r>
        <w:rPr/>
        <w:t>de</w:t>
      </w:r>
      <w:r>
        <w:rPr>
          <w:spacing w:val="-10"/>
        </w:rPr>
        <w:t> </w:t>
      </w:r>
      <w:r>
        <w:rPr/>
        <w:t>fluor contra el Delton un sellador convencional que no libera flúor, donde la diferencia entre uno y otro no fue</w:t>
      </w:r>
      <w:r>
        <w:rPr>
          <w:spacing w:val="-12"/>
        </w:rPr>
        <w:t> </w:t>
      </w:r>
      <w:r>
        <w:rPr/>
        <w:t>significativa.</w:t>
      </w:r>
    </w:p>
    <w:p>
      <w:pPr>
        <w:pStyle w:val="BodyText"/>
      </w:pPr>
    </w:p>
    <w:p>
      <w:pPr>
        <w:pStyle w:val="BodyText"/>
        <w:spacing w:line="357" w:lineRule="auto" w:before="142"/>
        <w:ind w:left="118" w:right="115"/>
        <w:jc w:val="both"/>
        <w:rPr>
          <w:sz w:val="16"/>
        </w:rPr>
      </w:pPr>
      <w:r>
        <w:rPr/>
        <w:t>Pero cabe mencionar que los selladores de resina en condiciones favorables colocados por personal dental debidamente capacitados son seguros, eficaces en la prevención de la caries de fosas y fisuras en las superficies de riesgo. La eficacia se aumenta con una buena técnica, seguimiento y resellado según sea necesario.</w:t>
      </w:r>
      <w:r>
        <w:rPr>
          <w:position w:val="8"/>
          <w:sz w:val="16"/>
        </w:rPr>
        <w:t>18</w:t>
      </w:r>
    </w:p>
    <w:p>
      <w:pPr>
        <w:pStyle w:val="BodyText"/>
        <w:spacing w:before="2"/>
        <w:rPr>
          <w:sz w:val="36"/>
        </w:rPr>
      </w:pPr>
    </w:p>
    <w:p>
      <w:pPr>
        <w:pStyle w:val="BodyText"/>
        <w:spacing w:line="360" w:lineRule="auto" w:before="1"/>
        <w:ind w:left="118" w:right="115"/>
        <w:jc w:val="both"/>
        <w:rPr>
          <w:sz w:val="16"/>
        </w:rPr>
      </w:pPr>
      <w:r>
        <w:rPr/>
        <w:t>Cuando el sellado es insuficiente provoca microfiltración de sustancias y organismos entre</w:t>
      </w:r>
      <w:r>
        <w:rPr>
          <w:spacing w:val="-11"/>
        </w:rPr>
        <w:t> </w:t>
      </w:r>
      <w:r>
        <w:rPr/>
        <w:t>el</w:t>
      </w:r>
      <w:r>
        <w:rPr>
          <w:spacing w:val="-14"/>
        </w:rPr>
        <w:t> </w:t>
      </w:r>
      <w:r>
        <w:rPr/>
        <w:t>diente</w:t>
      </w:r>
      <w:r>
        <w:rPr>
          <w:spacing w:val="-11"/>
        </w:rPr>
        <w:t> </w:t>
      </w:r>
      <w:r>
        <w:rPr/>
        <w:t>y</w:t>
      </w:r>
      <w:r>
        <w:rPr>
          <w:spacing w:val="-14"/>
        </w:rPr>
        <w:t> </w:t>
      </w:r>
      <w:r>
        <w:rPr/>
        <w:t>el</w:t>
      </w:r>
      <w:r>
        <w:rPr>
          <w:spacing w:val="-12"/>
        </w:rPr>
        <w:t> </w:t>
      </w:r>
      <w:r>
        <w:rPr/>
        <w:t>sellador.</w:t>
      </w:r>
      <w:r>
        <w:rPr>
          <w:spacing w:val="-12"/>
        </w:rPr>
        <w:t> </w:t>
      </w:r>
      <w:r>
        <w:rPr/>
        <w:t>Se</w:t>
      </w:r>
      <w:r>
        <w:rPr>
          <w:spacing w:val="-11"/>
        </w:rPr>
        <w:t> </w:t>
      </w:r>
      <w:r>
        <w:rPr/>
        <w:t>ha</w:t>
      </w:r>
      <w:r>
        <w:rPr>
          <w:spacing w:val="-13"/>
        </w:rPr>
        <w:t> </w:t>
      </w:r>
      <w:r>
        <w:rPr/>
        <w:t>demostrado</w:t>
      </w:r>
      <w:r>
        <w:rPr>
          <w:spacing w:val="-11"/>
        </w:rPr>
        <w:t> </w:t>
      </w:r>
      <w:r>
        <w:rPr/>
        <w:t>en</w:t>
      </w:r>
      <w:r>
        <w:rPr>
          <w:spacing w:val="-11"/>
        </w:rPr>
        <w:t> </w:t>
      </w:r>
      <w:r>
        <w:rPr/>
        <w:t>estudios</w:t>
      </w:r>
      <w:r>
        <w:rPr>
          <w:spacing w:val="-12"/>
        </w:rPr>
        <w:t> </w:t>
      </w:r>
      <w:r>
        <w:rPr/>
        <w:t>que</w:t>
      </w:r>
      <w:r>
        <w:rPr>
          <w:spacing w:val="-11"/>
        </w:rPr>
        <w:t> </w:t>
      </w:r>
      <w:r>
        <w:rPr/>
        <w:t>la</w:t>
      </w:r>
      <w:r>
        <w:rPr>
          <w:spacing w:val="-11"/>
        </w:rPr>
        <w:t> </w:t>
      </w:r>
      <w:r>
        <w:rPr/>
        <w:t>colocación</w:t>
      </w:r>
      <w:r>
        <w:rPr>
          <w:spacing w:val="-10"/>
        </w:rPr>
        <w:t> </w:t>
      </w:r>
      <w:r>
        <w:rPr/>
        <w:t>de</w:t>
      </w:r>
      <w:r>
        <w:rPr>
          <w:spacing w:val="-11"/>
        </w:rPr>
        <w:t> </w:t>
      </w:r>
      <w:r>
        <w:rPr/>
        <w:t>adhesivo previa al sellador presenta microfiltración. Cuando el diente es contaminado con saliva evita el desprendimiento del sellador; esto puede deberse a que la viscosidad del adhesivo</w:t>
      </w:r>
      <w:r>
        <w:rPr>
          <w:spacing w:val="-5"/>
        </w:rPr>
        <w:t> </w:t>
      </w:r>
      <w:r>
        <w:rPr/>
        <w:t>disminuye</w:t>
      </w:r>
      <w:r>
        <w:rPr>
          <w:spacing w:val="-5"/>
        </w:rPr>
        <w:t> </w:t>
      </w:r>
      <w:r>
        <w:rPr/>
        <w:t>al</w:t>
      </w:r>
      <w:r>
        <w:rPr>
          <w:spacing w:val="-6"/>
        </w:rPr>
        <w:t> </w:t>
      </w:r>
      <w:r>
        <w:rPr/>
        <w:t>contacto</w:t>
      </w:r>
      <w:r>
        <w:rPr>
          <w:spacing w:val="-4"/>
        </w:rPr>
        <w:t> </w:t>
      </w:r>
      <w:r>
        <w:rPr/>
        <w:t>con</w:t>
      </w:r>
      <w:r>
        <w:rPr>
          <w:spacing w:val="-5"/>
        </w:rPr>
        <w:t> </w:t>
      </w:r>
      <w:r>
        <w:rPr/>
        <w:t>la</w:t>
      </w:r>
      <w:r>
        <w:rPr>
          <w:spacing w:val="-5"/>
        </w:rPr>
        <w:t> </w:t>
      </w:r>
      <w:r>
        <w:rPr/>
        <w:t>saliva,</w:t>
      </w:r>
      <w:r>
        <w:rPr>
          <w:spacing w:val="-5"/>
        </w:rPr>
        <w:t> </w:t>
      </w:r>
      <w:r>
        <w:rPr/>
        <w:t>logrando</w:t>
      </w:r>
      <w:r>
        <w:rPr>
          <w:spacing w:val="-5"/>
        </w:rPr>
        <w:t> </w:t>
      </w:r>
      <w:r>
        <w:rPr/>
        <w:t>una</w:t>
      </w:r>
      <w:r>
        <w:rPr>
          <w:spacing w:val="-5"/>
        </w:rPr>
        <w:t> </w:t>
      </w:r>
      <w:r>
        <w:rPr/>
        <w:t>mejor</w:t>
      </w:r>
      <w:r>
        <w:rPr>
          <w:spacing w:val="-6"/>
        </w:rPr>
        <w:t> </w:t>
      </w:r>
      <w:r>
        <w:rPr/>
        <w:t>adhesión</w:t>
      </w:r>
      <w:r>
        <w:rPr>
          <w:spacing w:val="-4"/>
        </w:rPr>
        <w:t> </w:t>
      </w:r>
      <w:r>
        <w:rPr/>
        <w:t>sin</w:t>
      </w:r>
      <w:r>
        <w:rPr>
          <w:spacing w:val="-5"/>
        </w:rPr>
        <w:t> </w:t>
      </w:r>
      <w:r>
        <w:rPr/>
        <w:t>embargo, esto no disminuye la microfiltración al fondo de la</w:t>
      </w:r>
      <w:r>
        <w:rPr>
          <w:spacing w:val="-13"/>
        </w:rPr>
        <w:t> </w:t>
      </w:r>
      <w:r>
        <w:rPr/>
        <w:t>foseta.</w:t>
      </w:r>
      <w:r>
        <w:rPr>
          <w:position w:val="8"/>
          <w:sz w:val="16"/>
        </w:rPr>
        <w:t>35</w:t>
      </w:r>
    </w:p>
    <w:p>
      <w:pPr>
        <w:spacing w:after="0" w:line="360" w:lineRule="auto"/>
        <w:jc w:val="both"/>
        <w:rPr>
          <w:sz w:val="16"/>
        </w:rPr>
        <w:sectPr>
          <w:pgSz w:w="12240" w:h="15840"/>
          <w:pgMar w:header="0" w:footer="947" w:top="1360" w:bottom="1140" w:left="1300" w:right="1300"/>
        </w:sectPr>
      </w:pPr>
    </w:p>
    <w:p>
      <w:pPr>
        <w:pStyle w:val="Heading1"/>
        <w:spacing w:before="57"/>
      </w:pPr>
      <w:r>
        <w:rPr/>
        <w:t>Estudios de incidencia de caries</w:t>
      </w:r>
    </w:p>
    <w:p>
      <w:pPr>
        <w:pStyle w:val="BodyText"/>
        <w:spacing w:line="360" w:lineRule="auto" w:before="137"/>
        <w:ind w:left="118" w:right="113"/>
        <w:jc w:val="both"/>
      </w:pPr>
      <w:r>
        <w:rPr/>
        <w:t>Entre los estudios que compararon la incidencia de caries en dientes sellados con Helioseal,</w:t>
      </w:r>
      <w:r>
        <w:rPr>
          <w:spacing w:val="-9"/>
        </w:rPr>
        <w:t> </w:t>
      </w:r>
      <w:r>
        <w:rPr/>
        <w:t>Helioseal</w:t>
      </w:r>
      <w:r>
        <w:rPr>
          <w:spacing w:val="-10"/>
        </w:rPr>
        <w:t> </w:t>
      </w:r>
      <w:r>
        <w:rPr/>
        <w:t>F</w:t>
      </w:r>
      <w:r>
        <w:rPr>
          <w:spacing w:val="-9"/>
        </w:rPr>
        <w:t> </w:t>
      </w:r>
      <w:r>
        <w:rPr/>
        <w:t>y</w:t>
      </w:r>
      <w:r>
        <w:rPr>
          <w:spacing w:val="-12"/>
        </w:rPr>
        <w:t> </w:t>
      </w:r>
      <w:r>
        <w:rPr/>
        <w:t>en</w:t>
      </w:r>
      <w:r>
        <w:rPr>
          <w:spacing w:val="-8"/>
        </w:rPr>
        <w:t> </w:t>
      </w:r>
      <w:r>
        <w:rPr/>
        <w:t>dientes</w:t>
      </w:r>
      <w:r>
        <w:rPr>
          <w:spacing w:val="-9"/>
        </w:rPr>
        <w:t> </w:t>
      </w:r>
      <w:r>
        <w:rPr/>
        <w:t>no</w:t>
      </w:r>
      <w:r>
        <w:rPr>
          <w:spacing w:val="-8"/>
        </w:rPr>
        <w:t> </w:t>
      </w:r>
      <w:r>
        <w:rPr/>
        <w:t>sellados.</w:t>
      </w:r>
      <w:r>
        <w:rPr>
          <w:spacing w:val="-9"/>
        </w:rPr>
        <w:t> </w:t>
      </w:r>
      <w:r>
        <w:rPr/>
        <w:t>Se</w:t>
      </w:r>
      <w:r>
        <w:rPr>
          <w:spacing w:val="-5"/>
        </w:rPr>
        <w:t> </w:t>
      </w:r>
      <w:r>
        <w:rPr/>
        <w:t>encuentra</w:t>
      </w:r>
      <w:r>
        <w:rPr>
          <w:spacing w:val="-9"/>
        </w:rPr>
        <w:t> </w:t>
      </w:r>
      <w:r>
        <w:rPr/>
        <w:t>los</w:t>
      </w:r>
      <w:r>
        <w:rPr>
          <w:spacing w:val="-9"/>
        </w:rPr>
        <w:t> </w:t>
      </w:r>
      <w:r>
        <w:rPr/>
        <w:t>realizados</w:t>
      </w:r>
      <w:r>
        <w:rPr>
          <w:spacing w:val="-9"/>
        </w:rPr>
        <w:t> </w:t>
      </w:r>
      <w:r>
        <w:rPr/>
        <w:t>por</w:t>
      </w:r>
      <w:r>
        <w:rPr>
          <w:spacing w:val="-7"/>
        </w:rPr>
        <w:t> </w:t>
      </w:r>
      <w:r>
        <w:rPr/>
        <w:t>Carlsson A,</w:t>
      </w:r>
      <w:r>
        <w:rPr>
          <w:spacing w:val="-1"/>
        </w:rPr>
        <w:t> </w:t>
      </w:r>
      <w:hyperlink r:id="rId10">
        <w:r>
          <w:rPr/>
          <w:t>Petersson</w:t>
        </w:r>
        <w:r>
          <w:rPr>
            <w:spacing w:val="-10"/>
          </w:rPr>
          <w:t> </w:t>
        </w:r>
        <w:r>
          <w:rPr/>
          <w:t>M</w:t>
        </w:r>
      </w:hyperlink>
      <w:r>
        <w:rPr>
          <w:spacing w:val="-9"/>
        </w:rPr>
        <w:t> </w:t>
      </w:r>
      <w:r>
        <w:rPr/>
        <w:t>y</w:t>
      </w:r>
      <w:r>
        <w:rPr>
          <w:spacing w:val="-14"/>
        </w:rPr>
        <w:t> </w:t>
      </w:r>
      <w:hyperlink r:id="rId11">
        <w:r>
          <w:rPr/>
          <w:t>Twetman</w:t>
        </w:r>
        <w:r>
          <w:rPr>
            <w:spacing w:val="-11"/>
          </w:rPr>
          <w:t> </w:t>
        </w:r>
        <w:r>
          <w:rPr/>
          <w:t>S</w:t>
        </w:r>
      </w:hyperlink>
      <w:r>
        <w:rPr/>
        <w:t>,</w:t>
      </w:r>
      <w:r>
        <w:rPr>
          <w:position w:val="8"/>
          <w:sz w:val="16"/>
        </w:rPr>
        <w:t>36</w:t>
      </w:r>
      <w:r>
        <w:rPr>
          <w:spacing w:val="31"/>
          <w:position w:val="8"/>
          <w:sz w:val="16"/>
        </w:rPr>
        <w:t> </w:t>
      </w:r>
      <w:r>
        <w:rPr/>
        <w:t>quienes</w:t>
      </w:r>
      <w:r>
        <w:rPr>
          <w:spacing w:val="-9"/>
        </w:rPr>
        <w:t> </w:t>
      </w:r>
      <w:r>
        <w:rPr/>
        <w:t>reportan</w:t>
      </w:r>
      <w:r>
        <w:rPr>
          <w:spacing w:val="-11"/>
        </w:rPr>
        <w:t> </w:t>
      </w:r>
      <w:r>
        <w:rPr/>
        <w:t>una</w:t>
      </w:r>
      <w:r>
        <w:rPr>
          <w:spacing w:val="-11"/>
        </w:rPr>
        <w:t> </w:t>
      </w:r>
      <w:r>
        <w:rPr/>
        <w:t>incidencia</w:t>
      </w:r>
      <w:r>
        <w:rPr>
          <w:spacing w:val="-11"/>
        </w:rPr>
        <w:t> </w:t>
      </w:r>
      <w:r>
        <w:rPr/>
        <w:t>de</w:t>
      </w:r>
      <w:r>
        <w:rPr>
          <w:spacing w:val="-11"/>
        </w:rPr>
        <w:t> </w:t>
      </w:r>
      <w:r>
        <w:rPr/>
        <w:t>caries</w:t>
      </w:r>
      <w:r>
        <w:rPr>
          <w:spacing w:val="-9"/>
        </w:rPr>
        <w:t> </w:t>
      </w:r>
      <w:r>
        <w:rPr/>
        <w:t>de</w:t>
      </w:r>
      <w:r>
        <w:rPr>
          <w:spacing w:val="-11"/>
        </w:rPr>
        <w:t> </w:t>
      </w:r>
      <w:r>
        <w:rPr/>
        <w:t>45%</w:t>
      </w:r>
      <w:r>
        <w:rPr>
          <w:spacing w:val="-11"/>
        </w:rPr>
        <w:t> </w:t>
      </w:r>
      <w:r>
        <w:rPr/>
        <w:t>menor en un grupo de dientes con selladores en comparación con otro grupo sin sellador después de dos años. También Wagner y colaboradores, </w:t>
      </w:r>
      <w:r>
        <w:rPr>
          <w:position w:val="8"/>
          <w:sz w:val="16"/>
        </w:rPr>
        <w:t>37 </w:t>
      </w:r>
      <w:r>
        <w:rPr/>
        <w:t>hicieron un estudio similar donde</w:t>
      </w:r>
      <w:r>
        <w:rPr>
          <w:spacing w:val="-18"/>
        </w:rPr>
        <w:t> </w:t>
      </w:r>
      <w:r>
        <w:rPr/>
        <w:t>encontraron</w:t>
      </w:r>
      <w:r>
        <w:rPr>
          <w:spacing w:val="-20"/>
        </w:rPr>
        <w:t> </w:t>
      </w:r>
      <w:r>
        <w:rPr/>
        <w:t>una</w:t>
      </w:r>
      <w:r>
        <w:rPr>
          <w:spacing w:val="-20"/>
        </w:rPr>
        <w:t> </w:t>
      </w:r>
      <w:r>
        <w:rPr/>
        <w:t>incidencia</w:t>
      </w:r>
      <w:r>
        <w:rPr>
          <w:spacing w:val="-21"/>
        </w:rPr>
        <w:t> </w:t>
      </w:r>
      <w:r>
        <w:rPr/>
        <w:t>de</w:t>
      </w:r>
      <w:r>
        <w:rPr>
          <w:spacing w:val="-18"/>
        </w:rPr>
        <w:t> </w:t>
      </w:r>
      <w:r>
        <w:rPr/>
        <w:t>caries</w:t>
      </w:r>
      <w:r>
        <w:rPr>
          <w:spacing w:val="-19"/>
        </w:rPr>
        <w:t> </w:t>
      </w:r>
      <w:r>
        <w:rPr/>
        <w:t>de</w:t>
      </w:r>
      <w:r>
        <w:rPr>
          <w:spacing w:val="-20"/>
        </w:rPr>
        <w:t> </w:t>
      </w:r>
      <w:r>
        <w:rPr/>
        <w:t>49.3%</w:t>
      </w:r>
      <w:r>
        <w:rPr>
          <w:spacing w:val="-21"/>
        </w:rPr>
        <w:t> </w:t>
      </w:r>
      <w:r>
        <w:rPr/>
        <w:t>en</w:t>
      </w:r>
      <w:r>
        <w:rPr>
          <w:spacing w:val="-18"/>
        </w:rPr>
        <w:t> </w:t>
      </w:r>
      <w:r>
        <w:rPr/>
        <w:t>los</w:t>
      </w:r>
      <w:r>
        <w:rPr>
          <w:spacing w:val="-21"/>
        </w:rPr>
        <w:t> </w:t>
      </w:r>
      <w:r>
        <w:rPr/>
        <w:t>dientes</w:t>
      </w:r>
      <w:r>
        <w:rPr>
          <w:spacing w:val="-19"/>
        </w:rPr>
        <w:t> </w:t>
      </w:r>
      <w:r>
        <w:rPr/>
        <w:t>no</w:t>
      </w:r>
      <w:r>
        <w:rPr>
          <w:spacing w:val="-18"/>
        </w:rPr>
        <w:t> </w:t>
      </w:r>
      <w:r>
        <w:rPr/>
        <w:t>sellados</w:t>
      </w:r>
      <w:r>
        <w:rPr>
          <w:spacing w:val="-19"/>
        </w:rPr>
        <w:t> </w:t>
      </w:r>
      <w:r>
        <w:rPr/>
        <w:t>del</w:t>
      </w:r>
      <w:r>
        <w:rPr>
          <w:spacing w:val="-19"/>
        </w:rPr>
        <w:t> </w:t>
      </w:r>
      <w:r>
        <w:rPr/>
        <w:t>grupo de control y 7.3% en los dientes sellados, de 2415 selladores después de nueve años reportando así una incidencia de caries baja en los dientes sellados que en los no sellados.</w:t>
      </w:r>
    </w:p>
    <w:p>
      <w:pPr>
        <w:pStyle w:val="BodyText"/>
      </w:pPr>
    </w:p>
    <w:p>
      <w:pPr>
        <w:pStyle w:val="BodyText"/>
        <w:spacing w:line="357" w:lineRule="auto" w:before="142"/>
        <w:ind w:left="118" w:right="116"/>
        <w:jc w:val="both"/>
        <w:rPr>
          <w:sz w:val="16"/>
        </w:rPr>
      </w:pPr>
      <w:r>
        <w:rPr/>
        <w:t>De igual forma en estudios que no implicaron grupos control reportaron baja incidencia de caries, como lo indica un estudio realizado en 52 pacientes después de dos años, y otro con el mismo resultado en 61 niños.</w:t>
      </w:r>
      <w:r>
        <w:rPr>
          <w:position w:val="8"/>
          <w:sz w:val="16"/>
        </w:rPr>
        <w:t>38</w:t>
      </w:r>
    </w:p>
    <w:p>
      <w:pPr>
        <w:spacing w:after="0" w:line="357" w:lineRule="auto"/>
        <w:jc w:val="both"/>
        <w:rPr>
          <w:sz w:val="16"/>
        </w:rPr>
        <w:sectPr>
          <w:pgSz w:w="12240" w:h="15840"/>
          <w:pgMar w:header="0" w:footer="947" w:top="1360" w:bottom="1140" w:left="1300" w:right="1300"/>
        </w:sectPr>
      </w:pPr>
    </w:p>
    <w:p>
      <w:pPr>
        <w:pStyle w:val="Heading1"/>
        <w:ind w:left="3213" w:right="114"/>
        <w:jc w:val="left"/>
      </w:pPr>
      <w:bookmarkStart w:name="_bookmark2" w:id="4"/>
      <w:bookmarkEnd w:id="4"/>
      <w:r>
        <w:rPr>
          <w:b w:val="0"/>
        </w:rPr>
      </w:r>
      <w:r>
        <w:rPr/>
        <w:t>Planteamiento del Problema</w:t>
      </w:r>
    </w:p>
    <w:p>
      <w:pPr>
        <w:pStyle w:val="BodyText"/>
        <w:rPr>
          <w:b/>
        </w:rPr>
      </w:pPr>
    </w:p>
    <w:p>
      <w:pPr>
        <w:pStyle w:val="BodyText"/>
        <w:rPr>
          <w:b/>
        </w:rPr>
      </w:pPr>
    </w:p>
    <w:p>
      <w:pPr>
        <w:pStyle w:val="BodyText"/>
        <w:spacing w:before="2"/>
        <w:rPr>
          <w:b/>
        </w:rPr>
      </w:pPr>
    </w:p>
    <w:p>
      <w:pPr>
        <w:pStyle w:val="BodyText"/>
        <w:spacing w:line="357" w:lineRule="auto"/>
        <w:ind w:left="118" w:right="111"/>
        <w:jc w:val="both"/>
      </w:pPr>
      <w:r>
        <w:rPr/>
        <w:t>La</w:t>
      </w:r>
      <w:r>
        <w:rPr>
          <w:spacing w:val="-12"/>
        </w:rPr>
        <w:t> </w:t>
      </w:r>
      <w:r>
        <w:rPr/>
        <w:t>caries</w:t>
      </w:r>
      <w:r>
        <w:rPr>
          <w:spacing w:val="-15"/>
        </w:rPr>
        <w:t> </w:t>
      </w:r>
      <w:r>
        <w:rPr/>
        <w:t>dental</w:t>
      </w:r>
      <w:r>
        <w:rPr>
          <w:spacing w:val="-15"/>
        </w:rPr>
        <w:t> </w:t>
      </w:r>
      <w:r>
        <w:rPr/>
        <w:t>es</w:t>
      </w:r>
      <w:r>
        <w:rPr>
          <w:spacing w:val="-13"/>
        </w:rPr>
        <w:t> </w:t>
      </w:r>
      <w:r>
        <w:rPr/>
        <w:t>una</w:t>
      </w:r>
      <w:r>
        <w:rPr>
          <w:spacing w:val="-14"/>
        </w:rPr>
        <w:t> </w:t>
      </w:r>
      <w:r>
        <w:rPr/>
        <w:t>enfermedad</w:t>
      </w:r>
      <w:r>
        <w:rPr>
          <w:spacing w:val="-12"/>
        </w:rPr>
        <w:t> </w:t>
      </w:r>
      <w:r>
        <w:rPr/>
        <w:t>multifactorial</w:t>
      </w:r>
      <w:r>
        <w:rPr>
          <w:spacing w:val="-13"/>
        </w:rPr>
        <w:t> </w:t>
      </w:r>
      <w:r>
        <w:rPr/>
        <w:t>que</w:t>
      </w:r>
      <w:r>
        <w:rPr>
          <w:spacing w:val="-12"/>
        </w:rPr>
        <w:t> </w:t>
      </w:r>
      <w:r>
        <w:rPr/>
        <w:t>afecta</w:t>
      </w:r>
      <w:r>
        <w:rPr>
          <w:spacing w:val="-5"/>
        </w:rPr>
        <w:t> </w:t>
      </w:r>
      <w:r>
        <w:rPr/>
        <w:t>a</w:t>
      </w:r>
      <w:r>
        <w:rPr>
          <w:spacing w:val="-14"/>
        </w:rPr>
        <w:t> </w:t>
      </w:r>
      <w:r>
        <w:rPr/>
        <w:t>gran</w:t>
      </w:r>
      <w:r>
        <w:rPr>
          <w:spacing w:val="-12"/>
        </w:rPr>
        <w:t> </w:t>
      </w:r>
      <w:r>
        <w:rPr/>
        <w:t>parte</w:t>
      </w:r>
      <w:r>
        <w:rPr>
          <w:spacing w:val="-12"/>
        </w:rPr>
        <w:t> </w:t>
      </w:r>
      <w:r>
        <w:rPr/>
        <w:t>de</w:t>
      </w:r>
      <w:r>
        <w:rPr>
          <w:spacing w:val="-12"/>
        </w:rPr>
        <w:t> </w:t>
      </w:r>
      <w:r>
        <w:rPr/>
        <w:t>la</w:t>
      </w:r>
      <w:r>
        <w:rPr>
          <w:spacing w:val="-14"/>
        </w:rPr>
        <w:t> </w:t>
      </w:r>
      <w:r>
        <w:rPr/>
        <w:t>población. Según la Organización Mundial de la Salud, entre el 60 a 90% de los escolares del mundo</w:t>
      </w:r>
      <w:r>
        <w:rPr>
          <w:position w:val="8"/>
          <w:sz w:val="16"/>
        </w:rPr>
        <w:t>14 </w:t>
      </w:r>
      <w:r>
        <w:rPr/>
        <w:t>están afectados por caries, entre las medidas preventivas que se han desarrollado para el control de esta enfermedad están los selladores de fosas y</w:t>
      </w:r>
      <w:r>
        <w:rPr>
          <w:spacing w:val="-31"/>
        </w:rPr>
        <w:t> </w:t>
      </w:r>
      <w:r>
        <w:rPr/>
        <w:t>fisuras.</w:t>
      </w:r>
    </w:p>
    <w:p>
      <w:pPr>
        <w:pStyle w:val="BodyText"/>
      </w:pPr>
    </w:p>
    <w:p>
      <w:pPr>
        <w:pStyle w:val="BodyText"/>
        <w:spacing w:line="360" w:lineRule="auto" w:before="144"/>
        <w:ind w:left="118" w:right="113"/>
        <w:jc w:val="both"/>
      </w:pPr>
      <w:r>
        <w:rPr/>
        <w:t>El Instituto de Salud del Estado de México (ISEM) lleva a cabo un programa llamado escuelas</w:t>
      </w:r>
      <w:r>
        <w:rPr>
          <w:spacing w:val="-10"/>
        </w:rPr>
        <w:t> </w:t>
      </w:r>
      <w:r>
        <w:rPr/>
        <w:t>libres</w:t>
      </w:r>
      <w:r>
        <w:rPr>
          <w:spacing w:val="-10"/>
        </w:rPr>
        <w:t> </w:t>
      </w:r>
      <w:r>
        <w:rPr/>
        <w:t>de</w:t>
      </w:r>
      <w:r>
        <w:rPr>
          <w:spacing w:val="-9"/>
        </w:rPr>
        <w:t> </w:t>
      </w:r>
      <w:r>
        <w:rPr/>
        <w:t>caries,</w:t>
      </w:r>
      <w:r>
        <w:rPr>
          <w:spacing w:val="-10"/>
        </w:rPr>
        <w:t> </w:t>
      </w:r>
      <w:r>
        <w:rPr/>
        <w:t>el</w:t>
      </w:r>
      <w:r>
        <w:rPr>
          <w:spacing w:val="-11"/>
        </w:rPr>
        <w:t> </w:t>
      </w:r>
      <w:r>
        <w:rPr/>
        <w:t>cual</w:t>
      </w:r>
      <w:r>
        <w:rPr>
          <w:spacing w:val="-11"/>
        </w:rPr>
        <w:t> </w:t>
      </w:r>
      <w:r>
        <w:rPr/>
        <w:t>instala</w:t>
      </w:r>
      <w:r>
        <w:rPr>
          <w:spacing w:val="-10"/>
        </w:rPr>
        <w:t> </w:t>
      </w:r>
      <w:r>
        <w:rPr/>
        <w:t>un</w:t>
      </w:r>
      <w:r>
        <w:rPr>
          <w:spacing w:val="-9"/>
        </w:rPr>
        <w:t> </w:t>
      </w:r>
      <w:r>
        <w:rPr/>
        <w:t>consultorio</w:t>
      </w:r>
      <w:r>
        <w:rPr>
          <w:spacing w:val="-9"/>
        </w:rPr>
        <w:t> </w:t>
      </w:r>
      <w:r>
        <w:rPr/>
        <w:t>provisional</w:t>
      </w:r>
      <w:r>
        <w:rPr>
          <w:spacing w:val="-11"/>
        </w:rPr>
        <w:t> </w:t>
      </w:r>
      <w:r>
        <w:rPr/>
        <w:t>con</w:t>
      </w:r>
      <w:r>
        <w:rPr>
          <w:spacing w:val="-9"/>
        </w:rPr>
        <w:t> </w:t>
      </w:r>
      <w:r>
        <w:rPr/>
        <w:t>una</w:t>
      </w:r>
      <w:r>
        <w:rPr>
          <w:spacing w:val="-9"/>
        </w:rPr>
        <w:t> </w:t>
      </w:r>
      <w:r>
        <w:rPr/>
        <w:t>unidad</w:t>
      </w:r>
      <w:r>
        <w:rPr>
          <w:spacing w:val="-9"/>
        </w:rPr>
        <w:t> </w:t>
      </w:r>
      <w:r>
        <w:rPr/>
        <w:t>portátil dental en las primarias. Este programa incluye tratamientos restaurativos así como preventivos, como la aplicación de selladores de fosas y</w:t>
      </w:r>
      <w:r>
        <w:rPr>
          <w:spacing w:val="-16"/>
        </w:rPr>
        <w:t> </w:t>
      </w:r>
      <w:r>
        <w:rPr/>
        <w:t>fisuras.</w:t>
      </w:r>
    </w:p>
    <w:p>
      <w:pPr>
        <w:pStyle w:val="BodyText"/>
      </w:pPr>
    </w:p>
    <w:p>
      <w:pPr>
        <w:pStyle w:val="BodyText"/>
        <w:spacing w:line="360" w:lineRule="auto" w:before="142"/>
        <w:ind w:left="118" w:right="122"/>
        <w:jc w:val="both"/>
      </w:pPr>
      <w:r>
        <w:rPr/>
        <w:t>Sin embargo no se conoce la incidencia de caries posterior a la colocación de los selladores por lo que con el presente trabajo pretendemos responder a la siguiente pregunta.</w:t>
      </w:r>
    </w:p>
    <w:p>
      <w:pPr>
        <w:pStyle w:val="BodyText"/>
      </w:pPr>
    </w:p>
    <w:p>
      <w:pPr>
        <w:pStyle w:val="BodyText"/>
        <w:spacing w:line="360" w:lineRule="auto" w:before="142"/>
        <w:ind w:left="118" w:right="119"/>
        <w:jc w:val="both"/>
      </w:pPr>
      <w:r>
        <w:rPr/>
        <w:t>¿Cuál es la incidencia de caries a los 6 y 12 meses posterior a la colocación de los selladores de fosas y fisuras?</w:t>
      </w:r>
    </w:p>
    <w:p>
      <w:pPr>
        <w:spacing w:after="0" w:line="360" w:lineRule="auto"/>
        <w:jc w:val="both"/>
        <w:sectPr>
          <w:pgSz w:w="12240" w:h="15840"/>
          <w:pgMar w:header="0" w:footer="947" w:top="1360" w:bottom="1140" w:left="1300" w:right="1300"/>
        </w:sectPr>
      </w:pPr>
    </w:p>
    <w:p>
      <w:pPr>
        <w:pStyle w:val="Heading1"/>
        <w:spacing w:before="57"/>
        <w:ind w:left="4066" w:right="4066"/>
        <w:jc w:val="center"/>
      </w:pPr>
      <w:bookmarkStart w:name="_bookmark3" w:id="5"/>
      <w:bookmarkEnd w:id="5"/>
      <w:r>
        <w:rPr>
          <w:b w:val="0"/>
        </w:rPr>
      </w:r>
      <w:r>
        <w:rPr/>
        <w:t>Justificación</w:t>
      </w:r>
    </w:p>
    <w:p>
      <w:pPr>
        <w:pStyle w:val="BodyText"/>
        <w:rPr>
          <w:b/>
        </w:rPr>
      </w:pPr>
    </w:p>
    <w:p>
      <w:pPr>
        <w:pStyle w:val="BodyText"/>
        <w:spacing w:before="10"/>
        <w:rPr>
          <w:b/>
          <w:sz w:val="20"/>
        </w:rPr>
      </w:pPr>
    </w:p>
    <w:p>
      <w:pPr>
        <w:pStyle w:val="BodyText"/>
        <w:spacing w:line="360" w:lineRule="auto"/>
        <w:ind w:left="118" w:right="115"/>
        <w:jc w:val="both"/>
        <w:rPr>
          <w:sz w:val="16"/>
        </w:rPr>
      </w:pPr>
      <w:r>
        <w:rPr/>
        <w:t>La caries dental es una enfermedad multifactorial, infecciosa de origen microbiano, localizada en los tejidos duros del diente, que se inician con la desmineralización del esmalte por ácidos orgánicos producidos por bacterias orales específicas que metabolizan a los hidratos de carbono de la dieta.</w:t>
      </w:r>
      <w:r>
        <w:rPr>
          <w:position w:val="8"/>
          <w:sz w:val="16"/>
        </w:rPr>
        <w:t>1</w:t>
      </w:r>
    </w:p>
    <w:p>
      <w:pPr>
        <w:pStyle w:val="BodyText"/>
        <w:rPr>
          <w:sz w:val="36"/>
        </w:rPr>
      </w:pPr>
    </w:p>
    <w:p>
      <w:pPr>
        <w:pStyle w:val="BodyText"/>
        <w:spacing w:line="360" w:lineRule="auto"/>
        <w:ind w:left="118" w:right="112"/>
        <w:jc w:val="both"/>
        <w:rPr>
          <w:sz w:val="16"/>
        </w:rPr>
      </w:pPr>
      <w:r>
        <w:rPr/>
        <w:t>Los estudios para crear un material que previniera la aparición de la caries han sido muchos. Entre los materiales utilizados está el nitrito de plata, nitrocelulosa y zinc. Los cuales se colocan sobre las fisuras y pequeñas cavidades, el objetivo era proporcionar un medio dentro de las fisuras que inhibiera el crecimiento bacteriano y un esmalte más resistente pero estos materiales fracasaron pues se desalojaban por ficción.</w:t>
      </w:r>
      <w:r>
        <w:rPr>
          <w:position w:val="8"/>
          <w:sz w:val="16"/>
        </w:rPr>
        <w:t>2, 3</w:t>
      </w:r>
    </w:p>
    <w:p>
      <w:pPr>
        <w:pStyle w:val="BodyText"/>
        <w:rPr>
          <w:sz w:val="36"/>
        </w:rPr>
      </w:pPr>
    </w:p>
    <w:p>
      <w:pPr>
        <w:pStyle w:val="BodyText"/>
        <w:spacing w:line="357" w:lineRule="auto"/>
        <w:ind w:left="118" w:right="115"/>
        <w:jc w:val="both"/>
        <w:rPr>
          <w:sz w:val="16"/>
        </w:rPr>
      </w:pPr>
      <w:r>
        <w:rPr/>
        <w:t>Las investigaciones continuaron llegando al uso de ácido sobre el esmalte solamente en la zona de aplicación para producir una desmineralización y así una mejor retención del material por adhesión.</w:t>
      </w:r>
      <w:r>
        <w:rPr>
          <w:position w:val="8"/>
          <w:sz w:val="16"/>
        </w:rPr>
        <w:t>2</w:t>
      </w:r>
    </w:p>
    <w:p>
      <w:pPr>
        <w:pStyle w:val="BodyText"/>
        <w:spacing w:before="3"/>
        <w:rPr>
          <w:sz w:val="36"/>
        </w:rPr>
      </w:pPr>
    </w:p>
    <w:p>
      <w:pPr>
        <w:pStyle w:val="BodyText"/>
        <w:spacing w:line="360" w:lineRule="auto"/>
        <w:ind w:left="118" w:right="117"/>
        <w:jc w:val="both"/>
      </w:pPr>
      <w:r>
        <w:rPr/>
        <w:t>La</w:t>
      </w:r>
      <w:r>
        <w:rPr>
          <w:spacing w:val="-16"/>
        </w:rPr>
        <w:t> </w:t>
      </w:r>
      <w:r>
        <w:rPr/>
        <w:t>caries</w:t>
      </w:r>
      <w:r>
        <w:rPr>
          <w:spacing w:val="-16"/>
        </w:rPr>
        <w:t> </w:t>
      </w:r>
      <w:r>
        <w:rPr/>
        <w:t>dental</w:t>
      </w:r>
      <w:r>
        <w:rPr>
          <w:spacing w:val="-17"/>
        </w:rPr>
        <w:t> </w:t>
      </w:r>
      <w:r>
        <w:rPr/>
        <w:t>puede</w:t>
      </w:r>
      <w:r>
        <w:rPr>
          <w:spacing w:val="-18"/>
        </w:rPr>
        <w:t> </w:t>
      </w:r>
      <w:r>
        <w:rPr/>
        <w:t>iniciar</w:t>
      </w:r>
      <w:r>
        <w:rPr>
          <w:spacing w:val="-17"/>
        </w:rPr>
        <w:t> </w:t>
      </w:r>
      <w:r>
        <w:rPr/>
        <w:t>desde</w:t>
      </w:r>
      <w:r>
        <w:rPr>
          <w:spacing w:val="-16"/>
        </w:rPr>
        <w:t> </w:t>
      </w:r>
      <w:r>
        <w:rPr/>
        <w:t>temprana</w:t>
      </w:r>
      <w:r>
        <w:rPr>
          <w:spacing w:val="-18"/>
        </w:rPr>
        <w:t> </w:t>
      </w:r>
      <w:r>
        <w:rPr/>
        <w:t>edad</w:t>
      </w:r>
      <w:r>
        <w:rPr>
          <w:spacing w:val="-16"/>
        </w:rPr>
        <w:t> </w:t>
      </w:r>
      <w:r>
        <w:rPr/>
        <w:t>y</w:t>
      </w:r>
      <w:r>
        <w:rPr>
          <w:spacing w:val="-19"/>
        </w:rPr>
        <w:t> </w:t>
      </w:r>
      <w:r>
        <w:rPr/>
        <w:t>por</w:t>
      </w:r>
      <w:r>
        <w:rPr>
          <w:spacing w:val="-17"/>
        </w:rPr>
        <w:t> </w:t>
      </w:r>
      <w:r>
        <w:rPr/>
        <w:t>esto</w:t>
      </w:r>
      <w:r>
        <w:rPr>
          <w:spacing w:val="-15"/>
        </w:rPr>
        <w:t> </w:t>
      </w:r>
      <w:r>
        <w:rPr/>
        <w:t>la</w:t>
      </w:r>
      <w:r>
        <w:rPr>
          <w:spacing w:val="-16"/>
        </w:rPr>
        <w:t> </w:t>
      </w:r>
      <w:r>
        <w:rPr/>
        <w:t>colocación</w:t>
      </w:r>
      <w:r>
        <w:rPr>
          <w:spacing w:val="-15"/>
        </w:rPr>
        <w:t> </w:t>
      </w:r>
      <w:r>
        <w:rPr/>
        <w:t>de</w:t>
      </w:r>
      <w:r>
        <w:rPr>
          <w:spacing w:val="-16"/>
        </w:rPr>
        <w:t> </w:t>
      </w:r>
      <w:r>
        <w:rPr/>
        <w:t>selladores es importante por lo cual el instituto de Salud del Estado de México (ISEM) lleva a cabo un programa mediante el apoyo de unidades portátiles el cual incluye la colocación de selladores.</w:t>
      </w:r>
    </w:p>
    <w:p>
      <w:pPr>
        <w:pStyle w:val="BodyText"/>
      </w:pPr>
    </w:p>
    <w:p>
      <w:pPr>
        <w:pStyle w:val="BodyText"/>
        <w:spacing w:line="360" w:lineRule="auto" w:before="142"/>
        <w:ind w:left="118" w:right="114"/>
        <w:jc w:val="both"/>
      </w:pPr>
      <w:r>
        <w:rPr/>
        <w:t>Con</w:t>
      </w:r>
      <w:r>
        <w:rPr>
          <w:spacing w:val="-14"/>
        </w:rPr>
        <w:t> </w:t>
      </w:r>
      <w:r>
        <w:rPr/>
        <w:t>el</w:t>
      </w:r>
      <w:r>
        <w:rPr>
          <w:spacing w:val="-18"/>
        </w:rPr>
        <w:t> </w:t>
      </w:r>
      <w:r>
        <w:rPr/>
        <w:t>presente</w:t>
      </w:r>
      <w:r>
        <w:rPr>
          <w:spacing w:val="-16"/>
        </w:rPr>
        <w:t> </w:t>
      </w:r>
      <w:r>
        <w:rPr/>
        <w:t>trabajo</w:t>
      </w:r>
      <w:r>
        <w:rPr>
          <w:spacing w:val="-14"/>
        </w:rPr>
        <w:t> </w:t>
      </w:r>
      <w:r>
        <w:rPr/>
        <w:t>se</w:t>
      </w:r>
      <w:r>
        <w:rPr>
          <w:spacing w:val="-16"/>
        </w:rPr>
        <w:t> </w:t>
      </w:r>
      <w:r>
        <w:rPr/>
        <w:t>pretende</w:t>
      </w:r>
      <w:r>
        <w:rPr>
          <w:spacing w:val="-14"/>
        </w:rPr>
        <w:t> </w:t>
      </w:r>
      <w:r>
        <w:rPr/>
        <w:t>obtener</w:t>
      </w:r>
      <w:r>
        <w:rPr>
          <w:spacing w:val="-16"/>
        </w:rPr>
        <w:t> </w:t>
      </w:r>
      <w:r>
        <w:rPr/>
        <w:t>información</w:t>
      </w:r>
      <w:r>
        <w:rPr>
          <w:spacing w:val="-16"/>
        </w:rPr>
        <w:t> </w:t>
      </w:r>
      <w:r>
        <w:rPr/>
        <w:t>respecto</w:t>
      </w:r>
      <w:r>
        <w:rPr>
          <w:spacing w:val="-16"/>
        </w:rPr>
        <w:t> </w:t>
      </w:r>
      <w:r>
        <w:rPr/>
        <w:t>al</w:t>
      </w:r>
      <w:r>
        <w:rPr>
          <w:spacing w:val="-18"/>
        </w:rPr>
        <w:t> </w:t>
      </w:r>
      <w:r>
        <w:rPr/>
        <w:t>desarrollo</w:t>
      </w:r>
      <w:r>
        <w:rPr>
          <w:spacing w:val="-14"/>
        </w:rPr>
        <w:t> </w:t>
      </w:r>
      <w:r>
        <w:rPr/>
        <w:t>de</w:t>
      </w:r>
      <w:r>
        <w:rPr>
          <w:spacing w:val="-16"/>
        </w:rPr>
        <w:t> </w:t>
      </w:r>
      <w:r>
        <w:rPr/>
        <w:t>nuevas lesiones en las superfies dentarias a las cuales se aplicó el sellador. Dicha información servirá para tomar las medidas pertinentes para evitar que existan nuevas</w:t>
      </w:r>
      <w:r>
        <w:rPr>
          <w:spacing w:val="-33"/>
        </w:rPr>
        <w:t> </w:t>
      </w:r>
      <w:r>
        <w:rPr/>
        <w:t>lesiones.</w:t>
      </w:r>
    </w:p>
    <w:p>
      <w:pPr>
        <w:spacing w:after="0" w:line="360" w:lineRule="auto"/>
        <w:jc w:val="both"/>
        <w:sectPr>
          <w:pgSz w:w="12240" w:h="15840"/>
          <w:pgMar w:header="0" w:footer="947" w:top="1360" w:bottom="1140" w:left="1300" w:right="1300"/>
        </w:sectPr>
      </w:pPr>
    </w:p>
    <w:p>
      <w:pPr>
        <w:pStyle w:val="Heading1"/>
        <w:ind w:left="1750" w:right="1728"/>
        <w:jc w:val="center"/>
      </w:pPr>
      <w:bookmarkStart w:name="_bookmark4" w:id="6"/>
      <w:bookmarkEnd w:id="6"/>
      <w:r>
        <w:rPr>
          <w:b w:val="0"/>
        </w:rPr>
      </w:r>
      <w:r>
        <w:rPr/>
        <w:t>Hipótesis</w:t>
      </w:r>
    </w:p>
    <w:p>
      <w:pPr>
        <w:pStyle w:val="BodyText"/>
        <w:rPr>
          <w:b/>
        </w:rPr>
      </w:pPr>
    </w:p>
    <w:p>
      <w:pPr>
        <w:pStyle w:val="BodyText"/>
        <w:rPr>
          <w:b/>
        </w:rPr>
      </w:pPr>
    </w:p>
    <w:p>
      <w:pPr>
        <w:pStyle w:val="BodyText"/>
        <w:spacing w:before="2"/>
        <w:rPr>
          <w:b/>
        </w:rPr>
      </w:pPr>
    </w:p>
    <w:p>
      <w:pPr>
        <w:pStyle w:val="BodyText"/>
        <w:spacing w:line="360" w:lineRule="auto"/>
        <w:ind w:left="118" w:right="36"/>
      </w:pPr>
      <w:r>
        <w:rPr/>
        <w:t>Hipótesis de Trabajo: La incidencia de caries será del 3% a los 6 meses y del 5% a los 12 meses de su aplicación en escolares de 5° año de primaria.</w:t>
      </w:r>
    </w:p>
    <w:p>
      <w:pPr>
        <w:pStyle w:val="BodyText"/>
      </w:pPr>
    </w:p>
    <w:p>
      <w:pPr>
        <w:pStyle w:val="BodyText"/>
        <w:spacing w:line="360" w:lineRule="auto" w:before="142"/>
        <w:ind w:left="118" w:right="36"/>
      </w:pPr>
      <w:r>
        <w:rPr/>
        <w:t>Hipótesis Nula: La incidencia de caries no será del 3% a los 6 meses y del 5% a los 12 meses de su aplicación en escolares de 5° año de primaria.</w:t>
      </w:r>
    </w:p>
    <w:p>
      <w:pPr>
        <w:spacing w:after="0" w:line="360" w:lineRule="auto"/>
        <w:sectPr>
          <w:pgSz w:w="12240" w:h="15840"/>
          <w:pgMar w:header="0" w:footer="947" w:top="1360" w:bottom="1140" w:left="1300" w:right="1320"/>
        </w:sectPr>
      </w:pPr>
    </w:p>
    <w:p>
      <w:pPr>
        <w:pStyle w:val="Heading1"/>
        <w:ind w:left="4065" w:right="4066"/>
        <w:jc w:val="center"/>
      </w:pPr>
      <w:bookmarkStart w:name="_bookmark5" w:id="7"/>
      <w:bookmarkEnd w:id="7"/>
      <w:r>
        <w:rPr>
          <w:b w:val="0"/>
        </w:rPr>
      </w:r>
      <w:r>
        <w:rPr/>
        <w:t>Objetivos</w:t>
      </w:r>
    </w:p>
    <w:p>
      <w:pPr>
        <w:pStyle w:val="BodyText"/>
        <w:spacing w:before="11"/>
        <w:rPr>
          <w:b/>
          <w:sz w:val="17"/>
        </w:rPr>
      </w:pPr>
    </w:p>
    <w:p>
      <w:pPr>
        <w:pStyle w:val="BodyText"/>
        <w:spacing w:before="69"/>
        <w:ind w:left="118" w:right="114"/>
      </w:pPr>
      <w:r>
        <w:rPr/>
        <w:t>General</w:t>
      </w:r>
    </w:p>
    <w:p>
      <w:pPr>
        <w:pStyle w:val="BodyText"/>
      </w:pPr>
    </w:p>
    <w:p>
      <w:pPr>
        <w:pStyle w:val="BodyText"/>
        <w:spacing w:line="480" w:lineRule="auto"/>
        <w:ind w:left="118" w:right="114"/>
      </w:pPr>
      <w:r>
        <w:rPr/>
        <w:t>Determinar incidencia de caries en escolares posterior a la aplicación de selladores de fosas y fisuras en la escuela primaria.</w:t>
      </w:r>
    </w:p>
    <w:p>
      <w:pPr>
        <w:pStyle w:val="BodyText"/>
      </w:pPr>
    </w:p>
    <w:p>
      <w:pPr>
        <w:pStyle w:val="BodyText"/>
        <w:spacing w:before="7"/>
      </w:pPr>
    </w:p>
    <w:p>
      <w:pPr>
        <w:pStyle w:val="BodyText"/>
        <w:spacing w:before="1"/>
        <w:ind w:left="118" w:right="114"/>
      </w:pPr>
      <w:r>
        <w:rPr/>
        <w:t>Específicos</w:t>
      </w:r>
    </w:p>
    <w:p>
      <w:pPr>
        <w:pStyle w:val="BodyText"/>
      </w:pPr>
    </w:p>
    <w:p>
      <w:pPr>
        <w:pStyle w:val="BodyText"/>
        <w:ind w:left="118" w:right="114"/>
      </w:pPr>
      <w:r>
        <w:rPr/>
        <w:t>Determinar la pérdida total o parcial de los selladores a los 6 y 12 meses.</w:t>
      </w:r>
    </w:p>
    <w:p>
      <w:pPr>
        <w:pStyle w:val="BodyText"/>
      </w:pPr>
    </w:p>
    <w:p>
      <w:pPr>
        <w:pStyle w:val="BodyText"/>
        <w:spacing w:line="480" w:lineRule="auto"/>
        <w:ind w:left="118" w:right="114"/>
      </w:pPr>
      <w:r>
        <w:rPr/>
        <w:t>Identificar presencia o ausencia de lesiones cariosas en los órganos dentarios donde se colocaron los selladores a 6 y 12 meses.</w:t>
      </w:r>
    </w:p>
    <w:p>
      <w:pPr>
        <w:pStyle w:val="BodyText"/>
        <w:spacing w:before="8"/>
        <w:ind w:left="118" w:right="114"/>
      </w:pPr>
      <w:r>
        <w:rPr/>
        <w:t>Determinar el promedio  de selladores íntegros, pérdida parcial y total.</w:t>
      </w:r>
    </w:p>
    <w:p>
      <w:pPr>
        <w:spacing w:after="0"/>
        <w:sectPr>
          <w:pgSz w:w="12240" w:h="15840"/>
          <w:pgMar w:header="0" w:footer="947" w:top="1360" w:bottom="1140" w:left="1300" w:right="1300"/>
        </w:sectPr>
      </w:pPr>
    </w:p>
    <w:p>
      <w:pPr>
        <w:pStyle w:val="Heading1"/>
        <w:ind w:left="1750" w:right="1727"/>
        <w:jc w:val="center"/>
      </w:pPr>
      <w:bookmarkStart w:name="_bookmark6" w:id="8"/>
      <w:bookmarkEnd w:id="8"/>
      <w:r>
        <w:rPr>
          <w:b w:val="0"/>
        </w:rPr>
      </w:r>
      <w:r>
        <w:rPr/>
        <w:t>Marco Metodológico</w:t>
      </w:r>
    </w:p>
    <w:p>
      <w:pPr>
        <w:pStyle w:val="BodyText"/>
        <w:spacing w:before="11"/>
        <w:rPr>
          <w:b/>
          <w:sz w:val="17"/>
        </w:rPr>
      </w:pPr>
    </w:p>
    <w:p>
      <w:pPr>
        <w:pStyle w:val="BodyText"/>
        <w:tabs>
          <w:tab w:pos="838" w:val="left" w:leader="none"/>
        </w:tabs>
        <w:spacing w:before="69"/>
        <w:ind w:left="478" w:right="36"/>
      </w:pPr>
      <w:bookmarkStart w:name="_bookmark7" w:id="9"/>
      <w:bookmarkEnd w:id="9"/>
      <w:r>
        <w:rPr/>
      </w:r>
      <w:r>
        <w:rPr/>
        <w:t>-</w:t>
        <w:tab/>
        <w:t>Diseño de</w:t>
      </w:r>
      <w:r>
        <w:rPr>
          <w:spacing w:val="-4"/>
        </w:rPr>
        <w:t> </w:t>
      </w:r>
      <w:r>
        <w:rPr/>
        <w:t>estudio</w:t>
      </w:r>
    </w:p>
    <w:p>
      <w:pPr>
        <w:pStyle w:val="BodyText"/>
      </w:pPr>
    </w:p>
    <w:p>
      <w:pPr>
        <w:pStyle w:val="BodyText"/>
        <w:spacing w:line="360" w:lineRule="auto" w:before="139"/>
        <w:ind w:left="118" w:right="36"/>
      </w:pPr>
      <w:r>
        <w:rPr/>
        <w:t>El presente estudio es longitudinal con dos cortes transversales cuya muestra será no probabilística (por conveniencia) bajo los siguientes criterios de selección.</w:t>
      </w:r>
    </w:p>
    <w:p>
      <w:pPr>
        <w:pStyle w:val="BodyText"/>
      </w:pPr>
    </w:p>
    <w:p>
      <w:pPr>
        <w:pStyle w:val="BodyText"/>
        <w:spacing w:line="360" w:lineRule="auto" w:before="142"/>
        <w:ind w:left="118" w:right="8254"/>
      </w:pPr>
      <w:r>
        <w:rPr/>
        <w:t>Criterios de Inclusión:</w:t>
      </w:r>
    </w:p>
    <w:p>
      <w:pPr>
        <w:pStyle w:val="BodyText"/>
        <w:spacing w:line="360" w:lineRule="auto" w:before="5"/>
        <w:ind w:left="118" w:right="4109"/>
      </w:pPr>
      <w:r>
        <w:rPr/>
        <w:t>Escolares que cursan 5º año de primaria Escolares que presenten fosas y fisuras</w:t>
      </w:r>
      <w:r>
        <w:rPr>
          <w:spacing w:val="-14"/>
        </w:rPr>
        <w:t> </w:t>
      </w:r>
      <w:r>
        <w:rPr/>
        <w:t>profundas</w:t>
      </w:r>
    </w:p>
    <w:p>
      <w:pPr>
        <w:pStyle w:val="BodyText"/>
        <w:spacing w:before="5"/>
        <w:ind w:left="118" w:right="36"/>
      </w:pPr>
      <w:r>
        <w:rPr/>
        <w:t>Escolares que su padre o tutor autorice el tratamiento</w:t>
      </w:r>
    </w:p>
    <w:p>
      <w:pPr>
        <w:pStyle w:val="BodyText"/>
      </w:pPr>
    </w:p>
    <w:p>
      <w:pPr>
        <w:pStyle w:val="BodyText"/>
      </w:pPr>
    </w:p>
    <w:p>
      <w:pPr>
        <w:pStyle w:val="BodyText"/>
        <w:ind w:left="118" w:right="36"/>
      </w:pPr>
      <w:r>
        <w:rPr/>
        <w:t>Exclusión:</w:t>
      </w:r>
    </w:p>
    <w:p>
      <w:pPr>
        <w:pStyle w:val="BodyText"/>
        <w:spacing w:line="360" w:lineRule="auto" w:before="137"/>
        <w:ind w:left="118" w:right="3804"/>
      </w:pPr>
      <w:r>
        <w:rPr/>
        <w:t>Escolares que no cursen 5º año de primaria Escolares que no tengan fosas y fisuras profundas</w:t>
      </w:r>
    </w:p>
    <w:p>
      <w:pPr>
        <w:pStyle w:val="BodyText"/>
        <w:spacing w:before="2"/>
        <w:ind w:left="118" w:right="36"/>
      </w:pPr>
      <w:r>
        <w:rPr/>
        <w:t>Escolares que su padre o tutor no autorice el tratamiento</w:t>
      </w:r>
    </w:p>
    <w:p>
      <w:pPr>
        <w:pStyle w:val="BodyText"/>
      </w:pPr>
    </w:p>
    <w:p>
      <w:pPr>
        <w:pStyle w:val="BodyText"/>
      </w:pPr>
    </w:p>
    <w:p>
      <w:pPr>
        <w:pStyle w:val="BodyText"/>
        <w:ind w:left="118" w:right="36"/>
      </w:pPr>
      <w:r>
        <w:rPr/>
        <w:t>Eliminación:</w:t>
      </w:r>
    </w:p>
    <w:p>
      <w:pPr>
        <w:pStyle w:val="BodyText"/>
        <w:spacing w:line="360" w:lineRule="auto" w:before="139"/>
        <w:ind w:left="118" w:right="3804"/>
      </w:pPr>
      <w:r>
        <w:rPr/>
        <w:t>Escolares que no se presenten a las revisiones Escolares que se den de baja de la escuela</w:t>
      </w:r>
    </w:p>
    <w:p>
      <w:pPr>
        <w:pStyle w:val="BodyText"/>
      </w:pPr>
    </w:p>
    <w:p>
      <w:pPr>
        <w:pStyle w:val="BodyText"/>
        <w:spacing w:before="142"/>
        <w:ind w:left="118" w:right="36"/>
      </w:pPr>
      <w:r>
        <w:rPr/>
        <w:t>Variables de Estudio</w:t>
      </w:r>
    </w:p>
    <w:p>
      <w:pPr>
        <w:pStyle w:val="BodyText"/>
      </w:pPr>
    </w:p>
    <w:p>
      <w:pPr>
        <w:pStyle w:val="BodyText"/>
      </w:pPr>
    </w:p>
    <w:p>
      <w:pPr>
        <w:pStyle w:val="BodyText"/>
        <w:spacing w:line="360" w:lineRule="auto"/>
        <w:ind w:left="118" w:right="4639"/>
      </w:pPr>
      <w:r>
        <w:rPr/>
        <w:t>Dependiente: Incidencia de Caries Independientes: Selladores de fosas y fisuras</w:t>
      </w:r>
    </w:p>
    <w:p>
      <w:pPr>
        <w:spacing w:after="0" w:line="360" w:lineRule="auto"/>
        <w:sectPr>
          <w:pgSz w:w="12240" w:h="15840"/>
          <w:pgMar w:header="0" w:footer="947" w:top="1360" w:bottom="1140" w:left="1300" w:right="1320"/>
        </w:sectPr>
      </w:pPr>
    </w:p>
    <w:p>
      <w:pPr>
        <w:pStyle w:val="BodyText"/>
        <w:spacing w:before="6"/>
        <w:rPr>
          <w:sz w:val="10"/>
        </w:rPr>
      </w:pPr>
    </w:p>
    <w:p>
      <w:pPr>
        <w:pStyle w:val="BodyText"/>
        <w:tabs>
          <w:tab w:pos="838" w:val="left" w:leader="none"/>
        </w:tabs>
        <w:spacing w:before="69"/>
        <w:ind w:left="478" w:right="114"/>
      </w:pPr>
      <w:bookmarkStart w:name="_bookmark8" w:id="10"/>
      <w:bookmarkEnd w:id="10"/>
      <w:r>
        <w:rPr/>
      </w:r>
      <w:r>
        <w:rPr/>
        <w:t>-</w:t>
        <w:tab/>
        <w:t>Procedimiento</w:t>
      </w:r>
    </w:p>
    <w:p>
      <w:pPr>
        <w:pStyle w:val="BodyText"/>
        <w:spacing w:before="2"/>
        <w:rPr>
          <w:sz w:val="20"/>
        </w:rPr>
      </w:pPr>
    </w:p>
    <w:p>
      <w:pPr>
        <w:pStyle w:val="BodyText"/>
        <w:spacing w:line="360" w:lineRule="auto" w:before="1"/>
        <w:ind w:left="118" w:right="114"/>
        <w:jc w:val="both"/>
      </w:pPr>
      <w:r>
        <w:rPr/>
        <w:t>En el mes de febrero se inició el Programa Escuelas Libres de Caries en la Primaria General Vicente Guerrero, Municipio de San Simón de Guerrero, Estado de México, en la cual se colocaron selladores de fosas y fisuras a los escolares mediante la siguiente técnica:</w:t>
      </w:r>
    </w:p>
    <w:p>
      <w:pPr>
        <w:pStyle w:val="ListParagraph"/>
        <w:numPr>
          <w:ilvl w:val="0"/>
          <w:numId w:val="8"/>
        </w:numPr>
        <w:tabs>
          <w:tab w:pos="839" w:val="left" w:leader="none"/>
        </w:tabs>
        <w:spacing w:line="240" w:lineRule="auto" w:before="5" w:after="0"/>
        <w:ind w:left="838" w:right="0" w:hanging="360"/>
        <w:jc w:val="left"/>
        <w:rPr>
          <w:sz w:val="24"/>
        </w:rPr>
      </w:pPr>
      <w:r>
        <w:rPr>
          <w:sz w:val="24"/>
        </w:rPr>
        <w:t>Profilaxis: pasta profiláctica y cepillo rotatorio para pieza de</w:t>
      </w:r>
      <w:r>
        <w:rPr>
          <w:spacing w:val="-24"/>
          <w:sz w:val="24"/>
        </w:rPr>
        <w:t> </w:t>
      </w:r>
      <w:r>
        <w:rPr>
          <w:sz w:val="24"/>
        </w:rPr>
        <w:t>baja.</w:t>
      </w:r>
    </w:p>
    <w:p>
      <w:pPr>
        <w:pStyle w:val="ListParagraph"/>
        <w:numPr>
          <w:ilvl w:val="0"/>
          <w:numId w:val="8"/>
        </w:numPr>
        <w:tabs>
          <w:tab w:pos="839" w:val="left" w:leader="none"/>
        </w:tabs>
        <w:spacing w:line="240" w:lineRule="auto" w:before="137" w:after="0"/>
        <w:ind w:left="838" w:right="0" w:hanging="360"/>
        <w:jc w:val="left"/>
        <w:rPr>
          <w:sz w:val="24"/>
        </w:rPr>
      </w:pPr>
      <w:r>
        <w:rPr>
          <w:sz w:val="24"/>
        </w:rPr>
        <w:t>Aislamiento relativo con rollos de</w:t>
      </w:r>
      <w:r>
        <w:rPr>
          <w:spacing w:val="-11"/>
          <w:sz w:val="24"/>
        </w:rPr>
        <w:t> </w:t>
      </w:r>
      <w:r>
        <w:rPr>
          <w:sz w:val="24"/>
        </w:rPr>
        <w:t>algodón</w:t>
      </w:r>
    </w:p>
    <w:p>
      <w:pPr>
        <w:pStyle w:val="ListParagraph"/>
        <w:numPr>
          <w:ilvl w:val="0"/>
          <w:numId w:val="8"/>
        </w:numPr>
        <w:tabs>
          <w:tab w:pos="839" w:val="left" w:leader="none"/>
        </w:tabs>
        <w:spacing w:line="240" w:lineRule="auto" w:before="139" w:after="0"/>
        <w:ind w:left="838" w:right="0" w:hanging="360"/>
        <w:jc w:val="left"/>
        <w:rPr>
          <w:sz w:val="24"/>
        </w:rPr>
      </w:pPr>
      <w:r>
        <w:rPr>
          <w:sz w:val="24"/>
        </w:rPr>
        <w:t>Aplicación de gel de grabado por  30</w:t>
      </w:r>
      <w:r>
        <w:rPr>
          <w:spacing w:val="-18"/>
          <w:sz w:val="24"/>
        </w:rPr>
        <w:t> </w:t>
      </w:r>
      <w:r>
        <w:rPr>
          <w:sz w:val="24"/>
        </w:rPr>
        <w:t>segundos.</w:t>
      </w:r>
    </w:p>
    <w:p>
      <w:pPr>
        <w:pStyle w:val="ListParagraph"/>
        <w:numPr>
          <w:ilvl w:val="0"/>
          <w:numId w:val="8"/>
        </w:numPr>
        <w:tabs>
          <w:tab w:pos="839" w:val="left" w:leader="none"/>
        </w:tabs>
        <w:spacing w:line="240" w:lineRule="auto" w:before="137" w:after="0"/>
        <w:ind w:left="838" w:right="0" w:hanging="360"/>
        <w:jc w:val="left"/>
        <w:rPr>
          <w:sz w:val="24"/>
        </w:rPr>
      </w:pPr>
      <w:r>
        <w:rPr>
          <w:sz w:val="24"/>
        </w:rPr>
        <w:t>Lavar bien con agua de la jeringa</w:t>
      </w:r>
      <w:r>
        <w:rPr>
          <w:spacing w:val="-16"/>
          <w:sz w:val="24"/>
        </w:rPr>
        <w:t> </w:t>
      </w:r>
      <w:r>
        <w:rPr>
          <w:sz w:val="24"/>
        </w:rPr>
        <w:t>triple.</w:t>
      </w:r>
    </w:p>
    <w:p>
      <w:pPr>
        <w:pStyle w:val="ListParagraph"/>
        <w:numPr>
          <w:ilvl w:val="0"/>
          <w:numId w:val="8"/>
        </w:numPr>
        <w:tabs>
          <w:tab w:pos="839" w:val="left" w:leader="none"/>
        </w:tabs>
        <w:spacing w:line="360" w:lineRule="auto" w:before="139" w:after="0"/>
        <w:ind w:left="838" w:right="118" w:hanging="360"/>
        <w:jc w:val="left"/>
        <w:rPr>
          <w:sz w:val="24"/>
        </w:rPr>
      </w:pPr>
      <w:r>
        <w:rPr>
          <w:sz w:val="24"/>
        </w:rPr>
        <w:t>Se</w:t>
      </w:r>
      <w:r>
        <w:rPr>
          <w:spacing w:val="-18"/>
          <w:sz w:val="24"/>
        </w:rPr>
        <w:t> </w:t>
      </w:r>
      <w:r>
        <w:rPr>
          <w:sz w:val="24"/>
        </w:rPr>
        <w:t>quitaron</w:t>
      </w:r>
      <w:r>
        <w:rPr>
          <w:spacing w:val="-18"/>
          <w:sz w:val="24"/>
        </w:rPr>
        <w:t> </w:t>
      </w:r>
      <w:r>
        <w:rPr>
          <w:sz w:val="24"/>
        </w:rPr>
        <w:t>los</w:t>
      </w:r>
      <w:r>
        <w:rPr>
          <w:spacing w:val="-19"/>
          <w:sz w:val="24"/>
        </w:rPr>
        <w:t> </w:t>
      </w:r>
      <w:r>
        <w:rPr>
          <w:sz w:val="24"/>
        </w:rPr>
        <w:t>rollos</w:t>
      </w:r>
      <w:r>
        <w:rPr>
          <w:spacing w:val="-19"/>
          <w:sz w:val="24"/>
        </w:rPr>
        <w:t> </w:t>
      </w:r>
      <w:r>
        <w:rPr>
          <w:sz w:val="24"/>
        </w:rPr>
        <w:t>de</w:t>
      </w:r>
      <w:r>
        <w:rPr>
          <w:spacing w:val="-18"/>
          <w:sz w:val="24"/>
        </w:rPr>
        <w:t> </w:t>
      </w:r>
      <w:r>
        <w:rPr>
          <w:sz w:val="24"/>
        </w:rPr>
        <w:t>algodón</w:t>
      </w:r>
      <w:r>
        <w:rPr>
          <w:spacing w:val="-18"/>
          <w:sz w:val="24"/>
        </w:rPr>
        <w:t> </w:t>
      </w:r>
      <w:r>
        <w:rPr>
          <w:sz w:val="24"/>
        </w:rPr>
        <w:t>húmedos</w:t>
      </w:r>
      <w:r>
        <w:rPr>
          <w:spacing w:val="-19"/>
          <w:sz w:val="24"/>
        </w:rPr>
        <w:t> </w:t>
      </w:r>
      <w:r>
        <w:rPr>
          <w:sz w:val="24"/>
        </w:rPr>
        <w:t>y</w:t>
      </w:r>
      <w:r>
        <w:rPr>
          <w:spacing w:val="-21"/>
          <w:sz w:val="24"/>
        </w:rPr>
        <w:t> </w:t>
      </w:r>
      <w:r>
        <w:rPr>
          <w:sz w:val="24"/>
        </w:rPr>
        <w:t>se</w:t>
      </w:r>
      <w:r>
        <w:rPr>
          <w:spacing w:val="-18"/>
          <w:sz w:val="24"/>
        </w:rPr>
        <w:t> </w:t>
      </w:r>
      <w:r>
        <w:rPr>
          <w:sz w:val="24"/>
        </w:rPr>
        <w:t>volvió</w:t>
      </w:r>
      <w:r>
        <w:rPr>
          <w:spacing w:val="-18"/>
          <w:sz w:val="24"/>
        </w:rPr>
        <w:t> </w:t>
      </w:r>
      <w:r>
        <w:rPr>
          <w:sz w:val="24"/>
        </w:rPr>
        <w:t>a</w:t>
      </w:r>
      <w:r>
        <w:rPr>
          <w:spacing w:val="-18"/>
          <w:sz w:val="24"/>
        </w:rPr>
        <w:t> </w:t>
      </w:r>
      <w:r>
        <w:rPr>
          <w:sz w:val="24"/>
        </w:rPr>
        <w:t>colocar</w:t>
      </w:r>
      <w:r>
        <w:rPr>
          <w:spacing w:val="-19"/>
          <w:sz w:val="24"/>
        </w:rPr>
        <w:t> </w:t>
      </w:r>
      <w:r>
        <w:rPr>
          <w:sz w:val="24"/>
        </w:rPr>
        <w:t>aislamiento</w:t>
      </w:r>
      <w:r>
        <w:rPr>
          <w:spacing w:val="-18"/>
          <w:sz w:val="24"/>
        </w:rPr>
        <w:t> </w:t>
      </w:r>
      <w:r>
        <w:rPr>
          <w:sz w:val="24"/>
        </w:rPr>
        <w:t>relativo para evitar la contaminación con saliva de la zona</w:t>
      </w:r>
      <w:r>
        <w:rPr>
          <w:spacing w:val="-20"/>
          <w:sz w:val="24"/>
        </w:rPr>
        <w:t> </w:t>
      </w:r>
      <w:r>
        <w:rPr>
          <w:sz w:val="24"/>
        </w:rPr>
        <w:t>grabada.</w:t>
      </w:r>
    </w:p>
    <w:p>
      <w:pPr>
        <w:pStyle w:val="ListParagraph"/>
        <w:numPr>
          <w:ilvl w:val="0"/>
          <w:numId w:val="8"/>
        </w:numPr>
        <w:tabs>
          <w:tab w:pos="839" w:val="left" w:leader="none"/>
        </w:tabs>
        <w:spacing w:line="360" w:lineRule="auto" w:before="2" w:after="0"/>
        <w:ind w:left="838" w:right="115" w:hanging="360"/>
        <w:jc w:val="left"/>
        <w:rPr>
          <w:sz w:val="24"/>
        </w:rPr>
      </w:pPr>
      <w:r>
        <w:rPr>
          <w:sz w:val="24"/>
        </w:rPr>
        <w:t>Secar con aire, sin grasa ni agua. El esmalte grabado presentaba un color blanco mate.</w:t>
      </w:r>
    </w:p>
    <w:p>
      <w:pPr>
        <w:pStyle w:val="ListParagraph"/>
        <w:numPr>
          <w:ilvl w:val="0"/>
          <w:numId w:val="8"/>
        </w:numPr>
        <w:tabs>
          <w:tab w:pos="839" w:val="left" w:leader="none"/>
        </w:tabs>
        <w:spacing w:line="240" w:lineRule="auto" w:before="2" w:after="0"/>
        <w:ind w:left="838" w:right="0" w:hanging="360"/>
        <w:jc w:val="left"/>
        <w:rPr>
          <w:sz w:val="24"/>
        </w:rPr>
      </w:pPr>
      <w:r>
        <w:rPr>
          <w:sz w:val="24"/>
        </w:rPr>
        <w:t>Se aplica Helioseal F directamente con la cánula</w:t>
      </w:r>
      <w:r>
        <w:rPr>
          <w:spacing w:val="-16"/>
          <w:sz w:val="24"/>
        </w:rPr>
        <w:t> </w:t>
      </w:r>
      <w:r>
        <w:rPr>
          <w:sz w:val="24"/>
        </w:rPr>
        <w:t>desechable.</w:t>
      </w:r>
    </w:p>
    <w:p>
      <w:pPr>
        <w:pStyle w:val="ListParagraph"/>
        <w:numPr>
          <w:ilvl w:val="0"/>
          <w:numId w:val="8"/>
        </w:numPr>
        <w:tabs>
          <w:tab w:pos="905" w:val="left" w:leader="none"/>
          <w:tab w:pos="906" w:val="left" w:leader="none"/>
        </w:tabs>
        <w:spacing w:line="360" w:lineRule="auto" w:before="139" w:after="0"/>
        <w:ind w:left="838" w:right="112" w:hanging="360"/>
        <w:jc w:val="left"/>
        <w:rPr>
          <w:sz w:val="24"/>
        </w:rPr>
      </w:pPr>
      <w:r>
        <w:rPr>
          <w:sz w:val="24"/>
        </w:rPr>
        <w:t>Se esperó aproximadamente 15 segundos. Luego se fotopolimerizo el sellador con una lámpara de polimerización apropiada durante 20</w:t>
      </w:r>
      <w:r>
        <w:rPr>
          <w:spacing w:val="-21"/>
          <w:sz w:val="24"/>
        </w:rPr>
        <w:t> </w:t>
      </w:r>
      <w:r>
        <w:rPr>
          <w:sz w:val="24"/>
        </w:rPr>
        <w:t>segundos.</w:t>
      </w:r>
    </w:p>
    <w:p>
      <w:pPr>
        <w:pStyle w:val="ListParagraph"/>
        <w:numPr>
          <w:ilvl w:val="0"/>
          <w:numId w:val="8"/>
        </w:numPr>
        <w:tabs>
          <w:tab w:pos="839" w:val="left" w:leader="none"/>
        </w:tabs>
        <w:spacing w:line="240" w:lineRule="auto" w:before="0" w:after="0"/>
        <w:ind w:left="838" w:right="0" w:hanging="360"/>
        <w:jc w:val="left"/>
        <w:rPr>
          <w:sz w:val="16"/>
        </w:rPr>
      </w:pPr>
      <w:r>
        <w:rPr>
          <w:sz w:val="24"/>
        </w:rPr>
        <w:t>Se revisó adhesión y se checo oclusión.</w:t>
      </w:r>
      <w:r>
        <w:rPr>
          <w:spacing w:val="-8"/>
          <w:sz w:val="24"/>
        </w:rPr>
        <w:t> </w:t>
      </w:r>
      <w:r>
        <w:rPr>
          <w:position w:val="8"/>
          <w:sz w:val="16"/>
        </w:rPr>
        <w:t>31</w:t>
      </w:r>
    </w:p>
    <w:p>
      <w:pPr>
        <w:pStyle w:val="BodyText"/>
        <w:rPr>
          <w:sz w:val="26"/>
        </w:rPr>
      </w:pPr>
    </w:p>
    <w:p>
      <w:pPr>
        <w:pStyle w:val="BodyText"/>
        <w:rPr>
          <w:sz w:val="22"/>
        </w:rPr>
      </w:pPr>
    </w:p>
    <w:p>
      <w:pPr>
        <w:pStyle w:val="BodyText"/>
        <w:ind w:left="118"/>
        <w:jc w:val="both"/>
      </w:pPr>
      <w:r>
        <w:rPr/>
        <w:t>El sellador aplicado fue Helioseal F de la marca Ivoclar Vivadent que libera flúor.</w:t>
      </w:r>
    </w:p>
    <w:p>
      <w:pPr>
        <w:pStyle w:val="BodyText"/>
        <w:spacing w:line="360" w:lineRule="auto" w:before="137"/>
        <w:ind w:left="118" w:right="120"/>
        <w:jc w:val="both"/>
      </w:pPr>
      <w:r>
        <w:rPr/>
        <w:t>Para la revisión de los selladores se solicitó al Instituto de Salud del Estado de México (ISEM)</w:t>
      </w:r>
      <w:r>
        <w:rPr>
          <w:spacing w:val="-17"/>
        </w:rPr>
        <w:t> </w:t>
      </w:r>
      <w:r>
        <w:rPr/>
        <w:t>los</w:t>
      </w:r>
      <w:r>
        <w:rPr>
          <w:spacing w:val="-16"/>
        </w:rPr>
        <w:t> </w:t>
      </w:r>
      <w:r>
        <w:rPr/>
        <w:t>expedientes</w:t>
      </w:r>
      <w:r>
        <w:rPr>
          <w:spacing w:val="-19"/>
        </w:rPr>
        <w:t> </w:t>
      </w:r>
      <w:r>
        <w:rPr/>
        <w:t>de</w:t>
      </w:r>
      <w:r>
        <w:rPr>
          <w:spacing w:val="-16"/>
        </w:rPr>
        <w:t> </w:t>
      </w:r>
      <w:r>
        <w:rPr/>
        <w:t>los</w:t>
      </w:r>
      <w:r>
        <w:rPr>
          <w:spacing w:val="-16"/>
        </w:rPr>
        <w:t> </w:t>
      </w:r>
      <w:r>
        <w:rPr/>
        <w:t>escolares,</w:t>
      </w:r>
      <w:r>
        <w:rPr>
          <w:spacing w:val="-16"/>
        </w:rPr>
        <w:t> </w:t>
      </w:r>
      <w:r>
        <w:rPr/>
        <w:t>de</w:t>
      </w:r>
      <w:r>
        <w:rPr>
          <w:spacing w:val="-16"/>
        </w:rPr>
        <w:t> </w:t>
      </w:r>
      <w:r>
        <w:rPr/>
        <w:t>igual</w:t>
      </w:r>
      <w:r>
        <w:rPr>
          <w:spacing w:val="-19"/>
        </w:rPr>
        <w:t> </w:t>
      </w:r>
      <w:r>
        <w:rPr/>
        <w:t>forma</w:t>
      </w:r>
      <w:r>
        <w:rPr>
          <w:spacing w:val="-16"/>
        </w:rPr>
        <w:t> </w:t>
      </w:r>
      <w:r>
        <w:rPr/>
        <w:t>la</w:t>
      </w:r>
      <w:r>
        <w:rPr>
          <w:spacing w:val="-16"/>
        </w:rPr>
        <w:t> </w:t>
      </w:r>
      <w:r>
        <w:rPr/>
        <w:t>autorización</w:t>
      </w:r>
      <w:r>
        <w:rPr>
          <w:spacing w:val="-15"/>
        </w:rPr>
        <w:t> </w:t>
      </w:r>
      <w:r>
        <w:rPr/>
        <w:t>de</w:t>
      </w:r>
      <w:r>
        <w:rPr>
          <w:spacing w:val="-16"/>
        </w:rPr>
        <w:t> </w:t>
      </w:r>
      <w:r>
        <w:rPr/>
        <w:t>las</w:t>
      </w:r>
      <w:r>
        <w:rPr>
          <w:spacing w:val="-16"/>
        </w:rPr>
        <w:t> </w:t>
      </w:r>
      <w:r>
        <w:rPr/>
        <w:t>autoridades correspondientes de la primaria y de los padres o tutores. (Anexo</w:t>
      </w:r>
      <w:r>
        <w:rPr>
          <w:spacing w:val="-23"/>
        </w:rPr>
        <w:t> </w:t>
      </w:r>
      <w:r>
        <w:rPr/>
        <w:t>1)</w:t>
      </w:r>
    </w:p>
    <w:p>
      <w:pPr>
        <w:pStyle w:val="BodyText"/>
      </w:pPr>
    </w:p>
    <w:p>
      <w:pPr>
        <w:pStyle w:val="BodyText"/>
        <w:spacing w:line="360" w:lineRule="auto" w:before="142"/>
        <w:ind w:left="118" w:right="115"/>
        <w:jc w:val="both"/>
      </w:pPr>
      <w:r>
        <w:rPr/>
        <w:t>La revisión de los selladores a los 6 y 12 meses se llevó a cabo en las instalaciones de la</w:t>
      </w:r>
      <w:r>
        <w:rPr>
          <w:spacing w:val="-9"/>
        </w:rPr>
        <w:t> </w:t>
      </w:r>
      <w:r>
        <w:rPr/>
        <w:t>escuela,</w:t>
      </w:r>
      <w:r>
        <w:rPr>
          <w:spacing w:val="-9"/>
        </w:rPr>
        <w:t> </w:t>
      </w:r>
      <w:r>
        <w:rPr/>
        <w:t>donde</w:t>
      </w:r>
      <w:r>
        <w:rPr>
          <w:spacing w:val="-8"/>
        </w:rPr>
        <w:t> </w:t>
      </w:r>
      <w:r>
        <w:rPr/>
        <w:t>se</w:t>
      </w:r>
      <w:r>
        <w:rPr>
          <w:spacing w:val="-8"/>
        </w:rPr>
        <w:t> </w:t>
      </w:r>
      <w:r>
        <w:rPr/>
        <w:t>sentaron</w:t>
      </w:r>
      <w:r>
        <w:rPr>
          <w:spacing w:val="-8"/>
        </w:rPr>
        <w:t> </w:t>
      </w:r>
      <w:r>
        <w:rPr/>
        <w:t>los</w:t>
      </w:r>
      <w:r>
        <w:rPr>
          <w:spacing w:val="-9"/>
        </w:rPr>
        <w:t> </w:t>
      </w:r>
      <w:r>
        <w:rPr/>
        <w:t>niños</w:t>
      </w:r>
      <w:r>
        <w:rPr>
          <w:spacing w:val="-9"/>
        </w:rPr>
        <w:t> </w:t>
      </w:r>
      <w:r>
        <w:rPr/>
        <w:t>en</w:t>
      </w:r>
      <w:r>
        <w:rPr>
          <w:spacing w:val="-11"/>
        </w:rPr>
        <w:t> </w:t>
      </w:r>
      <w:r>
        <w:rPr/>
        <w:t>una</w:t>
      </w:r>
      <w:r>
        <w:rPr>
          <w:spacing w:val="-8"/>
        </w:rPr>
        <w:t> </w:t>
      </w:r>
      <w:r>
        <w:rPr/>
        <w:t>banca</w:t>
      </w:r>
      <w:r>
        <w:rPr>
          <w:spacing w:val="-8"/>
        </w:rPr>
        <w:t> </w:t>
      </w:r>
      <w:r>
        <w:rPr/>
        <w:t>e</w:t>
      </w:r>
      <w:r>
        <w:rPr>
          <w:spacing w:val="-8"/>
        </w:rPr>
        <w:t> </w:t>
      </w:r>
      <w:r>
        <w:rPr/>
        <w:t>inclinándose</w:t>
      </w:r>
      <w:r>
        <w:rPr>
          <w:spacing w:val="-8"/>
        </w:rPr>
        <w:t> </w:t>
      </w:r>
      <w:r>
        <w:rPr/>
        <w:t>hacia</w:t>
      </w:r>
      <w:r>
        <w:rPr>
          <w:spacing w:val="-9"/>
        </w:rPr>
        <w:t> </w:t>
      </w:r>
      <w:r>
        <w:rPr/>
        <w:t>atrás</w:t>
      </w:r>
      <w:r>
        <w:rPr>
          <w:spacing w:val="-9"/>
        </w:rPr>
        <w:t> </w:t>
      </w:r>
      <w:r>
        <w:rPr/>
        <w:t>un</w:t>
      </w:r>
      <w:r>
        <w:rPr>
          <w:spacing w:val="-11"/>
        </w:rPr>
        <w:t> </w:t>
      </w:r>
      <w:r>
        <w:rPr/>
        <w:t>poco para</w:t>
      </w:r>
      <w:r>
        <w:rPr>
          <w:spacing w:val="-8"/>
        </w:rPr>
        <w:t> </w:t>
      </w:r>
      <w:r>
        <w:rPr/>
        <w:t>revisar</w:t>
      </w:r>
      <w:r>
        <w:rPr>
          <w:spacing w:val="-8"/>
        </w:rPr>
        <w:t> </w:t>
      </w:r>
      <w:r>
        <w:rPr/>
        <w:t>los</w:t>
      </w:r>
      <w:r>
        <w:rPr>
          <w:spacing w:val="-7"/>
        </w:rPr>
        <w:t> </w:t>
      </w:r>
      <w:r>
        <w:rPr/>
        <w:t>selladores</w:t>
      </w:r>
      <w:r>
        <w:rPr>
          <w:spacing w:val="-8"/>
        </w:rPr>
        <w:t> </w:t>
      </w:r>
      <w:r>
        <w:rPr/>
        <w:t>que</w:t>
      </w:r>
      <w:r>
        <w:rPr>
          <w:spacing w:val="-7"/>
        </w:rPr>
        <w:t> </w:t>
      </w:r>
      <w:r>
        <w:rPr/>
        <w:t>se</w:t>
      </w:r>
      <w:r>
        <w:rPr>
          <w:spacing w:val="-7"/>
        </w:rPr>
        <w:t> </w:t>
      </w:r>
      <w:r>
        <w:rPr/>
        <w:t>colocaron,</w:t>
      </w:r>
      <w:r>
        <w:rPr>
          <w:spacing w:val="-10"/>
        </w:rPr>
        <w:t> </w:t>
      </w:r>
      <w:r>
        <w:rPr/>
        <w:t>se</w:t>
      </w:r>
      <w:r>
        <w:rPr>
          <w:spacing w:val="-7"/>
        </w:rPr>
        <w:t> </w:t>
      </w:r>
      <w:r>
        <w:rPr/>
        <w:t>utilizó</w:t>
      </w:r>
      <w:r>
        <w:rPr>
          <w:spacing w:val="-3"/>
        </w:rPr>
        <w:t> </w:t>
      </w:r>
      <w:r>
        <w:rPr/>
        <w:t>la</w:t>
      </w:r>
      <w:r>
        <w:rPr>
          <w:spacing w:val="-7"/>
        </w:rPr>
        <w:t> </w:t>
      </w:r>
      <w:r>
        <w:rPr/>
        <w:t>luz</w:t>
      </w:r>
      <w:r>
        <w:rPr>
          <w:spacing w:val="-10"/>
        </w:rPr>
        <w:t> </w:t>
      </w:r>
      <w:r>
        <w:rPr/>
        <w:t>natural,</w:t>
      </w:r>
      <w:r>
        <w:rPr>
          <w:spacing w:val="-10"/>
        </w:rPr>
        <w:t> </w:t>
      </w:r>
      <w:r>
        <w:rPr/>
        <w:t>después</w:t>
      </w:r>
      <w:r>
        <w:rPr>
          <w:spacing w:val="-8"/>
        </w:rPr>
        <w:t> </w:t>
      </w:r>
      <w:r>
        <w:rPr/>
        <w:t>se</w:t>
      </w:r>
      <w:r>
        <w:rPr>
          <w:spacing w:val="-7"/>
        </w:rPr>
        <w:t> </w:t>
      </w:r>
      <w:r>
        <w:rPr/>
        <w:t>secaron los órganos dentarios con ayuda de las pinzas de curación y algodón para que posteriormente</w:t>
      </w:r>
      <w:r>
        <w:rPr>
          <w:spacing w:val="-8"/>
        </w:rPr>
        <w:t> </w:t>
      </w:r>
      <w:r>
        <w:rPr/>
        <w:t>con</w:t>
      </w:r>
      <w:r>
        <w:rPr>
          <w:spacing w:val="-11"/>
        </w:rPr>
        <w:t> </w:t>
      </w:r>
      <w:r>
        <w:rPr/>
        <w:t>un</w:t>
      </w:r>
      <w:r>
        <w:rPr>
          <w:spacing w:val="-11"/>
        </w:rPr>
        <w:t> </w:t>
      </w:r>
      <w:r>
        <w:rPr/>
        <w:t>espejo</w:t>
      </w:r>
      <w:r>
        <w:rPr>
          <w:spacing w:val="-11"/>
        </w:rPr>
        <w:t> </w:t>
      </w:r>
      <w:r>
        <w:rPr/>
        <w:t>bucal</w:t>
      </w:r>
      <w:r>
        <w:rPr>
          <w:spacing w:val="-10"/>
        </w:rPr>
        <w:t> </w:t>
      </w:r>
      <w:r>
        <w:rPr/>
        <w:t>y</w:t>
      </w:r>
      <w:r>
        <w:rPr>
          <w:spacing w:val="-12"/>
        </w:rPr>
        <w:t> </w:t>
      </w:r>
      <w:r>
        <w:rPr/>
        <w:t>sonda</w:t>
      </w:r>
      <w:r>
        <w:rPr>
          <w:spacing w:val="-11"/>
        </w:rPr>
        <w:t> </w:t>
      </w:r>
      <w:r>
        <w:rPr/>
        <w:t>tipo</w:t>
      </w:r>
      <w:r>
        <w:rPr>
          <w:spacing w:val="-8"/>
        </w:rPr>
        <w:t> </w:t>
      </w:r>
      <w:r>
        <w:rPr/>
        <w:t>E</w:t>
      </w:r>
      <w:r>
        <w:rPr>
          <w:spacing w:val="-11"/>
        </w:rPr>
        <w:t> </w:t>
      </w:r>
      <w:r>
        <w:rPr/>
        <w:t>(en</w:t>
      </w:r>
      <w:r>
        <w:rPr>
          <w:spacing w:val="-8"/>
        </w:rPr>
        <w:t> </w:t>
      </w:r>
      <w:r>
        <w:rPr/>
        <w:t>caso</w:t>
      </w:r>
      <w:r>
        <w:rPr>
          <w:spacing w:val="-8"/>
        </w:rPr>
        <w:t> </w:t>
      </w:r>
      <w:r>
        <w:rPr/>
        <w:t>que</w:t>
      </w:r>
      <w:r>
        <w:rPr>
          <w:spacing w:val="-11"/>
        </w:rPr>
        <w:t> </w:t>
      </w:r>
      <w:r>
        <w:rPr/>
        <w:t>sea</w:t>
      </w:r>
      <w:r>
        <w:rPr>
          <w:spacing w:val="-13"/>
        </w:rPr>
        <w:t> </w:t>
      </w:r>
      <w:r>
        <w:rPr/>
        <w:t>necesario)</w:t>
      </w:r>
      <w:r>
        <w:rPr>
          <w:spacing w:val="-10"/>
        </w:rPr>
        <w:t> </w:t>
      </w:r>
      <w:r>
        <w:rPr/>
        <w:t>se</w:t>
      </w:r>
      <w:r>
        <w:rPr>
          <w:spacing w:val="-8"/>
        </w:rPr>
        <w:t> </w:t>
      </w:r>
      <w:r>
        <w:rPr/>
        <w:t>checó la presencia completa del sellador, pérdida parcial o total así como la presencia de lesiones</w:t>
      </w:r>
      <w:r>
        <w:rPr>
          <w:spacing w:val="15"/>
        </w:rPr>
        <w:t> </w:t>
      </w:r>
      <w:r>
        <w:rPr/>
        <w:t>de</w:t>
      </w:r>
      <w:r>
        <w:rPr>
          <w:spacing w:val="18"/>
        </w:rPr>
        <w:t> </w:t>
      </w:r>
      <w:r>
        <w:rPr/>
        <w:t>caries</w:t>
      </w:r>
      <w:r>
        <w:rPr>
          <w:spacing w:val="17"/>
        </w:rPr>
        <w:t> </w:t>
      </w:r>
      <w:r>
        <w:rPr/>
        <w:t>cavitadas</w:t>
      </w:r>
      <w:r>
        <w:rPr>
          <w:spacing w:val="17"/>
        </w:rPr>
        <w:t> </w:t>
      </w:r>
      <w:r>
        <w:rPr/>
        <w:t>y</w:t>
      </w:r>
      <w:r>
        <w:rPr>
          <w:spacing w:val="15"/>
        </w:rPr>
        <w:t> </w:t>
      </w:r>
      <w:r>
        <w:rPr/>
        <w:t>no</w:t>
      </w:r>
      <w:r>
        <w:rPr>
          <w:spacing w:val="18"/>
        </w:rPr>
        <w:t> </w:t>
      </w:r>
      <w:r>
        <w:rPr/>
        <w:t>cavitadas.</w:t>
      </w:r>
      <w:r>
        <w:rPr>
          <w:spacing w:val="15"/>
        </w:rPr>
        <w:t> </w:t>
      </w:r>
      <w:r>
        <w:rPr/>
        <w:t>Se</w:t>
      </w:r>
      <w:r>
        <w:rPr>
          <w:spacing w:val="18"/>
        </w:rPr>
        <w:t> </w:t>
      </w:r>
      <w:r>
        <w:rPr/>
        <w:t>recolectaron</w:t>
      </w:r>
      <w:r>
        <w:rPr>
          <w:spacing w:val="16"/>
        </w:rPr>
        <w:t> </w:t>
      </w:r>
      <w:r>
        <w:rPr/>
        <w:t>los</w:t>
      </w:r>
      <w:r>
        <w:rPr>
          <w:spacing w:val="17"/>
        </w:rPr>
        <w:t> </w:t>
      </w:r>
      <w:r>
        <w:rPr/>
        <w:t>datos</w:t>
      </w:r>
      <w:r>
        <w:rPr>
          <w:spacing w:val="17"/>
        </w:rPr>
        <w:t> </w:t>
      </w:r>
      <w:r>
        <w:rPr/>
        <w:t>en</w:t>
      </w:r>
      <w:r>
        <w:rPr>
          <w:spacing w:val="16"/>
        </w:rPr>
        <w:t> </w:t>
      </w:r>
      <w:r>
        <w:rPr/>
        <w:t>los</w:t>
      </w:r>
      <w:r>
        <w:rPr>
          <w:spacing w:val="15"/>
        </w:rPr>
        <w:t> </w:t>
      </w:r>
      <w:r>
        <w:rPr/>
        <w:t>formatos</w:t>
      </w:r>
    </w:p>
    <w:p>
      <w:pPr>
        <w:spacing w:after="0" w:line="360" w:lineRule="auto"/>
        <w:jc w:val="both"/>
        <w:sectPr>
          <w:pgSz w:w="12240" w:h="15840"/>
          <w:pgMar w:header="0" w:footer="947" w:top="1500" w:bottom="1140" w:left="1300" w:right="1300"/>
        </w:sectPr>
      </w:pPr>
    </w:p>
    <w:p>
      <w:pPr>
        <w:pStyle w:val="BodyText"/>
        <w:spacing w:line="360" w:lineRule="auto" w:before="57"/>
        <w:ind w:left="118" w:right="122"/>
        <w:jc w:val="both"/>
      </w:pPr>
      <w:r>
        <w:rPr/>
        <w:t>previamente diseñados. (Anexo 2) Posteriormente se informó a los padres de los resultados de la revisión. (Anexo 3)</w:t>
      </w:r>
    </w:p>
    <w:p>
      <w:pPr>
        <w:pStyle w:val="BodyText"/>
        <w:spacing w:before="2"/>
      </w:pPr>
    </w:p>
    <w:p>
      <w:pPr>
        <w:pStyle w:val="BodyText"/>
        <w:ind w:left="118"/>
        <w:jc w:val="both"/>
      </w:pPr>
      <w:r>
        <w:rPr/>
        <w:t>Implicaciones Bioéticas</w:t>
      </w:r>
    </w:p>
    <w:p>
      <w:pPr>
        <w:pStyle w:val="BodyText"/>
      </w:pPr>
    </w:p>
    <w:p>
      <w:pPr>
        <w:pStyle w:val="BodyText"/>
        <w:spacing w:line="360" w:lineRule="auto" w:before="139"/>
        <w:ind w:left="118" w:right="112"/>
        <w:jc w:val="both"/>
      </w:pPr>
      <w:r>
        <w:rPr/>
        <w:t>Para llevar a cabo el presente trabajo se consideraron los aspectos éticos de la investigación</w:t>
      </w:r>
      <w:r>
        <w:rPr>
          <w:spacing w:val="-10"/>
        </w:rPr>
        <w:t> </w:t>
      </w:r>
      <w:r>
        <w:rPr/>
        <w:t>en</w:t>
      </w:r>
      <w:r>
        <w:rPr>
          <w:spacing w:val="-13"/>
        </w:rPr>
        <w:t> </w:t>
      </w:r>
      <w:r>
        <w:rPr/>
        <w:t>seres</w:t>
      </w:r>
      <w:r>
        <w:rPr>
          <w:spacing w:val="-16"/>
        </w:rPr>
        <w:t> </w:t>
      </w:r>
      <w:r>
        <w:rPr/>
        <w:t>humanos,</w:t>
      </w:r>
      <w:r>
        <w:rPr>
          <w:spacing w:val="-13"/>
        </w:rPr>
        <w:t> </w:t>
      </w:r>
      <w:r>
        <w:rPr/>
        <w:t>de</w:t>
      </w:r>
      <w:r>
        <w:rPr>
          <w:spacing w:val="-13"/>
        </w:rPr>
        <w:t> </w:t>
      </w:r>
      <w:r>
        <w:rPr/>
        <w:t>acuerdo</w:t>
      </w:r>
      <w:r>
        <w:rPr>
          <w:spacing w:val="-15"/>
        </w:rPr>
        <w:t> </w:t>
      </w:r>
      <w:r>
        <w:rPr/>
        <w:t>a</w:t>
      </w:r>
      <w:r>
        <w:rPr>
          <w:spacing w:val="-11"/>
        </w:rPr>
        <w:t> </w:t>
      </w:r>
      <w:r>
        <w:rPr/>
        <w:t>los</w:t>
      </w:r>
      <w:r>
        <w:rPr>
          <w:spacing w:val="-13"/>
        </w:rPr>
        <w:t> </w:t>
      </w:r>
      <w:r>
        <w:rPr/>
        <w:t>principios</w:t>
      </w:r>
      <w:r>
        <w:rPr>
          <w:spacing w:val="-14"/>
        </w:rPr>
        <w:t> </w:t>
      </w:r>
      <w:r>
        <w:rPr/>
        <w:t>de</w:t>
      </w:r>
      <w:r>
        <w:rPr>
          <w:spacing w:val="-13"/>
        </w:rPr>
        <w:t> </w:t>
      </w:r>
      <w:r>
        <w:rPr/>
        <w:t>la</w:t>
      </w:r>
      <w:r>
        <w:rPr>
          <w:spacing w:val="-13"/>
        </w:rPr>
        <w:t> </w:t>
      </w:r>
      <w:r>
        <w:rPr/>
        <w:t>declaración</w:t>
      </w:r>
      <w:r>
        <w:rPr>
          <w:spacing w:val="-13"/>
        </w:rPr>
        <w:t> </w:t>
      </w:r>
      <w:r>
        <w:rPr/>
        <w:t>de</w:t>
      </w:r>
      <w:r>
        <w:rPr>
          <w:spacing w:val="-13"/>
        </w:rPr>
        <w:t> </w:t>
      </w:r>
      <w:r>
        <w:rPr/>
        <w:t>Helsinki y a los vertidos en el reglamento de la ley General de Salud en Materia de</w:t>
      </w:r>
      <w:r>
        <w:rPr>
          <w:spacing w:val="-38"/>
        </w:rPr>
        <w:t> </w:t>
      </w:r>
      <w:r>
        <w:rPr/>
        <w:t>Investigación. Por tratarse de una investigación con riesgo mínimo, y de acuerdo al Título Segundo, de los Aspectos Éticos de la Investigación en Seres Humanos Capítulo I, articulo 23 que menciona</w:t>
      </w:r>
      <w:r>
        <w:rPr>
          <w:spacing w:val="-13"/>
        </w:rPr>
        <w:t> </w:t>
      </w:r>
      <w:r>
        <w:rPr/>
        <w:t>que</w:t>
      </w:r>
      <w:r>
        <w:rPr>
          <w:spacing w:val="-12"/>
        </w:rPr>
        <w:t> </w:t>
      </w:r>
      <w:r>
        <w:rPr/>
        <w:t>en</w:t>
      </w:r>
      <w:r>
        <w:rPr>
          <w:spacing w:val="-12"/>
        </w:rPr>
        <w:t> </w:t>
      </w:r>
      <w:r>
        <w:rPr/>
        <w:t>el</w:t>
      </w:r>
      <w:r>
        <w:rPr>
          <w:spacing w:val="-12"/>
        </w:rPr>
        <w:t> </w:t>
      </w:r>
      <w:r>
        <w:rPr/>
        <w:t>caso</w:t>
      </w:r>
      <w:r>
        <w:rPr>
          <w:spacing w:val="-12"/>
        </w:rPr>
        <w:t> </w:t>
      </w:r>
      <w:r>
        <w:rPr/>
        <w:t>de</w:t>
      </w:r>
      <w:r>
        <w:rPr>
          <w:spacing w:val="-13"/>
        </w:rPr>
        <w:t> </w:t>
      </w:r>
      <w:r>
        <w:rPr/>
        <w:t>investigaciones</w:t>
      </w:r>
      <w:r>
        <w:rPr>
          <w:spacing w:val="-12"/>
        </w:rPr>
        <w:t> </w:t>
      </w:r>
      <w:r>
        <w:rPr/>
        <w:t>con</w:t>
      </w:r>
      <w:r>
        <w:rPr>
          <w:spacing w:val="-12"/>
        </w:rPr>
        <w:t> </w:t>
      </w:r>
      <w:r>
        <w:rPr/>
        <w:t>riesgo</w:t>
      </w:r>
      <w:r>
        <w:rPr>
          <w:spacing w:val="-13"/>
        </w:rPr>
        <w:t> </w:t>
      </w:r>
      <w:r>
        <w:rPr/>
        <w:t>mínimo,</w:t>
      </w:r>
      <w:r>
        <w:rPr>
          <w:spacing w:val="-12"/>
        </w:rPr>
        <w:t> </w:t>
      </w:r>
      <w:r>
        <w:rPr/>
        <w:t>la</w:t>
      </w:r>
      <w:r>
        <w:rPr>
          <w:spacing w:val="-12"/>
        </w:rPr>
        <w:t> </w:t>
      </w:r>
      <w:r>
        <w:rPr/>
        <w:t>Comisión</w:t>
      </w:r>
      <w:r>
        <w:rPr>
          <w:spacing w:val="-13"/>
        </w:rPr>
        <w:t> </w:t>
      </w:r>
      <w:r>
        <w:rPr/>
        <w:t>de</w:t>
      </w:r>
      <w:r>
        <w:rPr>
          <w:spacing w:val="-6"/>
        </w:rPr>
        <w:t> </w:t>
      </w:r>
      <w:r>
        <w:rPr/>
        <w:t>Ética,</w:t>
      </w:r>
      <w:r>
        <w:rPr>
          <w:spacing w:val="-13"/>
        </w:rPr>
        <w:t> </w:t>
      </w:r>
      <w:r>
        <w:rPr/>
        <w:t>por razones justificadas, podrá autorizar que el consentimiento informado se obtenga sin formulas por escrito, y tratándose de investigaciones sin riesgo, podrá dispersar al investigador</w:t>
      </w:r>
      <w:r>
        <w:rPr>
          <w:spacing w:val="-16"/>
        </w:rPr>
        <w:t> </w:t>
      </w:r>
      <w:r>
        <w:rPr/>
        <w:t>la</w:t>
      </w:r>
      <w:r>
        <w:rPr>
          <w:spacing w:val="-14"/>
        </w:rPr>
        <w:t> </w:t>
      </w:r>
      <w:r>
        <w:rPr/>
        <w:t>obtención</w:t>
      </w:r>
      <w:r>
        <w:rPr>
          <w:spacing w:val="-14"/>
        </w:rPr>
        <w:t> </w:t>
      </w:r>
      <w:r>
        <w:rPr/>
        <w:t>del</w:t>
      </w:r>
      <w:r>
        <w:rPr>
          <w:spacing w:val="-15"/>
        </w:rPr>
        <w:t> </w:t>
      </w:r>
      <w:r>
        <w:rPr/>
        <w:t>consentimiento</w:t>
      </w:r>
      <w:r>
        <w:rPr>
          <w:spacing w:val="-14"/>
        </w:rPr>
        <w:t> </w:t>
      </w:r>
      <w:r>
        <w:rPr/>
        <w:t>informado.</w:t>
      </w:r>
      <w:r>
        <w:rPr>
          <w:spacing w:val="-14"/>
        </w:rPr>
        <w:t> </w:t>
      </w:r>
      <w:r>
        <w:rPr/>
        <w:t>En</w:t>
      </w:r>
      <w:r>
        <w:rPr>
          <w:spacing w:val="-14"/>
        </w:rPr>
        <w:t> </w:t>
      </w:r>
      <w:r>
        <w:rPr/>
        <w:t>el</w:t>
      </w:r>
      <w:r>
        <w:rPr>
          <w:spacing w:val="-15"/>
        </w:rPr>
        <w:t> </w:t>
      </w:r>
      <w:r>
        <w:rPr/>
        <w:t>presente</w:t>
      </w:r>
      <w:r>
        <w:rPr>
          <w:spacing w:val="-14"/>
        </w:rPr>
        <w:t> </w:t>
      </w:r>
      <w:r>
        <w:rPr/>
        <w:t>trabajo</w:t>
      </w:r>
      <w:r>
        <w:rPr>
          <w:spacing w:val="-14"/>
        </w:rPr>
        <w:t> </w:t>
      </w:r>
      <w:r>
        <w:rPr/>
        <w:t>se</w:t>
      </w:r>
      <w:r>
        <w:rPr>
          <w:spacing w:val="-14"/>
        </w:rPr>
        <w:t> </w:t>
      </w:r>
      <w:r>
        <w:rPr/>
        <w:t>elaboró el consentimiento informado para la recolección de datos de presencia parcial, total o ausencia de selladores y presencia de caries. (Anexo 1 y</w:t>
      </w:r>
      <w:r>
        <w:rPr>
          <w:spacing w:val="-14"/>
        </w:rPr>
        <w:t> </w:t>
      </w:r>
      <w:r>
        <w:rPr/>
        <w:t>2)</w:t>
      </w:r>
    </w:p>
    <w:p>
      <w:pPr>
        <w:pStyle w:val="BodyText"/>
      </w:pPr>
    </w:p>
    <w:p>
      <w:pPr>
        <w:pStyle w:val="BodyText"/>
      </w:pPr>
    </w:p>
    <w:p>
      <w:pPr>
        <w:pStyle w:val="BodyText"/>
        <w:spacing w:before="142"/>
        <w:ind w:left="118"/>
        <w:jc w:val="both"/>
      </w:pPr>
      <w:r>
        <w:rPr/>
        <w:t>Análisis Estadístico</w:t>
      </w:r>
    </w:p>
    <w:p>
      <w:pPr>
        <w:pStyle w:val="BodyText"/>
      </w:pPr>
    </w:p>
    <w:p>
      <w:pPr>
        <w:pStyle w:val="BodyText"/>
      </w:pPr>
    </w:p>
    <w:p>
      <w:pPr>
        <w:pStyle w:val="BodyText"/>
        <w:spacing w:line="360" w:lineRule="auto"/>
        <w:ind w:left="118" w:right="112"/>
        <w:jc w:val="both"/>
      </w:pPr>
      <w:r>
        <w:rPr/>
        <w:t>Los</w:t>
      </w:r>
      <w:r>
        <w:rPr>
          <w:spacing w:val="-10"/>
        </w:rPr>
        <w:t> </w:t>
      </w:r>
      <w:r>
        <w:rPr/>
        <w:t>datos</w:t>
      </w:r>
      <w:r>
        <w:rPr>
          <w:spacing w:val="-14"/>
        </w:rPr>
        <w:t> </w:t>
      </w:r>
      <w:r>
        <w:rPr/>
        <w:t>fueron</w:t>
      </w:r>
      <w:r>
        <w:rPr>
          <w:spacing w:val="-11"/>
        </w:rPr>
        <w:t> </w:t>
      </w:r>
      <w:r>
        <w:rPr/>
        <w:t>analizados</w:t>
      </w:r>
      <w:r>
        <w:rPr>
          <w:spacing w:val="-10"/>
        </w:rPr>
        <w:t> </w:t>
      </w:r>
      <w:r>
        <w:rPr/>
        <w:t>en</w:t>
      </w:r>
      <w:r>
        <w:rPr>
          <w:spacing w:val="-11"/>
        </w:rPr>
        <w:t> </w:t>
      </w:r>
      <w:r>
        <w:rPr/>
        <w:t>el</w:t>
      </w:r>
      <w:r>
        <w:rPr>
          <w:spacing w:val="-11"/>
        </w:rPr>
        <w:t> </w:t>
      </w:r>
      <w:r>
        <w:rPr/>
        <w:t>paquete</w:t>
      </w:r>
      <w:r>
        <w:rPr>
          <w:spacing w:val="-11"/>
        </w:rPr>
        <w:t> </w:t>
      </w:r>
      <w:r>
        <w:rPr/>
        <w:t>estadístico</w:t>
      </w:r>
      <w:r>
        <w:rPr>
          <w:spacing w:val="-9"/>
        </w:rPr>
        <w:t> </w:t>
      </w:r>
      <w:r>
        <w:rPr/>
        <w:t>SPSS</w:t>
      </w:r>
      <w:r>
        <w:rPr>
          <w:spacing w:val="-10"/>
        </w:rPr>
        <w:t> </w:t>
      </w:r>
      <w:r>
        <w:rPr/>
        <w:t>(SPSS</w:t>
      </w:r>
      <w:r>
        <w:rPr>
          <w:spacing w:val="-11"/>
        </w:rPr>
        <w:t> </w:t>
      </w:r>
      <w:r>
        <w:rPr/>
        <w:t>IBM., New</w:t>
      </w:r>
      <w:r>
        <w:rPr>
          <w:spacing w:val="-12"/>
        </w:rPr>
        <w:t> </w:t>
      </w:r>
      <w:r>
        <w:rPr/>
        <w:t>York,</w:t>
      </w:r>
      <w:r>
        <w:rPr>
          <w:spacing w:val="-10"/>
        </w:rPr>
        <w:t> </w:t>
      </w:r>
      <w:r>
        <w:rPr/>
        <w:t>NY, USA), versión 21. La prueba de Kolmogorov-Smirnov fue aplicada para evaluar la distribución de los datos y para determinar si existían diferencias estadísticamente significativas a seis meses y a doce meses, se usó la prueba de Wilcoxon. Ambas pruebas con un nivel de significancia de</w:t>
      </w:r>
      <w:r>
        <w:rPr>
          <w:spacing w:val="-14"/>
        </w:rPr>
        <w:t> </w:t>
      </w:r>
      <w:r>
        <w:rPr/>
        <w:t>alfa=0.05.</w:t>
      </w:r>
    </w:p>
    <w:p>
      <w:pPr>
        <w:spacing w:after="0" w:line="360" w:lineRule="auto"/>
        <w:jc w:val="both"/>
        <w:sectPr>
          <w:pgSz w:w="12240" w:h="15840"/>
          <w:pgMar w:header="0" w:footer="947" w:top="1360" w:bottom="1140" w:left="1300" w:right="1300"/>
        </w:sectPr>
      </w:pPr>
    </w:p>
    <w:p>
      <w:pPr>
        <w:pStyle w:val="BodyText"/>
        <w:rPr>
          <w:sz w:val="20"/>
        </w:rPr>
      </w:pPr>
    </w:p>
    <w:p>
      <w:pPr>
        <w:pStyle w:val="BodyText"/>
        <w:rPr>
          <w:sz w:val="20"/>
        </w:rPr>
      </w:pPr>
    </w:p>
    <w:p>
      <w:pPr>
        <w:pStyle w:val="BodyText"/>
        <w:spacing w:before="11"/>
        <w:rPr>
          <w:sz w:val="19"/>
        </w:rPr>
      </w:pPr>
    </w:p>
    <w:p>
      <w:pPr>
        <w:pStyle w:val="BodyText"/>
        <w:ind w:left="2945"/>
      </w:pPr>
      <w:r>
        <w:rPr/>
        <w:t>Tabla I.- Definición Conceptual y Operacional de Variables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4"/>
        <w:gridCol w:w="2377"/>
        <w:gridCol w:w="2374"/>
        <w:gridCol w:w="2376"/>
        <w:gridCol w:w="2377"/>
      </w:tblGrid>
      <w:tr>
        <w:trPr>
          <w:trHeight w:val="307" w:hRule="exact"/>
        </w:trPr>
        <w:tc>
          <w:tcPr>
            <w:tcW w:w="11877" w:type="dxa"/>
            <w:gridSpan w:val="5"/>
          </w:tcPr>
          <w:p>
            <w:pPr>
              <w:pStyle w:val="TableParagraph"/>
              <w:spacing w:line="272" w:lineRule="exact" w:before="0"/>
              <w:ind w:left="103"/>
              <w:rPr>
                <w:rFonts w:ascii="Arial"/>
                <w:sz w:val="24"/>
              </w:rPr>
            </w:pPr>
            <w:r>
              <w:rPr>
                <w:rFonts w:ascii="Arial"/>
                <w:sz w:val="24"/>
              </w:rPr>
              <w:t>Variables Dependientes</w:t>
            </w:r>
          </w:p>
        </w:tc>
      </w:tr>
      <w:tr>
        <w:trPr>
          <w:trHeight w:val="600" w:hRule="exact"/>
        </w:trPr>
        <w:tc>
          <w:tcPr>
            <w:tcW w:w="2374" w:type="dxa"/>
          </w:tcPr>
          <w:p>
            <w:pPr>
              <w:pStyle w:val="TableParagraph"/>
              <w:spacing w:line="206" w:lineRule="exact" w:before="0"/>
              <w:ind w:left="103"/>
              <w:rPr>
                <w:rFonts w:ascii="Arial"/>
                <w:sz w:val="18"/>
              </w:rPr>
            </w:pPr>
            <w:r>
              <w:rPr>
                <w:rFonts w:ascii="Arial"/>
                <w:sz w:val="18"/>
              </w:rPr>
              <w:t>Variable</w:t>
            </w:r>
          </w:p>
        </w:tc>
        <w:tc>
          <w:tcPr>
            <w:tcW w:w="2377" w:type="dxa"/>
          </w:tcPr>
          <w:p>
            <w:pPr>
              <w:pStyle w:val="TableParagraph"/>
              <w:spacing w:line="206" w:lineRule="exact" w:before="0"/>
              <w:ind w:left="103"/>
              <w:rPr>
                <w:rFonts w:ascii="Arial" w:hAnsi="Arial"/>
                <w:sz w:val="18"/>
              </w:rPr>
            </w:pPr>
            <w:r>
              <w:rPr>
                <w:rFonts w:ascii="Arial" w:hAnsi="Arial"/>
                <w:sz w:val="18"/>
              </w:rPr>
              <w:t>Definición conceptual</w:t>
            </w:r>
          </w:p>
        </w:tc>
        <w:tc>
          <w:tcPr>
            <w:tcW w:w="2374" w:type="dxa"/>
          </w:tcPr>
          <w:p>
            <w:pPr>
              <w:pStyle w:val="TableParagraph"/>
              <w:spacing w:line="206" w:lineRule="exact" w:before="0"/>
              <w:ind w:left="103" w:right="100"/>
              <w:rPr>
                <w:rFonts w:ascii="Arial" w:hAnsi="Arial"/>
                <w:sz w:val="18"/>
              </w:rPr>
            </w:pPr>
            <w:r>
              <w:rPr>
                <w:rFonts w:ascii="Arial" w:hAnsi="Arial"/>
                <w:sz w:val="18"/>
              </w:rPr>
              <w:t>Definición Operacional</w:t>
            </w:r>
          </w:p>
        </w:tc>
        <w:tc>
          <w:tcPr>
            <w:tcW w:w="2376" w:type="dxa"/>
          </w:tcPr>
          <w:p>
            <w:pPr>
              <w:pStyle w:val="TableParagraph"/>
              <w:spacing w:line="206" w:lineRule="exact" w:before="0"/>
              <w:ind w:left="105"/>
              <w:rPr>
                <w:rFonts w:ascii="Arial"/>
                <w:sz w:val="18"/>
              </w:rPr>
            </w:pPr>
            <w:r>
              <w:rPr>
                <w:rFonts w:ascii="Arial"/>
                <w:sz w:val="18"/>
              </w:rPr>
              <w:t>Tipo de Variable</w:t>
            </w:r>
          </w:p>
        </w:tc>
        <w:tc>
          <w:tcPr>
            <w:tcW w:w="2377" w:type="dxa"/>
          </w:tcPr>
          <w:p>
            <w:pPr>
              <w:pStyle w:val="TableParagraph"/>
              <w:spacing w:line="206" w:lineRule="exact" w:before="0"/>
              <w:ind w:left="103"/>
              <w:rPr>
                <w:rFonts w:ascii="Arial" w:hAnsi="Arial"/>
                <w:sz w:val="18"/>
              </w:rPr>
            </w:pPr>
            <w:r>
              <w:rPr>
                <w:rFonts w:ascii="Arial" w:hAnsi="Arial"/>
                <w:sz w:val="18"/>
              </w:rPr>
              <w:t>Escala de Medición</w:t>
            </w:r>
          </w:p>
        </w:tc>
      </w:tr>
      <w:tr>
        <w:trPr>
          <w:trHeight w:val="1046" w:hRule="exact"/>
        </w:trPr>
        <w:tc>
          <w:tcPr>
            <w:tcW w:w="2374" w:type="dxa"/>
          </w:tcPr>
          <w:p>
            <w:pPr>
              <w:pStyle w:val="TableParagraph"/>
              <w:spacing w:before="1"/>
              <w:ind w:left="103"/>
              <w:rPr>
                <w:rFonts w:ascii="Arial"/>
                <w:sz w:val="18"/>
              </w:rPr>
            </w:pPr>
            <w:r>
              <w:rPr>
                <w:rFonts w:ascii="Arial"/>
                <w:sz w:val="18"/>
              </w:rPr>
              <w:t>Incidencia de Caries</w:t>
            </w:r>
          </w:p>
        </w:tc>
        <w:tc>
          <w:tcPr>
            <w:tcW w:w="2377" w:type="dxa"/>
          </w:tcPr>
          <w:p>
            <w:pPr>
              <w:pStyle w:val="TableParagraph"/>
              <w:spacing w:before="1"/>
              <w:ind w:left="103" w:right="100"/>
              <w:jc w:val="both"/>
              <w:rPr>
                <w:rFonts w:ascii="Arial" w:hAnsi="Arial"/>
                <w:sz w:val="18"/>
              </w:rPr>
            </w:pPr>
            <w:r>
              <w:rPr>
                <w:rFonts w:ascii="Arial" w:hAnsi="Arial"/>
                <w:sz w:val="18"/>
              </w:rPr>
              <w:t>Desarrollo de nuevas lesiones de  caries después de seis y doce meses de la colocación de selladores.</w:t>
            </w:r>
          </w:p>
        </w:tc>
        <w:tc>
          <w:tcPr>
            <w:tcW w:w="2374" w:type="dxa"/>
          </w:tcPr>
          <w:p>
            <w:pPr>
              <w:pStyle w:val="TableParagraph"/>
              <w:tabs>
                <w:tab w:pos="1203" w:val="left" w:leader="none"/>
                <w:tab w:pos="1781" w:val="left" w:leader="none"/>
              </w:tabs>
              <w:spacing w:before="1"/>
              <w:ind w:left="103" w:right="100"/>
              <w:rPr>
                <w:rFonts w:ascii="Arial"/>
                <w:sz w:val="18"/>
              </w:rPr>
            </w:pPr>
            <w:r>
              <w:rPr>
                <w:rFonts w:ascii="Arial"/>
                <w:sz w:val="18"/>
              </w:rPr>
              <w:t>Lesiones</w:t>
              <w:tab/>
              <w:t>de</w:t>
              <w:tab/>
              <w:t>caries presentes en su forma: Cavitada</w:t>
            </w:r>
          </w:p>
          <w:p>
            <w:pPr>
              <w:pStyle w:val="TableParagraph"/>
              <w:spacing w:line="206" w:lineRule="exact" w:before="0"/>
              <w:ind w:left="103" w:right="100"/>
              <w:rPr>
                <w:rFonts w:ascii="Arial"/>
                <w:sz w:val="18"/>
              </w:rPr>
            </w:pPr>
            <w:r>
              <w:rPr>
                <w:rFonts w:ascii="Arial"/>
                <w:sz w:val="18"/>
              </w:rPr>
              <w:t>No cavitada</w:t>
            </w:r>
          </w:p>
        </w:tc>
        <w:tc>
          <w:tcPr>
            <w:tcW w:w="2376" w:type="dxa"/>
          </w:tcPr>
          <w:p>
            <w:pPr>
              <w:pStyle w:val="TableParagraph"/>
              <w:spacing w:before="1"/>
              <w:ind w:left="105"/>
              <w:rPr>
                <w:rFonts w:ascii="Arial"/>
                <w:sz w:val="18"/>
              </w:rPr>
            </w:pPr>
            <w:r>
              <w:rPr>
                <w:rFonts w:ascii="Arial"/>
                <w:sz w:val="18"/>
              </w:rPr>
              <w:t>Cuantitativa continua</w:t>
            </w:r>
          </w:p>
        </w:tc>
        <w:tc>
          <w:tcPr>
            <w:tcW w:w="2377" w:type="dxa"/>
          </w:tcPr>
          <w:p>
            <w:pPr>
              <w:pStyle w:val="TableParagraph"/>
              <w:spacing w:before="1"/>
              <w:ind w:left="103"/>
              <w:rPr>
                <w:rFonts w:ascii="Arial" w:hAnsi="Arial"/>
                <w:sz w:val="18"/>
              </w:rPr>
            </w:pPr>
            <w:r>
              <w:rPr>
                <w:rFonts w:ascii="Arial" w:hAnsi="Arial"/>
                <w:sz w:val="18"/>
              </w:rPr>
              <w:t>Razón</w:t>
            </w:r>
          </w:p>
        </w:tc>
      </w:tr>
      <w:tr>
        <w:trPr>
          <w:trHeight w:val="324" w:hRule="exact"/>
        </w:trPr>
        <w:tc>
          <w:tcPr>
            <w:tcW w:w="2374" w:type="dxa"/>
          </w:tcPr>
          <w:p>
            <w:pPr>
              <w:pStyle w:val="TableParagraph"/>
              <w:spacing w:line="206" w:lineRule="exact" w:before="0"/>
              <w:ind w:left="103"/>
              <w:rPr>
                <w:rFonts w:ascii="Arial"/>
                <w:sz w:val="18"/>
              </w:rPr>
            </w:pPr>
            <w:r>
              <w:rPr>
                <w:rFonts w:ascii="Arial"/>
                <w:sz w:val="18"/>
              </w:rPr>
              <w:t>Variables Independientes</w:t>
            </w:r>
          </w:p>
        </w:tc>
        <w:tc>
          <w:tcPr>
            <w:tcW w:w="2377" w:type="dxa"/>
          </w:tcPr>
          <w:p>
            <w:pPr/>
          </w:p>
        </w:tc>
        <w:tc>
          <w:tcPr>
            <w:tcW w:w="2374" w:type="dxa"/>
          </w:tcPr>
          <w:p>
            <w:pPr/>
          </w:p>
        </w:tc>
        <w:tc>
          <w:tcPr>
            <w:tcW w:w="2376" w:type="dxa"/>
          </w:tcPr>
          <w:p>
            <w:pPr/>
          </w:p>
        </w:tc>
        <w:tc>
          <w:tcPr>
            <w:tcW w:w="2377" w:type="dxa"/>
          </w:tcPr>
          <w:p>
            <w:pPr/>
          </w:p>
        </w:tc>
      </w:tr>
      <w:tr>
        <w:trPr>
          <w:trHeight w:val="1872" w:hRule="exact"/>
        </w:trPr>
        <w:tc>
          <w:tcPr>
            <w:tcW w:w="2374" w:type="dxa"/>
          </w:tcPr>
          <w:p>
            <w:pPr>
              <w:pStyle w:val="TableParagraph"/>
              <w:spacing w:line="206" w:lineRule="exact" w:before="0"/>
              <w:ind w:left="103"/>
              <w:rPr>
                <w:rFonts w:ascii="Arial"/>
                <w:sz w:val="18"/>
              </w:rPr>
            </w:pPr>
            <w:r>
              <w:rPr>
                <w:rFonts w:ascii="Arial"/>
                <w:sz w:val="18"/>
              </w:rPr>
              <w:t>Sellador de fosas y fisuras</w:t>
            </w:r>
          </w:p>
        </w:tc>
        <w:tc>
          <w:tcPr>
            <w:tcW w:w="2377" w:type="dxa"/>
          </w:tcPr>
          <w:p>
            <w:pPr>
              <w:pStyle w:val="TableParagraph"/>
              <w:spacing w:before="0"/>
              <w:ind w:left="103" w:right="100"/>
              <w:jc w:val="both"/>
              <w:rPr>
                <w:rFonts w:ascii="Arial" w:hAnsi="Arial"/>
                <w:sz w:val="18"/>
              </w:rPr>
            </w:pPr>
            <w:r>
              <w:rPr>
                <w:rFonts w:ascii="Arial" w:hAnsi="Arial"/>
                <w:sz w:val="18"/>
              </w:rPr>
              <w:t>Los selladores son sustancias químicas que actúan como barrera física impidiendo que las bacterias y restos de alimentos penetren en las fosas</w:t>
            </w:r>
            <w:r>
              <w:rPr>
                <w:rFonts w:ascii="Arial" w:hAnsi="Arial"/>
                <w:spacing w:val="-11"/>
                <w:sz w:val="18"/>
              </w:rPr>
              <w:t> </w:t>
            </w:r>
            <w:r>
              <w:rPr>
                <w:rFonts w:ascii="Arial" w:hAnsi="Arial"/>
                <w:sz w:val="18"/>
              </w:rPr>
              <w:t>y</w:t>
            </w:r>
            <w:r>
              <w:rPr>
                <w:rFonts w:ascii="Arial" w:hAnsi="Arial"/>
                <w:spacing w:val="-13"/>
                <w:sz w:val="18"/>
              </w:rPr>
              <w:t> </w:t>
            </w:r>
            <w:r>
              <w:rPr>
                <w:rFonts w:ascii="Arial" w:hAnsi="Arial"/>
                <w:sz w:val="18"/>
              </w:rPr>
              <w:t>fisuras</w:t>
            </w:r>
            <w:r>
              <w:rPr>
                <w:rFonts w:ascii="Arial" w:hAnsi="Arial"/>
                <w:spacing w:val="-13"/>
                <w:sz w:val="18"/>
              </w:rPr>
              <w:t> </w:t>
            </w:r>
            <w:r>
              <w:rPr>
                <w:rFonts w:ascii="Arial" w:hAnsi="Arial"/>
                <w:sz w:val="18"/>
              </w:rPr>
              <w:t>y</w:t>
            </w:r>
            <w:r>
              <w:rPr>
                <w:rFonts w:ascii="Arial" w:hAnsi="Arial"/>
                <w:spacing w:val="-13"/>
                <w:sz w:val="18"/>
              </w:rPr>
              <w:t> </w:t>
            </w:r>
            <w:r>
              <w:rPr>
                <w:rFonts w:ascii="Arial" w:hAnsi="Arial"/>
                <w:sz w:val="18"/>
              </w:rPr>
              <w:t>evitando</w:t>
            </w:r>
            <w:r>
              <w:rPr>
                <w:rFonts w:ascii="Arial" w:hAnsi="Arial"/>
                <w:spacing w:val="-13"/>
                <w:sz w:val="18"/>
              </w:rPr>
              <w:t> </w:t>
            </w:r>
            <w:r>
              <w:rPr>
                <w:rFonts w:ascii="Arial" w:hAnsi="Arial"/>
                <w:sz w:val="18"/>
              </w:rPr>
              <w:t>la aparición de caries producida por las</w:t>
            </w:r>
            <w:r>
              <w:rPr>
                <w:rFonts w:ascii="Arial" w:hAnsi="Arial"/>
                <w:spacing w:val="-12"/>
                <w:sz w:val="18"/>
              </w:rPr>
              <w:t> </w:t>
            </w:r>
            <w:r>
              <w:rPr>
                <w:rFonts w:ascii="Arial" w:hAnsi="Arial"/>
                <w:sz w:val="18"/>
              </w:rPr>
              <w:t>bacterias</w:t>
            </w:r>
          </w:p>
        </w:tc>
        <w:tc>
          <w:tcPr>
            <w:tcW w:w="2374" w:type="dxa"/>
          </w:tcPr>
          <w:p>
            <w:pPr>
              <w:pStyle w:val="TableParagraph"/>
              <w:spacing w:before="0"/>
              <w:ind w:left="103" w:right="99"/>
              <w:jc w:val="both"/>
              <w:rPr>
                <w:rFonts w:ascii="Arial" w:hAnsi="Arial"/>
                <w:sz w:val="18"/>
              </w:rPr>
            </w:pPr>
            <w:r>
              <w:rPr>
                <w:rFonts w:ascii="Arial" w:hAnsi="Arial"/>
                <w:sz w:val="18"/>
              </w:rPr>
              <w:t>-Íntegro: el sellador está presente en los órganos dentarios.</w:t>
            </w:r>
          </w:p>
          <w:p>
            <w:pPr>
              <w:pStyle w:val="TableParagraph"/>
              <w:spacing w:before="2"/>
              <w:ind w:left="103" w:right="100"/>
              <w:jc w:val="both"/>
              <w:rPr>
                <w:rFonts w:ascii="Arial" w:hAnsi="Arial"/>
                <w:sz w:val="18"/>
              </w:rPr>
            </w:pPr>
            <w:r>
              <w:rPr>
                <w:rFonts w:ascii="Arial" w:hAnsi="Arial"/>
                <w:sz w:val="18"/>
              </w:rPr>
              <w:t>-Pérdida parcial: ausencia del sellador en alguna parte de la fosa o fisura.</w:t>
            </w:r>
          </w:p>
          <w:p>
            <w:pPr>
              <w:pStyle w:val="TableParagraph"/>
              <w:spacing w:before="0"/>
              <w:ind w:left="103" w:right="99"/>
              <w:jc w:val="both"/>
              <w:rPr>
                <w:rFonts w:ascii="Arial" w:hAnsi="Arial"/>
                <w:sz w:val="18"/>
              </w:rPr>
            </w:pPr>
            <w:r>
              <w:rPr>
                <w:rFonts w:ascii="Arial" w:hAnsi="Arial"/>
                <w:sz w:val="18"/>
              </w:rPr>
              <w:t>-Pérdida total: ausencia completa de todo el sellador.</w:t>
            </w:r>
          </w:p>
        </w:tc>
        <w:tc>
          <w:tcPr>
            <w:tcW w:w="2376" w:type="dxa"/>
          </w:tcPr>
          <w:p>
            <w:pPr>
              <w:pStyle w:val="TableParagraph"/>
              <w:spacing w:line="206" w:lineRule="exact" w:before="0"/>
              <w:ind w:left="105"/>
              <w:rPr>
                <w:rFonts w:ascii="Arial" w:hAnsi="Arial"/>
                <w:sz w:val="18"/>
              </w:rPr>
            </w:pPr>
            <w:r>
              <w:rPr>
                <w:rFonts w:ascii="Arial" w:hAnsi="Arial"/>
                <w:sz w:val="18"/>
              </w:rPr>
              <w:t>Cualitativa Polidicotómica</w:t>
            </w:r>
          </w:p>
        </w:tc>
        <w:tc>
          <w:tcPr>
            <w:tcW w:w="2377" w:type="dxa"/>
          </w:tcPr>
          <w:p>
            <w:pPr>
              <w:pStyle w:val="TableParagraph"/>
              <w:spacing w:line="206" w:lineRule="exact" w:before="0"/>
              <w:ind w:left="103"/>
              <w:rPr>
                <w:rFonts w:ascii="Arial"/>
                <w:sz w:val="18"/>
              </w:rPr>
            </w:pPr>
            <w:r>
              <w:rPr>
                <w:rFonts w:ascii="Arial"/>
                <w:sz w:val="18"/>
              </w:rPr>
              <w:t>Ordinal</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74"/>
        <w:ind w:left="5941" w:right="5939" w:firstLine="0"/>
        <w:jc w:val="center"/>
        <w:rPr>
          <w:rFonts w:ascii="Times New Roman"/>
          <w:sz w:val="20"/>
        </w:rPr>
      </w:pPr>
      <w:r>
        <w:rPr>
          <w:rFonts w:ascii="Times New Roman"/>
          <w:sz w:val="20"/>
        </w:rPr>
        <w:t>29</w:t>
      </w:r>
    </w:p>
    <w:p>
      <w:pPr>
        <w:spacing w:after="0"/>
        <w:jc w:val="center"/>
        <w:rPr>
          <w:rFonts w:ascii="Times New Roman"/>
          <w:sz w:val="20"/>
        </w:rPr>
        <w:sectPr>
          <w:footerReference w:type="default" r:id="rId12"/>
          <w:pgSz w:w="15840" w:h="12240" w:orient="landscape"/>
          <w:pgMar w:footer="0" w:header="0" w:top="1140" w:bottom="280" w:left="1860" w:right="1860"/>
        </w:sectPr>
      </w:pPr>
    </w:p>
    <w:p>
      <w:pPr>
        <w:pStyle w:val="Heading1"/>
        <w:ind w:left="4066" w:right="4066"/>
        <w:jc w:val="center"/>
      </w:pPr>
      <w:bookmarkStart w:name="_bookmark9" w:id="11"/>
      <w:bookmarkEnd w:id="11"/>
      <w:r>
        <w:rPr>
          <w:b w:val="0"/>
        </w:rPr>
      </w:r>
      <w:r>
        <w:rPr/>
        <w:t>Resultados</w:t>
      </w:r>
    </w:p>
    <w:p>
      <w:pPr>
        <w:pStyle w:val="BodyText"/>
        <w:spacing w:before="2"/>
        <w:rPr>
          <w:b/>
        </w:rPr>
      </w:pPr>
    </w:p>
    <w:p>
      <w:pPr>
        <w:pStyle w:val="BodyText"/>
        <w:spacing w:line="360" w:lineRule="auto"/>
        <w:ind w:left="118" w:right="112"/>
        <w:jc w:val="both"/>
      </w:pPr>
      <w:r>
        <w:rPr/>
        <w:t>De un total de 312 selladores colocados en 47 escolares de 5° año de primaria, la incidencia acumulada de caries no cavitada posterior a la colocación de selladores de fosas y fisuras a los seis meses fue de 0.02% y a los doce meses de 0.03%, mientras que no se encontraron lesiones de caries cavitadas a los seis ni a los doce meses.</w:t>
      </w:r>
    </w:p>
    <w:p>
      <w:pPr>
        <w:pStyle w:val="BodyText"/>
      </w:pPr>
    </w:p>
    <w:p>
      <w:pPr>
        <w:pStyle w:val="BodyText"/>
        <w:spacing w:line="360" w:lineRule="auto" w:before="142"/>
        <w:ind w:left="118" w:right="118"/>
        <w:jc w:val="both"/>
      </w:pPr>
      <w:r>
        <w:rPr/>
        <w:t>Por otra parte en promedio el 4.75 de los selladores colocados se encontraron íntegros en la primera revisión mientras que en la segunda disminuyo a 3.77, con diferencias estadísticamente significativas (Tabla 1), de la misma forma se encontraron diferencias estadísticamente</w:t>
      </w:r>
      <w:r>
        <w:rPr>
          <w:spacing w:val="-9"/>
        </w:rPr>
        <w:t> </w:t>
      </w:r>
      <w:r>
        <w:rPr/>
        <w:t>significativas</w:t>
      </w:r>
      <w:r>
        <w:rPr>
          <w:spacing w:val="-8"/>
        </w:rPr>
        <w:t> </w:t>
      </w:r>
      <w:r>
        <w:rPr/>
        <w:t>en</w:t>
      </w:r>
      <w:r>
        <w:rPr>
          <w:spacing w:val="-7"/>
        </w:rPr>
        <w:t> </w:t>
      </w:r>
      <w:r>
        <w:rPr/>
        <w:t>la</w:t>
      </w:r>
      <w:r>
        <w:rPr>
          <w:spacing w:val="-9"/>
        </w:rPr>
        <w:t> </w:t>
      </w:r>
      <w:r>
        <w:rPr/>
        <w:t>pérdida</w:t>
      </w:r>
      <w:r>
        <w:rPr>
          <w:spacing w:val="-7"/>
        </w:rPr>
        <w:t> </w:t>
      </w:r>
      <w:r>
        <w:rPr/>
        <w:t>total</w:t>
      </w:r>
      <w:r>
        <w:rPr>
          <w:spacing w:val="-11"/>
        </w:rPr>
        <w:t> </w:t>
      </w:r>
      <w:r>
        <w:rPr/>
        <w:t>del</w:t>
      </w:r>
      <w:r>
        <w:rPr>
          <w:spacing w:val="-8"/>
        </w:rPr>
        <w:t> </w:t>
      </w:r>
      <w:r>
        <w:rPr/>
        <w:t>sellador,</w:t>
      </w:r>
      <w:r>
        <w:rPr>
          <w:spacing w:val="-8"/>
        </w:rPr>
        <w:t> </w:t>
      </w:r>
      <w:r>
        <w:rPr/>
        <w:t>que</w:t>
      </w:r>
      <w:r>
        <w:rPr>
          <w:spacing w:val="-9"/>
        </w:rPr>
        <w:t> </w:t>
      </w:r>
      <w:r>
        <w:rPr/>
        <w:t>en</w:t>
      </w:r>
      <w:r>
        <w:rPr>
          <w:spacing w:val="-7"/>
        </w:rPr>
        <w:t> </w:t>
      </w:r>
      <w:r>
        <w:rPr/>
        <w:t>la</w:t>
      </w:r>
      <w:r>
        <w:rPr>
          <w:spacing w:val="-10"/>
        </w:rPr>
        <w:t> </w:t>
      </w:r>
      <w:r>
        <w:rPr/>
        <w:t>primera</w:t>
      </w:r>
      <w:r>
        <w:rPr>
          <w:spacing w:val="-8"/>
        </w:rPr>
        <w:t> </w:t>
      </w:r>
      <w:r>
        <w:rPr/>
        <w:t>revisión, el promedio fue de 0.92 y en la segunda fue de</w:t>
      </w:r>
      <w:r>
        <w:rPr>
          <w:spacing w:val="-20"/>
        </w:rPr>
        <w:t> </w:t>
      </w:r>
      <w:r>
        <w:rPr/>
        <w:t>1.53.</w:t>
      </w:r>
    </w:p>
    <w:p>
      <w:pPr>
        <w:pStyle w:val="BodyText"/>
        <w:spacing w:before="5"/>
      </w:pPr>
    </w:p>
    <w:p>
      <w:pPr>
        <w:pStyle w:val="BodyText"/>
        <w:spacing w:line="360" w:lineRule="auto"/>
        <w:ind w:left="118" w:right="123"/>
        <w:jc w:val="both"/>
      </w:pPr>
      <w:r>
        <w:rPr/>
        <w:t>Tabla 1. Promedio y desviación estándar de caries cavitada y no cavitada, selladores íntegros, con pérdida parcial y total, dientes exfoliados en escolares posterior a la colocación de selladores a los seis meses y doce meses.</w:t>
      </w:r>
    </w:p>
    <w:p>
      <w:pPr>
        <w:pStyle w:val="BodyText"/>
        <w:rPr>
          <w:sz w:val="20"/>
        </w:rPr>
      </w:pPr>
    </w:p>
    <w:p>
      <w:pPr>
        <w:pStyle w:val="BodyText"/>
        <w:rPr>
          <w:sz w:val="20"/>
        </w:rPr>
      </w:pPr>
    </w:p>
    <w:p>
      <w:pPr>
        <w:pStyle w:val="BodyText"/>
        <w:spacing w:before="7"/>
        <w:rPr>
          <w:sz w:val="17"/>
        </w:rPr>
      </w:pPr>
    </w:p>
    <w:tbl>
      <w:tblPr>
        <w:tblW w:w="0" w:type="auto"/>
        <w:jc w:val="left"/>
        <w:tblInd w:w="8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9"/>
        <w:gridCol w:w="3334"/>
        <w:gridCol w:w="2487"/>
      </w:tblGrid>
      <w:tr>
        <w:trPr>
          <w:trHeight w:val="770" w:hRule="exact"/>
        </w:trPr>
        <w:tc>
          <w:tcPr>
            <w:tcW w:w="2079" w:type="dxa"/>
            <w:tcBorders>
              <w:left w:val="nil"/>
              <w:right w:val="nil"/>
            </w:tcBorders>
          </w:tcPr>
          <w:p>
            <w:pPr/>
          </w:p>
        </w:tc>
        <w:tc>
          <w:tcPr>
            <w:tcW w:w="3334" w:type="dxa"/>
            <w:tcBorders>
              <w:left w:val="nil"/>
              <w:right w:val="nil"/>
            </w:tcBorders>
          </w:tcPr>
          <w:p>
            <w:pPr/>
          </w:p>
        </w:tc>
        <w:tc>
          <w:tcPr>
            <w:tcW w:w="2487" w:type="dxa"/>
            <w:tcBorders>
              <w:left w:val="nil"/>
              <w:right w:val="nil"/>
            </w:tcBorders>
          </w:tcPr>
          <w:p>
            <w:pPr>
              <w:pStyle w:val="TableParagraph"/>
              <w:spacing w:line="242" w:lineRule="auto" w:before="0"/>
              <w:ind w:left="506" w:right="274" w:hanging="490"/>
              <w:rPr>
                <w:rFonts w:ascii="Arial"/>
                <w:sz w:val="22"/>
              </w:rPr>
            </w:pPr>
            <w:r>
              <w:rPr>
                <w:rFonts w:ascii="Arial"/>
                <w:sz w:val="22"/>
              </w:rPr>
              <w:t>MEDIA/ DESVIACION ESTANDAR</w:t>
            </w:r>
          </w:p>
        </w:tc>
      </w:tr>
      <w:tr>
        <w:trPr>
          <w:trHeight w:val="295" w:hRule="exact"/>
        </w:trPr>
        <w:tc>
          <w:tcPr>
            <w:tcW w:w="2079" w:type="dxa"/>
            <w:tcBorders>
              <w:left w:val="nil"/>
              <w:bottom w:val="nil"/>
              <w:right w:val="nil"/>
            </w:tcBorders>
          </w:tcPr>
          <w:p>
            <w:pPr/>
          </w:p>
        </w:tc>
        <w:tc>
          <w:tcPr>
            <w:tcW w:w="3334" w:type="dxa"/>
            <w:tcBorders>
              <w:left w:val="nil"/>
              <w:bottom w:val="nil"/>
              <w:right w:val="nil"/>
            </w:tcBorders>
          </w:tcPr>
          <w:p>
            <w:pPr>
              <w:pStyle w:val="TableParagraph"/>
              <w:spacing w:line="251" w:lineRule="exact" w:before="0"/>
              <w:ind w:left="170"/>
              <w:rPr>
                <w:rFonts w:ascii="Arial"/>
                <w:sz w:val="22"/>
              </w:rPr>
            </w:pPr>
            <w:r>
              <w:rPr>
                <w:rFonts w:ascii="Arial"/>
                <w:sz w:val="22"/>
              </w:rPr>
              <w:t>Caries no cavitada</w:t>
            </w:r>
          </w:p>
        </w:tc>
        <w:tc>
          <w:tcPr>
            <w:tcW w:w="2487" w:type="dxa"/>
            <w:tcBorders>
              <w:left w:val="nil"/>
              <w:bottom w:val="nil"/>
              <w:right w:val="nil"/>
            </w:tcBorders>
          </w:tcPr>
          <w:p>
            <w:pPr>
              <w:pStyle w:val="TableParagraph"/>
              <w:spacing w:line="251" w:lineRule="exact" w:before="0"/>
              <w:ind w:left="554" w:right="274"/>
              <w:rPr>
                <w:rFonts w:ascii="Arial" w:hAnsi="Arial"/>
                <w:sz w:val="22"/>
              </w:rPr>
            </w:pPr>
            <w:r>
              <w:rPr>
                <w:rFonts w:ascii="Arial" w:hAnsi="Arial"/>
                <w:sz w:val="22"/>
              </w:rPr>
              <w:t>0.11 ± 0.38</w:t>
            </w:r>
          </w:p>
        </w:tc>
      </w:tr>
      <w:tr>
        <w:trPr>
          <w:trHeight w:val="311" w:hRule="exact"/>
        </w:trPr>
        <w:tc>
          <w:tcPr>
            <w:tcW w:w="2079" w:type="dxa"/>
            <w:tcBorders>
              <w:top w:val="nil"/>
              <w:left w:val="nil"/>
              <w:bottom w:val="nil"/>
              <w:right w:val="nil"/>
            </w:tcBorders>
          </w:tcPr>
          <w:p>
            <w:pPr/>
          </w:p>
        </w:tc>
        <w:tc>
          <w:tcPr>
            <w:tcW w:w="3334" w:type="dxa"/>
            <w:tcBorders>
              <w:top w:val="nil"/>
              <w:left w:val="nil"/>
              <w:bottom w:val="nil"/>
              <w:right w:val="nil"/>
            </w:tcBorders>
          </w:tcPr>
          <w:p>
            <w:pPr>
              <w:pStyle w:val="TableParagraph"/>
              <w:spacing w:before="17"/>
              <w:ind w:left="170"/>
              <w:rPr>
                <w:rFonts w:ascii="Arial"/>
                <w:sz w:val="22"/>
              </w:rPr>
            </w:pPr>
            <w:r>
              <w:rPr>
                <w:rFonts w:ascii="Arial"/>
                <w:sz w:val="22"/>
              </w:rPr>
              <w:t>Caries cavitada</w:t>
            </w:r>
          </w:p>
        </w:tc>
        <w:tc>
          <w:tcPr>
            <w:tcW w:w="2487" w:type="dxa"/>
            <w:tcBorders>
              <w:top w:val="nil"/>
              <w:left w:val="nil"/>
              <w:bottom w:val="nil"/>
              <w:right w:val="nil"/>
            </w:tcBorders>
          </w:tcPr>
          <w:p>
            <w:pPr>
              <w:pStyle w:val="TableParagraph"/>
              <w:spacing w:before="17"/>
              <w:ind w:left="554" w:right="274"/>
              <w:rPr>
                <w:rFonts w:ascii="Arial" w:hAnsi="Arial"/>
                <w:sz w:val="22"/>
              </w:rPr>
            </w:pPr>
            <w:r>
              <w:rPr>
                <w:rFonts w:ascii="Arial" w:hAnsi="Arial"/>
                <w:sz w:val="22"/>
              </w:rPr>
              <w:t>0.00 ± 0.00</w:t>
            </w:r>
          </w:p>
        </w:tc>
      </w:tr>
      <w:tr>
        <w:trPr>
          <w:trHeight w:val="312" w:hRule="exact"/>
        </w:trPr>
        <w:tc>
          <w:tcPr>
            <w:tcW w:w="2079" w:type="dxa"/>
            <w:tcBorders>
              <w:top w:val="nil"/>
              <w:left w:val="nil"/>
              <w:bottom w:val="nil"/>
              <w:right w:val="nil"/>
            </w:tcBorders>
          </w:tcPr>
          <w:p>
            <w:pPr>
              <w:pStyle w:val="TableParagraph"/>
              <w:spacing w:before="18"/>
              <w:ind w:left="122"/>
              <w:rPr>
                <w:rFonts w:ascii="Arial" w:hAnsi="Arial"/>
                <w:sz w:val="22"/>
              </w:rPr>
            </w:pPr>
            <w:r>
              <w:rPr>
                <w:rFonts w:ascii="Arial" w:hAnsi="Arial"/>
                <w:sz w:val="22"/>
              </w:rPr>
              <w:t>Primera Revisión</w:t>
            </w:r>
          </w:p>
        </w:tc>
        <w:tc>
          <w:tcPr>
            <w:tcW w:w="3334" w:type="dxa"/>
            <w:tcBorders>
              <w:top w:val="nil"/>
              <w:left w:val="nil"/>
              <w:bottom w:val="nil"/>
              <w:right w:val="nil"/>
            </w:tcBorders>
          </w:tcPr>
          <w:p>
            <w:pPr>
              <w:pStyle w:val="TableParagraph"/>
              <w:spacing w:before="18"/>
              <w:ind w:left="170"/>
              <w:rPr>
                <w:rFonts w:ascii="Arial" w:hAnsi="Arial"/>
                <w:sz w:val="22"/>
              </w:rPr>
            </w:pPr>
            <w:r>
              <w:rPr>
                <w:rFonts w:ascii="Arial" w:hAnsi="Arial"/>
                <w:sz w:val="22"/>
              </w:rPr>
              <w:t>Sellador íntegro</w:t>
            </w:r>
          </w:p>
        </w:tc>
        <w:tc>
          <w:tcPr>
            <w:tcW w:w="2487" w:type="dxa"/>
            <w:tcBorders>
              <w:top w:val="nil"/>
              <w:left w:val="nil"/>
              <w:bottom w:val="nil"/>
              <w:right w:val="nil"/>
            </w:tcBorders>
          </w:tcPr>
          <w:p>
            <w:pPr>
              <w:pStyle w:val="TableParagraph"/>
              <w:spacing w:before="18"/>
              <w:ind w:left="510" w:right="274"/>
              <w:rPr>
                <w:rFonts w:ascii="Arial" w:hAnsi="Arial"/>
                <w:sz w:val="22"/>
              </w:rPr>
            </w:pPr>
            <w:r>
              <w:rPr>
                <w:rFonts w:ascii="Arial" w:hAnsi="Arial"/>
                <w:sz w:val="22"/>
              </w:rPr>
              <w:t>*4.75 ± 2.59</w:t>
            </w:r>
          </w:p>
        </w:tc>
      </w:tr>
      <w:tr>
        <w:trPr>
          <w:trHeight w:val="303" w:hRule="exact"/>
        </w:trPr>
        <w:tc>
          <w:tcPr>
            <w:tcW w:w="2079" w:type="dxa"/>
            <w:tcBorders>
              <w:top w:val="nil"/>
              <w:left w:val="nil"/>
              <w:bottom w:val="nil"/>
              <w:right w:val="nil"/>
            </w:tcBorders>
          </w:tcPr>
          <w:p>
            <w:pPr>
              <w:pStyle w:val="TableParagraph"/>
              <w:spacing w:before="18"/>
              <w:ind w:left="122"/>
              <w:rPr>
                <w:rFonts w:ascii="Arial"/>
                <w:sz w:val="22"/>
              </w:rPr>
            </w:pPr>
            <w:r>
              <w:rPr>
                <w:rFonts w:ascii="Arial"/>
                <w:sz w:val="22"/>
              </w:rPr>
              <w:t>(6 meses)</w:t>
            </w:r>
          </w:p>
        </w:tc>
        <w:tc>
          <w:tcPr>
            <w:tcW w:w="3334" w:type="dxa"/>
            <w:tcBorders>
              <w:top w:val="nil"/>
              <w:left w:val="nil"/>
              <w:bottom w:val="nil"/>
              <w:right w:val="nil"/>
            </w:tcBorders>
          </w:tcPr>
          <w:p>
            <w:pPr>
              <w:pStyle w:val="TableParagraph"/>
              <w:spacing w:before="18"/>
              <w:ind w:left="170"/>
              <w:rPr>
                <w:rFonts w:ascii="Arial" w:hAnsi="Arial"/>
                <w:sz w:val="22"/>
              </w:rPr>
            </w:pPr>
            <w:r>
              <w:rPr>
                <w:rFonts w:ascii="Arial" w:hAnsi="Arial"/>
                <w:sz w:val="22"/>
              </w:rPr>
              <w:t>Pérdida parcial del sellador</w:t>
            </w:r>
          </w:p>
        </w:tc>
        <w:tc>
          <w:tcPr>
            <w:tcW w:w="2487" w:type="dxa"/>
            <w:tcBorders>
              <w:top w:val="nil"/>
              <w:left w:val="nil"/>
              <w:bottom w:val="nil"/>
              <w:right w:val="nil"/>
            </w:tcBorders>
          </w:tcPr>
          <w:p>
            <w:pPr>
              <w:pStyle w:val="TableParagraph"/>
              <w:spacing w:before="18"/>
              <w:ind w:left="554" w:right="274"/>
              <w:rPr>
                <w:rFonts w:ascii="Arial" w:hAnsi="Arial"/>
                <w:sz w:val="22"/>
              </w:rPr>
            </w:pPr>
            <w:r>
              <w:rPr>
                <w:rFonts w:ascii="Arial" w:hAnsi="Arial"/>
                <w:sz w:val="22"/>
              </w:rPr>
              <w:t>0.87 ± 1.08</w:t>
            </w:r>
          </w:p>
        </w:tc>
      </w:tr>
      <w:tr>
        <w:trPr>
          <w:trHeight w:val="319" w:hRule="exact"/>
        </w:trPr>
        <w:tc>
          <w:tcPr>
            <w:tcW w:w="2079" w:type="dxa"/>
            <w:tcBorders>
              <w:top w:val="nil"/>
              <w:left w:val="nil"/>
              <w:bottom w:val="nil"/>
              <w:right w:val="nil"/>
            </w:tcBorders>
          </w:tcPr>
          <w:p>
            <w:pPr/>
          </w:p>
        </w:tc>
        <w:tc>
          <w:tcPr>
            <w:tcW w:w="3334" w:type="dxa"/>
            <w:tcBorders>
              <w:top w:val="nil"/>
              <w:left w:val="nil"/>
              <w:bottom w:val="nil"/>
              <w:right w:val="nil"/>
            </w:tcBorders>
          </w:tcPr>
          <w:p>
            <w:pPr>
              <w:pStyle w:val="TableParagraph"/>
              <w:spacing w:before="24"/>
              <w:ind w:left="170"/>
              <w:rPr>
                <w:rFonts w:ascii="Arial" w:hAnsi="Arial"/>
                <w:sz w:val="22"/>
              </w:rPr>
            </w:pPr>
            <w:r>
              <w:rPr>
                <w:rFonts w:ascii="Arial" w:hAnsi="Arial"/>
                <w:sz w:val="22"/>
              </w:rPr>
              <w:t>Pérdida total del sellador</w:t>
            </w:r>
          </w:p>
        </w:tc>
        <w:tc>
          <w:tcPr>
            <w:tcW w:w="2487" w:type="dxa"/>
            <w:tcBorders>
              <w:top w:val="nil"/>
              <w:left w:val="nil"/>
              <w:bottom w:val="nil"/>
              <w:right w:val="nil"/>
            </w:tcBorders>
          </w:tcPr>
          <w:p>
            <w:pPr>
              <w:pStyle w:val="TableParagraph"/>
              <w:spacing w:before="17"/>
              <w:ind w:left="515" w:right="274"/>
              <w:rPr>
                <w:rFonts w:ascii="Arial" w:hAnsi="Arial"/>
                <w:sz w:val="22"/>
              </w:rPr>
            </w:pPr>
            <w:r>
              <w:rPr>
                <w:rFonts w:ascii="Arial" w:hAnsi="Arial"/>
                <w:b/>
                <w:position w:val="8"/>
                <w:sz w:val="14"/>
              </w:rPr>
              <w:t>†</w:t>
            </w:r>
            <w:r>
              <w:rPr>
                <w:rFonts w:ascii="Arial" w:hAnsi="Arial"/>
                <w:sz w:val="22"/>
              </w:rPr>
              <w:t>0.92 ± 1.16</w:t>
            </w:r>
          </w:p>
        </w:tc>
      </w:tr>
      <w:tr>
        <w:trPr>
          <w:trHeight w:val="335" w:hRule="exact"/>
        </w:trPr>
        <w:tc>
          <w:tcPr>
            <w:tcW w:w="2079" w:type="dxa"/>
            <w:tcBorders>
              <w:top w:val="nil"/>
              <w:left w:val="nil"/>
              <w:right w:val="nil"/>
            </w:tcBorders>
          </w:tcPr>
          <w:p>
            <w:pPr/>
          </w:p>
        </w:tc>
        <w:tc>
          <w:tcPr>
            <w:tcW w:w="3334" w:type="dxa"/>
            <w:tcBorders>
              <w:top w:val="nil"/>
              <w:left w:val="nil"/>
              <w:right w:val="nil"/>
            </w:tcBorders>
          </w:tcPr>
          <w:p>
            <w:pPr>
              <w:pStyle w:val="TableParagraph"/>
              <w:spacing w:before="18"/>
              <w:ind w:left="170"/>
              <w:rPr>
                <w:rFonts w:ascii="Arial"/>
                <w:sz w:val="22"/>
              </w:rPr>
            </w:pPr>
            <w:r>
              <w:rPr>
                <w:rFonts w:ascii="Arial"/>
                <w:sz w:val="22"/>
              </w:rPr>
              <w:t>Dientes exfoliados</w:t>
            </w:r>
          </w:p>
        </w:tc>
        <w:tc>
          <w:tcPr>
            <w:tcW w:w="2487" w:type="dxa"/>
            <w:tcBorders>
              <w:top w:val="nil"/>
              <w:left w:val="nil"/>
              <w:right w:val="nil"/>
            </w:tcBorders>
          </w:tcPr>
          <w:p>
            <w:pPr>
              <w:pStyle w:val="TableParagraph"/>
              <w:spacing w:before="18"/>
              <w:ind w:left="554" w:right="274"/>
              <w:rPr>
                <w:rFonts w:ascii="Arial" w:hAnsi="Arial"/>
                <w:sz w:val="22"/>
              </w:rPr>
            </w:pPr>
            <w:r>
              <w:rPr>
                <w:rFonts w:ascii="Arial" w:hAnsi="Arial"/>
                <w:sz w:val="22"/>
              </w:rPr>
              <w:t>0.00 ± 0.00</w:t>
            </w:r>
          </w:p>
        </w:tc>
      </w:tr>
      <w:tr>
        <w:trPr>
          <w:trHeight w:val="296" w:hRule="exact"/>
        </w:trPr>
        <w:tc>
          <w:tcPr>
            <w:tcW w:w="2079" w:type="dxa"/>
            <w:tcBorders>
              <w:left w:val="nil"/>
              <w:bottom w:val="nil"/>
              <w:right w:val="nil"/>
            </w:tcBorders>
          </w:tcPr>
          <w:p>
            <w:pPr/>
          </w:p>
        </w:tc>
        <w:tc>
          <w:tcPr>
            <w:tcW w:w="3334" w:type="dxa"/>
            <w:tcBorders>
              <w:left w:val="nil"/>
              <w:bottom w:val="nil"/>
              <w:right w:val="nil"/>
            </w:tcBorders>
          </w:tcPr>
          <w:p>
            <w:pPr>
              <w:pStyle w:val="TableParagraph"/>
              <w:spacing w:line="251" w:lineRule="exact" w:before="0"/>
              <w:ind w:left="170"/>
              <w:rPr>
                <w:rFonts w:ascii="Arial"/>
                <w:sz w:val="22"/>
              </w:rPr>
            </w:pPr>
            <w:r>
              <w:rPr>
                <w:rFonts w:ascii="Arial"/>
                <w:sz w:val="22"/>
              </w:rPr>
              <w:t>Caries no cavitada</w:t>
            </w:r>
          </w:p>
        </w:tc>
        <w:tc>
          <w:tcPr>
            <w:tcW w:w="2487" w:type="dxa"/>
            <w:tcBorders>
              <w:left w:val="nil"/>
              <w:bottom w:val="nil"/>
              <w:right w:val="nil"/>
            </w:tcBorders>
          </w:tcPr>
          <w:p>
            <w:pPr>
              <w:pStyle w:val="TableParagraph"/>
              <w:spacing w:line="251" w:lineRule="exact" w:before="0"/>
              <w:ind w:left="554" w:right="274"/>
              <w:rPr>
                <w:rFonts w:ascii="Arial" w:hAnsi="Arial"/>
                <w:sz w:val="22"/>
              </w:rPr>
            </w:pPr>
            <w:r>
              <w:rPr>
                <w:rFonts w:ascii="Arial" w:hAnsi="Arial"/>
                <w:sz w:val="22"/>
              </w:rPr>
              <w:t>0.17 ± 0.43</w:t>
            </w:r>
          </w:p>
        </w:tc>
      </w:tr>
      <w:tr>
        <w:trPr>
          <w:trHeight w:val="312" w:hRule="exact"/>
        </w:trPr>
        <w:tc>
          <w:tcPr>
            <w:tcW w:w="2079" w:type="dxa"/>
            <w:tcBorders>
              <w:top w:val="nil"/>
              <w:left w:val="nil"/>
              <w:bottom w:val="nil"/>
              <w:right w:val="nil"/>
            </w:tcBorders>
          </w:tcPr>
          <w:p>
            <w:pPr/>
          </w:p>
        </w:tc>
        <w:tc>
          <w:tcPr>
            <w:tcW w:w="3334" w:type="dxa"/>
            <w:tcBorders>
              <w:top w:val="nil"/>
              <w:left w:val="nil"/>
              <w:bottom w:val="nil"/>
              <w:right w:val="nil"/>
            </w:tcBorders>
          </w:tcPr>
          <w:p>
            <w:pPr>
              <w:pStyle w:val="TableParagraph"/>
              <w:spacing w:before="18"/>
              <w:ind w:left="170"/>
              <w:rPr>
                <w:rFonts w:ascii="Arial"/>
                <w:sz w:val="22"/>
              </w:rPr>
            </w:pPr>
            <w:r>
              <w:rPr>
                <w:rFonts w:ascii="Arial"/>
                <w:sz w:val="22"/>
              </w:rPr>
              <w:t>Caries cavitada</w:t>
            </w:r>
          </w:p>
        </w:tc>
        <w:tc>
          <w:tcPr>
            <w:tcW w:w="2487" w:type="dxa"/>
            <w:tcBorders>
              <w:top w:val="nil"/>
              <w:left w:val="nil"/>
              <w:bottom w:val="nil"/>
              <w:right w:val="nil"/>
            </w:tcBorders>
          </w:tcPr>
          <w:p>
            <w:pPr>
              <w:pStyle w:val="TableParagraph"/>
              <w:spacing w:before="18"/>
              <w:ind w:left="554" w:right="274"/>
              <w:rPr>
                <w:rFonts w:ascii="Arial" w:hAnsi="Arial"/>
                <w:sz w:val="22"/>
              </w:rPr>
            </w:pPr>
            <w:r>
              <w:rPr>
                <w:rFonts w:ascii="Arial" w:hAnsi="Arial"/>
                <w:sz w:val="22"/>
              </w:rPr>
              <w:t>0.00 ± 0.00</w:t>
            </w:r>
          </w:p>
        </w:tc>
      </w:tr>
      <w:tr>
        <w:trPr>
          <w:trHeight w:val="311" w:hRule="exact"/>
        </w:trPr>
        <w:tc>
          <w:tcPr>
            <w:tcW w:w="2079" w:type="dxa"/>
            <w:tcBorders>
              <w:top w:val="nil"/>
              <w:left w:val="nil"/>
              <w:bottom w:val="nil"/>
              <w:right w:val="nil"/>
            </w:tcBorders>
          </w:tcPr>
          <w:p>
            <w:pPr>
              <w:pStyle w:val="TableParagraph"/>
              <w:spacing w:before="18"/>
              <w:ind w:left="122"/>
              <w:rPr>
                <w:rFonts w:ascii="Arial" w:hAnsi="Arial"/>
                <w:sz w:val="22"/>
              </w:rPr>
            </w:pPr>
            <w:r>
              <w:rPr>
                <w:rFonts w:ascii="Arial" w:hAnsi="Arial"/>
                <w:sz w:val="22"/>
              </w:rPr>
              <w:t>Segunda Revisión</w:t>
            </w:r>
          </w:p>
        </w:tc>
        <w:tc>
          <w:tcPr>
            <w:tcW w:w="3334" w:type="dxa"/>
            <w:tcBorders>
              <w:top w:val="nil"/>
              <w:left w:val="nil"/>
              <w:bottom w:val="nil"/>
              <w:right w:val="nil"/>
            </w:tcBorders>
          </w:tcPr>
          <w:p>
            <w:pPr>
              <w:pStyle w:val="TableParagraph"/>
              <w:spacing w:before="18"/>
              <w:ind w:left="170"/>
              <w:rPr>
                <w:rFonts w:ascii="Arial" w:hAnsi="Arial"/>
                <w:sz w:val="22"/>
              </w:rPr>
            </w:pPr>
            <w:r>
              <w:rPr>
                <w:rFonts w:ascii="Arial" w:hAnsi="Arial"/>
                <w:sz w:val="22"/>
              </w:rPr>
              <w:t>Sellador íntegro</w:t>
            </w:r>
          </w:p>
        </w:tc>
        <w:tc>
          <w:tcPr>
            <w:tcW w:w="2487" w:type="dxa"/>
            <w:tcBorders>
              <w:top w:val="nil"/>
              <w:left w:val="nil"/>
              <w:bottom w:val="nil"/>
              <w:right w:val="nil"/>
            </w:tcBorders>
          </w:tcPr>
          <w:p>
            <w:pPr>
              <w:pStyle w:val="TableParagraph"/>
              <w:spacing w:before="18"/>
              <w:ind w:left="510" w:right="274"/>
              <w:rPr>
                <w:rFonts w:ascii="Arial" w:hAnsi="Arial"/>
                <w:sz w:val="22"/>
              </w:rPr>
            </w:pPr>
            <w:r>
              <w:rPr>
                <w:rFonts w:ascii="Arial" w:hAnsi="Arial"/>
                <w:sz w:val="22"/>
              </w:rPr>
              <w:t>*3.77 ± 2.47</w:t>
            </w:r>
          </w:p>
        </w:tc>
      </w:tr>
      <w:tr>
        <w:trPr>
          <w:trHeight w:val="304" w:hRule="exact"/>
        </w:trPr>
        <w:tc>
          <w:tcPr>
            <w:tcW w:w="2079" w:type="dxa"/>
            <w:tcBorders>
              <w:top w:val="nil"/>
              <w:left w:val="nil"/>
              <w:bottom w:val="nil"/>
              <w:right w:val="nil"/>
            </w:tcBorders>
          </w:tcPr>
          <w:p>
            <w:pPr>
              <w:pStyle w:val="TableParagraph"/>
              <w:spacing w:before="17"/>
              <w:ind w:left="122"/>
              <w:rPr>
                <w:rFonts w:ascii="Arial"/>
                <w:sz w:val="22"/>
              </w:rPr>
            </w:pPr>
            <w:r>
              <w:rPr>
                <w:rFonts w:ascii="Arial"/>
                <w:sz w:val="22"/>
              </w:rPr>
              <w:t>(12 meses)</w:t>
            </w:r>
          </w:p>
        </w:tc>
        <w:tc>
          <w:tcPr>
            <w:tcW w:w="3334" w:type="dxa"/>
            <w:tcBorders>
              <w:top w:val="nil"/>
              <w:left w:val="nil"/>
              <w:bottom w:val="nil"/>
              <w:right w:val="nil"/>
            </w:tcBorders>
          </w:tcPr>
          <w:p>
            <w:pPr>
              <w:pStyle w:val="TableParagraph"/>
              <w:spacing w:before="17"/>
              <w:ind w:left="170"/>
              <w:rPr>
                <w:rFonts w:ascii="Arial" w:hAnsi="Arial"/>
                <w:sz w:val="22"/>
              </w:rPr>
            </w:pPr>
            <w:r>
              <w:rPr>
                <w:rFonts w:ascii="Arial" w:hAnsi="Arial"/>
                <w:sz w:val="22"/>
              </w:rPr>
              <w:t>Pérdida parcial del sellador</w:t>
            </w:r>
          </w:p>
        </w:tc>
        <w:tc>
          <w:tcPr>
            <w:tcW w:w="2487" w:type="dxa"/>
            <w:tcBorders>
              <w:top w:val="nil"/>
              <w:left w:val="nil"/>
              <w:bottom w:val="nil"/>
              <w:right w:val="nil"/>
            </w:tcBorders>
          </w:tcPr>
          <w:p>
            <w:pPr>
              <w:pStyle w:val="TableParagraph"/>
              <w:spacing w:before="17"/>
              <w:ind w:left="554" w:right="274"/>
              <w:rPr>
                <w:rFonts w:ascii="Arial" w:hAnsi="Arial"/>
                <w:sz w:val="22"/>
              </w:rPr>
            </w:pPr>
            <w:r>
              <w:rPr>
                <w:rFonts w:ascii="Arial" w:hAnsi="Arial"/>
                <w:sz w:val="22"/>
              </w:rPr>
              <w:t>1.04 ± 0.98</w:t>
            </w:r>
          </w:p>
        </w:tc>
      </w:tr>
      <w:tr>
        <w:trPr>
          <w:trHeight w:val="317" w:hRule="exact"/>
        </w:trPr>
        <w:tc>
          <w:tcPr>
            <w:tcW w:w="2079" w:type="dxa"/>
            <w:tcBorders>
              <w:top w:val="nil"/>
              <w:left w:val="nil"/>
              <w:bottom w:val="nil"/>
              <w:right w:val="nil"/>
            </w:tcBorders>
          </w:tcPr>
          <w:p>
            <w:pPr/>
          </w:p>
        </w:tc>
        <w:tc>
          <w:tcPr>
            <w:tcW w:w="3334" w:type="dxa"/>
            <w:tcBorders>
              <w:top w:val="nil"/>
              <w:left w:val="nil"/>
              <w:bottom w:val="nil"/>
              <w:right w:val="nil"/>
            </w:tcBorders>
          </w:tcPr>
          <w:p>
            <w:pPr>
              <w:pStyle w:val="TableParagraph"/>
              <w:spacing w:before="24"/>
              <w:ind w:left="170"/>
              <w:rPr>
                <w:rFonts w:ascii="Arial" w:hAnsi="Arial"/>
                <w:sz w:val="22"/>
              </w:rPr>
            </w:pPr>
            <w:r>
              <w:rPr>
                <w:rFonts w:ascii="Arial" w:hAnsi="Arial"/>
                <w:sz w:val="22"/>
              </w:rPr>
              <w:t>Pérdida total del sellador</w:t>
            </w:r>
          </w:p>
        </w:tc>
        <w:tc>
          <w:tcPr>
            <w:tcW w:w="2487" w:type="dxa"/>
            <w:tcBorders>
              <w:top w:val="nil"/>
              <w:left w:val="nil"/>
              <w:bottom w:val="nil"/>
              <w:right w:val="nil"/>
            </w:tcBorders>
          </w:tcPr>
          <w:p>
            <w:pPr>
              <w:pStyle w:val="TableParagraph"/>
              <w:spacing w:before="19"/>
              <w:ind w:left="515" w:right="274"/>
              <w:rPr>
                <w:rFonts w:ascii="Arial" w:hAnsi="Arial"/>
                <w:sz w:val="22"/>
              </w:rPr>
            </w:pPr>
            <w:r>
              <w:rPr>
                <w:rFonts w:ascii="Arial" w:hAnsi="Arial"/>
                <w:position w:val="8"/>
                <w:sz w:val="14"/>
              </w:rPr>
              <w:t>†</w:t>
            </w:r>
            <w:r>
              <w:rPr>
                <w:rFonts w:ascii="Arial" w:hAnsi="Arial"/>
                <w:sz w:val="22"/>
              </w:rPr>
              <w:t>1.53 ± 1.54</w:t>
            </w:r>
          </w:p>
        </w:tc>
      </w:tr>
      <w:tr>
        <w:trPr>
          <w:trHeight w:val="336" w:hRule="exact"/>
        </w:trPr>
        <w:tc>
          <w:tcPr>
            <w:tcW w:w="2079" w:type="dxa"/>
            <w:tcBorders>
              <w:top w:val="nil"/>
              <w:left w:val="nil"/>
              <w:right w:val="nil"/>
            </w:tcBorders>
          </w:tcPr>
          <w:p>
            <w:pPr/>
          </w:p>
        </w:tc>
        <w:tc>
          <w:tcPr>
            <w:tcW w:w="3334" w:type="dxa"/>
            <w:tcBorders>
              <w:top w:val="nil"/>
              <w:left w:val="nil"/>
              <w:right w:val="nil"/>
            </w:tcBorders>
          </w:tcPr>
          <w:p>
            <w:pPr>
              <w:pStyle w:val="TableParagraph"/>
              <w:spacing w:before="17"/>
              <w:ind w:left="170"/>
              <w:rPr>
                <w:rFonts w:ascii="Arial"/>
                <w:sz w:val="22"/>
              </w:rPr>
            </w:pPr>
            <w:r>
              <w:rPr>
                <w:rFonts w:ascii="Arial"/>
                <w:sz w:val="22"/>
              </w:rPr>
              <w:t>Dientes exfoliados</w:t>
            </w:r>
          </w:p>
        </w:tc>
        <w:tc>
          <w:tcPr>
            <w:tcW w:w="2487" w:type="dxa"/>
            <w:tcBorders>
              <w:top w:val="nil"/>
              <w:left w:val="nil"/>
              <w:right w:val="nil"/>
            </w:tcBorders>
          </w:tcPr>
          <w:p>
            <w:pPr>
              <w:pStyle w:val="TableParagraph"/>
              <w:spacing w:before="17"/>
              <w:ind w:left="554" w:right="274"/>
              <w:rPr>
                <w:rFonts w:ascii="Arial" w:hAnsi="Arial"/>
                <w:sz w:val="22"/>
              </w:rPr>
            </w:pPr>
            <w:r>
              <w:rPr>
                <w:rFonts w:ascii="Arial" w:hAnsi="Arial"/>
                <w:sz w:val="22"/>
              </w:rPr>
              <w:t>0.13 ± 0.54</w:t>
            </w:r>
          </w:p>
        </w:tc>
      </w:tr>
    </w:tbl>
    <w:p>
      <w:pPr>
        <w:spacing w:line="179" w:lineRule="exact" w:before="0"/>
        <w:ind w:left="1054" w:right="114" w:firstLine="0"/>
        <w:jc w:val="left"/>
        <w:rPr>
          <w:sz w:val="16"/>
        </w:rPr>
      </w:pPr>
      <w:r>
        <w:rPr>
          <w:sz w:val="16"/>
        </w:rPr>
        <w:t>*Estadísticamente significativo  (p ≤ 0.05)</w:t>
      </w:r>
    </w:p>
    <w:p>
      <w:pPr>
        <w:spacing w:line="186" w:lineRule="exact" w:before="0"/>
        <w:ind w:left="1100" w:right="114" w:firstLine="0"/>
        <w:jc w:val="left"/>
        <w:rPr>
          <w:sz w:val="16"/>
        </w:rPr>
      </w:pPr>
      <w:r>
        <w:rPr>
          <w:position w:val="6"/>
          <w:sz w:val="10"/>
        </w:rPr>
        <w:t>†</w:t>
      </w:r>
      <w:r>
        <w:rPr>
          <w:sz w:val="16"/>
        </w:rPr>
        <w:t>Estadísticamente significativo  (p ≤ 0.05)</w:t>
      </w:r>
    </w:p>
    <w:p>
      <w:pPr>
        <w:spacing w:after="0" w:line="186" w:lineRule="exact"/>
        <w:jc w:val="left"/>
        <w:rPr>
          <w:sz w:val="16"/>
        </w:rPr>
        <w:sectPr>
          <w:footerReference w:type="default" r:id="rId13"/>
          <w:pgSz w:w="12240" w:h="15840"/>
          <w:pgMar w:footer="947" w:header="0" w:top="1360" w:bottom="1140" w:left="1300" w:right="1300"/>
          <w:pgNumType w:start="30"/>
        </w:sectPr>
      </w:pPr>
    </w:p>
    <w:p>
      <w:pPr>
        <w:pStyle w:val="Heading1"/>
        <w:ind w:left="4066" w:right="4063"/>
        <w:jc w:val="center"/>
      </w:pPr>
      <w:bookmarkStart w:name="_bookmark10" w:id="12"/>
      <w:bookmarkEnd w:id="12"/>
      <w:r>
        <w:rPr>
          <w:b w:val="0"/>
        </w:rPr>
      </w:r>
      <w:r>
        <w:rPr/>
        <w:t>Discusión</w:t>
      </w:r>
    </w:p>
    <w:p>
      <w:pPr>
        <w:pStyle w:val="BodyText"/>
        <w:rPr>
          <w:b/>
        </w:rPr>
      </w:pPr>
    </w:p>
    <w:p>
      <w:pPr>
        <w:pStyle w:val="BodyText"/>
        <w:rPr>
          <w:b/>
        </w:rPr>
      </w:pPr>
    </w:p>
    <w:p>
      <w:pPr>
        <w:pStyle w:val="BodyText"/>
        <w:spacing w:line="357" w:lineRule="auto" w:before="139"/>
        <w:ind w:left="118" w:right="113"/>
        <w:jc w:val="both"/>
      </w:pPr>
      <w:r>
        <w:rPr/>
        <w:t>La incidencia de caries con la aplicación del sellador Helioseal F ha sido reportada consistentemente como baja en los dientes sellados en comparación con los dientes no sellados, como lo reporta Carlsson A, </w:t>
      </w:r>
      <w:hyperlink r:id="rId10">
        <w:r>
          <w:rPr/>
          <w:t>Petersson M</w:t>
        </w:r>
      </w:hyperlink>
      <w:r>
        <w:rPr/>
        <w:t> y </w:t>
      </w:r>
      <w:hyperlink r:id="rId11">
        <w:r>
          <w:rPr/>
          <w:t>Twetman S</w:t>
        </w:r>
      </w:hyperlink>
      <w:r>
        <w:rPr/>
        <w:t>, </w:t>
      </w:r>
      <w:r>
        <w:rPr>
          <w:position w:val="8"/>
          <w:sz w:val="16"/>
        </w:rPr>
        <w:t>36 </w:t>
      </w:r>
      <w:r>
        <w:rPr/>
        <w:t>en un estudio donde la incidencia de caries fue 45% menor en el grupo de dientes con selladores en comparación con el grupo sin sellador después de dos años. También en estudios que no incluyeron grupos control reportaron baja incidencia de caries, como lo indica un estudio realizado en 52 pacientes después de dos años, y otro con el mismo resultado en 61 niños.</w:t>
      </w:r>
      <w:r>
        <w:rPr>
          <w:position w:val="8"/>
          <w:sz w:val="16"/>
        </w:rPr>
        <w:t>38 </w:t>
      </w:r>
      <w:r>
        <w:rPr/>
        <w:t>En el presente estudio, no se encontraron lesiones cavitadas y la incidencia fue de 0.03% a los doce meses, siendo baja en comparación con la</w:t>
      </w:r>
      <w:r>
        <w:rPr>
          <w:spacing w:val="-43"/>
        </w:rPr>
        <w:t> </w:t>
      </w:r>
      <w:r>
        <w:rPr/>
        <w:t>reportada por Wagner, </w:t>
      </w:r>
      <w:r>
        <w:rPr>
          <w:position w:val="8"/>
          <w:sz w:val="16"/>
        </w:rPr>
        <w:t>37 </w:t>
      </w:r>
      <w:r>
        <w:rPr/>
        <w:t>de 7.3%, pero con un seguimiento de nueve años con un total </w:t>
      </w:r>
      <w:r>
        <w:rPr>
          <w:spacing w:val="3"/>
        </w:rPr>
        <w:t>de </w:t>
      </w:r>
      <w:r>
        <w:rPr/>
        <w:t>2415 selladores</w:t>
      </w:r>
      <w:r>
        <w:rPr>
          <w:spacing w:val="-9"/>
        </w:rPr>
        <w:t> </w:t>
      </w:r>
      <w:r>
        <w:rPr/>
        <w:t>evaluados.</w:t>
      </w:r>
    </w:p>
    <w:p>
      <w:pPr>
        <w:pStyle w:val="BodyText"/>
      </w:pPr>
    </w:p>
    <w:p>
      <w:pPr>
        <w:pStyle w:val="BodyText"/>
        <w:spacing w:line="360" w:lineRule="auto" w:before="139"/>
        <w:ind w:left="118" w:right="112"/>
        <w:jc w:val="both"/>
      </w:pPr>
      <w:hyperlink r:id="rId14">
        <w:r>
          <w:rPr/>
          <w:t>Griffin SO</w:t>
        </w:r>
      </w:hyperlink>
      <w:r>
        <w:rPr/>
        <w:t>, </w:t>
      </w:r>
      <w:hyperlink r:id="rId15">
        <w:r>
          <w:rPr/>
          <w:t>Gray SK</w:t>
        </w:r>
      </w:hyperlink>
      <w:r>
        <w:rPr/>
        <w:t>, </w:t>
      </w:r>
      <w:hyperlink r:id="rId16">
        <w:r>
          <w:rPr/>
          <w:t>Malvitz DM</w:t>
        </w:r>
      </w:hyperlink>
      <w:r>
        <w:rPr/>
        <w:t> y </w:t>
      </w:r>
      <w:hyperlink r:id="rId17">
        <w:r>
          <w:rPr/>
          <w:t>Gooch BF</w:t>
        </w:r>
      </w:hyperlink>
      <w:r>
        <w:rPr/>
        <w:t>, </w:t>
      </w:r>
      <w:r>
        <w:rPr>
          <w:position w:val="8"/>
          <w:sz w:val="16"/>
        </w:rPr>
        <w:t>12 </w:t>
      </w:r>
      <w:r>
        <w:rPr/>
        <w:t>examinaron el riesgo de desarrollo de caries en los dientes con sellador, pérdida parcial o pérdida total demostrando que los dientes con pérdida total de sellador o pérdida parcial no estaban en mayor riesgo de desarrollar caries, siendo esto contrario a lo obtenido en el presente trabajo ya que la ausencia parcial o total del sellador basto para incrementar la incidencia de caries a los seis</w:t>
      </w:r>
      <w:r>
        <w:rPr>
          <w:spacing w:val="-12"/>
        </w:rPr>
        <w:t> </w:t>
      </w:r>
      <w:r>
        <w:rPr/>
        <w:t>y</w:t>
      </w:r>
      <w:r>
        <w:rPr>
          <w:spacing w:val="-14"/>
        </w:rPr>
        <w:t> </w:t>
      </w:r>
      <w:r>
        <w:rPr/>
        <w:t>doce</w:t>
      </w:r>
      <w:r>
        <w:rPr>
          <w:spacing w:val="-15"/>
        </w:rPr>
        <w:t> </w:t>
      </w:r>
      <w:r>
        <w:rPr/>
        <w:t>meses</w:t>
      </w:r>
      <w:r>
        <w:rPr>
          <w:spacing w:val="-14"/>
        </w:rPr>
        <w:t> </w:t>
      </w:r>
      <w:r>
        <w:rPr/>
        <w:t>posteriores</w:t>
      </w:r>
      <w:r>
        <w:rPr>
          <w:spacing w:val="-11"/>
        </w:rPr>
        <w:t> </w:t>
      </w:r>
      <w:r>
        <w:rPr/>
        <w:t>a</w:t>
      </w:r>
      <w:r>
        <w:rPr>
          <w:spacing w:val="-13"/>
        </w:rPr>
        <w:t> </w:t>
      </w:r>
      <w:r>
        <w:rPr/>
        <w:t>su</w:t>
      </w:r>
      <w:r>
        <w:rPr>
          <w:spacing w:val="-13"/>
        </w:rPr>
        <w:t> </w:t>
      </w:r>
      <w:r>
        <w:rPr/>
        <w:t>aplicación,</w:t>
      </w:r>
      <w:r>
        <w:rPr>
          <w:spacing w:val="-13"/>
        </w:rPr>
        <w:t> </w:t>
      </w:r>
      <w:r>
        <w:rPr/>
        <w:t>de</w:t>
      </w:r>
      <w:r>
        <w:rPr>
          <w:spacing w:val="-13"/>
        </w:rPr>
        <w:t> </w:t>
      </w:r>
      <w:r>
        <w:rPr/>
        <w:t>igual</w:t>
      </w:r>
      <w:r>
        <w:rPr>
          <w:spacing w:val="-14"/>
        </w:rPr>
        <w:t> </w:t>
      </w:r>
      <w:r>
        <w:rPr/>
        <w:t>forma</w:t>
      </w:r>
      <w:r>
        <w:rPr>
          <w:spacing w:val="-11"/>
        </w:rPr>
        <w:t> </w:t>
      </w:r>
      <w:r>
        <w:rPr/>
        <w:t>S.</w:t>
      </w:r>
      <w:r>
        <w:rPr>
          <w:spacing w:val="-11"/>
        </w:rPr>
        <w:t> </w:t>
      </w:r>
      <w:r>
        <w:rPr/>
        <w:t>Zimmer</w:t>
      </w:r>
      <w:r>
        <w:rPr>
          <w:spacing w:val="-12"/>
        </w:rPr>
        <w:t> </w:t>
      </w:r>
      <w:r>
        <w:rPr/>
        <w:t>y</w:t>
      </w:r>
      <w:r>
        <w:rPr>
          <w:spacing w:val="-14"/>
        </w:rPr>
        <w:t> </w:t>
      </w:r>
      <w:r>
        <w:rPr/>
        <w:t>colaboradores, </w:t>
      </w:r>
      <w:r>
        <w:rPr>
          <w:position w:val="8"/>
          <w:sz w:val="16"/>
        </w:rPr>
        <w:t>13 </w:t>
      </w:r>
      <w:r>
        <w:rPr/>
        <w:t>reportaron la retención de un sellador de bis-GMA, en 354 selladores después de tres años, donde el 90,4% de los selladores se encontraron completos, 6,8% de pérdida parcial y 2,8% de pérdida total. Estableciendo que se encontró caries en dos casos, </w:t>
      </w:r>
      <w:r>
        <w:rPr>
          <w:spacing w:val="4"/>
        </w:rPr>
        <w:t>en </w:t>
      </w:r>
      <w:r>
        <w:rPr/>
        <w:t>cada uno de ellos la caries se desarrolló después de la pérdida parcial, mientras que en otro caso, la caries precedía la pérdida</w:t>
      </w:r>
      <w:r>
        <w:rPr>
          <w:spacing w:val="-14"/>
        </w:rPr>
        <w:t> </w:t>
      </w:r>
      <w:r>
        <w:rPr/>
        <w:t>completa.</w:t>
      </w:r>
    </w:p>
    <w:p>
      <w:pPr>
        <w:pStyle w:val="BodyText"/>
      </w:pPr>
    </w:p>
    <w:p>
      <w:pPr>
        <w:pStyle w:val="BodyText"/>
        <w:spacing w:line="360" w:lineRule="auto" w:before="142"/>
        <w:ind w:left="118" w:right="109"/>
        <w:jc w:val="both"/>
      </w:pPr>
      <w:r>
        <w:rPr/>
        <w:t>Tres de los órganos dentarios que presentaron caries fueron segundos molares permanentes, dos superiores y un inferior que de acuerdo a </w:t>
      </w:r>
      <w:hyperlink r:id="rId18">
        <w:r>
          <w:rPr/>
          <w:t>Morgan MV</w:t>
        </w:r>
      </w:hyperlink>
      <w:r>
        <w:rPr/>
        <w:t> y colaboradores,</w:t>
      </w:r>
      <w:r>
        <w:rPr>
          <w:position w:val="8"/>
          <w:sz w:val="16"/>
        </w:rPr>
        <w:t>5 </w:t>
      </w:r>
      <w:r>
        <w:rPr/>
        <w:t>los sellantes colocados en los segundos molares inferiores tienen una mayor tasa de fracaso debido a que es más propensa la contaminación con saliva. Los selladores colocados en segundos molares permanentes superiores; cuatro premolares,</w:t>
      </w:r>
    </w:p>
    <w:p>
      <w:pPr>
        <w:spacing w:after="0" w:line="360" w:lineRule="auto"/>
        <w:jc w:val="both"/>
        <w:sectPr>
          <w:pgSz w:w="12240" w:h="15840"/>
          <w:pgMar w:header="0" w:footer="947" w:top="1360" w:bottom="1140" w:left="1300" w:right="1300"/>
        </w:sectPr>
      </w:pPr>
    </w:p>
    <w:p>
      <w:pPr>
        <w:pStyle w:val="BodyText"/>
        <w:spacing w:line="357" w:lineRule="auto" w:before="57"/>
        <w:ind w:left="118" w:right="113"/>
        <w:jc w:val="both"/>
        <w:rPr>
          <w:sz w:val="16"/>
        </w:rPr>
      </w:pPr>
      <w:r>
        <w:rPr/>
        <w:t>un inferior y tres superiores, su fracaso se debe quizá a la poca penetración del sellador a la fosa o fisura pero Harris N. O y García-Godoy F. demostraron que hay mejor retención en dientes inferiores, que en dientes superiores.</w:t>
      </w:r>
      <w:r>
        <w:rPr>
          <w:position w:val="8"/>
          <w:sz w:val="16"/>
        </w:rPr>
        <w:t>7 </w:t>
      </w:r>
      <w:r>
        <w:rPr/>
        <w:t>Otro órgano dentario que presentó incidencia de caries fue un segundo molar inferior temporal; McConnachie sugiere que el tiempo de grabado con ácido para los molares temporales debería ser el doble que para los dientes permanentes por las diferencias en la formación de la capa externa del diente.</w:t>
      </w:r>
      <w:r>
        <w:rPr>
          <w:position w:val="8"/>
          <w:sz w:val="16"/>
        </w:rPr>
        <w:t>2</w:t>
      </w:r>
    </w:p>
    <w:p>
      <w:pPr>
        <w:spacing w:after="0" w:line="357" w:lineRule="auto"/>
        <w:jc w:val="both"/>
        <w:rPr>
          <w:sz w:val="16"/>
        </w:rPr>
        <w:sectPr>
          <w:pgSz w:w="12240" w:h="15840"/>
          <w:pgMar w:header="0" w:footer="947" w:top="1360" w:bottom="1140" w:left="1300" w:right="1300"/>
        </w:sectPr>
      </w:pPr>
    </w:p>
    <w:p>
      <w:pPr>
        <w:pStyle w:val="Heading1"/>
        <w:ind w:left="1750" w:right="1731"/>
        <w:jc w:val="center"/>
      </w:pPr>
      <w:bookmarkStart w:name="_bookmark11" w:id="13"/>
      <w:bookmarkEnd w:id="13"/>
      <w:r>
        <w:rPr>
          <w:b w:val="0"/>
        </w:rPr>
      </w:r>
      <w:r>
        <w:rPr/>
        <w:t>Conclusión</w:t>
      </w:r>
    </w:p>
    <w:p>
      <w:pPr>
        <w:pStyle w:val="BodyText"/>
        <w:rPr>
          <w:b/>
        </w:rPr>
      </w:pPr>
    </w:p>
    <w:p>
      <w:pPr>
        <w:pStyle w:val="BodyText"/>
        <w:ind w:left="118" w:right="36"/>
      </w:pPr>
      <w:r>
        <w:rPr/>
        <w:t>En el presente estudio se pueden enumerar las siguientes conclusiones:</w:t>
      </w:r>
    </w:p>
    <w:p>
      <w:pPr>
        <w:pStyle w:val="BodyText"/>
      </w:pPr>
    </w:p>
    <w:p>
      <w:pPr>
        <w:pStyle w:val="BodyText"/>
        <w:spacing w:before="2"/>
        <w:rPr>
          <w:sz w:val="20"/>
        </w:rPr>
      </w:pPr>
    </w:p>
    <w:p>
      <w:pPr>
        <w:pStyle w:val="ListParagraph"/>
        <w:numPr>
          <w:ilvl w:val="0"/>
          <w:numId w:val="9"/>
        </w:numPr>
        <w:tabs>
          <w:tab w:pos="839" w:val="left" w:leader="none"/>
        </w:tabs>
        <w:spacing w:line="360" w:lineRule="auto" w:before="1" w:after="0"/>
        <w:ind w:left="838" w:right="103" w:hanging="360"/>
        <w:jc w:val="left"/>
        <w:rPr>
          <w:sz w:val="24"/>
        </w:rPr>
      </w:pPr>
      <w:r>
        <w:rPr>
          <w:sz w:val="24"/>
        </w:rPr>
        <w:t>La incidencia acumulada de caries no cavitada posterior a la colocación de selladores se</w:t>
      </w:r>
      <w:r>
        <w:rPr>
          <w:spacing w:val="-7"/>
          <w:sz w:val="24"/>
        </w:rPr>
        <w:t> </w:t>
      </w:r>
      <w:r>
        <w:rPr>
          <w:sz w:val="24"/>
        </w:rPr>
        <w:t>incrementó.</w:t>
      </w:r>
    </w:p>
    <w:p>
      <w:pPr>
        <w:pStyle w:val="BodyText"/>
      </w:pPr>
    </w:p>
    <w:p>
      <w:pPr>
        <w:pStyle w:val="ListParagraph"/>
        <w:numPr>
          <w:ilvl w:val="0"/>
          <w:numId w:val="9"/>
        </w:numPr>
        <w:tabs>
          <w:tab w:pos="839" w:val="left" w:leader="none"/>
        </w:tabs>
        <w:spacing w:line="240" w:lineRule="auto" w:before="142" w:after="0"/>
        <w:ind w:left="838" w:right="0" w:hanging="360"/>
        <w:jc w:val="left"/>
        <w:rPr>
          <w:sz w:val="24"/>
        </w:rPr>
      </w:pPr>
      <w:r>
        <w:rPr>
          <w:sz w:val="24"/>
        </w:rPr>
        <w:t>No se encontraron lesiones de caries cavitadas a los seis y doce</w:t>
      </w:r>
      <w:r>
        <w:rPr>
          <w:spacing w:val="-22"/>
          <w:sz w:val="24"/>
        </w:rPr>
        <w:t> </w:t>
      </w:r>
      <w:r>
        <w:rPr>
          <w:sz w:val="24"/>
        </w:rPr>
        <w:t>meses.</w:t>
      </w:r>
    </w:p>
    <w:p>
      <w:pPr>
        <w:pStyle w:val="BodyText"/>
      </w:pPr>
    </w:p>
    <w:p>
      <w:pPr>
        <w:pStyle w:val="BodyText"/>
      </w:pPr>
    </w:p>
    <w:p>
      <w:pPr>
        <w:pStyle w:val="ListParagraph"/>
        <w:numPr>
          <w:ilvl w:val="0"/>
          <w:numId w:val="9"/>
        </w:numPr>
        <w:tabs>
          <w:tab w:pos="839" w:val="left" w:leader="none"/>
        </w:tabs>
        <w:spacing w:line="360" w:lineRule="auto" w:before="0" w:after="0"/>
        <w:ind w:left="838" w:right="103" w:hanging="360"/>
        <w:jc w:val="left"/>
        <w:rPr>
          <w:sz w:val="24"/>
        </w:rPr>
      </w:pPr>
      <w:r>
        <w:rPr>
          <w:sz w:val="24"/>
        </w:rPr>
        <w:t>Fue mayor la presencia de selladores colocados a los seis meses que a los doce meses.</w:t>
      </w:r>
    </w:p>
    <w:p>
      <w:pPr>
        <w:spacing w:after="0" w:line="360" w:lineRule="auto"/>
        <w:jc w:val="left"/>
        <w:rPr>
          <w:sz w:val="24"/>
        </w:rPr>
        <w:sectPr>
          <w:pgSz w:w="12240" w:h="15840"/>
          <w:pgMar w:header="0" w:footer="947" w:top="1360" w:bottom="1140" w:left="1300" w:right="1320"/>
        </w:sectPr>
      </w:pPr>
    </w:p>
    <w:p>
      <w:pPr>
        <w:pStyle w:val="Heading1"/>
        <w:ind w:left="1750" w:right="1730"/>
        <w:jc w:val="center"/>
      </w:pPr>
      <w:bookmarkStart w:name="_bookmark12" w:id="14"/>
      <w:bookmarkEnd w:id="14"/>
      <w:r>
        <w:rPr>
          <w:b w:val="0"/>
        </w:rPr>
      </w:r>
      <w:r>
        <w:rPr/>
        <w:t>Sugerencias</w:t>
      </w:r>
    </w:p>
    <w:p>
      <w:pPr>
        <w:pStyle w:val="BodyText"/>
        <w:rPr>
          <w:b/>
        </w:rPr>
      </w:pPr>
    </w:p>
    <w:p>
      <w:pPr>
        <w:pStyle w:val="ListParagraph"/>
        <w:numPr>
          <w:ilvl w:val="0"/>
          <w:numId w:val="10"/>
        </w:numPr>
        <w:tabs>
          <w:tab w:pos="565" w:val="left" w:leader="none"/>
          <w:tab w:pos="566" w:val="left" w:leader="none"/>
        </w:tabs>
        <w:spacing w:line="360" w:lineRule="auto" w:before="140" w:after="0"/>
        <w:ind w:left="118" w:right="103" w:firstLine="0"/>
        <w:jc w:val="left"/>
        <w:rPr>
          <w:sz w:val="24"/>
        </w:rPr>
      </w:pPr>
      <w:r>
        <w:rPr>
          <w:sz w:val="24"/>
        </w:rPr>
        <w:t>Evitar la incidencia de caries a través del seguimiento permanente de las piezas dentales</w:t>
      </w:r>
      <w:r>
        <w:rPr>
          <w:spacing w:val="-6"/>
          <w:sz w:val="24"/>
        </w:rPr>
        <w:t> </w:t>
      </w:r>
      <w:r>
        <w:rPr>
          <w:sz w:val="24"/>
        </w:rPr>
        <w:t>selladas.</w:t>
      </w:r>
    </w:p>
    <w:p>
      <w:pPr>
        <w:pStyle w:val="BodyText"/>
        <w:spacing w:before="7"/>
        <w:rPr>
          <w:sz w:val="28"/>
        </w:rPr>
      </w:pPr>
    </w:p>
    <w:p>
      <w:pPr>
        <w:pStyle w:val="ListParagraph"/>
        <w:numPr>
          <w:ilvl w:val="0"/>
          <w:numId w:val="10"/>
        </w:numPr>
        <w:tabs>
          <w:tab w:pos="558" w:val="left" w:leader="none"/>
          <w:tab w:pos="559" w:val="left" w:leader="none"/>
        </w:tabs>
        <w:spacing w:line="357" w:lineRule="auto" w:before="1" w:after="0"/>
        <w:ind w:left="118" w:right="103" w:firstLine="0"/>
        <w:jc w:val="left"/>
        <w:rPr>
          <w:sz w:val="24"/>
        </w:rPr>
      </w:pPr>
      <w:r>
        <w:rPr>
          <w:sz w:val="24"/>
        </w:rPr>
        <w:t>Tener un mayor control de la humedad al momento de la colocación del sellador, sobre todo en segundos molares permanentes</w:t>
      </w:r>
      <w:r>
        <w:rPr>
          <w:spacing w:val="-21"/>
          <w:sz w:val="24"/>
        </w:rPr>
        <w:t> </w:t>
      </w:r>
      <w:r>
        <w:rPr>
          <w:sz w:val="24"/>
        </w:rPr>
        <w:t>inferiores</w:t>
      </w:r>
    </w:p>
    <w:p>
      <w:pPr>
        <w:spacing w:after="0" w:line="357" w:lineRule="auto"/>
        <w:jc w:val="left"/>
        <w:rPr>
          <w:sz w:val="24"/>
        </w:rPr>
        <w:sectPr>
          <w:pgSz w:w="12240" w:h="15840"/>
          <w:pgMar w:header="0" w:footer="947" w:top="1360" w:bottom="1140" w:left="1300" w:right="1320"/>
        </w:sectPr>
      </w:pPr>
    </w:p>
    <w:p>
      <w:pPr>
        <w:pStyle w:val="Heading1"/>
        <w:ind w:left="2987"/>
        <w:jc w:val="left"/>
      </w:pPr>
      <w:bookmarkStart w:name="_bookmark13" w:id="15"/>
      <w:bookmarkEnd w:id="15"/>
      <w:r>
        <w:rPr>
          <w:b w:val="0"/>
        </w:rPr>
      </w:r>
      <w:r>
        <w:rPr/>
        <w:t>Referencias Bibliográficas</w:t>
      </w:r>
    </w:p>
    <w:p>
      <w:pPr>
        <w:pStyle w:val="BodyText"/>
        <w:rPr>
          <w:b/>
        </w:rPr>
      </w:pPr>
    </w:p>
    <w:p>
      <w:pPr>
        <w:pStyle w:val="ListParagraph"/>
        <w:numPr>
          <w:ilvl w:val="0"/>
          <w:numId w:val="11"/>
        </w:numPr>
        <w:tabs>
          <w:tab w:pos="479" w:val="left" w:leader="none"/>
        </w:tabs>
        <w:spacing w:line="360" w:lineRule="auto" w:before="185" w:after="0"/>
        <w:ind w:left="478" w:right="113" w:hanging="360"/>
        <w:jc w:val="both"/>
        <w:rPr>
          <w:sz w:val="24"/>
        </w:rPr>
      </w:pPr>
      <w:r>
        <w:rPr>
          <w:sz w:val="24"/>
        </w:rPr>
        <w:t>Boj J.R, Catalá M, García-Ballesta C, Mendoza A. Odontopediatria. Barcelona, España: Masson;</w:t>
      </w:r>
      <w:r>
        <w:rPr>
          <w:spacing w:val="-10"/>
          <w:sz w:val="24"/>
        </w:rPr>
        <w:t> </w:t>
      </w:r>
      <w:r>
        <w:rPr>
          <w:sz w:val="24"/>
        </w:rPr>
        <w:t>2005.</w:t>
      </w:r>
    </w:p>
    <w:p>
      <w:pPr>
        <w:pStyle w:val="BodyText"/>
      </w:pPr>
    </w:p>
    <w:p>
      <w:pPr>
        <w:pStyle w:val="ListParagraph"/>
        <w:numPr>
          <w:ilvl w:val="0"/>
          <w:numId w:val="11"/>
        </w:numPr>
        <w:tabs>
          <w:tab w:pos="479" w:val="left" w:leader="none"/>
        </w:tabs>
        <w:spacing w:line="360" w:lineRule="auto" w:before="142" w:after="0"/>
        <w:ind w:left="478" w:right="113" w:hanging="360"/>
        <w:jc w:val="both"/>
        <w:rPr>
          <w:sz w:val="24"/>
        </w:rPr>
      </w:pPr>
      <w:r>
        <w:rPr>
          <w:sz w:val="24"/>
        </w:rPr>
        <w:t>Rivas J, Devenir Histórico de los Selladores de Fosetas y Fisuras. ADM. 2002; 3 (59):111-113.</w:t>
      </w:r>
    </w:p>
    <w:p>
      <w:pPr>
        <w:pStyle w:val="BodyText"/>
      </w:pPr>
    </w:p>
    <w:p>
      <w:pPr>
        <w:pStyle w:val="ListParagraph"/>
        <w:numPr>
          <w:ilvl w:val="0"/>
          <w:numId w:val="11"/>
        </w:numPr>
        <w:tabs>
          <w:tab w:pos="479" w:val="left" w:leader="none"/>
        </w:tabs>
        <w:spacing w:line="357" w:lineRule="auto" w:before="142" w:after="0"/>
        <w:ind w:left="478" w:right="116" w:hanging="360"/>
        <w:jc w:val="both"/>
        <w:rPr>
          <w:sz w:val="24"/>
        </w:rPr>
      </w:pPr>
      <w:r>
        <w:rPr>
          <w:sz w:val="24"/>
        </w:rPr>
        <w:t>Cuenca E, Manau C, Serra LL, Manual de Odontología Preventiva y Comunitaria. 2</w:t>
      </w:r>
      <w:r>
        <w:rPr>
          <w:position w:val="8"/>
          <w:sz w:val="16"/>
        </w:rPr>
        <w:t>nd  </w:t>
      </w:r>
      <w:r>
        <w:rPr>
          <w:sz w:val="24"/>
        </w:rPr>
        <w:t>ed. Barcelona, España: Masson;</w:t>
      </w:r>
      <w:r>
        <w:rPr>
          <w:spacing w:val="3"/>
          <w:sz w:val="24"/>
        </w:rPr>
        <w:t> </w:t>
      </w:r>
      <w:r>
        <w:rPr>
          <w:sz w:val="24"/>
        </w:rPr>
        <w:t>1999.</w:t>
      </w:r>
    </w:p>
    <w:p>
      <w:pPr>
        <w:pStyle w:val="BodyText"/>
        <w:spacing w:before="2"/>
        <w:rPr>
          <w:sz w:val="36"/>
        </w:rPr>
      </w:pPr>
    </w:p>
    <w:p>
      <w:pPr>
        <w:pStyle w:val="ListParagraph"/>
        <w:numPr>
          <w:ilvl w:val="0"/>
          <w:numId w:val="11"/>
        </w:numPr>
        <w:tabs>
          <w:tab w:pos="479" w:val="left" w:leader="none"/>
        </w:tabs>
        <w:spacing w:line="360" w:lineRule="auto" w:before="1" w:after="0"/>
        <w:ind w:left="478" w:right="115" w:hanging="360"/>
        <w:jc w:val="both"/>
        <w:rPr>
          <w:sz w:val="24"/>
        </w:rPr>
      </w:pPr>
      <w:r>
        <w:rPr>
          <w:sz w:val="24"/>
        </w:rPr>
        <w:t>Jouberth</w:t>
      </w:r>
      <w:r>
        <w:rPr>
          <w:spacing w:val="-15"/>
          <w:sz w:val="24"/>
        </w:rPr>
        <w:t> </w:t>
      </w:r>
      <w:r>
        <w:rPr>
          <w:sz w:val="24"/>
        </w:rPr>
        <w:t>R,</w:t>
      </w:r>
      <w:r>
        <w:rPr>
          <w:spacing w:val="-15"/>
          <w:sz w:val="24"/>
        </w:rPr>
        <w:t> </w:t>
      </w:r>
      <w:r>
        <w:rPr>
          <w:sz w:val="24"/>
        </w:rPr>
        <w:t>Espinosa</w:t>
      </w:r>
      <w:r>
        <w:rPr>
          <w:spacing w:val="-17"/>
          <w:sz w:val="24"/>
        </w:rPr>
        <w:t> </w:t>
      </w:r>
      <w:r>
        <w:rPr>
          <w:sz w:val="24"/>
        </w:rPr>
        <w:t>R,</w:t>
      </w:r>
      <w:r>
        <w:rPr>
          <w:spacing w:val="-15"/>
          <w:sz w:val="24"/>
        </w:rPr>
        <w:t> </w:t>
      </w:r>
      <w:r>
        <w:rPr>
          <w:sz w:val="24"/>
        </w:rPr>
        <w:t>Guzmán</w:t>
      </w:r>
      <w:r>
        <w:rPr>
          <w:spacing w:val="-15"/>
          <w:sz w:val="24"/>
        </w:rPr>
        <w:t> </w:t>
      </w:r>
      <w:r>
        <w:rPr>
          <w:sz w:val="24"/>
        </w:rPr>
        <w:t>H,</w:t>
      </w:r>
      <w:r>
        <w:rPr>
          <w:spacing w:val="-15"/>
          <w:sz w:val="24"/>
        </w:rPr>
        <w:t> </w:t>
      </w:r>
      <w:r>
        <w:rPr>
          <w:sz w:val="24"/>
        </w:rPr>
        <w:t>Novero</w:t>
      </w:r>
      <w:r>
        <w:rPr>
          <w:spacing w:val="-15"/>
          <w:sz w:val="24"/>
        </w:rPr>
        <w:t> </w:t>
      </w:r>
      <w:r>
        <w:rPr>
          <w:sz w:val="24"/>
        </w:rPr>
        <w:t>L,</w:t>
      </w:r>
      <w:r>
        <w:rPr>
          <w:spacing w:val="-15"/>
          <w:sz w:val="24"/>
        </w:rPr>
        <w:t> </w:t>
      </w:r>
      <w:r>
        <w:rPr>
          <w:sz w:val="24"/>
        </w:rPr>
        <w:t>Medina</w:t>
      </w:r>
      <w:r>
        <w:rPr>
          <w:spacing w:val="-14"/>
          <w:sz w:val="24"/>
        </w:rPr>
        <w:t> </w:t>
      </w:r>
      <w:r>
        <w:rPr>
          <w:sz w:val="24"/>
        </w:rPr>
        <w:t>H,</w:t>
      </w:r>
      <w:r>
        <w:rPr>
          <w:spacing w:val="-15"/>
          <w:sz w:val="24"/>
        </w:rPr>
        <w:t> </w:t>
      </w:r>
      <w:r>
        <w:rPr>
          <w:sz w:val="24"/>
        </w:rPr>
        <w:t>Pérez</w:t>
      </w:r>
      <w:r>
        <w:rPr>
          <w:spacing w:val="-18"/>
          <w:sz w:val="24"/>
        </w:rPr>
        <w:t> </w:t>
      </w:r>
      <w:r>
        <w:rPr>
          <w:sz w:val="24"/>
        </w:rPr>
        <w:t>M</w:t>
      </w:r>
      <w:r>
        <w:rPr>
          <w:spacing w:val="-16"/>
          <w:sz w:val="24"/>
        </w:rPr>
        <w:t> </w:t>
      </w:r>
      <w:r>
        <w:rPr>
          <w:sz w:val="24"/>
        </w:rPr>
        <w:t>L,</w:t>
      </w:r>
      <w:r>
        <w:rPr>
          <w:spacing w:val="24"/>
          <w:sz w:val="24"/>
        </w:rPr>
        <w:t> </w:t>
      </w:r>
      <w:r>
        <w:rPr>
          <w:sz w:val="24"/>
        </w:rPr>
        <w:t>Odontología Adhesiva y Estética. España: Ripano Medica;</w:t>
      </w:r>
      <w:r>
        <w:rPr>
          <w:spacing w:val="-16"/>
          <w:sz w:val="24"/>
        </w:rPr>
        <w:t> </w:t>
      </w:r>
      <w:r>
        <w:rPr>
          <w:sz w:val="24"/>
        </w:rPr>
        <w:t>2010.</w:t>
      </w:r>
    </w:p>
    <w:p>
      <w:pPr>
        <w:pStyle w:val="BodyText"/>
        <w:spacing w:before="2"/>
      </w:pPr>
    </w:p>
    <w:p>
      <w:pPr>
        <w:pStyle w:val="ListParagraph"/>
        <w:numPr>
          <w:ilvl w:val="0"/>
          <w:numId w:val="11"/>
        </w:numPr>
        <w:tabs>
          <w:tab w:pos="479" w:val="left" w:leader="none"/>
        </w:tabs>
        <w:spacing w:line="240" w:lineRule="auto" w:before="0" w:after="0"/>
        <w:ind w:left="478" w:right="115" w:hanging="360"/>
        <w:jc w:val="both"/>
        <w:rPr>
          <w:sz w:val="24"/>
        </w:rPr>
      </w:pPr>
      <w:hyperlink r:id="rId18">
        <w:r>
          <w:rPr>
            <w:sz w:val="24"/>
          </w:rPr>
          <w:t>Morgan MV</w:t>
        </w:r>
      </w:hyperlink>
      <w:r>
        <w:rPr>
          <w:sz w:val="24"/>
        </w:rPr>
        <w:t>, </w:t>
      </w:r>
      <w:hyperlink r:id="rId19">
        <w:r>
          <w:rPr>
            <w:sz w:val="24"/>
          </w:rPr>
          <w:t>Adams GG</w:t>
        </w:r>
      </w:hyperlink>
      <w:r>
        <w:rPr>
          <w:sz w:val="24"/>
        </w:rPr>
        <w:t>, </w:t>
      </w:r>
      <w:hyperlink r:id="rId20">
        <w:r>
          <w:rPr>
            <w:sz w:val="24"/>
          </w:rPr>
          <w:t>Campain AC</w:t>
        </w:r>
      </w:hyperlink>
      <w:r>
        <w:rPr>
          <w:sz w:val="24"/>
        </w:rPr>
        <w:t>, </w:t>
      </w:r>
      <w:hyperlink r:id="rId21">
        <w:r>
          <w:rPr>
            <w:sz w:val="24"/>
          </w:rPr>
          <w:t>Wright FA</w:t>
        </w:r>
      </w:hyperlink>
      <w:r>
        <w:rPr>
          <w:sz w:val="24"/>
        </w:rPr>
        <w:t>, Assessing sealant retention using a poisson frailty model. Community Dent Health. 2005; 22:</w:t>
      </w:r>
      <w:r>
        <w:rPr>
          <w:spacing w:val="-25"/>
          <w:sz w:val="24"/>
        </w:rPr>
        <w:t> </w:t>
      </w:r>
      <w:r>
        <w:rPr>
          <w:sz w:val="24"/>
        </w:rPr>
        <w:t>237-245.</w:t>
      </w:r>
    </w:p>
    <w:p>
      <w:pPr>
        <w:pStyle w:val="BodyText"/>
      </w:pPr>
    </w:p>
    <w:p>
      <w:pPr>
        <w:pStyle w:val="ListParagraph"/>
        <w:numPr>
          <w:ilvl w:val="0"/>
          <w:numId w:val="11"/>
        </w:numPr>
        <w:tabs>
          <w:tab w:pos="479" w:val="left" w:leader="none"/>
        </w:tabs>
        <w:spacing w:line="360" w:lineRule="auto" w:before="139" w:after="0"/>
        <w:ind w:left="478" w:right="118" w:hanging="360"/>
        <w:jc w:val="both"/>
        <w:rPr>
          <w:sz w:val="24"/>
        </w:rPr>
      </w:pPr>
      <w:r>
        <w:rPr>
          <w:sz w:val="24"/>
        </w:rPr>
        <w:t>Hiiri A, Ahovou-Saloranta A, Nordbland A, Mäkelä M. Pit and fissure sealants versus fluoride vamishes for preventing dental decay in children and adolescents. Cochrane Database Syst Rev. 2010;</w:t>
      </w:r>
      <w:r>
        <w:rPr>
          <w:spacing w:val="-10"/>
          <w:sz w:val="24"/>
        </w:rPr>
        <w:t> </w:t>
      </w:r>
      <w:r>
        <w:rPr>
          <w:sz w:val="24"/>
        </w:rPr>
        <w:t>4:1-2.</w:t>
      </w:r>
    </w:p>
    <w:p>
      <w:pPr>
        <w:pStyle w:val="BodyText"/>
      </w:pPr>
    </w:p>
    <w:p>
      <w:pPr>
        <w:pStyle w:val="ListParagraph"/>
        <w:numPr>
          <w:ilvl w:val="0"/>
          <w:numId w:val="11"/>
        </w:numPr>
        <w:tabs>
          <w:tab w:pos="479" w:val="left" w:leader="none"/>
        </w:tabs>
        <w:spacing w:line="360" w:lineRule="auto" w:before="0" w:after="0"/>
        <w:ind w:left="478" w:right="112" w:hanging="360"/>
        <w:jc w:val="both"/>
        <w:rPr>
          <w:sz w:val="24"/>
        </w:rPr>
      </w:pPr>
      <w:r>
        <w:rPr>
          <w:sz w:val="24"/>
        </w:rPr>
        <w:t>Harris N. O, García-Godoy F. Odontología Preventiva Primaria. 2</w:t>
      </w:r>
      <w:r>
        <w:rPr>
          <w:position w:val="8"/>
          <w:sz w:val="16"/>
        </w:rPr>
        <w:t>nd </w:t>
      </w:r>
      <w:r>
        <w:rPr>
          <w:sz w:val="24"/>
        </w:rPr>
        <w:t>ed. Colombia: Manual Moderno;</w:t>
      </w:r>
      <w:r>
        <w:rPr>
          <w:spacing w:val="-12"/>
          <w:sz w:val="24"/>
        </w:rPr>
        <w:t> </w:t>
      </w:r>
      <w:r>
        <w:rPr>
          <w:sz w:val="24"/>
        </w:rPr>
        <w:t>2005.</w:t>
      </w:r>
    </w:p>
    <w:p>
      <w:pPr>
        <w:pStyle w:val="BodyText"/>
        <w:spacing w:before="5"/>
      </w:pPr>
    </w:p>
    <w:p>
      <w:pPr>
        <w:pStyle w:val="ListParagraph"/>
        <w:numPr>
          <w:ilvl w:val="0"/>
          <w:numId w:val="11"/>
        </w:numPr>
        <w:tabs>
          <w:tab w:pos="479" w:val="left" w:leader="none"/>
        </w:tabs>
        <w:spacing w:line="360" w:lineRule="auto" w:before="0" w:after="0"/>
        <w:ind w:left="478" w:right="112" w:hanging="360"/>
        <w:jc w:val="both"/>
        <w:rPr>
          <w:sz w:val="24"/>
        </w:rPr>
      </w:pPr>
      <w:r>
        <w:rPr/>
        <w:pict>
          <v:line style="position:absolute;mso-position-horizontal-relative:page;mso-position-vertical-relative:paragraph;z-index:-48808" from="465.579987pt,33.155869pt" to="467.499987pt,33.155869pt" stroked="true" strokeweight=".599980pt" strokecolor="#0462c1">
            <w10:wrap type="none"/>
          </v:line>
        </w:pict>
      </w:r>
      <w:r>
        <w:rPr>
          <w:sz w:val="24"/>
        </w:rPr>
        <w:t>Locker</w:t>
      </w:r>
      <w:r>
        <w:rPr>
          <w:spacing w:val="-15"/>
          <w:sz w:val="24"/>
        </w:rPr>
        <w:t> </w:t>
      </w:r>
      <w:r>
        <w:rPr>
          <w:sz w:val="24"/>
        </w:rPr>
        <w:t>D,</w:t>
      </w:r>
      <w:r>
        <w:rPr>
          <w:spacing w:val="-14"/>
          <w:sz w:val="24"/>
        </w:rPr>
        <w:t> </w:t>
      </w:r>
      <w:r>
        <w:rPr>
          <w:sz w:val="24"/>
        </w:rPr>
        <w:t>Jokovic</w:t>
      </w:r>
      <w:r>
        <w:rPr>
          <w:spacing w:val="-14"/>
          <w:sz w:val="24"/>
        </w:rPr>
        <w:t> </w:t>
      </w:r>
      <w:r>
        <w:rPr>
          <w:sz w:val="24"/>
        </w:rPr>
        <w:t>A,</w:t>
      </w:r>
      <w:r>
        <w:rPr>
          <w:spacing w:val="-13"/>
          <w:sz w:val="24"/>
        </w:rPr>
        <w:t> </w:t>
      </w:r>
      <w:r>
        <w:rPr>
          <w:sz w:val="24"/>
        </w:rPr>
        <w:t>Kay</w:t>
      </w:r>
      <w:r>
        <w:rPr>
          <w:spacing w:val="-16"/>
          <w:sz w:val="24"/>
        </w:rPr>
        <w:t> </w:t>
      </w:r>
      <w:r>
        <w:rPr>
          <w:sz w:val="24"/>
        </w:rPr>
        <w:t>EJ,</w:t>
      </w:r>
      <w:r>
        <w:rPr>
          <w:spacing w:val="-13"/>
          <w:sz w:val="24"/>
        </w:rPr>
        <w:t> </w:t>
      </w:r>
      <w:r>
        <w:rPr>
          <w:sz w:val="24"/>
        </w:rPr>
        <w:t>Prevention.</w:t>
      </w:r>
      <w:r>
        <w:rPr>
          <w:spacing w:val="-13"/>
          <w:sz w:val="24"/>
        </w:rPr>
        <w:t> </w:t>
      </w:r>
      <w:r>
        <w:rPr>
          <w:sz w:val="24"/>
        </w:rPr>
        <w:t>Part</w:t>
      </w:r>
      <w:r>
        <w:rPr>
          <w:spacing w:val="-17"/>
          <w:sz w:val="24"/>
        </w:rPr>
        <w:t> </w:t>
      </w:r>
      <w:r>
        <w:rPr>
          <w:sz w:val="24"/>
        </w:rPr>
        <w:t>8:</w:t>
      </w:r>
      <w:r>
        <w:rPr>
          <w:spacing w:val="-16"/>
          <w:sz w:val="24"/>
        </w:rPr>
        <w:t> </w:t>
      </w:r>
      <w:r>
        <w:rPr>
          <w:sz w:val="24"/>
        </w:rPr>
        <w:t>The</w:t>
      </w:r>
      <w:r>
        <w:rPr>
          <w:spacing w:val="-16"/>
          <w:sz w:val="24"/>
        </w:rPr>
        <w:t> </w:t>
      </w:r>
      <w:r>
        <w:rPr>
          <w:sz w:val="24"/>
        </w:rPr>
        <w:t>use</w:t>
      </w:r>
      <w:r>
        <w:rPr>
          <w:spacing w:val="-16"/>
          <w:sz w:val="24"/>
        </w:rPr>
        <w:t> </w:t>
      </w:r>
      <w:r>
        <w:rPr>
          <w:sz w:val="24"/>
        </w:rPr>
        <w:t>of</w:t>
      </w:r>
      <w:r>
        <w:rPr>
          <w:spacing w:val="-11"/>
          <w:sz w:val="24"/>
        </w:rPr>
        <w:t> </w:t>
      </w:r>
      <w:r>
        <w:rPr>
          <w:sz w:val="24"/>
        </w:rPr>
        <w:t>pit</w:t>
      </w:r>
      <w:r>
        <w:rPr>
          <w:spacing w:val="-16"/>
          <w:sz w:val="24"/>
        </w:rPr>
        <w:t> </w:t>
      </w:r>
      <w:r>
        <w:rPr>
          <w:sz w:val="24"/>
        </w:rPr>
        <w:t>and</w:t>
      </w:r>
      <w:r>
        <w:rPr>
          <w:spacing w:val="-16"/>
          <w:sz w:val="24"/>
        </w:rPr>
        <w:t> </w:t>
      </w:r>
      <w:r>
        <w:rPr>
          <w:sz w:val="24"/>
        </w:rPr>
        <w:t>fissure</w:t>
      </w:r>
      <w:r>
        <w:rPr>
          <w:spacing w:val="-14"/>
          <w:sz w:val="24"/>
        </w:rPr>
        <w:t> </w:t>
      </w:r>
      <w:r>
        <w:rPr>
          <w:sz w:val="24"/>
        </w:rPr>
        <w:t>sealants in</w:t>
      </w:r>
      <w:r>
        <w:rPr>
          <w:spacing w:val="-12"/>
          <w:sz w:val="24"/>
        </w:rPr>
        <w:t> </w:t>
      </w:r>
      <w:r>
        <w:rPr>
          <w:sz w:val="24"/>
        </w:rPr>
        <w:t>preventing</w:t>
      </w:r>
      <w:r>
        <w:rPr>
          <w:spacing w:val="-14"/>
          <w:sz w:val="24"/>
        </w:rPr>
        <w:t> </w:t>
      </w:r>
      <w:r>
        <w:rPr>
          <w:sz w:val="24"/>
        </w:rPr>
        <w:t>caries</w:t>
      </w:r>
      <w:r>
        <w:rPr>
          <w:spacing w:val="-13"/>
          <w:sz w:val="24"/>
        </w:rPr>
        <w:t> </w:t>
      </w:r>
      <w:r>
        <w:rPr>
          <w:sz w:val="24"/>
        </w:rPr>
        <w:t>in</w:t>
      </w:r>
      <w:r>
        <w:rPr>
          <w:spacing w:val="-12"/>
          <w:sz w:val="24"/>
        </w:rPr>
        <w:t> </w:t>
      </w:r>
      <w:r>
        <w:rPr>
          <w:sz w:val="24"/>
        </w:rPr>
        <w:t>the</w:t>
      </w:r>
      <w:r>
        <w:rPr>
          <w:spacing w:val="-12"/>
          <w:sz w:val="24"/>
        </w:rPr>
        <w:t> </w:t>
      </w:r>
      <w:r>
        <w:rPr>
          <w:sz w:val="24"/>
        </w:rPr>
        <w:t>permanent</w:t>
      </w:r>
      <w:r>
        <w:rPr>
          <w:spacing w:val="-14"/>
          <w:sz w:val="24"/>
        </w:rPr>
        <w:t> </w:t>
      </w:r>
      <w:r>
        <w:rPr>
          <w:sz w:val="24"/>
        </w:rPr>
        <w:t>dentition</w:t>
      </w:r>
      <w:r>
        <w:rPr>
          <w:spacing w:val="-14"/>
          <w:sz w:val="24"/>
        </w:rPr>
        <w:t> </w:t>
      </w:r>
      <w:r>
        <w:rPr>
          <w:sz w:val="24"/>
        </w:rPr>
        <w:t>of</w:t>
      </w:r>
      <w:r>
        <w:rPr>
          <w:spacing w:val="-10"/>
          <w:sz w:val="24"/>
        </w:rPr>
        <w:t> </w:t>
      </w:r>
      <w:r>
        <w:rPr>
          <w:sz w:val="24"/>
        </w:rPr>
        <w:t>children.</w:t>
      </w:r>
      <w:r>
        <w:rPr>
          <w:spacing w:val="-9"/>
          <w:sz w:val="24"/>
        </w:rPr>
        <w:t> </w:t>
      </w:r>
      <w:r>
        <w:rPr>
          <w:sz w:val="24"/>
        </w:rPr>
        <w:t>Br</w:t>
      </w:r>
      <w:r>
        <w:rPr>
          <w:spacing w:val="-13"/>
          <w:sz w:val="24"/>
        </w:rPr>
        <w:t> </w:t>
      </w:r>
      <w:r>
        <w:rPr>
          <w:sz w:val="24"/>
        </w:rPr>
        <w:t>Dent</w:t>
      </w:r>
      <w:r>
        <w:rPr>
          <w:spacing w:val="-12"/>
          <w:sz w:val="24"/>
        </w:rPr>
        <w:t> </w:t>
      </w:r>
      <w:r>
        <w:rPr>
          <w:sz w:val="24"/>
        </w:rPr>
        <w:t>J</w:t>
      </w:r>
      <w:r>
        <w:rPr>
          <w:sz w:val="17"/>
        </w:rPr>
        <w:t>.</w:t>
      </w:r>
      <w:r>
        <w:rPr>
          <w:spacing w:val="-13"/>
          <w:sz w:val="17"/>
        </w:rPr>
        <w:t> </w:t>
      </w:r>
      <w:r>
        <w:rPr>
          <w:sz w:val="24"/>
        </w:rPr>
        <w:t>2003;</w:t>
      </w:r>
      <w:r>
        <w:rPr>
          <w:spacing w:val="-12"/>
          <w:sz w:val="24"/>
        </w:rPr>
        <w:t> </w:t>
      </w:r>
      <w:r>
        <w:rPr>
          <w:sz w:val="24"/>
        </w:rPr>
        <w:t>7</w:t>
      </w:r>
      <w:r>
        <w:rPr>
          <w:spacing w:val="-14"/>
          <w:sz w:val="24"/>
        </w:rPr>
        <w:t> </w:t>
      </w:r>
      <w:r>
        <w:rPr>
          <w:sz w:val="24"/>
        </w:rPr>
        <w:t>(195): 375-378.</w:t>
      </w:r>
    </w:p>
    <w:p>
      <w:pPr>
        <w:pStyle w:val="BodyText"/>
        <w:spacing w:before="2"/>
      </w:pPr>
    </w:p>
    <w:p>
      <w:pPr>
        <w:pStyle w:val="ListParagraph"/>
        <w:numPr>
          <w:ilvl w:val="0"/>
          <w:numId w:val="11"/>
        </w:numPr>
        <w:tabs>
          <w:tab w:pos="479" w:val="left" w:leader="none"/>
        </w:tabs>
        <w:spacing w:line="360" w:lineRule="auto" w:before="0" w:after="0"/>
        <w:ind w:left="478" w:right="112" w:hanging="360"/>
        <w:jc w:val="both"/>
        <w:rPr>
          <w:sz w:val="24"/>
        </w:rPr>
      </w:pPr>
      <w:r>
        <w:rPr>
          <w:sz w:val="24"/>
        </w:rPr>
        <w:t>Beauchamp J, Caufield PW, Crall JJ, et al, Evidence-based clinical recommendations for the use of pit-and-fissure sealants, A report of the American Dental Association Council on Scientific Affairs. J Am Dent Assoc. 2008; 3 (139): 257-266.</w:t>
      </w:r>
    </w:p>
    <w:p>
      <w:pPr>
        <w:spacing w:after="0" w:line="360" w:lineRule="auto"/>
        <w:jc w:val="both"/>
        <w:rPr>
          <w:sz w:val="24"/>
        </w:rPr>
        <w:sectPr>
          <w:pgSz w:w="12240" w:h="15840"/>
          <w:pgMar w:header="0" w:footer="947" w:top="1360" w:bottom="1140" w:left="1660" w:right="1300"/>
        </w:sectPr>
      </w:pPr>
    </w:p>
    <w:p>
      <w:pPr>
        <w:pStyle w:val="ListParagraph"/>
        <w:numPr>
          <w:ilvl w:val="0"/>
          <w:numId w:val="11"/>
        </w:numPr>
        <w:tabs>
          <w:tab w:pos="479" w:val="left" w:leader="none"/>
        </w:tabs>
        <w:spacing w:line="360" w:lineRule="auto" w:before="57" w:after="0"/>
        <w:ind w:left="478" w:right="116" w:hanging="360"/>
        <w:jc w:val="both"/>
        <w:rPr>
          <w:sz w:val="24"/>
        </w:rPr>
      </w:pPr>
      <w:r>
        <w:rPr>
          <w:sz w:val="24"/>
        </w:rPr>
        <w:t>Makhija SK, Childers NK, Lauten J, Dorantes CE, Chafin T, Dasanayake AP</w:t>
      </w:r>
      <w:r>
        <w:rPr>
          <w:rFonts w:ascii="Times New Roman"/>
          <w:sz w:val="20"/>
        </w:rPr>
        <w:t>. </w:t>
      </w:r>
      <w:r>
        <w:rPr>
          <w:sz w:val="24"/>
        </w:rPr>
        <w:t>Evaluaton of initial caries score and caries incidence in a public health sealant program: a retrospective study. Pediatr Dent. 2006; 20:</w:t>
      </w:r>
      <w:r>
        <w:rPr>
          <w:spacing w:val="-25"/>
          <w:sz w:val="24"/>
        </w:rPr>
        <w:t> </w:t>
      </w:r>
      <w:r>
        <w:rPr>
          <w:sz w:val="24"/>
        </w:rPr>
        <w:t>420-424.</w:t>
      </w:r>
    </w:p>
    <w:p>
      <w:pPr>
        <w:pStyle w:val="BodyText"/>
      </w:pPr>
    </w:p>
    <w:p>
      <w:pPr>
        <w:pStyle w:val="ListParagraph"/>
        <w:numPr>
          <w:ilvl w:val="0"/>
          <w:numId w:val="11"/>
        </w:numPr>
        <w:tabs>
          <w:tab w:pos="479" w:val="left" w:leader="none"/>
        </w:tabs>
        <w:spacing w:line="360" w:lineRule="auto" w:before="142" w:after="0"/>
        <w:ind w:left="478" w:right="115" w:hanging="360"/>
        <w:jc w:val="both"/>
        <w:rPr>
          <w:sz w:val="24"/>
        </w:rPr>
      </w:pPr>
      <w:r>
        <w:rPr>
          <w:sz w:val="24"/>
        </w:rPr>
        <w:t>Tianviwat S, Chongsuvivatwong V, Sirisakulveroj B, Loss of sealant retention and subsequent caries development. Community Dent Health. 2008; 25:</w:t>
      </w:r>
      <w:r>
        <w:rPr>
          <w:spacing w:val="-23"/>
          <w:sz w:val="24"/>
        </w:rPr>
        <w:t> </w:t>
      </w:r>
      <w:r>
        <w:rPr>
          <w:sz w:val="24"/>
        </w:rPr>
        <w:t>216-220.</w:t>
      </w:r>
    </w:p>
    <w:p>
      <w:pPr>
        <w:pStyle w:val="BodyText"/>
        <w:spacing w:before="5"/>
      </w:pPr>
    </w:p>
    <w:p>
      <w:pPr>
        <w:pStyle w:val="ListParagraph"/>
        <w:numPr>
          <w:ilvl w:val="0"/>
          <w:numId w:val="11"/>
        </w:numPr>
        <w:tabs>
          <w:tab w:pos="479" w:val="left" w:leader="none"/>
        </w:tabs>
        <w:spacing w:line="360" w:lineRule="auto" w:before="0" w:after="0"/>
        <w:ind w:left="478" w:right="116" w:hanging="360"/>
        <w:jc w:val="both"/>
        <w:rPr>
          <w:sz w:val="24"/>
        </w:rPr>
      </w:pPr>
      <w:r>
        <w:rPr>
          <w:sz w:val="24"/>
        </w:rPr>
        <w:t>Griffin SO, Gray SK, Malvitz DM, Gooch BF. Caries risk in formerly</w:t>
      </w:r>
      <w:r>
        <w:rPr>
          <w:spacing w:val="-47"/>
          <w:sz w:val="24"/>
        </w:rPr>
        <w:t> </w:t>
      </w:r>
      <w:r>
        <w:rPr>
          <w:sz w:val="24"/>
        </w:rPr>
        <w:t>sealed teeth. J Am Dent Assoc. 2009; 140:</w:t>
      </w:r>
      <w:r>
        <w:rPr>
          <w:spacing w:val="-13"/>
          <w:sz w:val="24"/>
        </w:rPr>
        <w:t> </w:t>
      </w:r>
      <w:r>
        <w:rPr>
          <w:sz w:val="24"/>
        </w:rPr>
        <w:t>415-423.</w:t>
      </w:r>
    </w:p>
    <w:p>
      <w:pPr>
        <w:pStyle w:val="BodyText"/>
        <w:spacing w:before="5"/>
      </w:pPr>
    </w:p>
    <w:p>
      <w:pPr>
        <w:pStyle w:val="ListParagraph"/>
        <w:numPr>
          <w:ilvl w:val="0"/>
          <w:numId w:val="11"/>
        </w:numPr>
        <w:tabs>
          <w:tab w:pos="479" w:val="left" w:leader="none"/>
        </w:tabs>
        <w:spacing w:line="360" w:lineRule="auto" w:before="0" w:after="0"/>
        <w:ind w:left="478" w:right="112" w:hanging="360"/>
        <w:jc w:val="both"/>
        <w:rPr>
          <w:sz w:val="24"/>
        </w:rPr>
      </w:pPr>
      <w:r>
        <w:rPr>
          <w:sz w:val="24"/>
        </w:rPr>
        <w:t>Zimmer S, Strafela N, Bastendorf K-D, Bartsch A, Lang H, Barthel CR. Klinische Erfolgsraten von Fissurenversiegelungen mit Kompomer oder bis-GMA nach drei Jahren. Oralprophylaxe &amp; Kinderzahnheilkunde 2009;</w:t>
      </w:r>
      <w:r>
        <w:rPr>
          <w:spacing w:val="-20"/>
          <w:sz w:val="24"/>
        </w:rPr>
        <w:t> </w:t>
      </w:r>
      <w:r>
        <w:rPr>
          <w:sz w:val="24"/>
        </w:rPr>
        <w:t>31:8-12.</w:t>
      </w:r>
    </w:p>
    <w:p>
      <w:pPr>
        <w:pStyle w:val="BodyText"/>
        <w:spacing w:before="2"/>
      </w:pPr>
    </w:p>
    <w:p>
      <w:pPr>
        <w:pStyle w:val="ListParagraph"/>
        <w:numPr>
          <w:ilvl w:val="0"/>
          <w:numId w:val="11"/>
        </w:numPr>
        <w:tabs>
          <w:tab w:pos="479" w:val="left" w:leader="none"/>
        </w:tabs>
        <w:spacing w:line="360" w:lineRule="auto" w:before="0" w:after="0"/>
        <w:ind w:left="478" w:right="111" w:hanging="360"/>
        <w:jc w:val="both"/>
        <w:rPr>
          <w:sz w:val="24"/>
        </w:rPr>
      </w:pPr>
      <w:r>
        <w:rPr>
          <w:sz w:val="24"/>
        </w:rPr>
        <w:t>Faleiros</w:t>
      </w:r>
      <w:r>
        <w:rPr>
          <w:spacing w:val="-9"/>
          <w:sz w:val="24"/>
        </w:rPr>
        <w:t> </w:t>
      </w:r>
      <w:r>
        <w:rPr>
          <w:sz w:val="24"/>
        </w:rPr>
        <w:t>Chioca</w:t>
      </w:r>
      <w:r>
        <w:rPr>
          <w:spacing w:val="-11"/>
          <w:sz w:val="24"/>
        </w:rPr>
        <w:t> </w:t>
      </w:r>
      <w:r>
        <w:rPr>
          <w:sz w:val="24"/>
        </w:rPr>
        <w:t>S,</w:t>
      </w:r>
      <w:r>
        <w:rPr>
          <w:spacing w:val="-11"/>
          <w:sz w:val="24"/>
        </w:rPr>
        <w:t> </w:t>
      </w:r>
      <w:r>
        <w:rPr>
          <w:sz w:val="24"/>
        </w:rPr>
        <w:t>Urzúa</w:t>
      </w:r>
      <w:r>
        <w:rPr>
          <w:spacing w:val="-11"/>
          <w:sz w:val="24"/>
        </w:rPr>
        <w:t> </w:t>
      </w:r>
      <w:r>
        <w:rPr>
          <w:sz w:val="24"/>
        </w:rPr>
        <w:t>Araya</w:t>
      </w:r>
      <w:r>
        <w:rPr>
          <w:spacing w:val="-8"/>
          <w:sz w:val="24"/>
        </w:rPr>
        <w:t> </w:t>
      </w:r>
      <w:r>
        <w:rPr>
          <w:sz w:val="24"/>
        </w:rPr>
        <w:t>I,</w:t>
      </w:r>
      <w:r>
        <w:rPr>
          <w:spacing w:val="-8"/>
          <w:sz w:val="24"/>
        </w:rPr>
        <w:t> </w:t>
      </w:r>
      <w:r>
        <w:rPr>
          <w:sz w:val="24"/>
        </w:rPr>
        <w:t>Rodríguez</w:t>
      </w:r>
      <w:r>
        <w:rPr>
          <w:spacing w:val="-9"/>
          <w:sz w:val="24"/>
        </w:rPr>
        <w:t> </w:t>
      </w:r>
      <w:r>
        <w:rPr>
          <w:sz w:val="24"/>
        </w:rPr>
        <w:t>Martínez</w:t>
      </w:r>
      <w:r>
        <w:rPr>
          <w:spacing w:val="-12"/>
          <w:sz w:val="24"/>
        </w:rPr>
        <w:t> </w:t>
      </w:r>
      <w:r>
        <w:rPr>
          <w:sz w:val="24"/>
        </w:rPr>
        <w:t>G,</w:t>
      </w:r>
      <w:r>
        <w:rPr>
          <w:spacing w:val="-8"/>
          <w:sz w:val="24"/>
        </w:rPr>
        <w:t> </w:t>
      </w:r>
      <w:r>
        <w:rPr>
          <w:sz w:val="24"/>
        </w:rPr>
        <w:t>Cabello</w:t>
      </w:r>
      <w:r>
        <w:rPr>
          <w:spacing w:val="-11"/>
          <w:sz w:val="24"/>
        </w:rPr>
        <w:t> </w:t>
      </w:r>
      <w:r>
        <w:rPr>
          <w:sz w:val="24"/>
        </w:rPr>
        <w:t>Ibacache</w:t>
      </w:r>
      <w:r>
        <w:rPr>
          <w:spacing w:val="-8"/>
          <w:sz w:val="24"/>
        </w:rPr>
        <w:t> </w:t>
      </w:r>
      <w:r>
        <w:rPr>
          <w:sz w:val="24"/>
        </w:rPr>
        <w:t>R,</w:t>
      </w:r>
      <w:r>
        <w:rPr>
          <w:spacing w:val="-9"/>
          <w:sz w:val="24"/>
        </w:rPr>
        <w:t> </w:t>
      </w:r>
      <w:r>
        <w:rPr>
          <w:sz w:val="24"/>
        </w:rPr>
        <w:t>Uso de sellantes de fosas y fisuras para la prevención de caries en población infanto- juvenil: Revisión metodológica de ensayos clínicos. Rev. Clin. Periodoncia Implantol. Rehabil. Oral, 2013; 1 (6):</w:t>
      </w:r>
      <w:r>
        <w:rPr>
          <w:spacing w:val="-11"/>
          <w:sz w:val="24"/>
        </w:rPr>
        <w:t> </w:t>
      </w:r>
      <w:r>
        <w:rPr>
          <w:sz w:val="24"/>
        </w:rPr>
        <w:t>14-19.</w:t>
      </w:r>
    </w:p>
    <w:p>
      <w:pPr>
        <w:pStyle w:val="BodyText"/>
        <w:spacing w:before="2"/>
      </w:pPr>
    </w:p>
    <w:p>
      <w:pPr>
        <w:pStyle w:val="ListParagraph"/>
        <w:numPr>
          <w:ilvl w:val="0"/>
          <w:numId w:val="11"/>
        </w:numPr>
        <w:tabs>
          <w:tab w:pos="479" w:val="left" w:leader="none"/>
        </w:tabs>
        <w:spacing w:line="360" w:lineRule="auto" w:before="0" w:after="0"/>
        <w:ind w:left="478" w:right="119" w:hanging="360"/>
        <w:jc w:val="both"/>
        <w:rPr>
          <w:sz w:val="24"/>
        </w:rPr>
      </w:pPr>
      <w:r>
        <w:rPr>
          <w:sz w:val="24"/>
        </w:rPr>
        <w:t>Petersen PE. The World Oral Health Report 2003: continuos improvement of oral health in the 21st century- the approach of the WHO Global Oral Health Programme. Community Dent Oral Epidemiol. 2003; 31(1):</w:t>
      </w:r>
      <w:r>
        <w:rPr>
          <w:spacing w:val="-17"/>
          <w:sz w:val="24"/>
        </w:rPr>
        <w:t> </w:t>
      </w:r>
      <w:r>
        <w:rPr>
          <w:sz w:val="24"/>
        </w:rPr>
        <w:t>3-23.</w:t>
      </w:r>
    </w:p>
    <w:p>
      <w:pPr>
        <w:pStyle w:val="BodyText"/>
        <w:spacing w:before="5"/>
      </w:pPr>
    </w:p>
    <w:p>
      <w:pPr>
        <w:pStyle w:val="ListParagraph"/>
        <w:numPr>
          <w:ilvl w:val="0"/>
          <w:numId w:val="11"/>
        </w:numPr>
        <w:tabs>
          <w:tab w:pos="479" w:val="left" w:leader="none"/>
        </w:tabs>
        <w:spacing w:line="360" w:lineRule="auto" w:before="0" w:after="0"/>
        <w:ind w:left="478" w:right="111" w:hanging="360"/>
        <w:jc w:val="both"/>
        <w:rPr>
          <w:sz w:val="24"/>
        </w:rPr>
      </w:pPr>
      <w:r>
        <w:rPr>
          <w:sz w:val="24"/>
        </w:rPr>
        <w:t>Neusser S, Krauth C, Hussein R, Bitzer EM, Clinical effectiveness and cost- effectiveness</w:t>
      </w:r>
      <w:r>
        <w:rPr>
          <w:spacing w:val="-15"/>
          <w:sz w:val="24"/>
        </w:rPr>
        <w:t> </w:t>
      </w:r>
      <w:r>
        <w:rPr>
          <w:sz w:val="24"/>
        </w:rPr>
        <w:t>of</w:t>
      </w:r>
      <w:r>
        <w:rPr>
          <w:spacing w:val="-14"/>
          <w:sz w:val="24"/>
        </w:rPr>
        <w:t> </w:t>
      </w:r>
      <w:r>
        <w:rPr>
          <w:sz w:val="24"/>
        </w:rPr>
        <w:t>fissure</w:t>
      </w:r>
      <w:r>
        <w:rPr>
          <w:spacing w:val="-14"/>
          <w:sz w:val="24"/>
        </w:rPr>
        <w:t> </w:t>
      </w:r>
      <w:r>
        <w:rPr>
          <w:sz w:val="24"/>
        </w:rPr>
        <w:t>sealants</w:t>
      </w:r>
      <w:r>
        <w:rPr>
          <w:spacing w:val="-12"/>
          <w:sz w:val="24"/>
        </w:rPr>
        <w:t> </w:t>
      </w:r>
      <w:r>
        <w:rPr>
          <w:sz w:val="24"/>
        </w:rPr>
        <w:t>in</w:t>
      </w:r>
      <w:r>
        <w:rPr>
          <w:spacing w:val="-14"/>
          <w:sz w:val="24"/>
        </w:rPr>
        <w:t> </w:t>
      </w:r>
      <w:r>
        <w:rPr>
          <w:sz w:val="24"/>
        </w:rPr>
        <w:t>children</w:t>
      </w:r>
      <w:r>
        <w:rPr>
          <w:spacing w:val="-12"/>
          <w:sz w:val="24"/>
        </w:rPr>
        <w:t> </w:t>
      </w:r>
      <w:r>
        <w:rPr>
          <w:sz w:val="24"/>
        </w:rPr>
        <w:t>and</w:t>
      </w:r>
      <w:r>
        <w:rPr>
          <w:spacing w:val="-12"/>
          <w:sz w:val="24"/>
        </w:rPr>
        <w:t> </w:t>
      </w:r>
      <w:r>
        <w:rPr>
          <w:sz w:val="24"/>
        </w:rPr>
        <w:t>adolescents</w:t>
      </w:r>
      <w:r>
        <w:rPr>
          <w:spacing w:val="-12"/>
          <w:sz w:val="24"/>
        </w:rPr>
        <w:t> </w:t>
      </w:r>
      <w:r>
        <w:rPr>
          <w:sz w:val="24"/>
        </w:rPr>
        <w:t>with</w:t>
      </w:r>
      <w:r>
        <w:rPr>
          <w:spacing w:val="-12"/>
          <w:sz w:val="24"/>
        </w:rPr>
        <w:t> </w:t>
      </w:r>
      <w:r>
        <w:rPr>
          <w:sz w:val="24"/>
        </w:rPr>
        <w:t>a</w:t>
      </w:r>
      <w:r>
        <w:rPr>
          <w:spacing w:val="-14"/>
          <w:sz w:val="24"/>
        </w:rPr>
        <w:t> </w:t>
      </w:r>
      <w:r>
        <w:rPr>
          <w:sz w:val="24"/>
        </w:rPr>
        <w:t>high</w:t>
      </w:r>
      <w:r>
        <w:rPr>
          <w:spacing w:val="-12"/>
          <w:sz w:val="24"/>
        </w:rPr>
        <w:t> </w:t>
      </w:r>
      <w:r>
        <w:rPr>
          <w:sz w:val="24"/>
        </w:rPr>
        <w:t>caries</w:t>
      </w:r>
      <w:r>
        <w:rPr>
          <w:spacing w:val="-13"/>
          <w:sz w:val="24"/>
        </w:rPr>
        <w:t> </w:t>
      </w:r>
      <w:r>
        <w:rPr>
          <w:sz w:val="24"/>
        </w:rPr>
        <w:t>risk. GMS Health Technol Assess. 2014; 10:</w:t>
      </w:r>
      <w:r>
        <w:rPr>
          <w:spacing w:val="-12"/>
          <w:sz w:val="24"/>
        </w:rPr>
        <w:t> </w:t>
      </w:r>
      <w:r>
        <w:rPr>
          <w:sz w:val="24"/>
        </w:rPr>
        <w:t>1-9.</w:t>
      </w:r>
    </w:p>
    <w:p>
      <w:pPr>
        <w:pStyle w:val="BodyText"/>
        <w:spacing w:before="5"/>
      </w:pPr>
    </w:p>
    <w:p>
      <w:pPr>
        <w:pStyle w:val="ListParagraph"/>
        <w:numPr>
          <w:ilvl w:val="0"/>
          <w:numId w:val="11"/>
        </w:numPr>
        <w:tabs>
          <w:tab w:pos="479" w:val="left" w:leader="none"/>
        </w:tabs>
        <w:spacing w:line="360" w:lineRule="auto" w:before="0" w:after="0"/>
        <w:ind w:left="478" w:right="111" w:hanging="360"/>
        <w:jc w:val="both"/>
        <w:rPr>
          <w:sz w:val="24"/>
        </w:rPr>
      </w:pPr>
      <w:r>
        <w:rPr>
          <w:sz w:val="24"/>
        </w:rPr>
        <w:t>Oulis CJ, Berdouses ED, Mamai-Homata E, Polychronopoulou A. Prevalence of sealants</w:t>
      </w:r>
      <w:r>
        <w:rPr>
          <w:spacing w:val="-9"/>
          <w:sz w:val="24"/>
        </w:rPr>
        <w:t> </w:t>
      </w:r>
      <w:r>
        <w:rPr>
          <w:sz w:val="24"/>
        </w:rPr>
        <w:t>in</w:t>
      </w:r>
      <w:r>
        <w:rPr>
          <w:spacing w:val="-9"/>
          <w:sz w:val="24"/>
        </w:rPr>
        <w:t> </w:t>
      </w:r>
      <w:r>
        <w:rPr>
          <w:sz w:val="24"/>
        </w:rPr>
        <w:t>relation</w:t>
      </w:r>
      <w:r>
        <w:rPr>
          <w:spacing w:val="-11"/>
          <w:sz w:val="24"/>
        </w:rPr>
        <w:t> </w:t>
      </w:r>
      <w:r>
        <w:rPr>
          <w:sz w:val="24"/>
        </w:rPr>
        <w:t>to</w:t>
      </w:r>
      <w:r>
        <w:rPr>
          <w:spacing w:val="-10"/>
          <w:sz w:val="24"/>
        </w:rPr>
        <w:t> </w:t>
      </w:r>
      <w:r>
        <w:rPr>
          <w:sz w:val="24"/>
        </w:rPr>
        <w:t>dental</w:t>
      </w:r>
      <w:r>
        <w:rPr>
          <w:spacing w:val="-10"/>
          <w:sz w:val="24"/>
        </w:rPr>
        <w:t> </w:t>
      </w:r>
      <w:r>
        <w:rPr>
          <w:sz w:val="24"/>
        </w:rPr>
        <w:t>caries</w:t>
      </w:r>
      <w:r>
        <w:rPr>
          <w:spacing w:val="-9"/>
          <w:sz w:val="24"/>
        </w:rPr>
        <w:t> </w:t>
      </w:r>
      <w:r>
        <w:rPr>
          <w:sz w:val="24"/>
        </w:rPr>
        <w:t>on</w:t>
      </w:r>
      <w:r>
        <w:rPr>
          <w:spacing w:val="-8"/>
          <w:sz w:val="24"/>
        </w:rPr>
        <w:t> </w:t>
      </w:r>
      <w:r>
        <w:rPr>
          <w:sz w:val="24"/>
        </w:rPr>
        <w:t>the</w:t>
      </w:r>
      <w:r>
        <w:rPr>
          <w:spacing w:val="-8"/>
          <w:sz w:val="24"/>
        </w:rPr>
        <w:t> </w:t>
      </w:r>
      <w:r>
        <w:rPr>
          <w:sz w:val="24"/>
        </w:rPr>
        <w:t>permanent</w:t>
      </w:r>
      <w:r>
        <w:rPr>
          <w:spacing w:val="-11"/>
          <w:sz w:val="24"/>
        </w:rPr>
        <w:t> </w:t>
      </w:r>
      <w:r>
        <w:rPr>
          <w:sz w:val="24"/>
        </w:rPr>
        <w:t>molars</w:t>
      </w:r>
      <w:r>
        <w:rPr>
          <w:spacing w:val="-9"/>
          <w:sz w:val="24"/>
        </w:rPr>
        <w:t> </w:t>
      </w:r>
      <w:r>
        <w:rPr>
          <w:sz w:val="24"/>
        </w:rPr>
        <w:t>of</w:t>
      </w:r>
      <w:r>
        <w:rPr>
          <w:spacing w:val="-9"/>
          <w:sz w:val="24"/>
        </w:rPr>
        <w:t> </w:t>
      </w:r>
      <w:r>
        <w:rPr>
          <w:sz w:val="24"/>
        </w:rPr>
        <w:t>12</w:t>
      </w:r>
      <w:r>
        <w:rPr>
          <w:spacing w:val="-11"/>
          <w:sz w:val="24"/>
        </w:rPr>
        <w:t> </w:t>
      </w:r>
      <w:r>
        <w:rPr>
          <w:sz w:val="24"/>
        </w:rPr>
        <w:t>and</w:t>
      </w:r>
      <w:r>
        <w:rPr>
          <w:spacing w:val="-8"/>
          <w:sz w:val="24"/>
        </w:rPr>
        <w:t> </w:t>
      </w:r>
      <w:r>
        <w:rPr>
          <w:sz w:val="24"/>
        </w:rPr>
        <w:t>15-year-old Greek adolescents. A national pathfinder survey. BMC Public Health. 2011; 11: 2- 7.</w:t>
      </w:r>
    </w:p>
    <w:p>
      <w:pPr>
        <w:spacing w:after="0" w:line="360" w:lineRule="auto"/>
        <w:jc w:val="both"/>
        <w:rPr>
          <w:sz w:val="24"/>
        </w:rPr>
        <w:sectPr>
          <w:pgSz w:w="12240" w:h="15840"/>
          <w:pgMar w:header="0" w:footer="947" w:top="1360" w:bottom="1140" w:left="1660" w:right="1300"/>
        </w:sectPr>
      </w:pPr>
    </w:p>
    <w:p>
      <w:pPr>
        <w:pStyle w:val="ListParagraph"/>
        <w:numPr>
          <w:ilvl w:val="0"/>
          <w:numId w:val="11"/>
        </w:numPr>
        <w:tabs>
          <w:tab w:pos="546" w:val="left" w:leader="none"/>
        </w:tabs>
        <w:spacing w:line="360" w:lineRule="auto" w:before="57" w:after="0"/>
        <w:ind w:left="478" w:right="113" w:hanging="360"/>
        <w:jc w:val="both"/>
        <w:rPr>
          <w:sz w:val="24"/>
        </w:rPr>
      </w:pPr>
      <w:hyperlink r:id="rId22">
        <w:r>
          <w:rPr>
            <w:sz w:val="24"/>
          </w:rPr>
          <w:t>Leskinen</w:t>
        </w:r>
        <w:r>
          <w:rPr>
            <w:spacing w:val="-5"/>
            <w:sz w:val="24"/>
          </w:rPr>
          <w:t> </w:t>
        </w:r>
        <w:r>
          <w:rPr>
            <w:sz w:val="24"/>
          </w:rPr>
          <w:t>K</w:t>
        </w:r>
      </w:hyperlink>
      <w:r>
        <w:rPr>
          <w:sz w:val="24"/>
        </w:rPr>
        <w:t>,</w:t>
      </w:r>
      <w:r>
        <w:rPr>
          <w:spacing w:val="-5"/>
          <w:sz w:val="24"/>
        </w:rPr>
        <w:t> </w:t>
      </w:r>
      <w:hyperlink r:id="rId23">
        <w:r>
          <w:rPr>
            <w:sz w:val="24"/>
          </w:rPr>
          <w:t>Salo</w:t>
        </w:r>
        <w:r>
          <w:rPr>
            <w:spacing w:val="-5"/>
            <w:sz w:val="24"/>
          </w:rPr>
          <w:t> </w:t>
        </w:r>
        <w:r>
          <w:rPr>
            <w:sz w:val="24"/>
          </w:rPr>
          <w:t>S</w:t>
        </w:r>
      </w:hyperlink>
      <w:r>
        <w:rPr>
          <w:sz w:val="24"/>
        </w:rPr>
        <w:t>,</w:t>
      </w:r>
      <w:r>
        <w:rPr>
          <w:spacing w:val="-6"/>
          <w:sz w:val="24"/>
        </w:rPr>
        <w:t> </w:t>
      </w:r>
      <w:hyperlink r:id="rId24">
        <w:r>
          <w:rPr>
            <w:sz w:val="24"/>
          </w:rPr>
          <w:t>Suni</w:t>
        </w:r>
        <w:r>
          <w:rPr>
            <w:spacing w:val="-5"/>
            <w:sz w:val="24"/>
          </w:rPr>
          <w:t> </w:t>
        </w:r>
        <w:r>
          <w:rPr>
            <w:sz w:val="24"/>
          </w:rPr>
          <w:t>J</w:t>
        </w:r>
      </w:hyperlink>
      <w:r>
        <w:rPr>
          <w:sz w:val="24"/>
        </w:rPr>
        <w:t>,</w:t>
      </w:r>
      <w:r>
        <w:rPr>
          <w:spacing w:val="-6"/>
          <w:sz w:val="24"/>
        </w:rPr>
        <w:t> </w:t>
      </w:r>
      <w:hyperlink r:id="rId25">
        <w:r>
          <w:rPr>
            <w:sz w:val="24"/>
          </w:rPr>
          <w:t>Larmas</w:t>
        </w:r>
        <w:r>
          <w:rPr>
            <w:spacing w:val="-5"/>
            <w:sz w:val="24"/>
          </w:rPr>
          <w:t> </w:t>
        </w:r>
        <w:r>
          <w:rPr>
            <w:sz w:val="24"/>
          </w:rPr>
          <w:t>M</w:t>
        </w:r>
      </w:hyperlink>
      <w:r>
        <w:rPr>
          <w:sz w:val="24"/>
        </w:rPr>
        <w:t>.</w:t>
      </w:r>
      <w:r>
        <w:rPr>
          <w:spacing w:val="-11"/>
          <w:sz w:val="24"/>
        </w:rPr>
        <w:t> </w:t>
      </w:r>
      <w:r>
        <w:rPr>
          <w:sz w:val="24"/>
        </w:rPr>
        <w:t>Comparison</w:t>
      </w:r>
      <w:r>
        <w:rPr>
          <w:spacing w:val="-6"/>
          <w:sz w:val="24"/>
        </w:rPr>
        <w:t> </w:t>
      </w:r>
      <w:r>
        <w:rPr>
          <w:sz w:val="24"/>
        </w:rPr>
        <w:t>of</w:t>
      </w:r>
      <w:r>
        <w:rPr>
          <w:spacing w:val="-1"/>
          <w:sz w:val="24"/>
        </w:rPr>
        <w:t> </w:t>
      </w:r>
      <w:r>
        <w:rPr>
          <w:sz w:val="24"/>
        </w:rPr>
        <w:t>dental</w:t>
      </w:r>
      <w:r>
        <w:rPr>
          <w:spacing w:val="-5"/>
          <w:sz w:val="24"/>
        </w:rPr>
        <w:t> </w:t>
      </w:r>
      <w:r>
        <w:rPr>
          <w:sz w:val="24"/>
        </w:rPr>
        <w:t>health</w:t>
      </w:r>
      <w:r>
        <w:rPr>
          <w:spacing w:val="-5"/>
          <w:sz w:val="24"/>
        </w:rPr>
        <w:t> </w:t>
      </w:r>
      <w:r>
        <w:rPr>
          <w:sz w:val="24"/>
        </w:rPr>
        <w:t>in</w:t>
      </w:r>
      <w:r>
        <w:rPr>
          <w:spacing w:val="-5"/>
          <w:sz w:val="24"/>
        </w:rPr>
        <w:t> </w:t>
      </w:r>
      <w:r>
        <w:rPr>
          <w:sz w:val="24"/>
        </w:rPr>
        <w:t>sealed</w:t>
      </w:r>
      <w:r>
        <w:rPr>
          <w:spacing w:val="-5"/>
          <w:sz w:val="24"/>
        </w:rPr>
        <w:t> </w:t>
      </w:r>
      <w:r>
        <w:rPr>
          <w:sz w:val="24"/>
        </w:rPr>
        <w:t>and non-sealed</w:t>
      </w:r>
      <w:r>
        <w:rPr>
          <w:spacing w:val="-6"/>
          <w:sz w:val="24"/>
        </w:rPr>
        <w:t> </w:t>
      </w:r>
      <w:r>
        <w:rPr>
          <w:sz w:val="24"/>
        </w:rPr>
        <w:t>first</w:t>
      </w:r>
      <w:r>
        <w:rPr>
          <w:spacing w:val="-6"/>
          <w:sz w:val="24"/>
        </w:rPr>
        <w:t> </w:t>
      </w:r>
      <w:r>
        <w:rPr>
          <w:sz w:val="24"/>
        </w:rPr>
        <w:t>permanent</w:t>
      </w:r>
      <w:r>
        <w:rPr>
          <w:spacing w:val="-6"/>
          <w:sz w:val="24"/>
        </w:rPr>
        <w:t> </w:t>
      </w:r>
      <w:r>
        <w:rPr>
          <w:sz w:val="24"/>
        </w:rPr>
        <w:t>molars:</w:t>
      </w:r>
      <w:r>
        <w:rPr>
          <w:spacing w:val="-7"/>
          <w:sz w:val="24"/>
        </w:rPr>
        <w:t> </w:t>
      </w:r>
      <w:r>
        <w:rPr>
          <w:sz w:val="24"/>
        </w:rPr>
        <w:t>7</w:t>
      </w:r>
      <w:r>
        <w:rPr>
          <w:spacing w:val="-4"/>
          <w:sz w:val="24"/>
        </w:rPr>
        <w:t> </w:t>
      </w:r>
      <w:r>
        <w:rPr>
          <w:sz w:val="24"/>
        </w:rPr>
        <w:t>years</w:t>
      </w:r>
      <w:r>
        <w:rPr>
          <w:spacing w:val="-7"/>
          <w:sz w:val="24"/>
        </w:rPr>
        <w:t> </w:t>
      </w:r>
      <w:r>
        <w:rPr>
          <w:sz w:val="24"/>
        </w:rPr>
        <w:t>follow-up</w:t>
      </w:r>
      <w:r>
        <w:rPr>
          <w:spacing w:val="-4"/>
          <w:sz w:val="24"/>
        </w:rPr>
        <w:t> </w:t>
      </w:r>
      <w:r>
        <w:rPr>
          <w:sz w:val="24"/>
        </w:rPr>
        <w:t>in</w:t>
      </w:r>
      <w:r>
        <w:rPr>
          <w:spacing w:val="-4"/>
          <w:sz w:val="24"/>
        </w:rPr>
        <w:t> </w:t>
      </w:r>
      <w:r>
        <w:rPr>
          <w:sz w:val="24"/>
        </w:rPr>
        <w:t>practice-based</w:t>
      </w:r>
      <w:r>
        <w:rPr>
          <w:spacing w:val="-4"/>
          <w:sz w:val="24"/>
        </w:rPr>
        <w:t> </w:t>
      </w:r>
      <w:r>
        <w:rPr>
          <w:sz w:val="24"/>
        </w:rPr>
        <w:t>dentistry.</w:t>
      </w:r>
      <w:r>
        <w:rPr>
          <w:spacing w:val="-6"/>
          <w:sz w:val="24"/>
        </w:rPr>
        <w:t> </w:t>
      </w:r>
      <w:r>
        <w:rPr>
          <w:sz w:val="24"/>
        </w:rPr>
        <w:t>J Dent. 2007; 27 (36):</w:t>
      </w:r>
      <w:r>
        <w:rPr>
          <w:spacing w:val="-8"/>
          <w:sz w:val="24"/>
        </w:rPr>
        <w:t> </w:t>
      </w:r>
      <w:r>
        <w:rPr>
          <w:sz w:val="24"/>
        </w:rPr>
        <w:t>27-32.</w:t>
      </w:r>
    </w:p>
    <w:p>
      <w:pPr>
        <w:pStyle w:val="BodyText"/>
        <w:spacing w:before="2"/>
      </w:pPr>
    </w:p>
    <w:p>
      <w:pPr>
        <w:pStyle w:val="ListParagraph"/>
        <w:numPr>
          <w:ilvl w:val="0"/>
          <w:numId w:val="11"/>
        </w:numPr>
        <w:tabs>
          <w:tab w:pos="546" w:val="left" w:leader="none"/>
        </w:tabs>
        <w:spacing w:line="360" w:lineRule="auto" w:before="0" w:after="0"/>
        <w:ind w:left="478" w:right="113" w:hanging="360"/>
        <w:jc w:val="both"/>
        <w:rPr>
          <w:sz w:val="24"/>
        </w:rPr>
      </w:pPr>
      <w:r>
        <w:rPr>
          <w:sz w:val="24"/>
        </w:rPr>
        <w:t>Crall JJ, Donly KJ. Dental Sealants Guidelines Development: 2002-2014. Pediatr Dent. 2015; 37:</w:t>
      </w:r>
      <w:r>
        <w:rPr>
          <w:spacing w:val="-11"/>
          <w:sz w:val="24"/>
        </w:rPr>
        <w:t> </w:t>
      </w:r>
      <w:r>
        <w:rPr>
          <w:sz w:val="24"/>
        </w:rPr>
        <w:t>111-115.</w:t>
      </w:r>
    </w:p>
    <w:p>
      <w:pPr>
        <w:pStyle w:val="BodyText"/>
        <w:spacing w:before="2"/>
      </w:pPr>
    </w:p>
    <w:p>
      <w:pPr>
        <w:pStyle w:val="ListParagraph"/>
        <w:numPr>
          <w:ilvl w:val="0"/>
          <w:numId w:val="11"/>
        </w:numPr>
        <w:tabs>
          <w:tab w:pos="546" w:val="left" w:leader="none"/>
        </w:tabs>
        <w:spacing w:line="360" w:lineRule="auto" w:before="0" w:after="0"/>
        <w:ind w:left="478" w:right="115" w:hanging="360"/>
        <w:jc w:val="both"/>
        <w:rPr>
          <w:sz w:val="24"/>
        </w:rPr>
      </w:pPr>
      <w:r>
        <w:rPr>
          <w:sz w:val="24"/>
        </w:rPr>
        <w:t>Campus G, Carta G, Cagetti M.G, et. al. Fluoride Concentration from Dental Sealants: A Randomized Clinical Trial. J Dent Res. 2015; 92:</w:t>
      </w:r>
      <w:r>
        <w:rPr>
          <w:spacing w:val="-23"/>
          <w:sz w:val="24"/>
        </w:rPr>
        <w:t> </w:t>
      </w:r>
      <w:r>
        <w:rPr>
          <w:sz w:val="24"/>
        </w:rPr>
        <w:t>23-28.</w:t>
      </w:r>
    </w:p>
    <w:p>
      <w:pPr>
        <w:pStyle w:val="BodyText"/>
        <w:spacing w:before="3"/>
      </w:pPr>
    </w:p>
    <w:p>
      <w:pPr>
        <w:pStyle w:val="ListParagraph"/>
        <w:numPr>
          <w:ilvl w:val="0"/>
          <w:numId w:val="11"/>
        </w:numPr>
        <w:tabs>
          <w:tab w:pos="546" w:val="left" w:leader="none"/>
        </w:tabs>
        <w:spacing w:line="360" w:lineRule="auto" w:before="0" w:after="0"/>
        <w:ind w:left="478" w:right="120" w:hanging="360"/>
        <w:jc w:val="both"/>
        <w:rPr>
          <w:sz w:val="24"/>
        </w:rPr>
      </w:pPr>
      <w:r>
        <w:rPr>
          <w:sz w:val="24"/>
        </w:rPr>
        <w:t>Ahovuo-Saloranta A, Forss H, Walsh T, Hiiri A, Nordblad A, Mäkelä M, Worthington HV. Sealants for preventing dental decay in the permanent teeth (Review). Cochrane Database Syst Rev. 2013; 3:</w:t>
      </w:r>
      <w:r>
        <w:rPr>
          <w:spacing w:val="-15"/>
          <w:sz w:val="24"/>
        </w:rPr>
        <w:t> </w:t>
      </w:r>
      <w:r>
        <w:rPr>
          <w:sz w:val="24"/>
        </w:rPr>
        <w:t>2-15.</w:t>
      </w:r>
    </w:p>
    <w:p>
      <w:pPr>
        <w:pStyle w:val="BodyText"/>
        <w:spacing w:before="5"/>
      </w:pPr>
    </w:p>
    <w:p>
      <w:pPr>
        <w:pStyle w:val="ListParagraph"/>
        <w:numPr>
          <w:ilvl w:val="0"/>
          <w:numId w:val="11"/>
        </w:numPr>
        <w:tabs>
          <w:tab w:pos="546" w:val="left" w:leader="none"/>
        </w:tabs>
        <w:spacing w:line="360" w:lineRule="auto" w:before="0" w:after="0"/>
        <w:ind w:left="478" w:right="108" w:hanging="360"/>
        <w:jc w:val="both"/>
        <w:rPr>
          <w:sz w:val="24"/>
        </w:rPr>
      </w:pPr>
      <w:hyperlink r:id="rId26">
        <w:r>
          <w:rPr>
            <w:sz w:val="24"/>
          </w:rPr>
          <w:t>Yengopal V</w:t>
        </w:r>
      </w:hyperlink>
      <w:r>
        <w:rPr>
          <w:sz w:val="24"/>
        </w:rPr>
        <w:t>, </w:t>
      </w:r>
      <w:hyperlink r:id="rId27">
        <w:r>
          <w:rPr>
            <w:sz w:val="24"/>
          </w:rPr>
          <w:t>Mickenautsch S</w:t>
        </w:r>
      </w:hyperlink>
      <w:r>
        <w:rPr>
          <w:sz w:val="24"/>
        </w:rPr>
        <w:t>, </w:t>
      </w:r>
      <w:hyperlink r:id="rId28">
        <w:r>
          <w:rPr>
            <w:sz w:val="24"/>
          </w:rPr>
          <w:t>Bezerra AC</w:t>
        </w:r>
      </w:hyperlink>
      <w:r>
        <w:rPr>
          <w:sz w:val="24"/>
        </w:rPr>
        <w:t>, </w:t>
      </w:r>
      <w:hyperlink r:id="rId29">
        <w:r>
          <w:rPr>
            <w:sz w:val="24"/>
          </w:rPr>
          <w:t>Leal SC</w:t>
        </w:r>
      </w:hyperlink>
      <w:r>
        <w:rPr>
          <w:sz w:val="24"/>
        </w:rPr>
        <w:t>. Caries-preventive effect of glass ionomer and resin-based fissure sealants on permanent teeth: a meta- analysis. J Oral Sci. 2009; 3 (51):</w:t>
      </w:r>
      <w:r>
        <w:rPr>
          <w:spacing w:val="-13"/>
          <w:sz w:val="24"/>
        </w:rPr>
        <w:t> </w:t>
      </w:r>
      <w:r>
        <w:rPr>
          <w:sz w:val="24"/>
        </w:rPr>
        <w:t>373-382.</w:t>
      </w:r>
    </w:p>
    <w:p>
      <w:pPr>
        <w:pStyle w:val="BodyText"/>
        <w:spacing w:before="9"/>
        <w:rPr>
          <w:sz w:val="23"/>
        </w:rPr>
      </w:pPr>
    </w:p>
    <w:p>
      <w:pPr>
        <w:pStyle w:val="ListParagraph"/>
        <w:numPr>
          <w:ilvl w:val="0"/>
          <w:numId w:val="11"/>
        </w:numPr>
        <w:tabs>
          <w:tab w:pos="546" w:val="left" w:leader="none"/>
        </w:tabs>
        <w:spacing w:line="360" w:lineRule="auto" w:before="0" w:after="0"/>
        <w:ind w:left="478" w:right="114" w:hanging="360"/>
        <w:jc w:val="both"/>
        <w:rPr>
          <w:sz w:val="24"/>
        </w:rPr>
      </w:pPr>
      <w:r>
        <w:rPr>
          <w:sz w:val="24"/>
        </w:rPr>
        <w:t>Craig RG. Materiales de Odontología Restauradora. 10</w:t>
      </w:r>
      <w:r>
        <w:rPr>
          <w:position w:val="8"/>
          <w:sz w:val="16"/>
        </w:rPr>
        <w:t>th </w:t>
      </w:r>
      <w:r>
        <w:rPr>
          <w:sz w:val="24"/>
        </w:rPr>
        <w:t>ed. Madrid España: Harcourt Brace;</w:t>
      </w:r>
      <w:r>
        <w:rPr>
          <w:spacing w:val="-7"/>
          <w:sz w:val="24"/>
        </w:rPr>
        <w:t> </w:t>
      </w:r>
      <w:r>
        <w:rPr>
          <w:sz w:val="24"/>
        </w:rPr>
        <w:t>1998.</w:t>
      </w:r>
    </w:p>
    <w:p>
      <w:pPr>
        <w:pStyle w:val="BodyText"/>
        <w:spacing w:before="2"/>
      </w:pPr>
    </w:p>
    <w:p>
      <w:pPr>
        <w:pStyle w:val="ListParagraph"/>
        <w:numPr>
          <w:ilvl w:val="0"/>
          <w:numId w:val="11"/>
        </w:numPr>
        <w:tabs>
          <w:tab w:pos="479" w:val="left" w:leader="none"/>
        </w:tabs>
        <w:spacing w:line="357" w:lineRule="auto" w:before="0" w:after="0"/>
        <w:ind w:left="478" w:right="113" w:hanging="360"/>
        <w:jc w:val="both"/>
        <w:rPr>
          <w:sz w:val="24"/>
        </w:rPr>
      </w:pPr>
      <w:r>
        <w:rPr>
          <w:sz w:val="24"/>
        </w:rPr>
        <w:t>Jeffrey A. Dean, David R. Avery, Ralph E. Mc Donald. Odontología para el Niño y el Adolescente. 9</w:t>
      </w:r>
      <w:r>
        <w:rPr>
          <w:position w:val="8"/>
          <w:sz w:val="16"/>
        </w:rPr>
        <w:t>th </w:t>
      </w:r>
      <w:r>
        <w:rPr>
          <w:sz w:val="24"/>
        </w:rPr>
        <w:t>ed. New York: Amolca;</w:t>
      </w:r>
      <w:r>
        <w:rPr>
          <w:spacing w:val="-16"/>
          <w:sz w:val="24"/>
        </w:rPr>
        <w:t> </w:t>
      </w:r>
      <w:r>
        <w:rPr>
          <w:sz w:val="24"/>
        </w:rPr>
        <w:t>2014.</w:t>
      </w:r>
    </w:p>
    <w:p>
      <w:pPr>
        <w:pStyle w:val="BodyText"/>
        <w:spacing w:before="8"/>
        <w:rPr>
          <w:sz w:val="23"/>
        </w:rPr>
      </w:pPr>
    </w:p>
    <w:p>
      <w:pPr>
        <w:pStyle w:val="ListParagraph"/>
        <w:numPr>
          <w:ilvl w:val="0"/>
          <w:numId w:val="11"/>
        </w:numPr>
        <w:tabs>
          <w:tab w:pos="479" w:val="left" w:leader="none"/>
        </w:tabs>
        <w:spacing w:line="360" w:lineRule="auto" w:before="0" w:after="0"/>
        <w:ind w:left="478" w:right="112" w:hanging="360"/>
        <w:jc w:val="both"/>
        <w:rPr>
          <w:sz w:val="24"/>
        </w:rPr>
      </w:pPr>
      <w:r>
        <w:rPr>
          <w:sz w:val="24"/>
        </w:rPr>
        <w:t>Kenneth J. Anusavice. Ciencia de los Materiales Dentales. Phillips. 11</w:t>
      </w:r>
      <w:r>
        <w:rPr>
          <w:position w:val="8"/>
          <w:sz w:val="16"/>
        </w:rPr>
        <w:t>th </w:t>
      </w:r>
      <w:r>
        <w:rPr>
          <w:sz w:val="24"/>
        </w:rPr>
        <w:t>ed. España: El Sevier Saunders;</w:t>
      </w:r>
      <w:r>
        <w:rPr>
          <w:spacing w:val="-15"/>
          <w:sz w:val="24"/>
        </w:rPr>
        <w:t> </w:t>
      </w:r>
      <w:r>
        <w:rPr>
          <w:sz w:val="24"/>
        </w:rPr>
        <w:t>2004.</w:t>
      </w:r>
    </w:p>
    <w:p>
      <w:pPr>
        <w:pStyle w:val="BodyText"/>
      </w:pPr>
    </w:p>
    <w:p>
      <w:pPr>
        <w:pStyle w:val="ListParagraph"/>
        <w:numPr>
          <w:ilvl w:val="0"/>
          <w:numId w:val="11"/>
        </w:numPr>
        <w:tabs>
          <w:tab w:pos="546" w:val="left" w:leader="none"/>
        </w:tabs>
        <w:spacing w:line="240" w:lineRule="auto" w:before="140" w:after="0"/>
        <w:ind w:left="546" w:right="0" w:hanging="428"/>
        <w:jc w:val="left"/>
        <w:rPr>
          <w:sz w:val="24"/>
        </w:rPr>
      </w:pPr>
      <w:r>
        <w:rPr>
          <w:sz w:val="24"/>
        </w:rPr>
        <w:t>P. Correa MSN. Odontopediatria en la Primera Infancia. Brasil: Santos;</w:t>
      </w:r>
      <w:r>
        <w:rPr>
          <w:spacing w:val="-22"/>
          <w:sz w:val="24"/>
        </w:rPr>
        <w:t> </w:t>
      </w:r>
      <w:r>
        <w:rPr>
          <w:sz w:val="24"/>
        </w:rPr>
        <w:t>2009.</w:t>
      </w:r>
    </w:p>
    <w:p>
      <w:pPr>
        <w:pStyle w:val="BodyText"/>
        <w:spacing w:before="1"/>
        <w:rPr>
          <w:sz w:val="32"/>
        </w:rPr>
      </w:pPr>
    </w:p>
    <w:p>
      <w:pPr>
        <w:pStyle w:val="ListParagraph"/>
        <w:numPr>
          <w:ilvl w:val="0"/>
          <w:numId w:val="11"/>
        </w:numPr>
        <w:tabs>
          <w:tab w:pos="479" w:val="left" w:leader="none"/>
        </w:tabs>
        <w:spacing w:line="360" w:lineRule="auto" w:before="0" w:after="0"/>
        <w:ind w:left="478" w:right="116" w:hanging="360"/>
        <w:jc w:val="both"/>
        <w:rPr>
          <w:sz w:val="24"/>
        </w:rPr>
      </w:pPr>
      <w:hyperlink r:id="rId30">
        <w:r>
          <w:rPr>
            <w:sz w:val="24"/>
          </w:rPr>
          <w:t>Nazar H</w:t>
        </w:r>
      </w:hyperlink>
      <w:r>
        <w:rPr>
          <w:sz w:val="24"/>
        </w:rPr>
        <w:t>, </w:t>
      </w:r>
      <w:hyperlink r:id="rId31">
        <w:r>
          <w:rPr>
            <w:sz w:val="24"/>
          </w:rPr>
          <w:t>Mascarenhas AK</w:t>
        </w:r>
      </w:hyperlink>
      <w:r>
        <w:rPr>
          <w:sz w:val="24"/>
        </w:rPr>
        <w:t>, </w:t>
      </w:r>
      <w:hyperlink r:id="rId32">
        <w:r>
          <w:rPr>
            <w:sz w:val="24"/>
          </w:rPr>
          <w:t>Al-Mutwa S</w:t>
        </w:r>
      </w:hyperlink>
      <w:r>
        <w:rPr>
          <w:sz w:val="24"/>
        </w:rPr>
        <w:t>, </w:t>
      </w:r>
      <w:hyperlink r:id="rId33">
        <w:r>
          <w:rPr>
            <w:sz w:val="24"/>
          </w:rPr>
          <w:t>Ariga J</w:t>
        </w:r>
      </w:hyperlink>
      <w:r>
        <w:rPr>
          <w:sz w:val="24"/>
        </w:rPr>
        <w:t>, </w:t>
      </w:r>
      <w:hyperlink r:id="rId34">
        <w:r>
          <w:rPr>
            <w:sz w:val="24"/>
          </w:rPr>
          <w:t>Soparker P</w:t>
        </w:r>
      </w:hyperlink>
      <w:r>
        <w:rPr>
          <w:sz w:val="24"/>
        </w:rPr>
        <w:t>. Effectiveness of Fissure Sealant Retention and Caries Prevention with and without Primer and Bond. Med Princ Pract. 2009; 22:</w:t>
      </w:r>
      <w:r>
        <w:rPr>
          <w:spacing w:val="-13"/>
          <w:sz w:val="24"/>
        </w:rPr>
        <w:t> </w:t>
      </w:r>
      <w:r>
        <w:rPr>
          <w:sz w:val="24"/>
        </w:rPr>
        <w:t>12-17.</w:t>
      </w:r>
    </w:p>
    <w:p>
      <w:pPr>
        <w:spacing w:after="0" w:line="360" w:lineRule="auto"/>
        <w:jc w:val="both"/>
        <w:rPr>
          <w:sz w:val="24"/>
        </w:rPr>
        <w:sectPr>
          <w:pgSz w:w="12240" w:h="15840"/>
          <w:pgMar w:header="0" w:footer="947" w:top="1360" w:bottom="1140" w:left="1660" w:right="1300"/>
        </w:sectPr>
      </w:pPr>
    </w:p>
    <w:p>
      <w:pPr>
        <w:pStyle w:val="ListParagraph"/>
        <w:numPr>
          <w:ilvl w:val="0"/>
          <w:numId w:val="11"/>
        </w:numPr>
        <w:tabs>
          <w:tab w:pos="479" w:val="left" w:leader="none"/>
        </w:tabs>
        <w:spacing w:line="360" w:lineRule="auto" w:before="57" w:after="0"/>
        <w:ind w:left="478" w:right="108" w:hanging="360"/>
        <w:jc w:val="both"/>
        <w:rPr>
          <w:sz w:val="24"/>
        </w:rPr>
      </w:pPr>
      <w:r>
        <w:rPr>
          <w:sz w:val="24"/>
        </w:rPr>
        <w:t>Mascarenhas AK, Nazar H, Al-Mutawaa S, Soparkar P. Effectiveness of primer and bond in sealant retention and caries prevention. Pediatr Dent. 2008; 30: </w:t>
      </w:r>
      <w:r>
        <w:rPr>
          <w:spacing w:val="4"/>
          <w:sz w:val="24"/>
        </w:rPr>
        <w:t>25- </w:t>
      </w:r>
      <w:r>
        <w:rPr>
          <w:sz w:val="24"/>
        </w:rPr>
        <w:t>28.</w:t>
      </w:r>
    </w:p>
    <w:p>
      <w:pPr>
        <w:pStyle w:val="BodyText"/>
      </w:pPr>
    </w:p>
    <w:p>
      <w:pPr>
        <w:pStyle w:val="ListParagraph"/>
        <w:numPr>
          <w:ilvl w:val="0"/>
          <w:numId w:val="11"/>
        </w:numPr>
        <w:tabs>
          <w:tab w:pos="546" w:val="left" w:leader="none"/>
        </w:tabs>
        <w:spacing w:line="360" w:lineRule="auto" w:before="142" w:after="0"/>
        <w:ind w:left="478" w:right="113" w:hanging="360"/>
        <w:jc w:val="both"/>
        <w:rPr>
          <w:sz w:val="24"/>
        </w:rPr>
      </w:pPr>
      <w:r>
        <w:rPr>
          <w:sz w:val="24"/>
        </w:rPr>
        <w:t>Ahovuo-Saloranta A, Hiiri A, Nordblad A, Mäkelä M, Worthington HV. Pit and fissure</w:t>
      </w:r>
      <w:r>
        <w:rPr>
          <w:spacing w:val="-7"/>
          <w:sz w:val="24"/>
        </w:rPr>
        <w:t> </w:t>
      </w:r>
      <w:r>
        <w:rPr>
          <w:sz w:val="24"/>
        </w:rPr>
        <w:t>sealants</w:t>
      </w:r>
      <w:r>
        <w:rPr>
          <w:spacing w:val="-8"/>
          <w:sz w:val="24"/>
        </w:rPr>
        <w:t> </w:t>
      </w:r>
      <w:r>
        <w:rPr>
          <w:sz w:val="24"/>
        </w:rPr>
        <w:t>for</w:t>
      </w:r>
      <w:r>
        <w:rPr>
          <w:spacing w:val="-6"/>
          <w:sz w:val="24"/>
        </w:rPr>
        <w:t> </w:t>
      </w:r>
      <w:r>
        <w:rPr>
          <w:sz w:val="24"/>
        </w:rPr>
        <w:t>preventing</w:t>
      </w:r>
      <w:r>
        <w:rPr>
          <w:spacing w:val="-7"/>
          <w:sz w:val="24"/>
        </w:rPr>
        <w:t> </w:t>
      </w:r>
      <w:r>
        <w:rPr>
          <w:sz w:val="24"/>
        </w:rPr>
        <w:t>dental</w:t>
      </w:r>
      <w:r>
        <w:rPr>
          <w:spacing w:val="-9"/>
          <w:sz w:val="24"/>
        </w:rPr>
        <w:t> </w:t>
      </w:r>
      <w:r>
        <w:rPr>
          <w:sz w:val="24"/>
        </w:rPr>
        <w:t>decay</w:t>
      </w:r>
      <w:r>
        <w:rPr>
          <w:spacing w:val="-8"/>
          <w:sz w:val="24"/>
        </w:rPr>
        <w:t> </w:t>
      </w:r>
      <w:r>
        <w:rPr>
          <w:sz w:val="24"/>
        </w:rPr>
        <w:t>in</w:t>
      </w:r>
      <w:r>
        <w:rPr>
          <w:spacing w:val="-8"/>
          <w:sz w:val="24"/>
        </w:rPr>
        <w:t> </w:t>
      </w:r>
      <w:r>
        <w:rPr>
          <w:sz w:val="24"/>
        </w:rPr>
        <w:t>the</w:t>
      </w:r>
      <w:r>
        <w:rPr>
          <w:spacing w:val="-7"/>
          <w:sz w:val="24"/>
        </w:rPr>
        <w:t> </w:t>
      </w:r>
      <w:r>
        <w:rPr>
          <w:sz w:val="24"/>
        </w:rPr>
        <w:t>permanent</w:t>
      </w:r>
      <w:r>
        <w:rPr>
          <w:spacing w:val="-5"/>
          <w:sz w:val="24"/>
        </w:rPr>
        <w:t> </w:t>
      </w:r>
      <w:r>
        <w:rPr>
          <w:sz w:val="24"/>
        </w:rPr>
        <w:t>teeth</w:t>
      </w:r>
      <w:r>
        <w:rPr>
          <w:spacing w:val="-5"/>
          <w:sz w:val="24"/>
        </w:rPr>
        <w:t> </w:t>
      </w:r>
      <w:r>
        <w:rPr>
          <w:sz w:val="24"/>
        </w:rPr>
        <w:t>of</w:t>
      </w:r>
      <w:r>
        <w:rPr>
          <w:spacing w:val="-4"/>
          <w:sz w:val="24"/>
        </w:rPr>
        <w:t> </w:t>
      </w:r>
      <w:r>
        <w:rPr>
          <w:sz w:val="24"/>
        </w:rPr>
        <w:t>children</w:t>
      </w:r>
      <w:r>
        <w:rPr>
          <w:spacing w:val="-7"/>
          <w:sz w:val="24"/>
        </w:rPr>
        <w:t> </w:t>
      </w:r>
      <w:r>
        <w:rPr>
          <w:sz w:val="24"/>
        </w:rPr>
        <w:t>and adolescents. Cochrane Database Syst Rev</w:t>
      </w:r>
      <w:r>
        <w:rPr>
          <w:sz w:val="17"/>
        </w:rPr>
        <w:t>. </w:t>
      </w:r>
      <w:r>
        <w:rPr>
          <w:sz w:val="24"/>
        </w:rPr>
        <w:t>2008; 4:</w:t>
      </w:r>
      <w:r>
        <w:rPr>
          <w:spacing w:val="6"/>
          <w:sz w:val="24"/>
        </w:rPr>
        <w:t> </w:t>
      </w:r>
      <w:r>
        <w:rPr>
          <w:sz w:val="24"/>
        </w:rPr>
        <w:t>1-9.</w:t>
      </w:r>
    </w:p>
    <w:p>
      <w:pPr>
        <w:pStyle w:val="BodyText"/>
        <w:spacing w:before="2"/>
      </w:pPr>
    </w:p>
    <w:p>
      <w:pPr>
        <w:pStyle w:val="ListParagraph"/>
        <w:numPr>
          <w:ilvl w:val="0"/>
          <w:numId w:val="11"/>
        </w:numPr>
        <w:tabs>
          <w:tab w:pos="479" w:val="left" w:leader="none"/>
        </w:tabs>
        <w:spacing w:line="360" w:lineRule="auto" w:before="0" w:after="0"/>
        <w:ind w:left="478" w:right="117" w:hanging="360"/>
        <w:jc w:val="both"/>
        <w:rPr>
          <w:sz w:val="24"/>
        </w:rPr>
      </w:pPr>
      <w:r>
        <w:rPr>
          <w:sz w:val="24"/>
        </w:rPr>
        <w:t>Simancas Pereira J, Rosales Leal J, Vallejo Bolaños E, Camejo Aguilar D. Microfiltración y capacidad de penetración de los selladores de fosas y fisuras: influencia de la técnica de aplicación. RAAO. 2007; 2 (XLVI):</w:t>
      </w:r>
      <w:r>
        <w:rPr>
          <w:spacing w:val="-16"/>
          <w:sz w:val="24"/>
        </w:rPr>
        <w:t> </w:t>
      </w:r>
      <w:r>
        <w:rPr>
          <w:sz w:val="24"/>
        </w:rPr>
        <w:t>28-33.</w:t>
      </w:r>
    </w:p>
    <w:p>
      <w:pPr>
        <w:pStyle w:val="BodyText"/>
        <w:spacing w:before="5"/>
      </w:pPr>
    </w:p>
    <w:p>
      <w:pPr>
        <w:pStyle w:val="ListParagraph"/>
        <w:numPr>
          <w:ilvl w:val="0"/>
          <w:numId w:val="11"/>
        </w:numPr>
        <w:tabs>
          <w:tab w:pos="546" w:val="left" w:leader="none"/>
        </w:tabs>
        <w:spacing w:line="240" w:lineRule="auto" w:before="0" w:after="0"/>
        <w:ind w:left="546" w:right="0" w:hanging="428"/>
        <w:jc w:val="left"/>
        <w:rPr>
          <w:sz w:val="24"/>
        </w:rPr>
      </w:pPr>
      <w:r>
        <w:rPr>
          <w:sz w:val="24"/>
        </w:rPr>
        <w:t>Instructivo Ivoclar Vivadent Helioseal</w:t>
      </w:r>
      <w:r>
        <w:rPr>
          <w:spacing w:val="-4"/>
          <w:sz w:val="24"/>
        </w:rPr>
        <w:t> </w:t>
      </w:r>
      <w:r>
        <w:rPr>
          <w:sz w:val="24"/>
        </w:rPr>
        <w:t>F.</w:t>
      </w:r>
    </w:p>
    <w:p>
      <w:pPr>
        <w:pStyle w:val="BodyText"/>
      </w:pPr>
    </w:p>
    <w:p>
      <w:pPr>
        <w:pStyle w:val="BodyText"/>
      </w:pPr>
    </w:p>
    <w:p>
      <w:pPr>
        <w:pStyle w:val="ListParagraph"/>
        <w:numPr>
          <w:ilvl w:val="0"/>
          <w:numId w:val="11"/>
        </w:numPr>
        <w:tabs>
          <w:tab w:pos="546" w:val="left" w:leader="none"/>
        </w:tabs>
        <w:spacing w:line="360" w:lineRule="auto" w:before="0" w:after="0"/>
        <w:ind w:left="478" w:right="125" w:hanging="360"/>
        <w:jc w:val="both"/>
        <w:rPr>
          <w:sz w:val="24"/>
        </w:rPr>
      </w:pPr>
      <w:r>
        <w:rPr>
          <w:sz w:val="24"/>
        </w:rPr>
        <w:t>Eliades A, Birpou E, Eliades T, Eliades G. Self adhesive restoratives as pit and fissure sealants: a comparative laboratory study. Dent Mater. 2011; 11:</w:t>
      </w:r>
      <w:r>
        <w:rPr>
          <w:spacing w:val="-25"/>
          <w:sz w:val="24"/>
        </w:rPr>
        <w:t> </w:t>
      </w:r>
      <w:r>
        <w:rPr>
          <w:sz w:val="24"/>
        </w:rPr>
        <w:t>752-760</w:t>
      </w:r>
    </w:p>
    <w:p>
      <w:pPr>
        <w:pStyle w:val="BodyText"/>
      </w:pPr>
    </w:p>
    <w:p>
      <w:pPr>
        <w:pStyle w:val="ListParagraph"/>
        <w:numPr>
          <w:ilvl w:val="0"/>
          <w:numId w:val="11"/>
        </w:numPr>
        <w:tabs>
          <w:tab w:pos="546" w:val="left" w:leader="none"/>
        </w:tabs>
        <w:spacing w:line="360" w:lineRule="auto" w:before="142" w:after="0"/>
        <w:ind w:left="478" w:right="117" w:hanging="360"/>
        <w:jc w:val="both"/>
        <w:rPr>
          <w:sz w:val="24"/>
        </w:rPr>
      </w:pPr>
      <w:r>
        <w:rPr>
          <w:sz w:val="24"/>
        </w:rPr>
        <w:t>Pushpalatha HM, Ravichandra KS, Srikanth K, et al. Comparative evaluation of Shear</w:t>
      </w:r>
      <w:r>
        <w:rPr>
          <w:spacing w:val="-15"/>
          <w:sz w:val="24"/>
        </w:rPr>
        <w:t> </w:t>
      </w:r>
      <w:r>
        <w:rPr>
          <w:sz w:val="24"/>
        </w:rPr>
        <w:t>bond</w:t>
      </w:r>
      <w:r>
        <w:rPr>
          <w:spacing w:val="-13"/>
          <w:sz w:val="24"/>
        </w:rPr>
        <w:t> </w:t>
      </w:r>
      <w:r>
        <w:rPr>
          <w:sz w:val="24"/>
        </w:rPr>
        <w:t>strength</w:t>
      </w:r>
      <w:r>
        <w:rPr>
          <w:spacing w:val="-13"/>
          <w:sz w:val="24"/>
        </w:rPr>
        <w:t> </w:t>
      </w:r>
      <w:r>
        <w:rPr>
          <w:sz w:val="24"/>
        </w:rPr>
        <w:t>of</w:t>
      </w:r>
      <w:r>
        <w:rPr>
          <w:spacing w:val="-16"/>
          <w:sz w:val="24"/>
        </w:rPr>
        <w:t> </w:t>
      </w:r>
      <w:r>
        <w:rPr>
          <w:sz w:val="24"/>
        </w:rPr>
        <w:t>different</w:t>
      </w:r>
      <w:r>
        <w:rPr>
          <w:spacing w:val="-13"/>
          <w:sz w:val="24"/>
        </w:rPr>
        <w:t> </w:t>
      </w:r>
      <w:r>
        <w:rPr>
          <w:sz w:val="24"/>
        </w:rPr>
        <w:t>Pit</w:t>
      </w:r>
      <w:r>
        <w:rPr>
          <w:spacing w:val="-14"/>
          <w:sz w:val="24"/>
        </w:rPr>
        <w:t> </w:t>
      </w:r>
      <w:r>
        <w:rPr>
          <w:sz w:val="24"/>
        </w:rPr>
        <w:t>and</w:t>
      </w:r>
      <w:r>
        <w:rPr>
          <w:spacing w:val="-16"/>
          <w:sz w:val="24"/>
        </w:rPr>
        <w:t> </w:t>
      </w:r>
      <w:r>
        <w:rPr>
          <w:sz w:val="24"/>
        </w:rPr>
        <w:t>fissure</w:t>
      </w:r>
      <w:r>
        <w:rPr>
          <w:spacing w:val="-13"/>
          <w:sz w:val="24"/>
        </w:rPr>
        <w:t> </w:t>
      </w:r>
      <w:r>
        <w:rPr>
          <w:sz w:val="24"/>
        </w:rPr>
        <w:t>Sealants</w:t>
      </w:r>
      <w:r>
        <w:rPr>
          <w:spacing w:val="-13"/>
          <w:sz w:val="24"/>
        </w:rPr>
        <w:t> </w:t>
      </w:r>
      <w:r>
        <w:rPr>
          <w:sz w:val="24"/>
        </w:rPr>
        <w:t>in</w:t>
      </w:r>
      <w:r>
        <w:rPr>
          <w:spacing w:val="-13"/>
          <w:sz w:val="24"/>
        </w:rPr>
        <w:t> </w:t>
      </w:r>
      <w:r>
        <w:rPr>
          <w:sz w:val="24"/>
        </w:rPr>
        <w:t>Primary</w:t>
      </w:r>
      <w:r>
        <w:rPr>
          <w:spacing w:val="-17"/>
          <w:sz w:val="24"/>
        </w:rPr>
        <w:t> </w:t>
      </w:r>
      <w:r>
        <w:rPr>
          <w:sz w:val="24"/>
        </w:rPr>
        <w:t>and</w:t>
      </w:r>
      <w:r>
        <w:rPr>
          <w:spacing w:val="-13"/>
          <w:sz w:val="24"/>
        </w:rPr>
        <w:t> </w:t>
      </w:r>
      <w:r>
        <w:rPr>
          <w:sz w:val="24"/>
        </w:rPr>
        <w:t>Permanent teeth-An In-Vitro Study. J Int Oral Health. 2014; 6:</w:t>
      </w:r>
      <w:r>
        <w:rPr>
          <w:spacing w:val="-13"/>
          <w:sz w:val="24"/>
        </w:rPr>
        <w:t> </w:t>
      </w:r>
      <w:r>
        <w:rPr>
          <w:sz w:val="24"/>
        </w:rPr>
        <w:t>84-89.</w:t>
      </w:r>
    </w:p>
    <w:p>
      <w:pPr>
        <w:pStyle w:val="BodyText"/>
        <w:spacing w:before="5"/>
      </w:pPr>
    </w:p>
    <w:p>
      <w:pPr>
        <w:pStyle w:val="ListParagraph"/>
        <w:numPr>
          <w:ilvl w:val="0"/>
          <w:numId w:val="11"/>
        </w:numPr>
        <w:tabs>
          <w:tab w:pos="479" w:val="left" w:leader="none"/>
        </w:tabs>
        <w:spacing w:line="360" w:lineRule="auto" w:before="0" w:after="0"/>
        <w:ind w:left="478" w:right="116" w:hanging="360"/>
        <w:jc w:val="both"/>
        <w:rPr>
          <w:sz w:val="24"/>
        </w:rPr>
      </w:pPr>
      <w:r>
        <w:rPr>
          <w:sz w:val="24"/>
        </w:rPr>
        <w:t>Koch MJ, Garcia-Godoy F, Mayer T, Staehle HJ. Cinical Evaluation of Helioseal F fissure sealant. Clin Oral Investig. 1997;</w:t>
      </w:r>
      <w:r>
        <w:rPr>
          <w:spacing w:val="-12"/>
          <w:sz w:val="24"/>
        </w:rPr>
        <w:t> </w:t>
      </w:r>
      <w:r>
        <w:rPr>
          <w:sz w:val="24"/>
        </w:rPr>
        <w:t>1(4):199-202.</w:t>
      </w:r>
    </w:p>
    <w:p>
      <w:pPr>
        <w:pStyle w:val="BodyText"/>
        <w:spacing w:before="5"/>
      </w:pPr>
    </w:p>
    <w:p>
      <w:pPr>
        <w:pStyle w:val="ListParagraph"/>
        <w:numPr>
          <w:ilvl w:val="0"/>
          <w:numId w:val="11"/>
        </w:numPr>
        <w:tabs>
          <w:tab w:pos="546" w:val="left" w:leader="none"/>
        </w:tabs>
        <w:spacing w:line="360" w:lineRule="auto" w:before="0" w:after="0"/>
        <w:ind w:left="478" w:right="114" w:hanging="360"/>
        <w:jc w:val="both"/>
        <w:rPr>
          <w:sz w:val="24"/>
        </w:rPr>
      </w:pPr>
      <w:r>
        <w:rPr>
          <w:sz w:val="24"/>
        </w:rPr>
        <w:t>Montes de Oca S, Morales C, Yamamoto A. Valoración de la microfiltración en selladores de fosetas y fisuras empleando la técnica convencional con ácido fosfórico y un sellador con adhesivo autograbable en dientes contaminados con saliva artificial. Revista Odontológica Mexicana. 2010; 4 (14):</w:t>
      </w:r>
      <w:r>
        <w:rPr>
          <w:spacing w:val="-21"/>
          <w:sz w:val="24"/>
        </w:rPr>
        <w:t> </w:t>
      </w:r>
      <w:r>
        <w:rPr>
          <w:sz w:val="24"/>
        </w:rPr>
        <w:t>208-212.</w:t>
      </w:r>
    </w:p>
    <w:p>
      <w:pPr>
        <w:pStyle w:val="BodyText"/>
        <w:spacing w:before="2"/>
      </w:pPr>
    </w:p>
    <w:p>
      <w:pPr>
        <w:pStyle w:val="ListParagraph"/>
        <w:numPr>
          <w:ilvl w:val="0"/>
          <w:numId w:val="11"/>
        </w:numPr>
        <w:tabs>
          <w:tab w:pos="479" w:val="left" w:leader="none"/>
        </w:tabs>
        <w:spacing w:line="360" w:lineRule="auto" w:before="0" w:after="0"/>
        <w:ind w:left="478" w:right="108" w:hanging="360"/>
        <w:jc w:val="both"/>
        <w:rPr>
          <w:sz w:val="24"/>
        </w:rPr>
      </w:pPr>
      <w:hyperlink r:id="rId35">
        <w:r>
          <w:rPr>
            <w:sz w:val="24"/>
          </w:rPr>
          <w:t>Carlsson A</w:t>
        </w:r>
      </w:hyperlink>
      <w:r>
        <w:rPr>
          <w:sz w:val="24"/>
        </w:rPr>
        <w:t>, </w:t>
      </w:r>
      <w:hyperlink r:id="rId10">
        <w:r>
          <w:rPr>
            <w:sz w:val="24"/>
          </w:rPr>
          <w:t>Petersson M</w:t>
        </w:r>
      </w:hyperlink>
      <w:r>
        <w:rPr>
          <w:sz w:val="24"/>
        </w:rPr>
        <w:t>, </w:t>
      </w:r>
      <w:hyperlink r:id="rId11">
        <w:r>
          <w:rPr>
            <w:sz w:val="24"/>
          </w:rPr>
          <w:t>Twetman S</w:t>
        </w:r>
      </w:hyperlink>
      <w:r>
        <w:rPr>
          <w:sz w:val="24"/>
        </w:rPr>
        <w:t>. 2 clinical performance of a fluoride- containing fissure sealant in young schoolchildren at caries risk.-year. Am J Dent 1997 jun; 10(3):</w:t>
      </w:r>
      <w:r>
        <w:rPr>
          <w:spacing w:val="-7"/>
          <w:sz w:val="24"/>
        </w:rPr>
        <w:t> </w:t>
      </w:r>
      <w:r>
        <w:rPr>
          <w:sz w:val="24"/>
        </w:rPr>
        <w:t>115-9.</w:t>
      </w:r>
    </w:p>
    <w:p>
      <w:pPr>
        <w:spacing w:after="0" w:line="360" w:lineRule="auto"/>
        <w:jc w:val="both"/>
        <w:rPr>
          <w:sz w:val="24"/>
        </w:rPr>
        <w:sectPr>
          <w:pgSz w:w="12240" w:h="15840"/>
          <w:pgMar w:header="0" w:footer="947" w:top="1360" w:bottom="1140" w:left="1660" w:right="1300"/>
        </w:sectPr>
      </w:pPr>
    </w:p>
    <w:p>
      <w:pPr>
        <w:pStyle w:val="ListParagraph"/>
        <w:numPr>
          <w:ilvl w:val="0"/>
          <w:numId w:val="11"/>
        </w:numPr>
        <w:tabs>
          <w:tab w:pos="479" w:val="left" w:leader="none"/>
        </w:tabs>
        <w:spacing w:line="360" w:lineRule="auto" w:before="57" w:after="0"/>
        <w:ind w:left="478" w:right="112" w:hanging="360"/>
        <w:jc w:val="both"/>
        <w:rPr>
          <w:sz w:val="24"/>
        </w:rPr>
      </w:pPr>
      <w:hyperlink r:id="rId36">
        <w:r>
          <w:rPr>
            <w:sz w:val="24"/>
          </w:rPr>
          <w:t>Wagner</w:t>
        </w:r>
        <w:r>
          <w:rPr>
            <w:spacing w:val="-12"/>
            <w:sz w:val="24"/>
          </w:rPr>
          <w:t> </w:t>
        </w:r>
        <w:r>
          <w:rPr>
            <w:sz w:val="24"/>
          </w:rPr>
          <w:t>M,</w:t>
        </w:r>
      </w:hyperlink>
      <w:r>
        <w:rPr>
          <w:spacing w:val="-3"/>
          <w:sz w:val="24"/>
        </w:rPr>
        <w:t> </w:t>
      </w:r>
      <w:hyperlink r:id="rId36">
        <w:r>
          <w:rPr>
            <w:sz w:val="24"/>
          </w:rPr>
          <w:t>Lutz</w:t>
        </w:r>
        <w:r>
          <w:rPr>
            <w:spacing w:val="-13"/>
            <w:sz w:val="24"/>
          </w:rPr>
          <w:t> </w:t>
        </w:r>
        <w:r>
          <w:rPr>
            <w:sz w:val="24"/>
          </w:rPr>
          <w:t>F</w:t>
        </w:r>
      </w:hyperlink>
      <w:r>
        <w:rPr>
          <w:sz w:val="24"/>
        </w:rPr>
        <w:t>,</w:t>
      </w:r>
      <w:r>
        <w:rPr>
          <w:spacing w:val="-2"/>
          <w:sz w:val="24"/>
        </w:rPr>
        <w:t> </w:t>
      </w:r>
      <w:hyperlink r:id="rId37">
        <w:r>
          <w:rPr>
            <w:sz w:val="24"/>
          </w:rPr>
          <w:t>Menghini</w:t>
        </w:r>
        <w:r>
          <w:rPr>
            <w:spacing w:val="-12"/>
            <w:sz w:val="24"/>
          </w:rPr>
          <w:t> </w:t>
        </w:r>
        <w:r>
          <w:rPr>
            <w:sz w:val="24"/>
          </w:rPr>
          <w:t>GD</w:t>
        </w:r>
      </w:hyperlink>
      <w:r>
        <w:rPr>
          <w:sz w:val="24"/>
        </w:rPr>
        <w:t>,</w:t>
      </w:r>
      <w:r>
        <w:rPr>
          <w:spacing w:val="-2"/>
          <w:sz w:val="24"/>
        </w:rPr>
        <w:t> </w:t>
      </w:r>
      <w:hyperlink r:id="rId38">
        <w:r>
          <w:rPr>
            <w:sz w:val="24"/>
          </w:rPr>
          <w:t>Helfenstein</w:t>
        </w:r>
        <w:r>
          <w:rPr>
            <w:spacing w:val="-12"/>
            <w:sz w:val="24"/>
          </w:rPr>
          <w:t> </w:t>
        </w:r>
        <w:r>
          <w:rPr>
            <w:sz w:val="24"/>
          </w:rPr>
          <w:t>T</w:t>
        </w:r>
      </w:hyperlink>
      <w:r>
        <w:rPr>
          <w:sz w:val="24"/>
        </w:rPr>
        <w:t>.</w:t>
      </w:r>
      <w:r>
        <w:rPr>
          <w:spacing w:val="-13"/>
          <w:sz w:val="24"/>
        </w:rPr>
        <w:t> </w:t>
      </w:r>
      <w:r>
        <w:rPr>
          <w:sz w:val="24"/>
        </w:rPr>
        <w:t>Un</w:t>
      </w:r>
      <w:r>
        <w:rPr>
          <w:spacing w:val="-11"/>
          <w:sz w:val="24"/>
        </w:rPr>
        <w:t> </w:t>
      </w:r>
      <w:r>
        <w:rPr>
          <w:sz w:val="24"/>
        </w:rPr>
        <w:t>informe</w:t>
      </w:r>
      <w:r>
        <w:rPr>
          <w:spacing w:val="-13"/>
          <w:sz w:val="24"/>
        </w:rPr>
        <w:t> </w:t>
      </w:r>
      <w:r>
        <w:rPr>
          <w:sz w:val="24"/>
        </w:rPr>
        <w:t>empírica</w:t>
      </w:r>
      <w:r>
        <w:rPr>
          <w:spacing w:val="-11"/>
          <w:sz w:val="24"/>
        </w:rPr>
        <w:t> </w:t>
      </w:r>
      <w:r>
        <w:rPr>
          <w:sz w:val="24"/>
        </w:rPr>
        <w:t>sobre</w:t>
      </w:r>
      <w:r>
        <w:rPr>
          <w:spacing w:val="-14"/>
          <w:sz w:val="24"/>
        </w:rPr>
        <w:t> </w:t>
      </w:r>
      <w:r>
        <w:rPr>
          <w:sz w:val="24"/>
        </w:rPr>
        <w:t>sellado de fisuras en la práctica privada con una duración de hasta 10 años. Schweiz Monatsschr Zahnmed. 1994; 104(2): 156-9. Documentación Científica de Helioseal, Ivoclar</w:t>
      </w:r>
      <w:r>
        <w:rPr>
          <w:spacing w:val="-8"/>
          <w:sz w:val="24"/>
        </w:rPr>
        <w:t> </w:t>
      </w:r>
      <w:r>
        <w:rPr>
          <w:sz w:val="24"/>
        </w:rPr>
        <w:t>Vivadent.</w:t>
      </w:r>
    </w:p>
    <w:p>
      <w:pPr>
        <w:pStyle w:val="BodyText"/>
        <w:spacing w:before="5"/>
      </w:pPr>
    </w:p>
    <w:p>
      <w:pPr>
        <w:pStyle w:val="ListParagraph"/>
        <w:numPr>
          <w:ilvl w:val="0"/>
          <w:numId w:val="11"/>
        </w:numPr>
        <w:tabs>
          <w:tab w:pos="479" w:val="left" w:leader="none"/>
          <w:tab w:pos="1395" w:val="left" w:leader="none"/>
          <w:tab w:pos="2605" w:val="left" w:leader="none"/>
          <w:tab w:pos="4480" w:val="left" w:leader="none"/>
          <w:tab w:pos="5697" w:val="left" w:leader="none"/>
          <w:tab w:pos="6174" w:val="left" w:leader="none"/>
          <w:tab w:pos="7435" w:val="left" w:leader="none"/>
          <w:tab w:pos="8615" w:val="left" w:leader="none"/>
        </w:tabs>
        <w:spacing w:line="360" w:lineRule="auto" w:before="0" w:after="0"/>
        <w:ind w:left="478" w:right="116" w:hanging="360"/>
        <w:jc w:val="left"/>
        <w:rPr>
          <w:sz w:val="24"/>
        </w:rPr>
      </w:pPr>
      <w:r>
        <w:rPr>
          <w:sz w:val="24"/>
        </w:rPr>
        <w:t>Ivoclar</w:t>
        <w:tab/>
        <w:t>Vivadent.</w:t>
        <w:tab/>
        <w:t>Documentacion</w:t>
        <w:tab/>
        <w:t>Científica</w:t>
        <w:tab/>
        <w:t>de</w:t>
        <w:tab/>
        <w:t>Helioseal,</w:t>
        <w:tab/>
        <w:t>Available</w:t>
        <w:tab/>
        <w:t>from: </w:t>
      </w:r>
      <w:hyperlink r:id="rId39">
        <w:r>
          <w:rPr>
            <w:sz w:val="24"/>
          </w:rPr>
          <w:t>http://www.ivoclarvivadent.com/es-es/productos/prevencion-cuidado/sellador-de-</w:t>
        </w:r>
      </w:hyperlink>
      <w:r>
        <w:rPr>
          <w:sz w:val="24"/>
        </w:rPr>
        <w:t> fisuras/helioseal-f. Acceso el 30 de abril de</w:t>
      </w:r>
      <w:r>
        <w:rPr>
          <w:spacing w:val="-18"/>
          <w:sz w:val="24"/>
        </w:rPr>
        <w:t> </w:t>
      </w:r>
      <w:r>
        <w:rPr>
          <w:sz w:val="24"/>
        </w:rPr>
        <w:t>2016.</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4"/>
        <w:ind w:left="478" w:right="0" w:firstLine="0"/>
        <w:jc w:val="left"/>
        <w:rPr>
          <w:sz w:val="18"/>
        </w:rPr>
      </w:pPr>
      <w:r>
        <w:rPr>
          <w:w w:val="100"/>
          <w:sz w:val="18"/>
        </w:rPr>
        <w:t>.</w:t>
      </w:r>
    </w:p>
    <w:p>
      <w:pPr>
        <w:spacing w:after="0"/>
        <w:jc w:val="left"/>
        <w:rPr>
          <w:sz w:val="18"/>
        </w:rPr>
        <w:sectPr>
          <w:pgSz w:w="12240" w:h="15840"/>
          <w:pgMar w:header="0" w:footer="947" w:top="1360" w:bottom="1140" w:left="1660" w:right="1300"/>
        </w:sectPr>
      </w:pPr>
    </w:p>
    <w:p>
      <w:pPr>
        <w:pStyle w:val="Heading1"/>
        <w:ind w:left="1750" w:right="1732"/>
        <w:jc w:val="center"/>
      </w:pPr>
      <w:bookmarkStart w:name="_bookmark14" w:id="16"/>
      <w:bookmarkEnd w:id="16"/>
      <w:r>
        <w:rPr>
          <w:b w:val="0"/>
        </w:rPr>
      </w:r>
      <w:r>
        <w:rPr/>
        <w:t>Anexos</w:t>
      </w:r>
    </w:p>
    <w:p>
      <w:pPr>
        <w:pStyle w:val="BodyText"/>
        <w:rPr>
          <w:b/>
          <w:sz w:val="20"/>
        </w:rPr>
      </w:pPr>
    </w:p>
    <w:p>
      <w:pPr>
        <w:pStyle w:val="BodyText"/>
        <w:spacing w:before="11"/>
        <w:rPr>
          <w:b/>
          <w:sz w:val="21"/>
        </w:rPr>
      </w:pPr>
    </w:p>
    <w:p>
      <w:pPr>
        <w:pStyle w:val="BodyText"/>
        <w:spacing w:before="69"/>
        <w:ind w:left="118" w:right="36"/>
      </w:pPr>
      <w:r>
        <w:rPr/>
        <w:t>Anexo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pStyle w:val="BodyText"/>
        <w:spacing w:before="70"/>
        <w:ind w:left="1750" w:right="1735"/>
        <w:jc w:val="center"/>
      </w:pPr>
      <w:r>
        <w:rPr/>
        <w:t>UNIVERSIDAD AUTONOMA DEL ESTADO DE MEXICO</w:t>
      </w:r>
    </w:p>
    <w:p>
      <w:pPr>
        <w:pStyle w:val="BodyText"/>
      </w:pPr>
    </w:p>
    <w:p>
      <w:pPr>
        <w:pStyle w:val="BodyText"/>
      </w:pPr>
    </w:p>
    <w:p>
      <w:pPr>
        <w:pStyle w:val="BodyText"/>
        <w:tabs>
          <w:tab w:pos="9203" w:val="left" w:leader="none"/>
        </w:tabs>
        <w:spacing w:line="360" w:lineRule="auto"/>
        <w:ind w:left="118" w:right="100"/>
        <w:jc w:val="both"/>
      </w:pPr>
      <w:r>
        <w:rPr/>
        <w:t>Por medio del presente me permito solicitar su autorización para llevar a cabo una revisión dental a su</w:t>
      </w:r>
      <w:r>
        <w:rPr>
          <w:spacing w:val="-46"/>
        </w:rPr>
        <w:t> </w:t>
      </w:r>
      <w:r>
        <w:rPr/>
        <w:t>hijo</w:t>
      </w:r>
      <w:r>
        <w:rPr>
          <w:spacing w:val="-11"/>
        </w:rPr>
        <w:t> </w:t>
      </w:r>
      <w:r>
        <w:rPr/>
        <w:t>(a)</w:t>
      </w:r>
      <w:r>
        <w:rPr>
          <w:u w:val="single"/>
        </w:rPr>
        <w:t> </w:t>
        <w:tab/>
      </w:r>
      <w:r>
        <w:rPr/>
        <w:t>,</w:t>
      </w:r>
      <w:r>
        <w:rPr>
          <w:spacing w:val="-10"/>
        </w:rPr>
        <w:t> </w:t>
      </w:r>
      <w:r>
        <w:rPr/>
        <w:t>la</w:t>
      </w:r>
      <w:r>
        <w:rPr>
          <w:w w:val="99"/>
        </w:rPr>
        <w:t> </w:t>
      </w:r>
      <w:r>
        <w:rPr/>
        <w:t>cual es importante para observar  si tiene lesiones nuevas de caries en los</w:t>
      </w:r>
      <w:r>
        <w:rPr>
          <w:spacing w:val="-32"/>
        </w:rPr>
        <w:t> </w:t>
      </w:r>
      <w:r>
        <w:rPr/>
        <w:t>dientes.</w:t>
      </w:r>
    </w:p>
    <w:p>
      <w:pPr>
        <w:pStyle w:val="BodyText"/>
      </w:pPr>
    </w:p>
    <w:p>
      <w:pPr>
        <w:pStyle w:val="BodyText"/>
      </w:pPr>
    </w:p>
    <w:p>
      <w:pPr>
        <w:pStyle w:val="BodyText"/>
      </w:pPr>
    </w:p>
    <w:p>
      <w:pPr>
        <w:pStyle w:val="BodyText"/>
      </w:pPr>
    </w:p>
    <w:p>
      <w:pPr>
        <w:pStyle w:val="BodyText"/>
        <w:spacing w:before="142"/>
        <w:ind w:left="1750" w:right="1729"/>
        <w:jc w:val="center"/>
      </w:pPr>
      <w:r>
        <w:rPr/>
        <w:t>AUTORIZACIÓN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1072;mso-wrap-distance-left:0;mso-wrap-distance-right:0" from="70.944pt,15.65093pt" to="530.952022pt,15.65093pt" stroked="true" strokeweight=".756pt" strokecolor="#000000">
            <w10:wrap type="topAndBottom"/>
          </v:line>
        </w:pict>
      </w:r>
    </w:p>
    <w:p>
      <w:pPr>
        <w:pStyle w:val="BodyText"/>
        <w:spacing w:before="110"/>
        <w:ind w:left="663" w:right="36"/>
      </w:pPr>
      <w:r>
        <w:rPr/>
        <w:t>Autorizó a la Odontóloga Pasante Maribel Pérez Monroy a revisar a mi hijo (a)</w:t>
      </w:r>
    </w:p>
    <w:p>
      <w:pPr>
        <w:spacing w:after="0"/>
        <w:sectPr>
          <w:pgSz w:w="12240" w:h="15840"/>
          <w:pgMar w:header="0" w:footer="947" w:top="1360" w:bottom="1140" w:left="1300" w:right="1320"/>
        </w:sectPr>
      </w:pPr>
    </w:p>
    <w:p>
      <w:pPr>
        <w:pStyle w:val="BodyText"/>
        <w:spacing w:before="9"/>
        <w:rPr>
          <w:sz w:val="17"/>
        </w:rPr>
      </w:pPr>
    </w:p>
    <w:p>
      <w:pPr>
        <w:pStyle w:val="BodyText"/>
        <w:spacing w:before="70"/>
        <w:ind w:left="118"/>
      </w:pPr>
      <w:r>
        <w:rPr/>
        <w:t>Anexo 2</w:t>
      </w:r>
    </w:p>
    <w:p>
      <w:pPr>
        <w:pStyle w:val="BodyText"/>
        <w:spacing w:before="2"/>
        <w:rPr>
          <w:sz w:val="25"/>
        </w:rPr>
      </w:pPr>
    </w:p>
    <w:tbl>
      <w:tblPr>
        <w:tblW w:w="0" w:type="auto"/>
        <w:jc w:val="left"/>
        <w:tblInd w:w="118" w:type="dxa"/>
        <w:tblBorders>
          <w:top w:val="single" w:sz="4" w:space="0" w:color="4471C4"/>
          <w:left w:val="single" w:sz="4" w:space="0" w:color="4471C4"/>
          <w:bottom w:val="single" w:sz="4" w:space="0" w:color="4471C4"/>
          <w:right w:val="single" w:sz="4" w:space="0" w:color="4471C4"/>
          <w:insideH w:val="single" w:sz="4" w:space="0" w:color="4471C4"/>
          <w:insideV w:val="single" w:sz="4" w:space="0" w:color="4471C4"/>
        </w:tblBorders>
        <w:tblLayout w:type="fixed"/>
        <w:tblCellMar>
          <w:top w:w="0" w:type="dxa"/>
          <w:left w:w="0" w:type="dxa"/>
          <w:bottom w:w="0" w:type="dxa"/>
          <w:right w:w="0" w:type="dxa"/>
        </w:tblCellMar>
        <w:tblLook w:val="01E0"/>
      </w:tblPr>
      <w:tblGrid>
        <w:gridCol w:w="382"/>
        <w:gridCol w:w="4009"/>
        <w:gridCol w:w="1262"/>
        <w:gridCol w:w="1203"/>
        <w:gridCol w:w="1181"/>
        <w:gridCol w:w="1262"/>
        <w:gridCol w:w="1433"/>
        <w:gridCol w:w="1073"/>
        <w:gridCol w:w="1190"/>
      </w:tblGrid>
      <w:tr>
        <w:trPr>
          <w:trHeight w:val="986" w:hRule="exact"/>
        </w:trPr>
        <w:tc>
          <w:tcPr>
            <w:tcW w:w="382" w:type="dxa"/>
            <w:tcBorders>
              <w:top w:val="nil"/>
              <w:left w:val="nil"/>
              <w:bottom w:val="single" w:sz="8" w:space="0" w:color="5B9BD4"/>
              <w:right w:val="single" w:sz="4" w:space="0" w:color="5B9BD4"/>
            </w:tcBorders>
            <w:shd w:val="clear" w:color="auto" w:fill="4471C4"/>
          </w:tcPr>
          <w:p>
            <w:pPr>
              <w:pStyle w:val="TableParagraph"/>
              <w:spacing w:before="0"/>
              <w:ind w:left="0"/>
              <w:rPr>
                <w:rFonts w:ascii="Arial"/>
                <w:sz w:val="20"/>
              </w:rPr>
            </w:pPr>
          </w:p>
          <w:p>
            <w:pPr>
              <w:pStyle w:val="TableParagraph"/>
              <w:spacing w:before="0"/>
              <w:ind w:left="0"/>
              <w:rPr>
                <w:rFonts w:ascii="Arial"/>
                <w:sz w:val="20"/>
              </w:rPr>
            </w:pPr>
          </w:p>
          <w:p>
            <w:pPr>
              <w:pStyle w:val="TableParagraph"/>
              <w:spacing w:before="6"/>
              <w:ind w:left="0"/>
              <w:rPr>
                <w:rFonts w:ascii="Arial"/>
                <w:sz w:val="23"/>
              </w:rPr>
            </w:pPr>
          </w:p>
          <w:p>
            <w:pPr>
              <w:pStyle w:val="TableParagraph"/>
              <w:spacing w:before="0"/>
              <w:ind w:left="49" w:right="48"/>
              <w:jc w:val="center"/>
              <w:rPr>
                <w:b/>
                <w:sz w:val="20"/>
              </w:rPr>
            </w:pPr>
            <w:r>
              <w:rPr>
                <w:b/>
                <w:color w:val="FFFFFF"/>
                <w:sz w:val="20"/>
              </w:rPr>
              <w:t>No</w:t>
            </w:r>
          </w:p>
        </w:tc>
        <w:tc>
          <w:tcPr>
            <w:tcW w:w="4009" w:type="dxa"/>
            <w:tcBorders>
              <w:top w:val="nil"/>
              <w:left w:val="single" w:sz="4" w:space="0" w:color="5B9BD4"/>
              <w:bottom w:val="single" w:sz="8" w:space="0" w:color="5B9BD4"/>
              <w:right w:val="single" w:sz="4" w:space="0" w:color="5B9BD4"/>
            </w:tcBorders>
            <w:shd w:val="clear" w:color="auto" w:fill="4471C4"/>
          </w:tcPr>
          <w:p>
            <w:pPr>
              <w:pStyle w:val="TableParagraph"/>
              <w:spacing w:before="0"/>
              <w:ind w:left="0"/>
              <w:rPr>
                <w:rFonts w:ascii="Arial"/>
                <w:sz w:val="20"/>
              </w:rPr>
            </w:pPr>
          </w:p>
          <w:p>
            <w:pPr>
              <w:pStyle w:val="TableParagraph"/>
              <w:spacing w:before="0"/>
              <w:ind w:left="0"/>
              <w:rPr>
                <w:rFonts w:ascii="Arial"/>
                <w:sz w:val="20"/>
              </w:rPr>
            </w:pPr>
          </w:p>
          <w:p>
            <w:pPr>
              <w:pStyle w:val="TableParagraph"/>
              <w:spacing w:before="6"/>
              <w:ind w:left="0"/>
              <w:rPr>
                <w:rFonts w:ascii="Arial"/>
                <w:sz w:val="23"/>
              </w:rPr>
            </w:pPr>
          </w:p>
          <w:p>
            <w:pPr>
              <w:pStyle w:val="TableParagraph"/>
              <w:spacing w:before="0"/>
              <w:ind w:left="1597" w:right="1597"/>
              <w:jc w:val="center"/>
              <w:rPr>
                <w:b/>
                <w:sz w:val="20"/>
              </w:rPr>
            </w:pPr>
            <w:r>
              <w:rPr>
                <w:b/>
                <w:color w:val="FFFFFF"/>
                <w:sz w:val="20"/>
              </w:rPr>
              <w:t>NOMBRE</w:t>
            </w:r>
          </w:p>
        </w:tc>
        <w:tc>
          <w:tcPr>
            <w:tcW w:w="1262" w:type="dxa"/>
            <w:tcBorders>
              <w:top w:val="nil"/>
              <w:left w:val="single" w:sz="4" w:space="0" w:color="5B9BD4"/>
              <w:bottom w:val="single" w:sz="8" w:space="0" w:color="5B9BD4"/>
              <w:right w:val="single" w:sz="4" w:space="0" w:color="5B9BD4"/>
            </w:tcBorders>
            <w:shd w:val="clear" w:color="auto" w:fill="4471C4"/>
          </w:tcPr>
          <w:p>
            <w:pPr>
              <w:pStyle w:val="TableParagraph"/>
              <w:spacing w:before="0"/>
              <w:ind w:left="0"/>
              <w:rPr>
                <w:rFonts w:ascii="Arial"/>
                <w:sz w:val="20"/>
              </w:rPr>
            </w:pPr>
          </w:p>
          <w:p>
            <w:pPr>
              <w:pStyle w:val="TableParagraph"/>
              <w:spacing w:before="3"/>
              <w:ind w:left="0"/>
              <w:rPr>
                <w:rFonts w:ascii="Arial"/>
                <w:sz w:val="22"/>
              </w:rPr>
            </w:pPr>
          </w:p>
          <w:p>
            <w:pPr>
              <w:pStyle w:val="TableParagraph"/>
              <w:spacing w:before="0"/>
              <w:ind w:left="105" w:right="91" w:hanging="3"/>
              <w:rPr>
                <w:b/>
                <w:sz w:val="20"/>
              </w:rPr>
            </w:pPr>
            <w:r>
              <w:rPr>
                <w:b/>
                <w:color w:val="FFFFFF"/>
                <w:w w:val="95"/>
                <w:sz w:val="20"/>
              </w:rPr>
              <w:t>SELLADORES COLOCADOS</w:t>
            </w:r>
          </w:p>
        </w:tc>
        <w:tc>
          <w:tcPr>
            <w:tcW w:w="1203" w:type="dxa"/>
            <w:tcBorders>
              <w:top w:val="nil"/>
              <w:left w:val="single" w:sz="4" w:space="0" w:color="5B9BD4"/>
              <w:bottom w:val="single" w:sz="8" w:space="0" w:color="5B9BD4"/>
              <w:right w:val="single" w:sz="4" w:space="0" w:color="5B9BD4"/>
            </w:tcBorders>
            <w:shd w:val="clear" w:color="auto" w:fill="4471C4"/>
          </w:tcPr>
          <w:p>
            <w:pPr>
              <w:pStyle w:val="TableParagraph"/>
              <w:spacing w:before="0"/>
              <w:ind w:left="136" w:right="135"/>
              <w:jc w:val="center"/>
              <w:rPr>
                <w:b/>
                <w:sz w:val="20"/>
              </w:rPr>
            </w:pPr>
            <w:r>
              <w:rPr>
                <w:b/>
                <w:color w:val="FFFFFF"/>
                <w:sz w:val="20"/>
              </w:rPr>
              <w:t>PRESENCIA DE CARIES NO  CAVITADA</w:t>
            </w:r>
          </w:p>
        </w:tc>
        <w:tc>
          <w:tcPr>
            <w:tcW w:w="1181" w:type="dxa"/>
            <w:tcBorders>
              <w:top w:val="nil"/>
              <w:left w:val="single" w:sz="4" w:space="0" w:color="5B9BD4"/>
              <w:bottom w:val="single" w:sz="8" w:space="0" w:color="5B9BD4"/>
              <w:right w:val="single" w:sz="4" w:space="0" w:color="5B9BD4"/>
            </w:tcBorders>
            <w:shd w:val="clear" w:color="auto" w:fill="4471C4"/>
          </w:tcPr>
          <w:p>
            <w:pPr>
              <w:pStyle w:val="TableParagraph"/>
              <w:spacing w:before="2"/>
              <w:ind w:left="0"/>
              <w:rPr>
                <w:rFonts w:ascii="Arial"/>
                <w:sz w:val="21"/>
              </w:rPr>
            </w:pPr>
          </w:p>
          <w:p>
            <w:pPr>
              <w:pStyle w:val="TableParagraph"/>
              <w:spacing w:before="0"/>
              <w:ind w:left="151" w:right="125" w:hanging="27"/>
              <w:jc w:val="both"/>
              <w:rPr>
                <w:b/>
                <w:sz w:val="20"/>
              </w:rPr>
            </w:pPr>
            <w:r>
              <w:rPr>
                <w:b/>
                <w:color w:val="FFFFFF"/>
                <w:w w:val="95"/>
                <w:sz w:val="20"/>
              </w:rPr>
              <w:t>PRESENCIA </w:t>
            </w:r>
            <w:r>
              <w:rPr>
                <w:b/>
                <w:color w:val="FFFFFF"/>
                <w:sz w:val="20"/>
              </w:rPr>
              <w:t>DE CARIES CAVITADA</w:t>
            </w:r>
          </w:p>
        </w:tc>
        <w:tc>
          <w:tcPr>
            <w:tcW w:w="1262" w:type="dxa"/>
            <w:tcBorders>
              <w:top w:val="nil"/>
              <w:left w:val="single" w:sz="4" w:space="0" w:color="5B9BD4"/>
              <w:bottom w:val="single" w:sz="8" w:space="0" w:color="5B9BD4"/>
              <w:right w:val="single" w:sz="4" w:space="0" w:color="5B9BD4"/>
            </w:tcBorders>
            <w:shd w:val="clear" w:color="auto" w:fill="4471C4"/>
          </w:tcPr>
          <w:p>
            <w:pPr>
              <w:pStyle w:val="TableParagraph"/>
              <w:spacing w:before="0"/>
              <w:ind w:left="0"/>
              <w:rPr>
                <w:rFonts w:ascii="Arial"/>
                <w:sz w:val="20"/>
              </w:rPr>
            </w:pPr>
          </w:p>
          <w:p>
            <w:pPr>
              <w:pStyle w:val="TableParagraph"/>
              <w:spacing w:before="3"/>
              <w:ind w:left="0"/>
              <w:rPr>
                <w:rFonts w:ascii="Arial"/>
                <w:sz w:val="22"/>
              </w:rPr>
            </w:pPr>
          </w:p>
          <w:p>
            <w:pPr>
              <w:pStyle w:val="TableParagraph"/>
              <w:spacing w:before="0"/>
              <w:ind w:left="108" w:right="91" w:hanging="8"/>
              <w:rPr>
                <w:b/>
                <w:sz w:val="20"/>
              </w:rPr>
            </w:pPr>
            <w:r>
              <w:rPr>
                <w:b/>
                <w:color w:val="FFFFFF"/>
                <w:w w:val="95"/>
                <w:sz w:val="20"/>
              </w:rPr>
              <w:t>SELLADORES </w:t>
            </w:r>
            <w:r>
              <w:rPr>
                <w:b/>
                <w:color w:val="FFFFFF"/>
                <w:sz w:val="20"/>
              </w:rPr>
              <w:t>COMPLETOS</w:t>
            </w:r>
          </w:p>
        </w:tc>
        <w:tc>
          <w:tcPr>
            <w:tcW w:w="1433" w:type="dxa"/>
            <w:tcBorders>
              <w:top w:val="nil"/>
              <w:left w:val="single" w:sz="4" w:space="0" w:color="5B9BD4"/>
              <w:bottom w:val="single" w:sz="8" w:space="0" w:color="5B9BD4"/>
              <w:right w:val="single" w:sz="4" w:space="0" w:color="5B9BD4"/>
            </w:tcBorders>
            <w:shd w:val="clear" w:color="auto" w:fill="4471C4"/>
          </w:tcPr>
          <w:p>
            <w:pPr>
              <w:pStyle w:val="TableParagraph"/>
              <w:spacing w:before="0"/>
              <w:ind w:left="0"/>
              <w:rPr>
                <w:rFonts w:ascii="Arial"/>
                <w:sz w:val="20"/>
              </w:rPr>
            </w:pPr>
          </w:p>
          <w:p>
            <w:pPr>
              <w:pStyle w:val="TableParagraph"/>
              <w:spacing w:before="3"/>
              <w:ind w:left="0"/>
              <w:rPr>
                <w:rFonts w:ascii="Arial"/>
                <w:sz w:val="22"/>
              </w:rPr>
            </w:pPr>
          </w:p>
          <w:p>
            <w:pPr>
              <w:pStyle w:val="TableParagraph"/>
              <w:spacing w:before="0"/>
              <w:ind w:left="100" w:firstLine="86"/>
              <w:rPr>
                <w:b/>
                <w:sz w:val="20"/>
              </w:rPr>
            </w:pPr>
            <w:r>
              <w:rPr>
                <w:b/>
                <w:color w:val="FFFFFF"/>
                <w:sz w:val="20"/>
              </w:rPr>
              <w:t>SELLADORES </w:t>
            </w:r>
            <w:r>
              <w:rPr>
                <w:b/>
                <w:color w:val="FFFFFF"/>
                <w:w w:val="95"/>
                <w:sz w:val="20"/>
              </w:rPr>
              <w:t>INCOMPLETOS</w:t>
            </w:r>
          </w:p>
        </w:tc>
        <w:tc>
          <w:tcPr>
            <w:tcW w:w="1073" w:type="dxa"/>
            <w:tcBorders>
              <w:top w:val="nil"/>
              <w:left w:val="single" w:sz="4" w:space="0" w:color="5B9BD4"/>
              <w:bottom w:val="single" w:sz="8" w:space="0" w:color="5B9BD4"/>
              <w:right w:val="single" w:sz="4" w:space="0" w:color="5B9BD4"/>
            </w:tcBorders>
            <w:shd w:val="clear" w:color="auto" w:fill="4471C4"/>
          </w:tcPr>
          <w:p>
            <w:pPr>
              <w:pStyle w:val="TableParagraph"/>
              <w:spacing w:before="2"/>
              <w:ind w:left="0"/>
              <w:rPr>
                <w:rFonts w:ascii="Arial"/>
                <w:sz w:val="21"/>
              </w:rPr>
            </w:pPr>
          </w:p>
          <w:p>
            <w:pPr>
              <w:pStyle w:val="TableParagraph"/>
              <w:spacing w:before="0"/>
              <w:ind w:left="100" w:right="103" w:firstLine="2"/>
              <w:jc w:val="center"/>
              <w:rPr>
                <w:b/>
                <w:sz w:val="20"/>
              </w:rPr>
            </w:pPr>
            <w:r>
              <w:rPr>
                <w:b/>
                <w:color w:val="FFFFFF"/>
                <w:w w:val="95"/>
                <w:sz w:val="20"/>
              </w:rPr>
              <w:t>AUSENCIA </w:t>
            </w:r>
            <w:r>
              <w:rPr>
                <w:b/>
                <w:color w:val="FFFFFF"/>
                <w:sz w:val="20"/>
              </w:rPr>
              <w:t>DE   </w:t>
            </w:r>
            <w:r>
              <w:rPr>
                <w:b/>
                <w:color w:val="FFFFFF"/>
                <w:w w:val="95"/>
                <w:sz w:val="20"/>
              </w:rPr>
              <w:t>SELLADOR</w:t>
            </w:r>
          </w:p>
        </w:tc>
        <w:tc>
          <w:tcPr>
            <w:tcW w:w="1190" w:type="dxa"/>
            <w:tcBorders>
              <w:top w:val="nil"/>
              <w:left w:val="single" w:sz="4" w:space="0" w:color="5B9BD4"/>
              <w:bottom w:val="single" w:sz="8" w:space="0" w:color="5B9BD4"/>
              <w:right w:val="nil"/>
            </w:tcBorders>
            <w:shd w:val="clear" w:color="auto" w:fill="4471C4"/>
          </w:tcPr>
          <w:p>
            <w:pPr>
              <w:pStyle w:val="TableParagraph"/>
              <w:spacing w:before="0"/>
              <w:ind w:left="0"/>
              <w:rPr>
                <w:rFonts w:ascii="Arial"/>
                <w:sz w:val="20"/>
              </w:rPr>
            </w:pPr>
          </w:p>
          <w:p>
            <w:pPr>
              <w:pStyle w:val="TableParagraph"/>
              <w:spacing w:before="0"/>
              <w:ind w:left="0"/>
              <w:rPr>
                <w:rFonts w:ascii="Arial"/>
                <w:sz w:val="20"/>
              </w:rPr>
            </w:pPr>
          </w:p>
          <w:p>
            <w:pPr>
              <w:pStyle w:val="TableParagraph"/>
              <w:spacing w:before="6"/>
              <w:ind w:left="0"/>
              <w:rPr>
                <w:rFonts w:ascii="Arial"/>
                <w:sz w:val="23"/>
              </w:rPr>
            </w:pPr>
          </w:p>
          <w:p>
            <w:pPr>
              <w:pStyle w:val="TableParagraph"/>
              <w:spacing w:before="0"/>
              <w:rPr>
                <w:b/>
                <w:sz w:val="20"/>
              </w:rPr>
            </w:pPr>
            <w:r>
              <w:rPr>
                <w:b/>
                <w:color w:val="FFFFFF"/>
                <w:sz w:val="20"/>
              </w:rPr>
              <w:t>EXFOLIADOS</w:t>
            </w:r>
          </w:p>
        </w:tc>
      </w:tr>
      <w:tr>
        <w:trPr>
          <w:trHeight w:val="314" w:hRule="exact"/>
        </w:trPr>
        <w:tc>
          <w:tcPr>
            <w:tcW w:w="382" w:type="dxa"/>
            <w:tcBorders>
              <w:top w:val="single" w:sz="8" w:space="0" w:color="5B9BD4"/>
              <w:right w:val="single" w:sz="4" w:space="0" w:color="5B9BD4"/>
            </w:tcBorders>
            <w:shd w:val="clear" w:color="auto" w:fill="DDEBF7"/>
          </w:tcPr>
          <w:p>
            <w:pPr>
              <w:pStyle w:val="TableParagraph"/>
              <w:ind w:left="129"/>
              <w:jc w:val="center"/>
              <w:rPr>
                <w:sz w:val="22"/>
              </w:rPr>
            </w:pPr>
            <w:r>
              <w:rPr>
                <w:w w:val="100"/>
                <w:sz w:val="22"/>
              </w:rPr>
              <w:t>1</w:t>
            </w:r>
          </w:p>
        </w:tc>
        <w:tc>
          <w:tcPr>
            <w:tcW w:w="4009" w:type="dxa"/>
            <w:tcBorders>
              <w:top w:val="single" w:sz="8" w:space="0" w:color="5B9BD4"/>
              <w:left w:val="single" w:sz="4" w:space="0" w:color="5B9BD4"/>
              <w:right w:val="single" w:sz="4" w:space="0" w:color="5B9BD4"/>
            </w:tcBorders>
            <w:shd w:val="clear" w:color="auto" w:fill="DDEBF7"/>
          </w:tcPr>
          <w:p>
            <w:pPr>
              <w:pStyle w:val="TableParagraph"/>
              <w:rPr>
                <w:sz w:val="22"/>
              </w:rPr>
            </w:pPr>
            <w:r>
              <w:rPr>
                <w:sz w:val="22"/>
              </w:rPr>
              <w:t>BARRUETA VAZQUEZ YARISSA GUADALUPE</w:t>
            </w:r>
          </w:p>
        </w:tc>
        <w:tc>
          <w:tcPr>
            <w:tcW w:w="1262" w:type="dxa"/>
            <w:tcBorders>
              <w:top w:val="single" w:sz="8" w:space="0" w:color="5B9BD4"/>
              <w:left w:val="single" w:sz="4" w:space="0" w:color="5B9BD4"/>
              <w:right w:val="single" w:sz="4" w:space="0" w:color="5B9BD4"/>
            </w:tcBorders>
            <w:shd w:val="clear" w:color="auto" w:fill="DDEBF7"/>
          </w:tcPr>
          <w:p>
            <w:pPr/>
          </w:p>
        </w:tc>
        <w:tc>
          <w:tcPr>
            <w:tcW w:w="1203" w:type="dxa"/>
            <w:tcBorders>
              <w:top w:val="single" w:sz="8" w:space="0" w:color="5B9BD4"/>
              <w:left w:val="single" w:sz="4" w:space="0" w:color="5B9BD4"/>
              <w:right w:val="single" w:sz="4" w:space="0" w:color="5B9BD4"/>
            </w:tcBorders>
            <w:shd w:val="clear" w:color="auto" w:fill="DDEBF7"/>
          </w:tcPr>
          <w:p>
            <w:pPr/>
          </w:p>
        </w:tc>
        <w:tc>
          <w:tcPr>
            <w:tcW w:w="1181" w:type="dxa"/>
            <w:tcBorders>
              <w:top w:val="single" w:sz="8" w:space="0" w:color="5B9BD4"/>
              <w:left w:val="single" w:sz="4" w:space="0" w:color="5B9BD4"/>
              <w:right w:val="single" w:sz="4" w:space="0" w:color="5B9BD4"/>
            </w:tcBorders>
            <w:shd w:val="clear" w:color="auto" w:fill="DDEBF7"/>
          </w:tcPr>
          <w:p>
            <w:pPr/>
          </w:p>
        </w:tc>
        <w:tc>
          <w:tcPr>
            <w:tcW w:w="1262" w:type="dxa"/>
            <w:tcBorders>
              <w:top w:val="single" w:sz="8" w:space="0" w:color="5B9BD4"/>
              <w:left w:val="single" w:sz="4" w:space="0" w:color="5B9BD4"/>
              <w:right w:val="single" w:sz="4" w:space="0" w:color="5B9BD4"/>
            </w:tcBorders>
            <w:shd w:val="clear" w:color="auto" w:fill="DDEBF7"/>
          </w:tcPr>
          <w:p>
            <w:pPr/>
          </w:p>
        </w:tc>
        <w:tc>
          <w:tcPr>
            <w:tcW w:w="1433" w:type="dxa"/>
            <w:tcBorders>
              <w:top w:val="single" w:sz="8" w:space="0" w:color="5B9BD4"/>
              <w:left w:val="single" w:sz="4" w:space="0" w:color="5B9BD4"/>
              <w:right w:val="single" w:sz="4" w:space="0" w:color="5B9BD4"/>
            </w:tcBorders>
            <w:shd w:val="clear" w:color="auto" w:fill="DDEBF7"/>
          </w:tcPr>
          <w:p>
            <w:pPr/>
          </w:p>
        </w:tc>
        <w:tc>
          <w:tcPr>
            <w:tcW w:w="1073" w:type="dxa"/>
            <w:tcBorders>
              <w:top w:val="single" w:sz="8" w:space="0" w:color="5B9BD4"/>
              <w:left w:val="single" w:sz="4" w:space="0" w:color="5B9BD4"/>
              <w:right w:val="single" w:sz="4" w:space="0" w:color="5B9BD4"/>
            </w:tcBorders>
            <w:shd w:val="clear" w:color="auto" w:fill="DDEBF7"/>
          </w:tcPr>
          <w:p>
            <w:pPr/>
          </w:p>
        </w:tc>
        <w:tc>
          <w:tcPr>
            <w:tcW w:w="1190" w:type="dxa"/>
            <w:tcBorders>
              <w:top w:val="single" w:sz="8" w:space="0" w:color="5B9BD4"/>
              <w:left w:val="single" w:sz="4" w:space="0" w:color="5B9BD4"/>
            </w:tcBorders>
            <w:shd w:val="clear" w:color="auto" w:fill="DDEBF7"/>
          </w:tcPr>
          <w:p>
            <w:pPr/>
          </w:p>
        </w:tc>
      </w:tr>
      <w:tr>
        <w:trPr>
          <w:trHeight w:val="311" w:hRule="exact"/>
        </w:trPr>
        <w:tc>
          <w:tcPr>
            <w:tcW w:w="382" w:type="dxa"/>
            <w:tcBorders>
              <w:right w:val="single" w:sz="4" w:space="0" w:color="5B9BD4"/>
            </w:tcBorders>
          </w:tcPr>
          <w:p>
            <w:pPr>
              <w:pStyle w:val="TableParagraph"/>
              <w:ind w:left="129"/>
              <w:jc w:val="center"/>
              <w:rPr>
                <w:sz w:val="22"/>
              </w:rPr>
            </w:pPr>
            <w:r>
              <w:rPr>
                <w:w w:val="100"/>
                <w:sz w:val="22"/>
              </w:rPr>
              <w:t>2</w:t>
            </w:r>
          </w:p>
        </w:tc>
        <w:tc>
          <w:tcPr>
            <w:tcW w:w="4009" w:type="dxa"/>
            <w:tcBorders>
              <w:left w:val="single" w:sz="4" w:space="0" w:color="5B9BD4"/>
              <w:right w:val="single" w:sz="4" w:space="0" w:color="5B9BD4"/>
            </w:tcBorders>
          </w:tcPr>
          <w:p>
            <w:pPr>
              <w:pStyle w:val="TableParagraph"/>
              <w:rPr>
                <w:sz w:val="22"/>
              </w:rPr>
            </w:pPr>
            <w:r>
              <w:rPr>
                <w:sz w:val="22"/>
              </w:rPr>
              <w:t>BERNAL DE PAZ ERIK ROBERTO</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1" w:hRule="exact"/>
        </w:trPr>
        <w:tc>
          <w:tcPr>
            <w:tcW w:w="382" w:type="dxa"/>
            <w:tcBorders>
              <w:right w:val="single" w:sz="4" w:space="0" w:color="5B9BD4"/>
            </w:tcBorders>
            <w:shd w:val="clear" w:color="auto" w:fill="DDEBF7"/>
          </w:tcPr>
          <w:p>
            <w:pPr>
              <w:pStyle w:val="TableParagraph"/>
              <w:spacing w:before="30"/>
              <w:ind w:left="129"/>
              <w:jc w:val="center"/>
              <w:rPr>
                <w:sz w:val="22"/>
              </w:rPr>
            </w:pPr>
            <w:r>
              <w:rPr>
                <w:w w:val="100"/>
                <w:sz w:val="22"/>
              </w:rPr>
              <w:t>3</w:t>
            </w:r>
          </w:p>
        </w:tc>
        <w:tc>
          <w:tcPr>
            <w:tcW w:w="4009" w:type="dxa"/>
            <w:tcBorders>
              <w:left w:val="single" w:sz="4" w:space="0" w:color="5B9BD4"/>
              <w:right w:val="single" w:sz="4" w:space="0" w:color="5B9BD4"/>
            </w:tcBorders>
            <w:shd w:val="clear" w:color="auto" w:fill="DDEBF7"/>
          </w:tcPr>
          <w:p>
            <w:pPr>
              <w:pStyle w:val="TableParagraph"/>
              <w:spacing w:before="30"/>
              <w:rPr>
                <w:sz w:val="22"/>
              </w:rPr>
            </w:pPr>
            <w:r>
              <w:rPr>
                <w:sz w:val="22"/>
              </w:rPr>
              <w:t>BORBOA DE PAZ KIMBERLY SOLEDAD</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129"/>
              <w:jc w:val="center"/>
              <w:rPr>
                <w:sz w:val="22"/>
              </w:rPr>
            </w:pPr>
            <w:r>
              <w:rPr>
                <w:w w:val="100"/>
                <w:sz w:val="22"/>
              </w:rPr>
              <w:t>4</w:t>
            </w:r>
          </w:p>
        </w:tc>
        <w:tc>
          <w:tcPr>
            <w:tcW w:w="4009" w:type="dxa"/>
            <w:tcBorders>
              <w:left w:val="single" w:sz="4" w:space="0" w:color="5B9BD4"/>
              <w:right w:val="single" w:sz="4" w:space="0" w:color="5B9BD4"/>
            </w:tcBorders>
          </w:tcPr>
          <w:p>
            <w:pPr>
              <w:pStyle w:val="TableParagraph"/>
              <w:rPr>
                <w:sz w:val="22"/>
              </w:rPr>
            </w:pPr>
            <w:r>
              <w:rPr>
                <w:sz w:val="22"/>
              </w:rPr>
              <w:t>CABALLERO JIMENEZ SAYURI LIZBETH</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129"/>
              <w:jc w:val="center"/>
              <w:rPr>
                <w:sz w:val="22"/>
              </w:rPr>
            </w:pPr>
            <w:r>
              <w:rPr>
                <w:w w:val="100"/>
                <w:sz w:val="22"/>
              </w:rPr>
              <w:t>5</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CARREON JAIMES ROSALIO HERCULANO</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129"/>
              <w:jc w:val="center"/>
              <w:rPr>
                <w:sz w:val="22"/>
              </w:rPr>
            </w:pPr>
            <w:r>
              <w:rPr>
                <w:w w:val="100"/>
                <w:sz w:val="22"/>
              </w:rPr>
              <w:t>6</w:t>
            </w:r>
          </w:p>
        </w:tc>
        <w:tc>
          <w:tcPr>
            <w:tcW w:w="4009" w:type="dxa"/>
            <w:tcBorders>
              <w:left w:val="single" w:sz="4" w:space="0" w:color="5B9BD4"/>
              <w:right w:val="single" w:sz="4" w:space="0" w:color="5B9BD4"/>
            </w:tcBorders>
          </w:tcPr>
          <w:p>
            <w:pPr>
              <w:pStyle w:val="TableParagraph"/>
              <w:rPr>
                <w:sz w:val="22"/>
              </w:rPr>
            </w:pPr>
            <w:r>
              <w:rPr>
                <w:sz w:val="22"/>
              </w:rPr>
              <w:t>DE PAZ CRISTINO SANDRA</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129"/>
              <w:jc w:val="center"/>
              <w:rPr>
                <w:sz w:val="22"/>
              </w:rPr>
            </w:pPr>
            <w:r>
              <w:rPr>
                <w:w w:val="100"/>
                <w:sz w:val="22"/>
              </w:rPr>
              <w:t>7</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ENRIQUEZ RAMIREZ ANGELES JOSELINE</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1" w:hRule="exact"/>
        </w:trPr>
        <w:tc>
          <w:tcPr>
            <w:tcW w:w="382" w:type="dxa"/>
            <w:tcBorders>
              <w:right w:val="single" w:sz="4" w:space="0" w:color="5B9BD4"/>
            </w:tcBorders>
          </w:tcPr>
          <w:p>
            <w:pPr>
              <w:pStyle w:val="TableParagraph"/>
              <w:ind w:left="129"/>
              <w:jc w:val="center"/>
              <w:rPr>
                <w:sz w:val="22"/>
              </w:rPr>
            </w:pPr>
            <w:r>
              <w:rPr>
                <w:w w:val="100"/>
                <w:sz w:val="22"/>
              </w:rPr>
              <w:t>8</w:t>
            </w:r>
          </w:p>
        </w:tc>
        <w:tc>
          <w:tcPr>
            <w:tcW w:w="4009" w:type="dxa"/>
            <w:tcBorders>
              <w:left w:val="single" w:sz="4" w:space="0" w:color="5B9BD4"/>
              <w:right w:val="single" w:sz="4" w:space="0" w:color="5B9BD4"/>
            </w:tcBorders>
          </w:tcPr>
          <w:p>
            <w:pPr>
              <w:pStyle w:val="TableParagraph"/>
              <w:rPr>
                <w:sz w:val="22"/>
              </w:rPr>
            </w:pPr>
            <w:r>
              <w:rPr>
                <w:sz w:val="22"/>
              </w:rPr>
              <w:t>ENRIQUEZ VERA AMERICA</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1" w:hRule="exact"/>
        </w:trPr>
        <w:tc>
          <w:tcPr>
            <w:tcW w:w="382" w:type="dxa"/>
            <w:tcBorders>
              <w:right w:val="single" w:sz="4" w:space="0" w:color="5B9BD4"/>
            </w:tcBorders>
            <w:shd w:val="clear" w:color="auto" w:fill="DDEBF7"/>
          </w:tcPr>
          <w:p>
            <w:pPr>
              <w:pStyle w:val="TableParagraph"/>
              <w:spacing w:before="29"/>
              <w:ind w:left="129"/>
              <w:jc w:val="center"/>
              <w:rPr>
                <w:sz w:val="22"/>
              </w:rPr>
            </w:pPr>
            <w:r>
              <w:rPr>
                <w:w w:val="100"/>
                <w:sz w:val="22"/>
              </w:rPr>
              <w:t>9</w:t>
            </w:r>
          </w:p>
        </w:tc>
        <w:tc>
          <w:tcPr>
            <w:tcW w:w="4009" w:type="dxa"/>
            <w:tcBorders>
              <w:left w:val="single" w:sz="4" w:space="0" w:color="5B9BD4"/>
              <w:right w:val="single" w:sz="4" w:space="0" w:color="5B9BD4"/>
            </w:tcBorders>
            <w:shd w:val="clear" w:color="auto" w:fill="DDEBF7"/>
          </w:tcPr>
          <w:p>
            <w:pPr>
              <w:pStyle w:val="TableParagraph"/>
              <w:spacing w:before="29"/>
              <w:rPr>
                <w:sz w:val="22"/>
              </w:rPr>
            </w:pPr>
            <w:r>
              <w:rPr>
                <w:sz w:val="22"/>
              </w:rPr>
              <w:t>ESCOBAR VARELA ANA YARELI GUADALUPE</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10</w:t>
            </w:r>
          </w:p>
        </w:tc>
        <w:tc>
          <w:tcPr>
            <w:tcW w:w="4009" w:type="dxa"/>
            <w:tcBorders>
              <w:left w:val="single" w:sz="4" w:space="0" w:color="5B9BD4"/>
              <w:right w:val="single" w:sz="4" w:space="0" w:color="5B9BD4"/>
            </w:tcBorders>
          </w:tcPr>
          <w:p>
            <w:pPr>
              <w:pStyle w:val="TableParagraph"/>
              <w:rPr>
                <w:sz w:val="22"/>
              </w:rPr>
            </w:pPr>
            <w:r>
              <w:rPr>
                <w:sz w:val="22"/>
              </w:rPr>
              <w:t>ESCOBAR VARELA JOSELIN GUADALUPE</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11</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ESPINOZA CUENCA RUBEN</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12</w:t>
            </w:r>
          </w:p>
        </w:tc>
        <w:tc>
          <w:tcPr>
            <w:tcW w:w="4009" w:type="dxa"/>
            <w:tcBorders>
              <w:left w:val="single" w:sz="4" w:space="0" w:color="5B9BD4"/>
              <w:right w:val="single" w:sz="4" w:space="0" w:color="5B9BD4"/>
            </w:tcBorders>
          </w:tcPr>
          <w:p>
            <w:pPr>
              <w:pStyle w:val="TableParagraph"/>
              <w:rPr>
                <w:sz w:val="22"/>
              </w:rPr>
            </w:pPr>
            <w:r>
              <w:rPr>
                <w:sz w:val="22"/>
              </w:rPr>
              <w:t>FERNANDEZ PEREA TANIA</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13</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FLORES MORENO JOSE ANGEL</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1" w:hRule="exact"/>
        </w:trPr>
        <w:tc>
          <w:tcPr>
            <w:tcW w:w="382" w:type="dxa"/>
            <w:tcBorders>
              <w:right w:val="single" w:sz="4" w:space="0" w:color="5B9BD4"/>
            </w:tcBorders>
          </w:tcPr>
          <w:p>
            <w:pPr>
              <w:pStyle w:val="TableParagraph"/>
              <w:ind w:left="62" w:right="46"/>
              <w:jc w:val="center"/>
              <w:rPr>
                <w:sz w:val="22"/>
              </w:rPr>
            </w:pPr>
            <w:r>
              <w:rPr>
                <w:sz w:val="22"/>
              </w:rPr>
              <w:t>14</w:t>
            </w:r>
          </w:p>
        </w:tc>
        <w:tc>
          <w:tcPr>
            <w:tcW w:w="4009" w:type="dxa"/>
            <w:tcBorders>
              <w:left w:val="single" w:sz="4" w:space="0" w:color="5B9BD4"/>
              <w:right w:val="single" w:sz="4" w:space="0" w:color="5B9BD4"/>
            </w:tcBorders>
          </w:tcPr>
          <w:p>
            <w:pPr>
              <w:pStyle w:val="TableParagraph"/>
              <w:rPr>
                <w:sz w:val="22"/>
              </w:rPr>
            </w:pPr>
            <w:r>
              <w:rPr>
                <w:sz w:val="22"/>
              </w:rPr>
              <w:t>GARCIA JAIMES HARUMI NICOLLE</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1" w:hRule="exact"/>
        </w:trPr>
        <w:tc>
          <w:tcPr>
            <w:tcW w:w="382" w:type="dxa"/>
            <w:tcBorders>
              <w:right w:val="single" w:sz="4" w:space="0" w:color="5B9BD4"/>
            </w:tcBorders>
            <w:shd w:val="clear" w:color="auto" w:fill="DDEBF7"/>
          </w:tcPr>
          <w:p>
            <w:pPr>
              <w:pStyle w:val="TableParagraph"/>
              <w:spacing w:before="29"/>
              <w:ind w:left="62" w:right="46"/>
              <w:jc w:val="center"/>
              <w:rPr>
                <w:sz w:val="22"/>
              </w:rPr>
            </w:pPr>
            <w:r>
              <w:rPr>
                <w:sz w:val="22"/>
              </w:rPr>
              <w:t>15</w:t>
            </w:r>
          </w:p>
        </w:tc>
        <w:tc>
          <w:tcPr>
            <w:tcW w:w="4009" w:type="dxa"/>
            <w:tcBorders>
              <w:left w:val="single" w:sz="4" w:space="0" w:color="5B9BD4"/>
              <w:right w:val="single" w:sz="4" w:space="0" w:color="5B9BD4"/>
            </w:tcBorders>
            <w:shd w:val="clear" w:color="auto" w:fill="DDEBF7"/>
          </w:tcPr>
          <w:p>
            <w:pPr>
              <w:pStyle w:val="TableParagraph"/>
              <w:spacing w:before="29"/>
              <w:rPr>
                <w:sz w:val="22"/>
              </w:rPr>
            </w:pPr>
            <w:r>
              <w:rPr>
                <w:sz w:val="22"/>
              </w:rPr>
              <w:t>GARCIA PERALTA BETZABE</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16</w:t>
            </w:r>
          </w:p>
        </w:tc>
        <w:tc>
          <w:tcPr>
            <w:tcW w:w="4009" w:type="dxa"/>
            <w:tcBorders>
              <w:left w:val="single" w:sz="4" w:space="0" w:color="5B9BD4"/>
              <w:right w:val="single" w:sz="4" w:space="0" w:color="5B9BD4"/>
            </w:tcBorders>
          </w:tcPr>
          <w:p>
            <w:pPr>
              <w:pStyle w:val="TableParagraph"/>
              <w:rPr>
                <w:sz w:val="22"/>
              </w:rPr>
            </w:pPr>
            <w:r>
              <w:rPr>
                <w:sz w:val="22"/>
              </w:rPr>
              <w:t>GARCIA SAMORA EMMILY CITLALLI</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17</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GARDUÑO GARCIA AISLYNN IDALY</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18</w:t>
            </w:r>
          </w:p>
        </w:tc>
        <w:tc>
          <w:tcPr>
            <w:tcW w:w="4009" w:type="dxa"/>
            <w:tcBorders>
              <w:left w:val="single" w:sz="4" w:space="0" w:color="5B9BD4"/>
              <w:right w:val="single" w:sz="4" w:space="0" w:color="5B9BD4"/>
            </w:tcBorders>
          </w:tcPr>
          <w:p>
            <w:pPr>
              <w:pStyle w:val="TableParagraph"/>
              <w:rPr>
                <w:sz w:val="22"/>
              </w:rPr>
            </w:pPr>
            <w:r>
              <w:rPr>
                <w:sz w:val="22"/>
              </w:rPr>
              <w:t>JAIMES LOPEZ ITZEL BERENICE</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19</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JAIMES VENCES ANLLY JULIETA</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1" w:hRule="exact"/>
        </w:trPr>
        <w:tc>
          <w:tcPr>
            <w:tcW w:w="382" w:type="dxa"/>
            <w:tcBorders>
              <w:right w:val="single" w:sz="4" w:space="0" w:color="5B9BD4"/>
            </w:tcBorders>
          </w:tcPr>
          <w:p>
            <w:pPr>
              <w:pStyle w:val="TableParagraph"/>
              <w:ind w:left="62" w:right="46"/>
              <w:jc w:val="center"/>
              <w:rPr>
                <w:sz w:val="22"/>
              </w:rPr>
            </w:pPr>
            <w:r>
              <w:rPr>
                <w:sz w:val="22"/>
              </w:rPr>
              <w:t>20</w:t>
            </w:r>
          </w:p>
        </w:tc>
        <w:tc>
          <w:tcPr>
            <w:tcW w:w="4009" w:type="dxa"/>
            <w:tcBorders>
              <w:left w:val="single" w:sz="4" w:space="0" w:color="5B9BD4"/>
              <w:right w:val="single" w:sz="4" w:space="0" w:color="5B9BD4"/>
            </w:tcBorders>
          </w:tcPr>
          <w:p>
            <w:pPr>
              <w:pStyle w:val="TableParagraph"/>
              <w:rPr>
                <w:sz w:val="22"/>
              </w:rPr>
            </w:pPr>
            <w:r>
              <w:rPr>
                <w:sz w:val="22"/>
              </w:rPr>
              <w:t>JUAREZ RAMIREZ EMMANUEL</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1" w:hRule="exact"/>
        </w:trPr>
        <w:tc>
          <w:tcPr>
            <w:tcW w:w="382" w:type="dxa"/>
            <w:tcBorders>
              <w:right w:val="single" w:sz="4" w:space="0" w:color="5B9BD4"/>
            </w:tcBorders>
            <w:shd w:val="clear" w:color="auto" w:fill="DDEBF7"/>
          </w:tcPr>
          <w:p>
            <w:pPr>
              <w:pStyle w:val="TableParagraph"/>
              <w:spacing w:before="29"/>
              <w:ind w:left="62" w:right="46"/>
              <w:jc w:val="center"/>
              <w:rPr>
                <w:sz w:val="22"/>
              </w:rPr>
            </w:pPr>
            <w:r>
              <w:rPr>
                <w:sz w:val="22"/>
              </w:rPr>
              <w:t>21</w:t>
            </w:r>
          </w:p>
        </w:tc>
        <w:tc>
          <w:tcPr>
            <w:tcW w:w="4009" w:type="dxa"/>
            <w:tcBorders>
              <w:left w:val="single" w:sz="4" w:space="0" w:color="5B9BD4"/>
              <w:right w:val="single" w:sz="4" w:space="0" w:color="5B9BD4"/>
            </w:tcBorders>
            <w:shd w:val="clear" w:color="auto" w:fill="DDEBF7"/>
          </w:tcPr>
          <w:p>
            <w:pPr>
              <w:pStyle w:val="TableParagraph"/>
              <w:spacing w:before="29"/>
              <w:rPr>
                <w:sz w:val="22"/>
              </w:rPr>
            </w:pPr>
            <w:r>
              <w:rPr>
                <w:sz w:val="22"/>
              </w:rPr>
              <w:t>LOPEZ CUENCA ANA LAURA</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22</w:t>
            </w:r>
          </w:p>
        </w:tc>
        <w:tc>
          <w:tcPr>
            <w:tcW w:w="4009" w:type="dxa"/>
            <w:tcBorders>
              <w:left w:val="single" w:sz="4" w:space="0" w:color="5B9BD4"/>
              <w:right w:val="single" w:sz="4" w:space="0" w:color="5B9BD4"/>
            </w:tcBorders>
          </w:tcPr>
          <w:p>
            <w:pPr>
              <w:pStyle w:val="TableParagraph"/>
              <w:rPr>
                <w:sz w:val="22"/>
              </w:rPr>
            </w:pPr>
            <w:r>
              <w:rPr>
                <w:sz w:val="22"/>
              </w:rPr>
              <w:t>MACEDO CRUZ JOSE CRISTIAN</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23</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MARTINEZ ARELLANO ARLY</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24</w:t>
            </w:r>
          </w:p>
        </w:tc>
        <w:tc>
          <w:tcPr>
            <w:tcW w:w="4009" w:type="dxa"/>
            <w:tcBorders>
              <w:left w:val="single" w:sz="4" w:space="0" w:color="5B9BD4"/>
              <w:right w:val="single" w:sz="4" w:space="0" w:color="5B9BD4"/>
            </w:tcBorders>
          </w:tcPr>
          <w:p>
            <w:pPr>
              <w:pStyle w:val="TableParagraph"/>
              <w:rPr>
                <w:sz w:val="22"/>
              </w:rPr>
            </w:pPr>
            <w:r>
              <w:rPr>
                <w:sz w:val="22"/>
              </w:rPr>
              <w:t>MARURI PLATA NANCY</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bottom w:val="single" w:sz="4" w:space="0" w:color="5B9BD4"/>
              <w:right w:val="single" w:sz="4" w:space="0" w:color="5B9BD4"/>
            </w:tcBorders>
            <w:shd w:val="clear" w:color="auto" w:fill="DDEBF7"/>
          </w:tcPr>
          <w:p>
            <w:pPr>
              <w:pStyle w:val="TableParagraph"/>
              <w:ind w:left="62" w:right="46"/>
              <w:jc w:val="center"/>
              <w:rPr>
                <w:sz w:val="22"/>
              </w:rPr>
            </w:pPr>
            <w:r>
              <w:rPr>
                <w:sz w:val="22"/>
              </w:rPr>
              <w:t>25</w:t>
            </w:r>
          </w:p>
        </w:tc>
        <w:tc>
          <w:tcPr>
            <w:tcW w:w="4009" w:type="dxa"/>
            <w:tcBorders>
              <w:left w:val="single" w:sz="4" w:space="0" w:color="5B9BD4"/>
              <w:bottom w:val="single" w:sz="4" w:space="0" w:color="5B9BD4"/>
              <w:right w:val="single" w:sz="4" w:space="0" w:color="5B9BD4"/>
            </w:tcBorders>
            <w:shd w:val="clear" w:color="auto" w:fill="DDEBF7"/>
          </w:tcPr>
          <w:p>
            <w:pPr>
              <w:pStyle w:val="TableParagraph"/>
              <w:rPr>
                <w:sz w:val="22"/>
              </w:rPr>
            </w:pPr>
            <w:r>
              <w:rPr>
                <w:sz w:val="22"/>
              </w:rPr>
              <w:t>MARURI RAMIREZ ALFONSO</w:t>
            </w:r>
          </w:p>
        </w:tc>
        <w:tc>
          <w:tcPr>
            <w:tcW w:w="1262" w:type="dxa"/>
            <w:tcBorders>
              <w:left w:val="single" w:sz="4" w:space="0" w:color="5B9BD4"/>
              <w:bottom w:val="single" w:sz="4" w:space="0" w:color="5B9BD4"/>
              <w:right w:val="single" w:sz="4" w:space="0" w:color="5B9BD4"/>
            </w:tcBorders>
            <w:shd w:val="clear" w:color="auto" w:fill="DDEBF7"/>
          </w:tcPr>
          <w:p>
            <w:pPr/>
          </w:p>
        </w:tc>
        <w:tc>
          <w:tcPr>
            <w:tcW w:w="1203" w:type="dxa"/>
            <w:tcBorders>
              <w:left w:val="single" w:sz="4" w:space="0" w:color="5B9BD4"/>
              <w:bottom w:val="single" w:sz="4" w:space="0" w:color="5B9BD4"/>
              <w:right w:val="single" w:sz="4" w:space="0" w:color="5B9BD4"/>
            </w:tcBorders>
            <w:shd w:val="clear" w:color="auto" w:fill="DDEBF7"/>
          </w:tcPr>
          <w:p>
            <w:pPr/>
          </w:p>
        </w:tc>
        <w:tc>
          <w:tcPr>
            <w:tcW w:w="1181" w:type="dxa"/>
            <w:tcBorders>
              <w:left w:val="single" w:sz="4" w:space="0" w:color="5B9BD4"/>
              <w:bottom w:val="single" w:sz="4" w:space="0" w:color="5B9BD4"/>
              <w:right w:val="single" w:sz="4" w:space="0" w:color="5B9BD4"/>
            </w:tcBorders>
            <w:shd w:val="clear" w:color="auto" w:fill="DDEBF7"/>
          </w:tcPr>
          <w:p>
            <w:pPr/>
          </w:p>
        </w:tc>
        <w:tc>
          <w:tcPr>
            <w:tcW w:w="1262" w:type="dxa"/>
            <w:tcBorders>
              <w:left w:val="single" w:sz="4" w:space="0" w:color="5B9BD4"/>
              <w:bottom w:val="single" w:sz="4" w:space="0" w:color="5B9BD4"/>
              <w:right w:val="single" w:sz="4" w:space="0" w:color="5B9BD4"/>
            </w:tcBorders>
            <w:shd w:val="clear" w:color="auto" w:fill="DDEBF7"/>
          </w:tcPr>
          <w:p>
            <w:pPr/>
          </w:p>
        </w:tc>
        <w:tc>
          <w:tcPr>
            <w:tcW w:w="1433" w:type="dxa"/>
            <w:tcBorders>
              <w:left w:val="single" w:sz="4" w:space="0" w:color="5B9BD4"/>
              <w:bottom w:val="single" w:sz="4" w:space="0" w:color="5B9BD4"/>
              <w:right w:val="single" w:sz="4" w:space="0" w:color="5B9BD4"/>
            </w:tcBorders>
            <w:shd w:val="clear" w:color="auto" w:fill="DDEBF7"/>
          </w:tcPr>
          <w:p>
            <w:pPr/>
          </w:p>
        </w:tc>
        <w:tc>
          <w:tcPr>
            <w:tcW w:w="1073" w:type="dxa"/>
            <w:tcBorders>
              <w:left w:val="single" w:sz="4" w:space="0" w:color="5B9BD4"/>
              <w:bottom w:val="single" w:sz="4" w:space="0" w:color="5B9BD4"/>
              <w:right w:val="single" w:sz="4" w:space="0" w:color="5B9BD4"/>
            </w:tcBorders>
            <w:shd w:val="clear" w:color="auto" w:fill="DDEBF7"/>
          </w:tcPr>
          <w:p>
            <w:pPr/>
          </w:p>
        </w:tc>
        <w:tc>
          <w:tcPr>
            <w:tcW w:w="1190" w:type="dxa"/>
            <w:tcBorders>
              <w:left w:val="single" w:sz="4" w:space="0" w:color="5B9BD4"/>
              <w:bottom w:val="single" w:sz="4" w:space="0" w:color="5B9BD4"/>
            </w:tcBorders>
            <w:shd w:val="clear" w:color="auto" w:fill="DDEBF7"/>
          </w:tcPr>
          <w:p>
            <w:pPr/>
          </w:p>
        </w:tc>
      </w:tr>
    </w:tbl>
    <w:p>
      <w:pPr>
        <w:spacing w:after="0"/>
        <w:sectPr>
          <w:footerReference w:type="default" r:id="rId40"/>
          <w:pgSz w:w="15840" w:h="12240" w:orient="landscape"/>
          <w:pgMar w:footer="887" w:header="0" w:top="1140" w:bottom="1080" w:left="1300" w:right="1300"/>
          <w:pgNumType w:start="41"/>
        </w:sectPr>
      </w:pPr>
    </w:p>
    <w:p>
      <w:pPr>
        <w:pStyle w:val="BodyText"/>
        <w:spacing w:before="2" w:after="1"/>
        <w:rPr>
          <w:rFonts w:ascii="Times New Roman"/>
        </w:rPr>
      </w:pPr>
    </w:p>
    <w:tbl>
      <w:tblPr>
        <w:tblW w:w="0" w:type="auto"/>
        <w:jc w:val="left"/>
        <w:tblInd w:w="118" w:type="dxa"/>
        <w:tblBorders>
          <w:top w:val="single" w:sz="4" w:space="0" w:color="4471C4"/>
          <w:left w:val="single" w:sz="4" w:space="0" w:color="4471C4"/>
          <w:bottom w:val="single" w:sz="4" w:space="0" w:color="4471C4"/>
          <w:right w:val="single" w:sz="4" w:space="0" w:color="4471C4"/>
          <w:insideH w:val="single" w:sz="4" w:space="0" w:color="4471C4"/>
          <w:insideV w:val="single" w:sz="4" w:space="0" w:color="4471C4"/>
        </w:tblBorders>
        <w:tblLayout w:type="fixed"/>
        <w:tblCellMar>
          <w:top w:w="0" w:type="dxa"/>
          <w:left w:w="0" w:type="dxa"/>
          <w:bottom w:w="0" w:type="dxa"/>
          <w:right w:w="0" w:type="dxa"/>
        </w:tblCellMar>
        <w:tblLook w:val="01E0"/>
      </w:tblPr>
      <w:tblGrid>
        <w:gridCol w:w="382"/>
        <w:gridCol w:w="4009"/>
        <w:gridCol w:w="1262"/>
        <w:gridCol w:w="1203"/>
        <w:gridCol w:w="1181"/>
        <w:gridCol w:w="1262"/>
        <w:gridCol w:w="1433"/>
        <w:gridCol w:w="1073"/>
        <w:gridCol w:w="1190"/>
      </w:tblGrid>
      <w:tr>
        <w:trPr>
          <w:trHeight w:val="310" w:hRule="exact"/>
        </w:trPr>
        <w:tc>
          <w:tcPr>
            <w:tcW w:w="382" w:type="dxa"/>
            <w:tcBorders>
              <w:right w:val="single" w:sz="4" w:space="0" w:color="5B9BD4"/>
            </w:tcBorders>
          </w:tcPr>
          <w:p>
            <w:pPr>
              <w:pStyle w:val="TableParagraph"/>
              <w:ind w:left="62" w:right="46"/>
              <w:jc w:val="center"/>
              <w:rPr>
                <w:sz w:val="22"/>
              </w:rPr>
            </w:pPr>
            <w:r>
              <w:rPr>
                <w:sz w:val="22"/>
              </w:rPr>
              <w:t>26</w:t>
            </w:r>
          </w:p>
        </w:tc>
        <w:tc>
          <w:tcPr>
            <w:tcW w:w="4009" w:type="dxa"/>
            <w:tcBorders>
              <w:left w:val="single" w:sz="4" w:space="0" w:color="5B9BD4"/>
              <w:right w:val="single" w:sz="4" w:space="0" w:color="5B9BD4"/>
            </w:tcBorders>
          </w:tcPr>
          <w:p>
            <w:pPr>
              <w:pStyle w:val="TableParagraph"/>
              <w:rPr>
                <w:sz w:val="22"/>
              </w:rPr>
            </w:pPr>
            <w:r>
              <w:rPr>
                <w:sz w:val="22"/>
              </w:rPr>
              <w:t>MAYA SANTOS RENE</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27</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MEJIA ALPIZAR CHRISTIAN GABRIEL</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28</w:t>
            </w:r>
          </w:p>
        </w:tc>
        <w:tc>
          <w:tcPr>
            <w:tcW w:w="4009" w:type="dxa"/>
            <w:tcBorders>
              <w:left w:val="single" w:sz="4" w:space="0" w:color="5B9BD4"/>
              <w:right w:val="single" w:sz="4" w:space="0" w:color="5B9BD4"/>
            </w:tcBorders>
          </w:tcPr>
          <w:p>
            <w:pPr>
              <w:pStyle w:val="TableParagraph"/>
              <w:rPr>
                <w:sz w:val="22"/>
              </w:rPr>
            </w:pPr>
            <w:r>
              <w:rPr>
                <w:sz w:val="22"/>
              </w:rPr>
              <w:t>MONTES CASAS JUAN PABLO</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spacing w:before="30"/>
              <w:ind w:left="62" w:right="46"/>
              <w:jc w:val="center"/>
              <w:rPr>
                <w:sz w:val="22"/>
              </w:rPr>
            </w:pPr>
            <w:r>
              <w:rPr>
                <w:sz w:val="22"/>
              </w:rPr>
              <w:t>29</w:t>
            </w:r>
          </w:p>
        </w:tc>
        <w:tc>
          <w:tcPr>
            <w:tcW w:w="4009" w:type="dxa"/>
            <w:tcBorders>
              <w:left w:val="single" w:sz="4" w:space="0" w:color="5B9BD4"/>
              <w:right w:val="single" w:sz="4" w:space="0" w:color="5B9BD4"/>
            </w:tcBorders>
            <w:shd w:val="clear" w:color="auto" w:fill="DDEBF7"/>
          </w:tcPr>
          <w:p>
            <w:pPr>
              <w:pStyle w:val="TableParagraph"/>
              <w:spacing w:before="30"/>
              <w:rPr>
                <w:sz w:val="22"/>
              </w:rPr>
            </w:pPr>
            <w:r>
              <w:rPr>
                <w:sz w:val="22"/>
              </w:rPr>
              <w:t>MORA MEDINA LAZARO MOISES</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2" w:hRule="exact"/>
        </w:trPr>
        <w:tc>
          <w:tcPr>
            <w:tcW w:w="382" w:type="dxa"/>
            <w:tcBorders>
              <w:right w:val="single" w:sz="4" w:space="0" w:color="5B9BD4"/>
            </w:tcBorders>
          </w:tcPr>
          <w:p>
            <w:pPr>
              <w:pStyle w:val="TableParagraph"/>
              <w:spacing w:before="30"/>
              <w:ind w:left="62" w:right="46"/>
              <w:jc w:val="center"/>
              <w:rPr>
                <w:sz w:val="22"/>
              </w:rPr>
            </w:pPr>
            <w:r>
              <w:rPr>
                <w:sz w:val="22"/>
              </w:rPr>
              <w:t>30</w:t>
            </w:r>
          </w:p>
        </w:tc>
        <w:tc>
          <w:tcPr>
            <w:tcW w:w="4009" w:type="dxa"/>
            <w:tcBorders>
              <w:left w:val="single" w:sz="4" w:space="0" w:color="5B9BD4"/>
              <w:right w:val="single" w:sz="4" w:space="0" w:color="5B9BD4"/>
            </w:tcBorders>
          </w:tcPr>
          <w:p>
            <w:pPr>
              <w:pStyle w:val="TableParagraph"/>
              <w:spacing w:before="30"/>
              <w:rPr>
                <w:sz w:val="22"/>
              </w:rPr>
            </w:pPr>
            <w:r>
              <w:rPr>
                <w:sz w:val="22"/>
              </w:rPr>
              <w:t>MORALES GARCIA MARIA GUADALUPE</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31</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MORALES JAIMES JUAN CARLOS</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32</w:t>
            </w:r>
          </w:p>
        </w:tc>
        <w:tc>
          <w:tcPr>
            <w:tcW w:w="4009" w:type="dxa"/>
            <w:tcBorders>
              <w:left w:val="single" w:sz="4" w:space="0" w:color="5B9BD4"/>
              <w:right w:val="single" w:sz="4" w:space="0" w:color="5B9BD4"/>
            </w:tcBorders>
          </w:tcPr>
          <w:p>
            <w:pPr>
              <w:pStyle w:val="TableParagraph"/>
              <w:rPr>
                <w:sz w:val="22"/>
              </w:rPr>
            </w:pPr>
            <w:r>
              <w:rPr>
                <w:sz w:val="22"/>
              </w:rPr>
              <w:t>MORALES RAMIREZ BERENICE JAZMIN</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33</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MORALES SANTOS KAREN DANAHI</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34</w:t>
            </w:r>
          </w:p>
        </w:tc>
        <w:tc>
          <w:tcPr>
            <w:tcW w:w="4009" w:type="dxa"/>
            <w:tcBorders>
              <w:left w:val="single" w:sz="4" w:space="0" w:color="5B9BD4"/>
              <w:right w:val="single" w:sz="4" w:space="0" w:color="5B9BD4"/>
            </w:tcBorders>
          </w:tcPr>
          <w:p>
            <w:pPr>
              <w:pStyle w:val="TableParagraph"/>
              <w:rPr>
                <w:sz w:val="22"/>
              </w:rPr>
            </w:pPr>
            <w:r>
              <w:rPr>
                <w:sz w:val="22"/>
              </w:rPr>
              <w:t>MORENO PEREZ MARIELA</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spacing w:before="30"/>
              <w:ind w:left="62" w:right="46"/>
              <w:jc w:val="center"/>
              <w:rPr>
                <w:sz w:val="22"/>
              </w:rPr>
            </w:pPr>
            <w:r>
              <w:rPr>
                <w:sz w:val="22"/>
              </w:rPr>
              <w:t>35</w:t>
            </w:r>
          </w:p>
        </w:tc>
        <w:tc>
          <w:tcPr>
            <w:tcW w:w="4009" w:type="dxa"/>
            <w:tcBorders>
              <w:left w:val="single" w:sz="4" w:space="0" w:color="5B9BD4"/>
              <w:right w:val="single" w:sz="4" w:space="0" w:color="5B9BD4"/>
            </w:tcBorders>
            <w:shd w:val="clear" w:color="auto" w:fill="DDEBF7"/>
          </w:tcPr>
          <w:p>
            <w:pPr>
              <w:pStyle w:val="TableParagraph"/>
              <w:spacing w:before="30"/>
              <w:rPr>
                <w:sz w:val="22"/>
              </w:rPr>
            </w:pPr>
            <w:r>
              <w:rPr>
                <w:sz w:val="22"/>
              </w:rPr>
              <w:t>NOVA MORALES ANDREA ITZEL</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2" w:hRule="exact"/>
        </w:trPr>
        <w:tc>
          <w:tcPr>
            <w:tcW w:w="382" w:type="dxa"/>
            <w:tcBorders>
              <w:right w:val="single" w:sz="4" w:space="0" w:color="5B9BD4"/>
            </w:tcBorders>
          </w:tcPr>
          <w:p>
            <w:pPr>
              <w:pStyle w:val="TableParagraph"/>
              <w:spacing w:before="30"/>
              <w:ind w:left="62" w:right="46"/>
              <w:jc w:val="center"/>
              <w:rPr>
                <w:sz w:val="22"/>
              </w:rPr>
            </w:pPr>
            <w:r>
              <w:rPr>
                <w:sz w:val="22"/>
              </w:rPr>
              <w:t>36</w:t>
            </w:r>
          </w:p>
        </w:tc>
        <w:tc>
          <w:tcPr>
            <w:tcW w:w="4009" w:type="dxa"/>
            <w:tcBorders>
              <w:left w:val="single" w:sz="4" w:space="0" w:color="5B9BD4"/>
              <w:right w:val="single" w:sz="4" w:space="0" w:color="5B9BD4"/>
            </w:tcBorders>
          </w:tcPr>
          <w:p>
            <w:pPr>
              <w:pStyle w:val="TableParagraph"/>
              <w:spacing w:before="30"/>
              <w:rPr>
                <w:sz w:val="22"/>
              </w:rPr>
            </w:pPr>
            <w:r>
              <w:rPr>
                <w:sz w:val="22"/>
              </w:rPr>
              <w:t>ORTIZ RAFAEL LILIANA</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37</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PEREZ SUAREZ FERNANDA IRAZU</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38</w:t>
            </w:r>
          </w:p>
        </w:tc>
        <w:tc>
          <w:tcPr>
            <w:tcW w:w="4009" w:type="dxa"/>
            <w:tcBorders>
              <w:left w:val="single" w:sz="4" w:space="0" w:color="5B9BD4"/>
              <w:right w:val="single" w:sz="4" w:space="0" w:color="5B9BD4"/>
            </w:tcBorders>
          </w:tcPr>
          <w:p>
            <w:pPr>
              <w:pStyle w:val="TableParagraph"/>
              <w:rPr>
                <w:sz w:val="22"/>
              </w:rPr>
            </w:pPr>
            <w:r>
              <w:rPr>
                <w:sz w:val="22"/>
              </w:rPr>
              <w:t>PUEBLA CAMPUZANO KAREN DAYAN</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39</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RAMOS JAIMES CARLOS ALBERTO</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40</w:t>
            </w:r>
          </w:p>
        </w:tc>
        <w:tc>
          <w:tcPr>
            <w:tcW w:w="4009" w:type="dxa"/>
            <w:tcBorders>
              <w:left w:val="single" w:sz="4" w:space="0" w:color="5B9BD4"/>
              <w:right w:val="single" w:sz="4" w:space="0" w:color="5B9BD4"/>
            </w:tcBorders>
          </w:tcPr>
          <w:p>
            <w:pPr>
              <w:pStyle w:val="TableParagraph"/>
              <w:rPr>
                <w:sz w:val="22"/>
              </w:rPr>
            </w:pPr>
            <w:r>
              <w:rPr>
                <w:sz w:val="22"/>
              </w:rPr>
              <w:t>RIVERA  MORALES ALAN ALEXANDER</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spacing w:before="30"/>
              <w:ind w:left="62" w:right="46"/>
              <w:jc w:val="center"/>
              <w:rPr>
                <w:sz w:val="22"/>
              </w:rPr>
            </w:pPr>
            <w:r>
              <w:rPr>
                <w:sz w:val="22"/>
              </w:rPr>
              <w:t>41</w:t>
            </w:r>
          </w:p>
        </w:tc>
        <w:tc>
          <w:tcPr>
            <w:tcW w:w="4009" w:type="dxa"/>
            <w:tcBorders>
              <w:left w:val="single" w:sz="4" w:space="0" w:color="5B9BD4"/>
              <w:right w:val="single" w:sz="4" w:space="0" w:color="5B9BD4"/>
            </w:tcBorders>
            <w:shd w:val="clear" w:color="auto" w:fill="DDEBF7"/>
          </w:tcPr>
          <w:p>
            <w:pPr>
              <w:pStyle w:val="TableParagraph"/>
              <w:spacing w:before="30"/>
              <w:rPr>
                <w:sz w:val="22"/>
              </w:rPr>
            </w:pPr>
            <w:r>
              <w:rPr>
                <w:sz w:val="22"/>
              </w:rPr>
              <w:t>RICO BERNAL FATIMA SOFIA</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2" w:hRule="exact"/>
        </w:trPr>
        <w:tc>
          <w:tcPr>
            <w:tcW w:w="382" w:type="dxa"/>
            <w:tcBorders>
              <w:right w:val="single" w:sz="4" w:space="0" w:color="5B9BD4"/>
            </w:tcBorders>
          </w:tcPr>
          <w:p>
            <w:pPr>
              <w:pStyle w:val="TableParagraph"/>
              <w:spacing w:before="31"/>
              <w:ind w:left="62" w:right="46"/>
              <w:jc w:val="center"/>
              <w:rPr>
                <w:sz w:val="22"/>
              </w:rPr>
            </w:pPr>
            <w:r>
              <w:rPr>
                <w:sz w:val="22"/>
              </w:rPr>
              <w:t>42</w:t>
            </w:r>
          </w:p>
        </w:tc>
        <w:tc>
          <w:tcPr>
            <w:tcW w:w="4009" w:type="dxa"/>
            <w:tcBorders>
              <w:left w:val="single" w:sz="4" w:space="0" w:color="5B9BD4"/>
              <w:right w:val="single" w:sz="4" w:space="0" w:color="5B9BD4"/>
            </w:tcBorders>
          </w:tcPr>
          <w:p>
            <w:pPr>
              <w:pStyle w:val="TableParagraph"/>
              <w:spacing w:before="31"/>
              <w:rPr>
                <w:sz w:val="22"/>
              </w:rPr>
            </w:pPr>
            <w:r>
              <w:rPr>
                <w:sz w:val="22"/>
              </w:rPr>
              <w:t>ROCHA ESCOBAR GENESIS</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43</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TORRES GARCIA YATZIRI</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44</w:t>
            </w:r>
          </w:p>
        </w:tc>
        <w:tc>
          <w:tcPr>
            <w:tcW w:w="4009" w:type="dxa"/>
            <w:tcBorders>
              <w:left w:val="single" w:sz="4" w:space="0" w:color="5B9BD4"/>
              <w:right w:val="single" w:sz="4" w:space="0" w:color="5B9BD4"/>
            </w:tcBorders>
          </w:tcPr>
          <w:p>
            <w:pPr>
              <w:pStyle w:val="TableParagraph"/>
              <w:rPr>
                <w:sz w:val="22"/>
              </w:rPr>
            </w:pPr>
            <w:r>
              <w:rPr>
                <w:sz w:val="22"/>
              </w:rPr>
              <w:t>VARELA VAZQUEZ RICARDO</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0" w:hRule="exact"/>
        </w:trPr>
        <w:tc>
          <w:tcPr>
            <w:tcW w:w="382" w:type="dxa"/>
            <w:tcBorders>
              <w:right w:val="single" w:sz="4" w:space="0" w:color="5B9BD4"/>
            </w:tcBorders>
            <w:shd w:val="clear" w:color="auto" w:fill="DDEBF7"/>
          </w:tcPr>
          <w:p>
            <w:pPr>
              <w:pStyle w:val="TableParagraph"/>
              <w:ind w:left="62" w:right="46"/>
              <w:jc w:val="center"/>
              <w:rPr>
                <w:sz w:val="22"/>
              </w:rPr>
            </w:pPr>
            <w:r>
              <w:rPr>
                <w:sz w:val="22"/>
              </w:rPr>
              <w:t>45</w:t>
            </w:r>
          </w:p>
        </w:tc>
        <w:tc>
          <w:tcPr>
            <w:tcW w:w="4009" w:type="dxa"/>
            <w:tcBorders>
              <w:left w:val="single" w:sz="4" w:space="0" w:color="5B9BD4"/>
              <w:right w:val="single" w:sz="4" w:space="0" w:color="5B9BD4"/>
            </w:tcBorders>
            <w:shd w:val="clear" w:color="auto" w:fill="DDEBF7"/>
          </w:tcPr>
          <w:p>
            <w:pPr>
              <w:pStyle w:val="TableParagraph"/>
              <w:rPr>
                <w:sz w:val="22"/>
              </w:rPr>
            </w:pPr>
            <w:r>
              <w:rPr>
                <w:sz w:val="22"/>
              </w:rPr>
              <w:t>VARGAS LOZA GUSTAVO JOVANI</w:t>
            </w:r>
          </w:p>
        </w:tc>
        <w:tc>
          <w:tcPr>
            <w:tcW w:w="1262" w:type="dxa"/>
            <w:tcBorders>
              <w:left w:val="single" w:sz="4" w:space="0" w:color="5B9BD4"/>
              <w:right w:val="single" w:sz="4" w:space="0" w:color="5B9BD4"/>
            </w:tcBorders>
            <w:shd w:val="clear" w:color="auto" w:fill="DDEBF7"/>
          </w:tcPr>
          <w:p>
            <w:pPr/>
          </w:p>
        </w:tc>
        <w:tc>
          <w:tcPr>
            <w:tcW w:w="1203" w:type="dxa"/>
            <w:tcBorders>
              <w:left w:val="single" w:sz="4" w:space="0" w:color="5B9BD4"/>
              <w:right w:val="single" w:sz="4" w:space="0" w:color="5B9BD4"/>
            </w:tcBorders>
            <w:shd w:val="clear" w:color="auto" w:fill="DDEBF7"/>
          </w:tcPr>
          <w:p>
            <w:pPr/>
          </w:p>
        </w:tc>
        <w:tc>
          <w:tcPr>
            <w:tcW w:w="1181" w:type="dxa"/>
            <w:tcBorders>
              <w:left w:val="single" w:sz="4" w:space="0" w:color="5B9BD4"/>
              <w:right w:val="single" w:sz="4" w:space="0" w:color="5B9BD4"/>
            </w:tcBorders>
            <w:shd w:val="clear" w:color="auto" w:fill="DDEBF7"/>
          </w:tcPr>
          <w:p>
            <w:pPr/>
          </w:p>
        </w:tc>
        <w:tc>
          <w:tcPr>
            <w:tcW w:w="1262" w:type="dxa"/>
            <w:tcBorders>
              <w:left w:val="single" w:sz="4" w:space="0" w:color="5B9BD4"/>
              <w:right w:val="single" w:sz="4" w:space="0" w:color="5B9BD4"/>
            </w:tcBorders>
            <w:shd w:val="clear" w:color="auto" w:fill="DDEBF7"/>
          </w:tcPr>
          <w:p>
            <w:pPr/>
          </w:p>
        </w:tc>
        <w:tc>
          <w:tcPr>
            <w:tcW w:w="1433" w:type="dxa"/>
            <w:tcBorders>
              <w:left w:val="single" w:sz="4" w:space="0" w:color="5B9BD4"/>
              <w:right w:val="single" w:sz="4" w:space="0" w:color="5B9BD4"/>
            </w:tcBorders>
            <w:shd w:val="clear" w:color="auto" w:fill="DDEBF7"/>
          </w:tcPr>
          <w:p>
            <w:pPr/>
          </w:p>
        </w:tc>
        <w:tc>
          <w:tcPr>
            <w:tcW w:w="1073" w:type="dxa"/>
            <w:tcBorders>
              <w:left w:val="single" w:sz="4" w:space="0" w:color="5B9BD4"/>
              <w:right w:val="single" w:sz="4" w:space="0" w:color="5B9BD4"/>
            </w:tcBorders>
            <w:shd w:val="clear" w:color="auto" w:fill="DDEBF7"/>
          </w:tcPr>
          <w:p>
            <w:pPr/>
          </w:p>
        </w:tc>
        <w:tc>
          <w:tcPr>
            <w:tcW w:w="1190" w:type="dxa"/>
            <w:tcBorders>
              <w:left w:val="single" w:sz="4" w:space="0" w:color="5B9BD4"/>
            </w:tcBorders>
            <w:shd w:val="clear" w:color="auto" w:fill="DDEBF7"/>
          </w:tcPr>
          <w:p>
            <w:pPr/>
          </w:p>
        </w:tc>
      </w:tr>
      <w:tr>
        <w:trPr>
          <w:trHeight w:val="310" w:hRule="exact"/>
        </w:trPr>
        <w:tc>
          <w:tcPr>
            <w:tcW w:w="382" w:type="dxa"/>
            <w:tcBorders>
              <w:right w:val="single" w:sz="4" w:space="0" w:color="5B9BD4"/>
            </w:tcBorders>
          </w:tcPr>
          <w:p>
            <w:pPr>
              <w:pStyle w:val="TableParagraph"/>
              <w:ind w:left="62" w:right="46"/>
              <w:jc w:val="center"/>
              <w:rPr>
                <w:sz w:val="22"/>
              </w:rPr>
            </w:pPr>
            <w:r>
              <w:rPr>
                <w:sz w:val="22"/>
              </w:rPr>
              <w:t>46</w:t>
            </w:r>
          </w:p>
        </w:tc>
        <w:tc>
          <w:tcPr>
            <w:tcW w:w="4009" w:type="dxa"/>
            <w:tcBorders>
              <w:left w:val="single" w:sz="4" w:space="0" w:color="5B9BD4"/>
              <w:right w:val="single" w:sz="4" w:space="0" w:color="5B9BD4"/>
            </w:tcBorders>
          </w:tcPr>
          <w:p>
            <w:pPr>
              <w:pStyle w:val="TableParagraph"/>
              <w:rPr>
                <w:sz w:val="22"/>
              </w:rPr>
            </w:pPr>
            <w:r>
              <w:rPr>
                <w:sz w:val="22"/>
              </w:rPr>
              <w:t>VARGAS RAMIREZ ANGEL GABRIEL</w:t>
            </w:r>
          </w:p>
        </w:tc>
        <w:tc>
          <w:tcPr>
            <w:tcW w:w="1262" w:type="dxa"/>
            <w:tcBorders>
              <w:left w:val="single" w:sz="4" w:space="0" w:color="5B9BD4"/>
              <w:right w:val="single" w:sz="4" w:space="0" w:color="5B9BD4"/>
            </w:tcBorders>
          </w:tcPr>
          <w:p>
            <w:pPr/>
          </w:p>
        </w:tc>
        <w:tc>
          <w:tcPr>
            <w:tcW w:w="1203" w:type="dxa"/>
            <w:tcBorders>
              <w:left w:val="single" w:sz="4" w:space="0" w:color="5B9BD4"/>
              <w:right w:val="single" w:sz="4" w:space="0" w:color="5B9BD4"/>
            </w:tcBorders>
          </w:tcPr>
          <w:p>
            <w:pPr/>
          </w:p>
        </w:tc>
        <w:tc>
          <w:tcPr>
            <w:tcW w:w="1181" w:type="dxa"/>
            <w:tcBorders>
              <w:left w:val="single" w:sz="4" w:space="0" w:color="5B9BD4"/>
              <w:right w:val="single" w:sz="4" w:space="0" w:color="5B9BD4"/>
            </w:tcBorders>
          </w:tcPr>
          <w:p>
            <w:pPr/>
          </w:p>
        </w:tc>
        <w:tc>
          <w:tcPr>
            <w:tcW w:w="1262" w:type="dxa"/>
            <w:tcBorders>
              <w:left w:val="single" w:sz="4" w:space="0" w:color="5B9BD4"/>
              <w:right w:val="single" w:sz="4" w:space="0" w:color="5B9BD4"/>
            </w:tcBorders>
          </w:tcPr>
          <w:p>
            <w:pPr/>
          </w:p>
        </w:tc>
        <w:tc>
          <w:tcPr>
            <w:tcW w:w="1433" w:type="dxa"/>
            <w:tcBorders>
              <w:left w:val="single" w:sz="4" w:space="0" w:color="5B9BD4"/>
              <w:right w:val="single" w:sz="4" w:space="0" w:color="5B9BD4"/>
            </w:tcBorders>
          </w:tcPr>
          <w:p>
            <w:pPr/>
          </w:p>
        </w:tc>
        <w:tc>
          <w:tcPr>
            <w:tcW w:w="1073" w:type="dxa"/>
            <w:tcBorders>
              <w:left w:val="single" w:sz="4" w:space="0" w:color="5B9BD4"/>
              <w:right w:val="single" w:sz="4" w:space="0" w:color="5B9BD4"/>
            </w:tcBorders>
          </w:tcPr>
          <w:p>
            <w:pPr/>
          </w:p>
        </w:tc>
        <w:tc>
          <w:tcPr>
            <w:tcW w:w="1190" w:type="dxa"/>
            <w:tcBorders>
              <w:left w:val="single" w:sz="4" w:space="0" w:color="5B9BD4"/>
            </w:tcBorders>
          </w:tcPr>
          <w:p>
            <w:pPr/>
          </w:p>
        </w:tc>
      </w:tr>
      <w:tr>
        <w:trPr>
          <w:trHeight w:val="311" w:hRule="exact"/>
        </w:trPr>
        <w:tc>
          <w:tcPr>
            <w:tcW w:w="382" w:type="dxa"/>
            <w:tcBorders>
              <w:bottom w:val="single" w:sz="4" w:space="0" w:color="5B9BD4"/>
              <w:right w:val="single" w:sz="4" w:space="0" w:color="5B9BD4"/>
            </w:tcBorders>
            <w:shd w:val="clear" w:color="auto" w:fill="DDEBF7"/>
          </w:tcPr>
          <w:p>
            <w:pPr>
              <w:pStyle w:val="TableParagraph"/>
              <w:spacing w:before="30"/>
              <w:ind w:left="62" w:right="46"/>
              <w:jc w:val="center"/>
              <w:rPr>
                <w:sz w:val="22"/>
              </w:rPr>
            </w:pPr>
            <w:r>
              <w:rPr>
                <w:sz w:val="22"/>
              </w:rPr>
              <w:t>47</w:t>
            </w:r>
          </w:p>
        </w:tc>
        <w:tc>
          <w:tcPr>
            <w:tcW w:w="4009" w:type="dxa"/>
            <w:tcBorders>
              <w:left w:val="single" w:sz="4" w:space="0" w:color="5B9BD4"/>
              <w:bottom w:val="single" w:sz="4" w:space="0" w:color="5B9BD4"/>
              <w:right w:val="single" w:sz="4" w:space="0" w:color="5B9BD4"/>
            </w:tcBorders>
            <w:shd w:val="clear" w:color="auto" w:fill="DDEBF7"/>
          </w:tcPr>
          <w:p>
            <w:pPr>
              <w:pStyle w:val="TableParagraph"/>
              <w:spacing w:before="30"/>
              <w:rPr>
                <w:sz w:val="22"/>
              </w:rPr>
            </w:pPr>
            <w:r>
              <w:rPr>
                <w:sz w:val="22"/>
              </w:rPr>
              <w:t>VAZQUEZ LOPEZ GERARDO</w:t>
            </w:r>
          </w:p>
        </w:tc>
        <w:tc>
          <w:tcPr>
            <w:tcW w:w="1262" w:type="dxa"/>
            <w:tcBorders>
              <w:left w:val="single" w:sz="4" w:space="0" w:color="5B9BD4"/>
              <w:bottom w:val="single" w:sz="4" w:space="0" w:color="5B9BD4"/>
              <w:right w:val="single" w:sz="4" w:space="0" w:color="5B9BD4"/>
            </w:tcBorders>
            <w:shd w:val="clear" w:color="auto" w:fill="DDEBF7"/>
          </w:tcPr>
          <w:p>
            <w:pPr/>
          </w:p>
        </w:tc>
        <w:tc>
          <w:tcPr>
            <w:tcW w:w="1203" w:type="dxa"/>
            <w:tcBorders>
              <w:left w:val="single" w:sz="4" w:space="0" w:color="5B9BD4"/>
              <w:bottom w:val="single" w:sz="4" w:space="0" w:color="5B9BD4"/>
              <w:right w:val="single" w:sz="4" w:space="0" w:color="5B9BD4"/>
            </w:tcBorders>
            <w:shd w:val="clear" w:color="auto" w:fill="DDEBF7"/>
          </w:tcPr>
          <w:p>
            <w:pPr/>
          </w:p>
        </w:tc>
        <w:tc>
          <w:tcPr>
            <w:tcW w:w="1181" w:type="dxa"/>
            <w:tcBorders>
              <w:left w:val="single" w:sz="4" w:space="0" w:color="5B9BD4"/>
              <w:bottom w:val="single" w:sz="4" w:space="0" w:color="5B9BD4"/>
              <w:right w:val="single" w:sz="4" w:space="0" w:color="5B9BD4"/>
            </w:tcBorders>
            <w:shd w:val="clear" w:color="auto" w:fill="DDEBF7"/>
          </w:tcPr>
          <w:p>
            <w:pPr/>
          </w:p>
        </w:tc>
        <w:tc>
          <w:tcPr>
            <w:tcW w:w="1262" w:type="dxa"/>
            <w:tcBorders>
              <w:left w:val="single" w:sz="4" w:space="0" w:color="5B9BD4"/>
              <w:bottom w:val="single" w:sz="4" w:space="0" w:color="5B9BD4"/>
              <w:right w:val="single" w:sz="4" w:space="0" w:color="5B9BD4"/>
            </w:tcBorders>
            <w:shd w:val="clear" w:color="auto" w:fill="DDEBF7"/>
          </w:tcPr>
          <w:p>
            <w:pPr/>
          </w:p>
        </w:tc>
        <w:tc>
          <w:tcPr>
            <w:tcW w:w="1433" w:type="dxa"/>
            <w:tcBorders>
              <w:left w:val="single" w:sz="4" w:space="0" w:color="5B9BD4"/>
              <w:bottom w:val="single" w:sz="4" w:space="0" w:color="5B9BD4"/>
              <w:right w:val="single" w:sz="4" w:space="0" w:color="5B9BD4"/>
            </w:tcBorders>
            <w:shd w:val="clear" w:color="auto" w:fill="DDEBF7"/>
          </w:tcPr>
          <w:p>
            <w:pPr/>
          </w:p>
        </w:tc>
        <w:tc>
          <w:tcPr>
            <w:tcW w:w="1073" w:type="dxa"/>
            <w:tcBorders>
              <w:left w:val="single" w:sz="4" w:space="0" w:color="5B9BD4"/>
              <w:bottom w:val="single" w:sz="4" w:space="0" w:color="5B9BD4"/>
              <w:right w:val="single" w:sz="4" w:space="0" w:color="5B9BD4"/>
            </w:tcBorders>
            <w:shd w:val="clear" w:color="auto" w:fill="DDEBF7"/>
          </w:tcPr>
          <w:p>
            <w:pPr/>
          </w:p>
        </w:tc>
        <w:tc>
          <w:tcPr>
            <w:tcW w:w="1190" w:type="dxa"/>
            <w:tcBorders>
              <w:left w:val="single" w:sz="4" w:space="0" w:color="5B9BD4"/>
              <w:bottom w:val="single" w:sz="4" w:space="0" w:color="5B9BD4"/>
            </w:tcBorders>
            <w:shd w:val="clear" w:color="auto" w:fill="DDEBF7"/>
          </w:tcPr>
          <w:p>
            <w:pPr/>
          </w:p>
        </w:tc>
      </w:tr>
    </w:tbl>
    <w:p>
      <w:pPr>
        <w:spacing w:after="0"/>
        <w:sectPr>
          <w:pgSz w:w="15840" w:h="12240" w:orient="landscape"/>
          <w:pgMar w:header="0" w:footer="887" w:top="1140" w:bottom="1080" w:left="1300" w:right="1300"/>
        </w:sectPr>
      </w:pPr>
    </w:p>
    <w:p>
      <w:pPr>
        <w:pStyle w:val="BodyText"/>
        <w:spacing w:before="9"/>
        <w:rPr>
          <w:rFonts w:ascii="Times New Roman"/>
          <w:sz w:val="17"/>
        </w:rPr>
      </w:pPr>
    </w:p>
    <w:p>
      <w:pPr>
        <w:pStyle w:val="BodyText"/>
        <w:spacing w:before="70"/>
        <w:ind w:left="118"/>
      </w:pPr>
      <w:r>
        <w:rPr/>
        <w:t>Anexo 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group style="position:absolute;margin-left:163.300003pt;margin-top:15.78291pt;width:496pt;height:260.45pt;mso-position-horizontal-relative:page;mso-position-vertical-relative:paragraph;z-index:1240;mso-wrap-distance-left:0;mso-wrap-distance-right:0" coordorigin="3266,316" coordsize="9920,5209">
            <v:shape style="position:absolute;left:3276;top:326;width:9900;height:5189" coordorigin="3276,326" coordsize="9900,5189" path="m3276,1190l3279,1116,3289,1043,3304,972,3325,904,3351,838,3382,774,3419,714,3460,657,3505,604,3555,555,3608,509,3665,468,3725,432,3788,401,3854,374,3922,353,3993,338,4066,329,4141,326,12311,326,12386,329,12459,338,12530,353,12598,374,12664,401,12727,432,12787,468,12844,509,12897,555,12947,604,12992,657,13033,714,13070,774,13101,838,13127,904,13148,972,13163,1043,13173,1116,13176,1190,13176,4650,13173,4724,13163,4797,13148,4868,13127,4937,13101,5003,13070,5066,13033,5126,12992,5183,12947,5236,12897,5285,12844,5331,12787,5372,12727,5408,12664,5439,12598,5466,12530,5487,12459,5502,12386,5511,12311,5514,4141,5514,4066,5511,3993,5502,3922,5487,3854,5466,3788,5439,3725,5408,3665,5372,3608,5331,3555,5285,3505,5236,3460,5183,3419,5126,3382,5066,3351,5003,3325,4937,3304,4868,3289,4797,3279,4724,3276,4650,3276,1190xe" filled="false" stroked="true" strokeweight=".96pt" strokecolor="#5b9bd4">
              <v:path arrowok="t"/>
            </v:shape>
            <v:shape style="position:absolute;left:3684;top:2007;width:9090;height:656" type="#_x0000_t202" filled="false" stroked="false">
              <v:textbox inset="0,0,0,0">
                <w:txbxContent>
                  <w:p>
                    <w:pPr>
                      <w:spacing w:line="245" w:lineRule="exact" w:before="0"/>
                      <w:ind w:left="0" w:right="0" w:firstLine="0"/>
                      <w:jc w:val="left"/>
                      <w:rPr>
                        <w:sz w:val="24"/>
                      </w:rPr>
                    </w:pPr>
                    <w:r>
                      <w:rPr>
                        <w:sz w:val="24"/>
                      </w:rPr>
                      <w:t>Por medio del presente me permito informarle los resultados de la revisión dental  de</w:t>
                    </w:r>
                  </w:p>
                  <w:p>
                    <w:pPr>
                      <w:tabs>
                        <w:tab w:pos="7049" w:val="left" w:leader="none"/>
                      </w:tabs>
                      <w:spacing w:line="271" w:lineRule="exact" w:before="139"/>
                      <w:ind w:left="0" w:right="0" w:firstLine="0"/>
                      <w:jc w:val="left"/>
                      <w:rPr>
                        <w:sz w:val="24"/>
                      </w:rPr>
                    </w:pPr>
                    <w:r>
                      <w:rPr>
                        <w:sz w:val="24"/>
                      </w:rPr>
                      <w:t>su hijo</w:t>
                    </w:r>
                    <w:r>
                      <w:rPr>
                        <w:spacing w:val="-1"/>
                        <w:sz w:val="24"/>
                      </w:rPr>
                      <w:t> </w:t>
                    </w:r>
                    <w:r>
                      <w:rPr>
                        <w:sz w:val="24"/>
                      </w:rPr>
                      <w:t>(a) </w:t>
                    </w:r>
                    <w:r>
                      <w:rPr>
                        <w:w w:val="100"/>
                        <w:sz w:val="24"/>
                        <w:u w:val="single"/>
                      </w:rPr>
                      <w:t> </w:t>
                    </w:r>
                    <w:r>
                      <w:rPr>
                        <w:sz w:val="24"/>
                        <w:u w:val="single"/>
                      </w:rPr>
                      <w:tab/>
                    </w:r>
                  </w:p>
                </w:txbxContent>
              </v:textbox>
              <w10:wrap type="none"/>
            </v:shape>
            <v:shape style="position:absolute;left:3684;top:3250;width:3802;height:1068" type="#_x0000_t202" filled="false" stroked="false">
              <v:textbox inset="0,0,0,0">
                <w:txbxContent>
                  <w:p>
                    <w:pPr>
                      <w:spacing w:line="245" w:lineRule="exact" w:before="0"/>
                      <w:ind w:left="0" w:right="-20" w:firstLine="0"/>
                      <w:jc w:val="left"/>
                      <w:rPr>
                        <w:sz w:val="24"/>
                      </w:rPr>
                    </w:pPr>
                    <w:r>
                      <w:rPr>
                        <w:sz w:val="24"/>
                      </w:rPr>
                      <w:t>Los cuales son los siguientes:</w:t>
                    </w:r>
                  </w:p>
                  <w:p>
                    <w:pPr>
                      <w:spacing w:line="416" w:lineRule="exact" w:before="29"/>
                      <w:ind w:left="0" w:right="-20" w:firstLine="0"/>
                      <w:jc w:val="left"/>
                      <w:rPr>
                        <w:sz w:val="24"/>
                      </w:rPr>
                    </w:pPr>
                    <w:r>
                      <w:rPr>
                        <w:sz w:val="24"/>
                      </w:rPr>
                      <w:t>Requiere tratamientos restaurativos Colocación de un nuevo sellador</w:t>
                    </w:r>
                  </w:p>
                </w:txbxContent>
              </v:textbox>
              <w10:wrap type="none"/>
            </v:shape>
            <v:shape style="position:absolute;left:7819;top:3663;width:654;height:240" type="#_x0000_t202" filled="false" stroked="false">
              <v:textbox inset="0,0,0,0">
                <w:txbxContent>
                  <w:p>
                    <w:pPr>
                      <w:spacing w:line="240" w:lineRule="exact" w:before="0"/>
                      <w:ind w:left="0" w:right="-16" w:firstLine="0"/>
                      <w:jc w:val="left"/>
                      <w:rPr>
                        <w:sz w:val="24"/>
                      </w:rPr>
                    </w:pPr>
                    <w:r>
                      <w:rPr>
                        <w:sz w:val="24"/>
                      </w:rPr>
                      <w:t>SI ( </w:t>
                    </w:r>
                    <w:r>
                      <w:rPr>
                        <w:spacing w:val="63"/>
                        <w:sz w:val="24"/>
                      </w:rPr>
                      <w:t> </w:t>
                    </w:r>
                    <w:r>
                      <w:rPr>
                        <w:sz w:val="24"/>
                      </w:rPr>
                      <w:t>)</w:t>
                    </w:r>
                  </w:p>
                </w:txbxContent>
              </v:textbox>
              <w10:wrap type="none"/>
            </v:shape>
            <v:shape style="position:absolute;left:8738;top:3663;width:788;height:240" type="#_x0000_t202" filled="false" stroked="false">
              <v:textbox inset="0,0,0,0">
                <w:txbxContent>
                  <w:p>
                    <w:pPr>
                      <w:tabs>
                        <w:tab w:pos="707" w:val="left" w:leader="none"/>
                      </w:tabs>
                      <w:spacing w:line="240" w:lineRule="exact" w:before="0"/>
                      <w:ind w:left="0" w:right="0" w:firstLine="0"/>
                      <w:jc w:val="left"/>
                      <w:rPr>
                        <w:sz w:val="24"/>
                      </w:rPr>
                    </w:pPr>
                    <w:r>
                      <w:rPr>
                        <w:sz w:val="24"/>
                      </w:rPr>
                      <w:t>NO (</w:t>
                      <w:tab/>
                      <w:t>)</w:t>
                    </w:r>
                  </w:p>
                </w:txbxContent>
              </v:textbox>
              <w10:wrap type="none"/>
            </v:shape>
            <v:shape style="position:absolute;left:7501;top:4078;width:653;height:240" type="#_x0000_t202" filled="false" stroked="false">
              <v:textbox inset="0,0,0,0">
                <w:txbxContent>
                  <w:p>
                    <w:pPr>
                      <w:spacing w:line="240" w:lineRule="exact" w:before="0"/>
                      <w:ind w:left="0" w:right="-17" w:firstLine="0"/>
                      <w:jc w:val="left"/>
                      <w:rPr>
                        <w:sz w:val="24"/>
                      </w:rPr>
                    </w:pPr>
                    <w:r>
                      <w:rPr>
                        <w:sz w:val="24"/>
                      </w:rPr>
                      <w:t>SI ( </w:t>
                    </w:r>
                    <w:r>
                      <w:rPr>
                        <w:spacing w:val="63"/>
                        <w:sz w:val="24"/>
                      </w:rPr>
                      <w:t> </w:t>
                    </w:r>
                    <w:r>
                      <w:rPr>
                        <w:sz w:val="24"/>
                      </w:rPr>
                      <w:t>)</w:t>
                    </w:r>
                  </w:p>
                </w:txbxContent>
              </v:textbox>
              <w10:wrap type="none"/>
            </v:shape>
            <v:shape style="position:absolute;left:8419;top:4078;width:790;height:240" type="#_x0000_t202" filled="false" stroked="false">
              <v:textbox inset="0,0,0,0">
                <w:txbxContent>
                  <w:p>
                    <w:pPr>
                      <w:tabs>
                        <w:tab w:pos="709" w:val="left" w:leader="none"/>
                      </w:tabs>
                      <w:spacing w:line="240" w:lineRule="exact" w:before="0"/>
                      <w:ind w:left="0" w:right="0" w:firstLine="0"/>
                      <w:jc w:val="left"/>
                      <w:rPr>
                        <w:sz w:val="24"/>
                      </w:rPr>
                    </w:pPr>
                    <w:r>
                      <w:rPr>
                        <w:sz w:val="24"/>
                      </w:rPr>
                      <w:t>NO (</w:t>
                      <w:tab/>
                      <w:t>)</w:t>
                    </w:r>
                  </w:p>
                </w:txbxContent>
              </v:textbox>
              <w10:wrap type="none"/>
            </v:shape>
            <w10:wrap type="topAndBottom"/>
          </v:group>
        </w:pict>
      </w:r>
    </w:p>
    <w:sectPr>
      <w:pgSz w:w="15840" w:h="12240" w:orient="landscape"/>
      <w:pgMar w:header="0" w:footer="887" w:top="1140" w:bottom="1080" w:left="1300" w:right="2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Franklin Gothic Medium">
    <w:altName w:val="Franklin Gothic Medium"/>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9.010010pt;margin-top:733.641479pt;width:14.1pt;height:12pt;mso-position-horizontal-relative:page;mso-position-vertical-relative:page;z-index:-4883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010010pt;margin-top:733.641479pt;width:14.1pt;height:12pt;mso-position-horizontal-relative:page;mso-position-vertical-relative:page;z-index:-4880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9.01001pt;margin-top:553.641479pt;width:14.1pt;height:12pt;mso-position-horizontal-relative:page;mso-position-vertical-relative:page;z-index:-4878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478" w:hanging="360"/>
        <w:jc w:val="left"/>
      </w:pPr>
      <w:rPr>
        <w:rFonts w:hint="default" w:ascii="Arial" w:hAnsi="Arial" w:eastAsia="Arial" w:cs="Arial"/>
        <w:spacing w:val="-33"/>
        <w:w w:val="99"/>
        <w:sz w:val="24"/>
        <w:szCs w:val="24"/>
      </w:rPr>
    </w:lvl>
    <w:lvl w:ilvl="1">
      <w:start w:val="1"/>
      <w:numFmt w:val="bullet"/>
      <w:lvlText w:val="•"/>
      <w:lvlJc w:val="left"/>
      <w:pPr>
        <w:ind w:left="1360" w:hanging="360"/>
      </w:pPr>
      <w:rPr>
        <w:rFonts w:hint="default"/>
      </w:rPr>
    </w:lvl>
    <w:lvl w:ilvl="2">
      <w:start w:val="1"/>
      <w:numFmt w:val="bullet"/>
      <w:lvlText w:val="•"/>
      <w:lvlJc w:val="left"/>
      <w:pPr>
        <w:ind w:left="2240" w:hanging="360"/>
      </w:pPr>
      <w:rPr>
        <w:rFonts w:hint="default"/>
      </w:rPr>
    </w:lvl>
    <w:lvl w:ilvl="3">
      <w:start w:val="1"/>
      <w:numFmt w:val="bullet"/>
      <w:lvlText w:val="•"/>
      <w:lvlJc w:val="left"/>
      <w:pPr>
        <w:ind w:left="3120"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60" w:hanging="360"/>
      </w:pPr>
      <w:rPr>
        <w:rFonts w:hint="default"/>
      </w:rPr>
    </w:lvl>
    <w:lvl w:ilvl="7">
      <w:start w:val="1"/>
      <w:numFmt w:val="bullet"/>
      <w:lvlText w:val="•"/>
      <w:lvlJc w:val="left"/>
      <w:pPr>
        <w:ind w:left="6640" w:hanging="360"/>
      </w:pPr>
      <w:rPr>
        <w:rFonts w:hint="default"/>
      </w:rPr>
    </w:lvl>
    <w:lvl w:ilvl="8">
      <w:start w:val="1"/>
      <w:numFmt w:val="bullet"/>
      <w:lvlText w:val="•"/>
      <w:lvlJc w:val="left"/>
      <w:pPr>
        <w:ind w:left="7520" w:hanging="360"/>
      </w:pPr>
      <w:rPr>
        <w:rFonts w:hint="default"/>
      </w:rPr>
    </w:lvl>
  </w:abstractNum>
  <w:abstractNum w:abstractNumId="9">
    <w:multiLevelType w:val="hybridMultilevel"/>
    <w:lvl w:ilvl="0">
      <w:start w:val="1"/>
      <w:numFmt w:val="bullet"/>
      <w:lvlText w:val=""/>
      <w:lvlJc w:val="left"/>
      <w:pPr>
        <w:ind w:left="118" w:hanging="447"/>
      </w:pPr>
      <w:rPr>
        <w:rFonts w:hint="default" w:ascii="Symbol" w:hAnsi="Symbol" w:eastAsia="Symbol" w:cs="Symbol"/>
        <w:w w:val="100"/>
        <w:sz w:val="24"/>
        <w:szCs w:val="24"/>
      </w:rPr>
    </w:lvl>
    <w:lvl w:ilvl="1">
      <w:start w:val="1"/>
      <w:numFmt w:val="bullet"/>
      <w:lvlText w:val="•"/>
      <w:lvlJc w:val="left"/>
      <w:pPr>
        <w:ind w:left="1070" w:hanging="447"/>
      </w:pPr>
      <w:rPr>
        <w:rFonts w:hint="default"/>
      </w:rPr>
    </w:lvl>
    <w:lvl w:ilvl="2">
      <w:start w:val="1"/>
      <w:numFmt w:val="bullet"/>
      <w:lvlText w:val="•"/>
      <w:lvlJc w:val="left"/>
      <w:pPr>
        <w:ind w:left="2020" w:hanging="447"/>
      </w:pPr>
      <w:rPr>
        <w:rFonts w:hint="default"/>
      </w:rPr>
    </w:lvl>
    <w:lvl w:ilvl="3">
      <w:start w:val="1"/>
      <w:numFmt w:val="bullet"/>
      <w:lvlText w:val="•"/>
      <w:lvlJc w:val="left"/>
      <w:pPr>
        <w:ind w:left="2970" w:hanging="447"/>
      </w:pPr>
      <w:rPr>
        <w:rFonts w:hint="default"/>
      </w:rPr>
    </w:lvl>
    <w:lvl w:ilvl="4">
      <w:start w:val="1"/>
      <w:numFmt w:val="bullet"/>
      <w:lvlText w:val="•"/>
      <w:lvlJc w:val="left"/>
      <w:pPr>
        <w:ind w:left="3920" w:hanging="447"/>
      </w:pPr>
      <w:rPr>
        <w:rFonts w:hint="default"/>
      </w:rPr>
    </w:lvl>
    <w:lvl w:ilvl="5">
      <w:start w:val="1"/>
      <w:numFmt w:val="bullet"/>
      <w:lvlText w:val="•"/>
      <w:lvlJc w:val="left"/>
      <w:pPr>
        <w:ind w:left="4870" w:hanging="447"/>
      </w:pPr>
      <w:rPr>
        <w:rFonts w:hint="default"/>
      </w:rPr>
    </w:lvl>
    <w:lvl w:ilvl="6">
      <w:start w:val="1"/>
      <w:numFmt w:val="bullet"/>
      <w:lvlText w:val="•"/>
      <w:lvlJc w:val="left"/>
      <w:pPr>
        <w:ind w:left="5820" w:hanging="447"/>
      </w:pPr>
      <w:rPr>
        <w:rFonts w:hint="default"/>
      </w:rPr>
    </w:lvl>
    <w:lvl w:ilvl="7">
      <w:start w:val="1"/>
      <w:numFmt w:val="bullet"/>
      <w:lvlText w:val="•"/>
      <w:lvlJc w:val="left"/>
      <w:pPr>
        <w:ind w:left="6770" w:hanging="447"/>
      </w:pPr>
      <w:rPr>
        <w:rFonts w:hint="default"/>
      </w:rPr>
    </w:lvl>
    <w:lvl w:ilvl="8">
      <w:start w:val="1"/>
      <w:numFmt w:val="bullet"/>
      <w:lvlText w:val="•"/>
      <w:lvlJc w:val="left"/>
      <w:pPr>
        <w:ind w:left="7720" w:hanging="447"/>
      </w:pPr>
      <w:rPr>
        <w:rFonts w:hint="default"/>
      </w:rPr>
    </w:lvl>
  </w:abstractNum>
  <w:abstractNum w:abstractNumId="8">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7">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
    <w:multiLevelType w:val="hybridMultilevel"/>
    <w:lvl w:ilvl="0">
      <w:start w:val="1"/>
      <w:numFmt w:val="decimal"/>
      <w:lvlText w:val="%1."/>
      <w:lvlJc w:val="left"/>
      <w:pPr>
        <w:ind w:left="838"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5">
    <w:multiLevelType w:val="hybridMultilevel"/>
    <w:lvl w:ilvl="0">
      <w:start w:val="1"/>
      <w:numFmt w:val="decimal"/>
      <w:lvlText w:val="%1."/>
      <w:lvlJc w:val="left"/>
      <w:pPr>
        <w:ind w:left="838" w:hanging="360"/>
        <w:jc w:val="left"/>
      </w:pPr>
      <w:rPr>
        <w:rFonts w:hint="default" w:ascii="Arial" w:hAnsi="Arial" w:eastAsia="Arial" w:cs="Arial"/>
        <w:spacing w:val="-2"/>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4">
    <w:multiLevelType w:val="hybridMultilevel"/>
    <w:lvl w:ilvl="0">
      <w:start w:val="1"/>
      <w:numFmt w:val="decimal"/>
      <w:lvlText w:val="%1."/>
      <w:lvlJc w:val="left"/>
      <w:pPr>
        <w:ind w:left="903" w:hanging="360"/>
        <w:jc w:val="left"/>
      </w:pPr>
      <w:rPr>
        <w:rFonts w:hint="default" w:ascii="Arial" w:hAnsi="Arial" w:eastAsia="Arial" w:cs="Arial"/>
        <w:spacing w:val="-3"/>
        <w:w w:val="99"/>
        <w:sz w:val="24"/>
        <w:szCs w:val="24"/>
      </w:rPr>
    </w:lvl>
    <w:lvl w:ilvl="1">
      <w:start w:val="1"/>
      <w:numFmt w:val="bullet"/>
      <w:lvlText w:val=""/>
      <w:lvlJc w:val="left"/>
      <w:pPr>
        <w:ind w:left="1042" w:hanging="360"/>
      </w:pPr>
      <w:rPr>
        <w:rFonts w:hint="default" w:ascii="Symbol" w:hAnsi="Symbol" w:eastAsia="Symbol" w:cs="Symbol"/>
        <w:w w:val="100"/>
        <w:sz w:val="24"/>
        <w:szCs w:val="24"/>
      </w:rPr>
    </w:lvl>
    <w:lvl w:ilvl="2">
      <w:start w:val="1"/>
      <w:numFmt w:val="bullet"/>
      <w:lvlText w:val="•"/>
      <w:lvlJc w:val="left"/>
      <w:pPr>
        <w:ind w:left="1995" w:hanging="360"/>
      </w:pPr>
      <w:rPr>
        <w:rFonts w:hint="default"/>
      </w:rPr>
    </w:lvl>
    <w:lvl w:ilvl="3">
      <w:start w:val="1"/>
      <w:numFmt w:val="bullet"/>
      <w:lvlText w:val="•"/>
      <w:lvlJc w:val="left"/>
      <w:pPr>
        <w:ind w:left="2951" w:hanging="360"/>
      </w:pPr>
      <w:rPr>
        <w:rFonts w:hint="default"/>
      </w:rPr>
    </w:lvl>
    <w:lvl w:ilvl="4">
      <w:start w:val="1"/>
      <w:numFmt w:val="bullet"/>
      <w:lvlText w:val="•"/>
      <w:lvlJc w:val="left"/>
      <w:pPr>
        <w:ind w:left="3906" w:hanging="360"/>
      </w:pPr>
      <w:rPr>
        <w:rFonts w:hint="default"/>
      </w:rPr>
    </w:lvl>
    <w:lvl w:ilvl="5">
      <w:start w:val="1"/>
      <w:numFmt w:val="bullet"/>
      <w:lvlText w:val="•"/>
      <w:lvlJc w:val="left"/>
      <w:pPr>
        <w:ind w:left="4862" w:hanging="360"/>
      </w:pPr>
      <w:rPr>
        <w:rFonts w:hint="default"/>
      </w:rPr>
    </w:lvl>
    <w:lvl w:ilvl="6">
      <w:start w:val="1"/>
      <w:numFmt w:val="bullet"/>
      <w:lvlText w:val="•"/>
      <w:lvlJc w:val="left"/>
      <w:pPr>
        <w:ind w:left="5817" w:hanging="360"/>
      </w:pPr>
      <w:rPr>
        <w:rFonts w:hint="default"/>
      </w:rPr>
    </w:lvl>
    <w:lvl w:ilvl="7">
      <w:start w:val="1"/>
      <w:numFmt w:val="bullet"/>
      <w:lvlText w:val="•"/>
      <w:lvlJc w:val="left"/>
      <w:pPr>
        <w:ind w:left="6773" w:hanging="360"/>
      </w:pPr>
      <w:rPr>
        <w:rFonts w:hint="default"/>
      </w:rPr>
    </w:lvl>
    <w:lvl w:ilvl="8">
      <w:start w:val="1"/>
      <w:numFmt w:val="bullet"/>
      <w:lvlText w:val="•"/>
      <w:lvlJc w:val="left"/>
      <w:pPr>
        <w:ind w:left="7728" w:hanging="360"/>
      </w:pPr>
      <w:rPr>
        <w:rFonts w:hint="default"/>
      </w:rPr>
    </w:lvl>
  </w:abstractNum>
  <w:abstractNum w:abstractNumId="3">
    <w:multiLevelType w:val="hybridMultilevel"/>
    <w:lvl w:ilvl="0">
      <w:start w:val="1"/>
      <w:numFmt w:val="bullet"/>
      <w:lvlText w:val=""/>
      <w:lvlJc w:val="left"/>
      <w:pPr>
        <w:ind w:left="838" w:hanging="360"/>
      </w:pPr>
      <w:rPr>
        <w:rFonts w:hint="default"/>
        <w:w w:val="100"/>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2">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
    <w:multiLevelType w:val="hybridMultilevel"/>
    <w:lvl w:ilvl="0">
      <w:start w:val="1"/>
      <w:numFmt w:val="decimal"/>
      <w:lvlText w:val="%1."/>
      <w:lvlJc w:val="left"/>
      <w:pPr>
        <w:ind w:left="558" w:hanging="440"/>
        <w:jc w:val="left"/>
      </w:pPr>
      <w:rPr>
        <w:rFonts w:hint="default" w:ascii="Arial" w:hAnsi="Arial" w:eastAsia="Arial" w:cs="Arial"/>
        <w:b/>
        <w:bCs/>
        <w:w w:val="99"/>
        <w:sz w:val="24"/>
        <w:szCs w:val="24"/>
      </w:rPr>
    </w:lvl>
    <w:lvl w:ilvl="1">
      <w:start w:val="1"/>
      <w:numFmt w:val="bullet"/>
      <w:lvlText w:val="-"/>
      <w:lvlJc w:val="left"/>
      <w:pPr>
        <w:ind w:left="778" w:hanging="461"/>
      </w:pPr>
      <w:rPr>
        <w:rFonts w:hint="default" w:ascii="Arial" w:hAnsi="Arial" w:eastAsia="Arial" w:cs="Arial"/>
        <w:spacing w:val="-3"/>
        <w:w w:val="99"/>
        <w:sz w:val="24"/>
        <w:szCs w:val="24"/>
      </w:rPr>
    </w:lvl>
    <w:lvl w:ilvl="2">
      <w:start w:val="1"/>
      <w:numFmt w:val="bullet"/>
      <w:lvlText w:val="•"/>
      <w:lvlJc w:val="left"/>
      <w:pPr>
        <w:ind w:left="840" w:hanging="461"/>
      </w:pPr>
      <w:rPr>
        <w:rFonts w:hint="default"/>
      </w:rPr>
    </w:lvl>
    <w:lvl w:ilvl="3">
      <w:start w:val="1"/>
      <w:numFmt w:val="bullet"/>
      <w:lvlText w:val="•"/>
      <w:lvlJc w:val="left"/>
      <w:pPr>
        <w:ind w:left="1937" w:hanging="461"/>
      </w:pPr>
      <w:rPr>
        <w:rFonts w:hint="default"/>
      </w:rPr>
    </w:lvl>
    <w:lvl w:ilvl="4">
      <w:start w:val="1"/>
      <w:numFmt w:val="bullet"/>
      <w:lvlText w:val="•"/>
      <w:lvlJc w:val="left"/>
      <w:pPr>
        <w:ind w:left="3035" w:hanging="461"/>
      </w:pPr>
      <w:rPr>
        <w:rFonts w:hint="default"/>
      </w:rPr>
    </w:lvl>
    <w:lvl w:ilvl="5">
      <w:start w:val="1"/>
      <w:numFmt w:val="bullet"/>
      <w:lvlText w:val="•"/>
      <w:lvlJc w:val="left"/>
      <w:pPr>
        <w:ind w:left="4132" w:hanging="461"/>
      </w:pPr>
      <w:rPr>
        <w:rFonts w:hint="default"/>
      </w:rPr>
    </w:lvl>
    <w:lvl w:ilvl="6">
      <w:start w:val="1"/>
      <w:numFmt w:val="bullet"/>
      <w:lvlText w:val="•"/>
      <w:lvlJc w:val="left"/>
      <w:pPr>
        <w:ind w:left="5230" w:hanging="461"/>
      </w:pPr>
      <w:rPr>
        <w:rFonts w:hint="default"/>
      </w:rPr>
    </w:lvl>
    <w:lvl w:ilvl="7">
      <w:start w:val="1"/>
      <w:numFmt w:val="bullet"/>
      <w:lvlText w:val="•"/>
      <w:lvlJc w:val="left"/>
      <w:pPr>
        <w:ind w:left="6327" w:hanging="461"/>
      </w:pPr>
      <w:rPr>
        <w:rFonts w:hint="default"/>
      </w:rPr>
    </w:lvl>
    <w:lvl w:ilvl="8">
      <w:start w:val="1"/>
      <w:numFmt w:val="bullet"/>
      <w:lvlText w:val="•"/>
      <w:lvlJc w:val="left"/>
      <w:pPr>
        <w:ind w:left="7425" w:hanging="461"/>
      </w:pPr>
      <w:rPr>
        <w:rFonts w:hint="default"/>
      </w:rPr>
    </w:lvl>
  </w:abstractNum>
  <w:abstractNum w:abstractNumId="0">
    <w:multiLevelType w:val="hybridMultilevel"/>
    <w:lvl w:ilvl="0">
      <w:start w:val="13"/>
      <w:numFmt w:val="upperLetter"/>
      <w:lvlText w:val="%1."/>
      <w:lvlJc w:val="left"/>
      <w:pPr>
        <w:ind w:left="4349" w:hanging="321"/>
        <w:jc w:val="left"/>
      </w:pPr>
      <w:rPr>
        <w:rFonts w:hint="default" w:ascii="Franklin Gothic Medium" w:hAnsi="Franklin Gothic Medium" w:eastAsia="Franklin Gothic Medium" w:cs="Franklin Gothic Medium"/>
        <w:spacing w:val="-1"/>
        <w:w w:val="91"/>
        <w:sz w:val="28"/>
        <w:szCs w:val="28"/>
      </w:rPr>
    </w:lvl>
    <w:lvl w:ilvl="1">
      <w:start w:val="1"/>
      <w:numFmt w:val="decimal"/>
      <w:lvlText w:val="%2."/>
      <w:lvlJc w:val="left"/>
      <w:pPr>
        <w:ind w:left="4391" w:hanging="360"/>
        <w:jc w:val="left"/>
      </w:pPr>
      <w:rPr>
        <w:rFonts w:hint="default" w:ascii="Arial" w:hAnsi="Arial" w:eastAsia="Arial" w:cs="Arial"/>
        <w:spacing w:val="-1"/>
        <w:w w:val="100"/>
        <w:sz w:val="36"/>
        <w:szCs w:val="36"/>
      </w:rPr>
    </w:lvl>
    <w:lvl w:ilvl="2">
      <w:start w:val="1"/>
      <w:numFmt w:val="bullet"/>
      <w:lvlText w:val="•"/>
      <w:lvlJc w:val="left"/>
      <w:pPr>
        <w:ind w:left="4980" w:hanging="360"/>
      </w:pPr>
      <w:rPr>
        <w:rFonts w:hint="default"/>
      </w:rPr>
    </w:lvl>
    <w:lvl w:ilvl="3">
      <w:start w:val="1"/>
      <w:numFmt w:val="bullet"/>
      <w:lvlText w:val="•"/>
      <w:lvlJc w:val="left"/>
      <w:pPr>
        <w:ind w:left="5560" w:hanging="360"/>
      </w:pPr>
      <w:rPr>
        <w:rFonts w:hint="default"/>
      </w:rPr>
    </w:lvl>
    <w:lvl w:ilvl="4">
      <w:start w:val="1"/>
      <w:numFmt w:val="bullet"/>
      <w:lvlText w:val="•"/>
      <w:lvlJc w:val="left"/>
      <w:pPr>
        <w:ind w:left="6140" w:hanging="360"/>
      </w:pPr>
      <w:rPr>
        <w:rFonts w:hint="default"/>
      </w:rPr>
    </w:lvl>
    <w:lvl w:ilvl="5">
      <w:start w:val="1"/>
      <w:numFmt w:val="bullet"/>
      <w:lvlText w:val="•"/>
      <w:lvlJc w:val="left"/>
      <w:pPr>
        <w:ind w:left="6720" w:hanging="360"/>
      </w:pPr>
      <w:rPr>
        <w:rFonts w:hint="default"/>
      </w:rPr>
    </w:lvl>
    <w:lvl w:ilvl="6">
      <w:start w:val="1"/>
      <w:numFmt w:val="bullet"/>
      <w:lvlText w:val="•"/>
      <w:lvlJc w:val="left"/>
      <w:pPr>
        <w:ind w:left="7300" w:hanging="360"/>
      </w:pPr>
      <w:rPr>
        <w:rFonts w:hint="default"/>
      </w:rPr>
    </w:lvl>
    <w:lvl w:ilvl="7">
      <w:start w:val="1"/>
      <w:numFmt w:val="bullet"/>
      <w:lvlText w:val="•"/>
      <w:lvlJc w:val="left"/>
      <w:pPr>
        <w:ind w:left="7880" w:hanging="360"/>
      </w:pPr>
      <w:rPr>
        <w:rFonts w:hint="default"/>
      </w:rPr>
    </w:lvl>
    <w:lvl w:ilvl="8">
      <w:start w:val="1"/>
      <w:numFmt w:val="bullet"/>
      <w:lvlText w:val="•"/>
      <w:lvlJc w:val="left"/>
      <w:pPr>
        <w:ind w:left="8460" w:hanging="360"/>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18"/>
      <w:jc w:val="both"/>
      <w:outlineLvl w:val="1"/>
    </w:pPr>
    <w:rPr>
      <w:rFonts w:ascii="Arial" w:hAnsi="Arial" w:eastAsia="Arial" w:cs="Arial"/>
      <w:b/>
      <w:bCs/>
      <w:sz w:val="24"/>
      <w:szCs w:val="24"/>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spacing w:before="28"/>
      <w:ind w:left="6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hyperlink" Target="http://www.ncbi.nlm.nih.gov/pubmed/?term=Tianviwat%20S%5BAuthor%5D&amp;amp;cauthor=true&amp;amp;cauthor_uid=19149298" TargetMode="External"/><Relationship Id="rId10" Type="http://schemas.openxmlformats.org/officeDocument/2006/relationships/hyperlink" Target="http://www.ncbi.nlm.nih.gov/pubmed/?term=Petersson%20M%5BAuthor%5D&amp;amp;cauthor=true&amp;amp;cauthor_uid=9545884" TargetMode="External"/><Relationship Id="rId11" Type="http://schemas.openxmlformats.org/officeDocument/2006/relationships/hyperlink" Target="http://www.ncbi.nlm.nih.gov/pubmed/?term=Twetman%20S%5BAuthor%5D&amp;amp;cauthor=true&amp;amp;cauthor_uid=9545884" TargetMode="Externa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hyperlink" Target="http://www.ncbi.nlm.nih.gov/pubmed/?term=Griffin%20SO%5BAuthor%5D&amp;amp;cauthor=true&amp;amp;cauthor_uid=19339530" TargetMode="External"/><Relationship Id="rId15" Type="http://schemas.openxmlformats.org/officeDocument/2006/relationships/hyperlink" Target="http://www.ncbi.nlm.nih.gov/pubmed/?term=Gray%20SK%5BAuthor%5D&amp;amp;cauthor=true&amp;amp;cauthor_uid=19339530" TargetMode="External"/><Relationship Id="rId16" Type="http://schemas.openxmlformats.org/officeDocument/2006/relationships/hyperlink" Target="http://www.ncbi.nlm.nih.gov/pubmed/?term=Malvitz%20DM%5BAuthor%5D&amp;amp;cauthor=true&amp;amp;cauthor_uid=19339530" TargetMode="External"/><Relationship Id="rId17" Type="http://schemas.openxmlformats.org/officeDocument/2006/relationships/hyperlink" Target="http://www.ncbi.nlm.nih.gov/pubmed/?term=Gooch%20BF%5BAuthor%5D&amp;amp;cauthor=true&amp;amp;cauthor_uid=19339530" TargetMode="External"/><Relationship Id="rId18" Type="http://schemas.openxmlformats.org/officeDocument/2006/relationships/hyperlink" Target="http://www.ncbi.nlm.nih.gov/pubmed/?term=Morgan%20MV%5BAuthor%5D&amp;amp;cauthor=true&amp;amp;cauthor_uid=16379162" TargetMode="External"/><Relationship Id="rId19" Type="http://schemas.openxmlformats.org/officeDocument/2006/relationships/hyperlink" Target="http://www.ncbi.nlm.nih.gov/pubmed/?term=Adams%20GG%5BAuthor%5D&amp;amp;cauthor=true&amp;amp;cauthor_uid=16379162" TargetMode="External"/><Relationship Id="rId20" Type="http://schemas.openxmlformats.org/officeDocument/2006/relationships/hyperlink" Target="http://www.ncbi.nlm.nih.gov/pubmed/?term=Campain%20AC%5BAuthor%5D&amp;amp;cauthor=true&amp;amp;cauthor_uid=16379162" TargetMode="External"/><Relationship Id="rId21" Type="http://schemas.openxmlformats.org/officeDocument/2006/relationships/hyperlink" Target="http://www.ncbi.nlm.nih.gov/pubmed/?term=Wright%20FA%5BAuthor%5D&amp;amp;cauthor=true&amp;amp;cauthor_uid=16379162" TargetMode="External"/><Relationship Id="rId22" Type="http://schemas.openxmlformats.org/officeDocument/2006/relationships/hyperlink" Target="http://www.ncbi.nlm.nih.gov/pubmed/?term=Leskinen%20K%5BAuthor%5D&amp;amp;cauthor=true&amp;amp;cauthor_uid=18022749" TargetMode="External"/><Relationship Id="rId23" Type="http://schemas.openxmlformats.org/officeDocument/2006/relationships/hyperlink" Target="http://www.ncbi.nlm.nih.gov/pubmed/?term=Salo%20S%5BAuthor%5D&amp;amp;cauthor=true&amp;amp;cauthor_uid=18022749" TargetMode="External"/><Relationship Id="rId24" Type="http://schemas.openxmlformats.org/officeDocument/2006/relationships/hyperlink" Target="http://www.ncbi.nlm.nih.gov/pubmed/?term=Suni%20J%5BAuthor%5D&amp;amp;cauthor=true&amp;amp;cauthor_uid=18022749" TargetMode="External"/><Relationship Id="rId25" Type="http://schemas.openxmlformats.org/officeDocument/2006/relationships/hyperlink" Target="http://www.ncbi.nlm.nih.gov/pubmed/?term=Larmas%20M%5BAuthor%5D&amp;amp;cauthor=true&amp;amp;cauthor_uid=18022749" TargetMode="External"/><Relationship Id="rId26" Type="http://schemas.openxmlformats.org/officeDocument/2006/relationships/hyperlink" Target="http://www.ncbi.nlm.nih.gov/pubmed/?term=Yengopal%20V%5BAuthor%5D&amp;amp;cauthor=true&amp;amp;cauthor_uid=19776504" TargetMode="External"/><Relationship Id="rId27" Type="http://schemas.openxmlformats.org/officeDocument/2006/relationships/hyperlink" Target="http://www.ncbi.nlm.nih.gov/pubmed/?term=Mickenautsch%20S%5BAuthor%5D&amp;amp;cauthor=true&amp;amp;cauthor_uid=19776504" TargetMode="External"/><Relationship Id="rId28" Type="http://schemas.openxmlformats.org/officeDocument/2006/relationships/hyperlink" Target="http://www.ncbi.nlm.nih.gov/pubmed/?term=Bezerra%20AC%5BAuthor%5D&amp;amp;cauthor=true&amp;amp;cauthor_uid=19776504" TargetMode="External"/><Relationship Id="rId29" Type="http://schemas.openxmlformats.org/officeDocument/2006/relationships/hyperlink" Target="http://www.ncbi.nlm.nih.gov/pubmed/?term=Leal%20SC%5BAuthor%5D&amp;amp;cauthor=true&amp;amp;cauthor_uid=19776504" TargetMode="External"/><Relationship Id="rId30" Type="http://schemas.openxmlformats.org/officeDocument/2006/relationships/hyperlink" Target="http://www.ncbi.nlm.nih.gov/pubmed/?term=Nazar%20H%5BAuthor%5D&amp;amp;cauthor=true&amp;amp;cauthor_uid=22889920" TargetMode="External"/><Relationship Id="rId31" Type="http://schemas.openxmlformats.org/officeDocument/2006/relationships/hyperlink" Target="http://www.ncbi.nlm.nih.gov/pubmed/?term=Mascarenhas%20AK%5BAuthor%5D&amp;amp;cauthor=true&amp;amp;cauthor_uid=22889920" TargetMode="External"/><Relationship Id="rId32" Type="http://schemas.openxmlformats.org/officeDocument/2006/relationships/hyperlink" Target="http://www.ncbi.nlm.nih.gov/pubmed/?term=Al-Mutwa%20S%5BAuthor%5D&amp;amp;cauthor=true&amp;amp;cauthor_uid=22889920" TargetMode="External"/><Relationship Id="rId33" Type="http://schemas.openxmlformats.org/officeDocument/2006/relationships/hyperlink" Target="http://www.ncbi.nlm.nih.gov/pubmed/?term=Ariga%20J%5BAuthor%5D&amp;amp;cauthor=true&amp;amp;cauthor_uid=22889920" TargetMode="External"/><Relationship Id="rId34" Type="http://schemas.openxmlformats.org/officeDocument/2006/relationships/hyperlink" Target="http://www.ncbi.nlm.nih.gov/pubmed/?term=Soparker%20P%5BAuthor%5D&amp;amp;cauthor=true&amp;amp;cauthor_uid=22889920" TargetMode="External"/><Relationship Id="rId35" Type="http://schemas.openxmlformats.org/officeDocument/2006/relationships/hyperlink" Target="http://www.ncbi.nlm.nih.gov/pubmed/?term=Carlsson%20A%5BAuthor%5D&amp;amp;cauthor=true&amp;amp;cauthor_uid=9545884" TargetMode="External"/><Relationship Id="rId36" Type="http://schemas.openxmlformats.org/officeDocument/2006/relationships/hyperlink" Target="http://www.ncbi.nlm.nih.gov/pubmed/?term=Wagner%20M%5BAuthor%5D&amp;amp;cauthor=true&amp;amp;cauthor_uid=8134814" TargetMode="External"/><Relationship Id="rId37" Type="http://schemas.openxmlformats.org/officeDocument/2006/relationships/hyperlink" Target="http://www.ncbi.nlm.nih.gov/pubmed/?term=Menghini%20GD%5BAuthor%5D&amp;amp;cauthor=true&amp;amp;cauthor_uid=8134814" TargetMode="External"/><Relationship Id="rId38" Type="http://schemas.openxmlformats.org/officeDocument/2006/relationships/hyperlink" Target="http://www.ncbi.nlm.nih.gov/pubmed/?term=Helfenstein%20U%5BAuthor%5D&amp;amp;cauthor=true&amp;amp;cauthor_uid=8134814" TargetMode="External"/><Relationship Id="rId39" Type="http://schemas.openxmlformats.org/officeDocument/2006/relationships/hyperlink" Target="http://www.ivoclarvivadent.com/es-es/productos/prevencion-cuidado/sellador-de-" TargetMode="External"/><Relationship Id="rId40" Type="http://schemas.openxmlformats.org/officeDocument/2006/relationships/footer" Target="footer4.xml"/><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PeReZ</dc:creator>
  <dcterms:created xsi:type="dcterms:W3CDTF">2017-06-21T20:36:21Z</dcterms:created>
  <dcterms:modified xsi:type="dcterms:W3CDTF">2017-06-21T20:36:21Z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2016-06-22T00:00:00Z</vt:filetime>
  </property>
  <property fmtid="{D5CDD505-2E9C-101B-9397-08002B2CF9AE}" pid="3" name="Creator">
    <vt:lpwstr>Microsoft® Word 2013</vt:lpwstr>
  </property>
  <property fmtid="{D5CDD505-2E9C-101B-9397-08002B2CF9AE}" pid="4" name="LastSaved">
    <vt:filetime>2017-06-21T00:00:00Z</vt:filetime>
  </property>
</Properties>
</file>