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634"/>
      </w:pPr>
      <w:r>
        <w:rPr/>
        <w:drawing>
          <wp:inline distT="0" distB="0" distL="0" distR="0">
            <wp:extent cx="900135" cy="213169"/>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00135" cy="213169"/>
                    </a:xfrm>
                    <a:prstGeom prst="rect">
                      <a:avLst/>
                    </a:prstGeom>
                  </pic:spPr>
                </pic:pic>
              </a:graphicData>
            </a:graphic>
          </wp:inline>
        </w:drawing>
      </w:r>
      <w:r>
        <w:rPr/>
      </w:r>
    </w:p>
    <w:p>
      <w:pPr>
        <w:pStyle w:val="BodyText"/>
        <w:spacing w:before="4"/>
        <w:rPr>
          <w:sz w:val="6"/>
        </w:rPr>
      </w:pPr>
    </w:p>
    <w:p>
      <w:pPr>
        <w:spacing w:before="6"/>
        <w:ind w:left="2378" w:right="1988" w:firstLine="0"/>
        <w:jc w:val="left"/>
        <w:rPr>
          <w:rFonts w:ascii="Arial Black"/>
          <w:b/>
          <w:sz w:val="30"/>
        </w:rPr>
      </w:pPr>
      <w:r>
        <w:rPr/>
        <w:drawing>
          <wp:anchor distT="0" distB="0" distL="0" distR="0" allowOverlap="1" layoutInCell="1" locked="0" behindDoc="0" simplePos="0" relativeHeight="1288">
            <wp:simplePos x="0" y="0"/>
            <wp:positionH relativeFrom="page">
              <wp:posOffset>274320</wp:posOffset>
            </wp:positionH>
            <wp:positionV relativeFrom="paragraph">
              <wp:posOffset>-260797</wp:posOffset>
            </wp:positionV>
            <wp:extent cx="1179575" cy="1581911"/>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79575" cy="1581911"/>
                    </a:xfrm>
                    <a:prstGeom prst="rect">
                      <a:avLst/>
                    </a:prstGeom>
                  </pic:spPr>
                </pic:pic>
              </a:graphicData>
            </a:graphic>
          </wp:anchor>
        </w:drawing>
      </w:r>
      <w:r>
        <w:rPr>
          <w:rFonts w:ascii="Arial Black"/>
          <w:b/>
          <w:w w:val="90"/>
          <w:sz w:val="30"/>
        </w:rPr>
        <w:t>Journal</w:t>
      </w:r>
      <w:r>
        <w:rPr>
          <w:rFonts w:ascii="Arial Black"/>
          <w:b/>
          <w:spacing w:val="-52"/>
          <w:w w:val="90"/>
          <w:sz w:val="30"/>
        </w:rPr>
        <w:t> </w:t>
      </w:r>
      <w:r>
        <w:rPr>
          <w:rFonts w:ascii="Arial Black"/>
          <w:b/>
          <w:w w:val="90"/>
          <w:sz w:val="30"/>
        </w:rPr>
        <w:t>of</w:t>
      </w:r>
      <w:r>
        <w:rPr>
          <w:rFonts w:ascii="Arial Black"/>
          <w:b/>
          <w:spacing w:val="-52"/>
          <w:w w:val="90"/>
          <w:sz w:val="30"/>
        </w:rPr>
        <w:t> </w:t>
      </w:r>
      <w:r>
        <w:rPr>
          <w:rFonts w:ascii="Arial Black"/>
          <w:b/>
          <w:w w:val="90"/>
          <w:sz w:val="30"/>
        </w:rPr>
        <w:t>Applied</w:t>
      </w:r>
      <w:r>
        <w:rPr>
          <w:rFonts w:ascii="Arial Black"/>
          <w:b/>
          <w:spacing w:val="-52"/>
          <w:w w:val="90"/>
          <w:sz w:val="30"/>
        </w:rPr>
        <w:t> </w:t>
      </w:r>
      <w:r>
        <w:rPr>
          <w:rFonts w:ascii="Arial Black"/>
          <w:b/>
          <w:w w:val="90"/>
          <w:sz w:val="30"/>
        </w:rPr>
        <w:t>Animal</w:t>
      </w:r>
      <w:r>
        <w:rPr>
          <w:rFonts w:ascii="Arial Black"/>
          <w:b/>
          <w:spacing w:val="-52"/>
          <w:w w:val="90"/>
          <w:sz w:val="30"/>
        </w:rPr>
        <w:t> </w:t>
      </w:r>
      <w:r>
        <w:rPr>
          <w:rFonts w:ascii="Arial Black"/>
          <w:b/>
          <w:w w:val="90"/>
          <w:sz w:val="30"/>
        </w:rPr>
        <w:t>Research</w:t>
      </w:r>
    </w:p>
    <w:p>
      <w:pPr>
        <w:pStyle w:val="BodyText"/>
        <w:rPr>
          <w:rFonts w:ascii="Arial Black"/>
          <w:b/>
          <w:sz w:val="30"/>
        </w:rPr>
      </w:pPr>
    </w:p>
    <w:p>
      <w:pPr>
        <w:pStyle w:val="BodyText"/>
        <w:rPr>
          <w:rFonts w:ascii="Arial Black"/>
          <w:b/>
          <w:sz w:val="30"/>
        </w:rPr>
      </w:pPr>
    </w:p>
    <w:p>
      <w:pPr>
        <w:pStyle w:val="BodyText"/>
        <w:spacing w:before="6"/>
        <w:rPr>
          <w:rFonts w:ascii="Arial Black"/>
          <w:b/>
          <w:sz w:val="43"/>
        </w:rPr>
      </w:pPr>
    </w:p>
    <w:p>
      <w:pPr>
        <w:spacing w:before="0"/>
        <w:ind w:left="2378" w:right="1988" w:firstLine="0"/>
        <w:jc w:val="left"/>
        <w:rPr>
          <w:rFonts w:ascii="Arial Black"/>
          <w:b/>
          <w:sz w:val="16"/>
        </w:rPr>
      </w:pPr>
      <w:r>
        <w:rPr/>
        <w:pict>
          <v:group style="position:absolute;margin-left:20.6pt;margin-top:13.644698pt;width:593.15pt;height:2pt;mso-position-horizontal-relative:page;mso-position-vertical-relative:paragraph;z-index:0;mso-wrap-distance-left:0;mso-wrap-distance-right:0" coordorigin="412,273" coordsize="11863,40">
            <v:line style="position:absolute" from="432,293" to="2318,293" stroked="true" strokeweight="2pt" strokecolor="#132575"/>
            <v:line style="position:absolute" from="2318,293" to="10814,293" stroked="true" strokeweight="2pt" strokecolor="#132575"/>
            <v:line style="position:absolute" from="10814,293" to="12254,293" stroked="true" strokeweight="2pt" strokecolor="#132575"/>
            <w10:wrap type="topAndBottom"/>
          </v:group>
        </w:pict>
      </w:r>
      <w:r>
        <w:rPr>
          <w:rFonts w:ascii="Arial Black"/>
          <w:b/>
          <w:w w:val="90"/>
          <w:sz w:val="16"/>
        </w:rPr>
        <w:t>ISSN: 0971-2119 (Print) 0974-1844 (Online) Journal homepage: </w:t>
      </w:r>
      <w:hyperlink r:id="rId7">
        <w:r>
          <w:rPr>
            <w:rFonts w:ascii="Arial Black"/>
            <w:b/>
            <w:w w:val="90"/>
            <w:sz w:val="16"/>
            <w:u w:val="single"/>
          </w:rPr>
          <w:t>http://www.tandfonline.com/loi/taar20</w:t>
        </w:r>
      </w:hyperlink>
    </w:p>
    <w:p>
      <w:pPr>
        <w:pStyle w:val="BodyText"/>
        <w:spacing w:before="11"/>
        <w:rPr>
          <w:rFonts w:ascii="Arial Black"/>
          <w:b/>
          <w:sz w:val="22"/>
        </w:rPr>
      </w:pPr>
    </w:p>
    <w:p>
      <w:pPr>
        <w:spacing w:line="420" w:lineRule="exact" w:before="47"/>
        <w:ind w:left="1762" w:right="1988" w:firstLine="0"/>
        <w:jc w:val="left"/>
        <w:rPr>
          <w:rFonts w:ascii="Arial Black"/>
          <w:b/>
          <w:sz w:val="36"/>
        </w:rPr>
      </w:pPr>
      <w:r>
        <w:rPr>
          <w:rFonts w:ascii="Arial Black"/>
          <w:b/>
          <w:w w:val="95"/>
          <w:sz w:val="36"/>
        </w:rPr>
        <w:t>Lactation curves and body weight changes of </w:t>
      </w:r>
      <w:r>
        <w:rPr>
          <w:rFonts w:ascii="Arial Black"/>
          <w:b/>
          <w:w w:val="90"/>
          <w:sz w:val="36"/>
        </w:rPr>
        <w:t>Alpine,</w:t>
      </w:r>
      <w:r>
        <w:rPr>
          <w:rFonts w:ascii="Arial Black"/>
          <w:b/>
          <w:spacing w:val="-41"/>
          <w:w w:val="90"/>
          <w:sz w:val="36"/>
        </w:rPr>
        <w:t> </w:t>
      </w:r>
      <w:r>
        <w:rPr>
          <w:rFonts w:ascii="Arial Black"/>
          <w:b/>
          <w:w w:val="90"/>
          <w:sz w:val="36"/>
        </w:rPr>
        <w:t>Saanen</w:t>
      </w:r>
      <w:r>
        <w:rPr>
          <w:rFonts w:ascii="Arial Black"/>
          <w:b/>
          <w:spacing w:val="-41"/>
          <w:w w:val="90"/>
          <w:sz w:val="36"/>
        </w:rPr>
        <w:t> </w:t>
      </w:r>
      <w:r>
        <w:rPr>
          <w:rFonts w:ascii="Arial Black"/>
          <w:b/>
          <w:w w:val="90"/>
          <w:sz w:val="36"/>
        </w:rPr>
        <w:t>and</w:t>
      </w:r>
      <w:r>
        <w:rPr>
          <w:rFonts w:ascii="Arial Black"/>
          <w:b/>
          <w:spacing w:val="-41"/>
          <w:w w:val="90"/>
          <w:sz w:val="36"/>
        </w:rPr>
        <w:t> </w:t>
      </w:r>
      <w:r>
        <w:rPr>
          <w:rFonts w:ascii="Arial Black"/>
          <w:b/>
          <w:w w:val="90"/>
          <w:sz w:val="36"/>
        </w:rPr>
        <w:t>Anglo-Nubian</w:t>
      </w:r>
      <w:r>
        <w:rPr>
          <w:rFonts w:ascii="Arial Black"/>
          <w:b/>
          <w:spacing w:val="-41"/>
          <w:w w:val="90"/>
          <w:sz w:val="36"/>
        </w:rPr>
        <w:t> </w:t>
      </w:r>
      <w:r>
        <w:rPr>
          <w:rFonts w:ascii="Arial Black"/>
          <w:b/>
          <w:w w:val="90"/>
          <w:sz w:val="36"/>
        </w:rPr>
        <w:t>goats</w:t>
      </w:r>
      <w:r>
        <w:rPr>
          <w:rFonts w:ascii="Arial Black"/>
          <w:b/>
          <w:spacing w:val="-41"/>
          <w:w w:val="90"/>
          <w:sz w:val="36"/>
        </w:rPr>
        <w:t> </w:t>
      </w:r>
      <w:r>
        <w:rPr>
          <w:rFonts w:ascii="Arial Black"/>
          <w:b/>
          <w:w w:val="90"/>
          <w:sz w:val="36"/>
        </w:rPr>
        <w:t>as</w:t>
      </w:r>
      <w:r>
        <w:rPr>
          <w:rFonts w:ascii="Arial Black"/>
          <w:b/>
          <w:spacing w:val="-41"/>
          <w:w w:val="90"/>
          <w:sz w:val="36"/>
        </w:rPr>
        <w:t> </w:t>
      </w:r>
      <w:r>
        <w:rPr>
          <w:rFonts w:ascii="Arial Black"/>
          <w:b/>
          <w:w w:val="90"/>
          <w:sz w:val="36"/>
        </w:rPr>
        <w:t>well</w:t>
      </w:r>
      <w:r>
        <w:rPr>
          <w:rFonts w:ascii="Arial Black"/>
          <w:b/>
          <w:spacing w:val="-41"/>
          <w:w w:val="90"/>
          <w:sz w:val="36"/>
        </w:rPr>
        <w:t> </w:t>
      </w:r>
      <w:r>
        <w:rPr>
          <w:rFonts w:ascii="Arial Black"/>
          <w:b/>
          <w:w w:val="90"/>
          <w:sz w:val="36"/>
        </w:rPr>
        <w:t>as pre-weaning</w:t>
      </w:r>
      <w:r>
        <w:rPr>
          <w:rFonts w:ascii="Arial Black"/>
          <w:b/>
          <w:spacing w:val="-25"/>
          <w:w w:val="90"/>
          <w:sz w:val="36"/>
        </w:rPr>
        <w:t> </w:t>
      </w:r>
      <w:r>
        <w:rPr>
          <w:rFonts w:ascii="Arial Black"/>
          <w:b/>
          <w:spacing w:val="-3"/>
          <w:w w:val="90"/>
          <w:sz w:val="36"/>
        </w:rPr>
        <w:t>growth</w:t>
      </w:r>
      <w:r>
        <w:rPr>
          <w:rFonts w:ascii="Arial Black"/>
          <w:b/>
          <w:spacing w:val="-25"/>
          <w:w w:val="90"/>
          <w:sz w:val="36"/>
        </w:rPr>
        <w:t> </w:t>
      </w:r>
      <w:r>
        <w:rPr>
          <w:rFonts w:ascii="Arial Black"/>
          <w:b/>
          <w:w w:val="90"/>
          <w:sz w:val="36"/>
        </w:rPr>
        <w:t>of</w:t>
      </w:r>
      <w:r>
        <w:rPr>
          <w:rFonts w:ascii="Arial Black"/>
          <w:b/>
          <w:spacing w:val="-25"/>
          <w:w w:val="90"/>
          <w:sz w:val="36"/>
        </w:rPr>
        <w:t> </w:t>
      </w:r>
      <w:r>
        <w:rPr>
          <w:rFonts w:ascii="Arial Black"/>
          <w:b/>
          <w:w w:val="90"/>
          <w:sz w:val="36"/>
        </w:rPr>
        <w:t>their</w:t>
      </w:r>
      <w:r>
        <w:rPr>
          <w:rFonts w:ascii="Arial Black"/>
          <w:b/>
          <w:spacing w:val="-25"/>
          <w:w w:val="90"/>
          <w:sz w:val="36"/>
        </w:rPr>
        <w:t> </w:t>
      </w:r>
      <w:r>
        <w:rPr>
          <w:rFonts w:ascii="Arial Black"/>
          <w:b/>
          <w:w w:val="90"/>
          <w:sz w:val="36"/>
        </w:rPr>
        <w:t>kids</w:t>
      </w:r>
    </w:p>
    <w:p>
      <w:pPr>
        <w:pStyle w:val="BodyText"/>
        <w:spacing w:before="11"/>
        <w:rPr>
          <w:rFonts w:ascii="Arial Black"/>
          <w:b/>
          <w:sz w:val="29"/>
        </w:rPr>
      </w:pPr>
    </w:p>
    <w:p>
      <w:pPr>
        <w:pStyle w:val="Heading1"/>
        <w:rPr>
          <w:b/>
        </w:rPr>
      </w:pPr>
      <w:r>
        <w:rPr>
          <w:b/>
          <w:w w:val="90"/>
        </w:rPr>
        <w:t>R. Rojo-Rubio, A.E. Kholif, A.Z.M. Salem, G.D. Mendoza, M.M.M.Y. Elghandour,</w:t>
      </w:r>
    </w:p>
    <w:p>
      <w:pPr>
        <w:spacing w:line="309" w:lineRule="exact" w:before="0"/>
        <w:ind w:left="1762" w:right="1988" w:firstLine="0"/>
        <w:jc w:val="left"/>
        <w:rPr>
          <w:rFonts w:ascii="Arial Black"/>
          <w:b/>
          <w:sz w:val="24"/>
        </w:rPr>
      </w:pPr>
      <w:r>
        <w:rPr>
          <w:rFonts w:ascii="Arial Black"/>
          <w:b/>
          <w:w w:val="90"/>
          <w:sz w:val="24"/>
        </w:rPr>
        <w:t>J.</w:t>
      </w:r>
      <w:r>
        <w:rPr>
          <w:rFonts w:ascii="Arial Black"/>
          <w:b/>
          <w:spacing w:val="-51"/>
          <w:w w:val="90"/>
          <w:sz w:val="24"/>
        </w:rPr>
        <w:t> </w:t>
      </w:r>
      <w:r>
        <w:rPr>
          <w:rFonts w:ascii="Arial Black"/>
          <w:b/>
          <w:spacing w:val="-8"/>
          <w:w w:val="90"/>
          <w:sz w:val="24"/>
        </w:rPr>
        <w:t>F. </w:t>
      </w:r>
      <w:r>
        <w:rPr>
          <w:rFonts w:ascii="Arial Black"/>
          <w:b/>
          <w:w w:val="90"/>
          <w:sz w:val="24"/>
        </w:rPr>
        <w:t>Vazquez-Armijo</w:t>
      </w:r>
      <w:r>
        <w:rPr>
          <w:rFonts w:ascii="Arial Black"/>
          <w:b/>
          <w:spacing w:val="-51"/>
          <w:w w:val="90"/>
          <w:sz w:val="24"/>
        </w:rPr>
        <w:t> </w:t>
      </w:r>
      <w:r>
        <w:rPr>
          <w:rFonts w:ascii="Arial Black"/>
          <w:b/>
          <w:w w:val="90"/>
          <w:sz w:val="24"/>
        </w:rPr>
        <w:t>&amp;</w:t>
      </w:r>
      <w:r>
        <w:rPr>
          <w:rFonts w:ascii="Arial Black"/>
          <w:b/>
          <w:spacing w:val="-51"/>
          <w:w w:val="90"/>
          <w:sz w:val="24"/>
        </w:rPr>
        <w:t> </w:t>
      </w:r>
      <w:r>
        <w:rPr>
          <w:rFonts w:ascii="Arial Black"/>
          <w:b/>
          <w:w w:val="90"/>
          <w:sz w:val="24"/>
        </w:rPr>
        <w:t>H.</w:t>
      </w:r>
      <w:r>
        <w:rPr>
          <w:rFonts w:ascii="Arial Black"/>
          <w:b/>
          <w:spacing w:val="-51"/>
          <w:w w:val="90"/>
          <w:sz w:val="24"/>
        </w:rPr>
        <w:t> </w:t>
      </w:r>
      <w:r>
        <w:rPr>
          <w:rFonts w:ascii="Arial Black"/>
          <w:b/>
          <w:w w:val="90"/>
          <w:sz w:val="24"/>
        </w:rPr>
        <w:t>Lee-Rangel</w:t>
      </w:r>
    </w:p>
    <w:p>
      <w:pPr>
        <w:pStyle w:val="BodyText"/>
        <w:spacing w:before="1"/>
        <w:rPr>
          <w:rFonts w:ascii="Arial Black"/>
          <w:b/>
          <w:sz w:val="29"/>
        </w:rPr>
      </w:pPr>
    </w:p>
    <w:p>
      <w:pPr>
        <w:pStyle w:val="BodyText"/>
        <w:spacing w:line="244" w:lineRule="auto" w:before="1"/>
        <w:ind w:left="1762" w:right="1988"/>
        <w:rPr>
          <w:rFonts w:ascii="Calibri"/>
        </w:rPr>
      </w:pPr>
      <w:r>
        <w:rPr>
          <w:rFonts w:ascii="Arial Black"/>
          <w:b/>
          <w:spacing w:val="-7"/>
          <w:w w:val="110"/>
        </w:rPr>
        <w:t>To </w:t>
      </w:r>
      <w:r>
        <w:rPr>
          <w:rFonts w:ascii="Arial Black"/>
          <w:b/>
          <w:w w:val="110"/>
        </w:rPr>
        <w:t>cite this article: </w:t>
      </w:r>
      <w:r>
        <w:rPr>
          <w:rFonts w:ascii="Calibri"/>
          <w:w w:val="110"/>
        </w:rPr>
        <w:t>R. Rojo-Rubio, A.E. Kholif, A.Z.M. Salem, G.D. Mendoza, </w:t>
      </w:r>
      <w:r>
        <w:rPr>
          <w:rFonts w:ascii="Calibri"/>
          <w:spacing w:val="-3"/>
          <w:w w:val="110"/>
        </w:rPr>
        <w:t>M.M.M.Y. </w:t>
      </w:r>
      <w:r>
        <w:rPr>
          <w:rFonts w:ascii="Calibri"/>
          <w:w w:val="110"/>
        </w:rPr>
        <w:t>Elghandour, J. </w:t>
      </w:r>
      <w:r>
        <w:rPr>
          <w:rFonts w:ascii="Calibri"/>
          <w:spacing w:val="-6"/>
          <w:w w:val="110"/>
        </w:rPr>
        <w:t>F. </w:t>
      </w:r>
      <w:r>
        <w:rPr>
          <w:rFonts w:ascii="Calibri"/>
          <w:w w:val="110"/>
        </w:rPr>
        <w:t>Vazquez-Armijo &amp; H. Lee-Rangel (2016) Lactation curves and body weight changes of Alpine, Saanen and Anglo-Nubian goats as well as pre-weaning growth of their kids, Journal of Applied Animal Research, 44:1, 331-337, DOI:   </w:t>
      </w:r>
      <w:r>
        <w:rPr>
          <w:rFonts w:ascii="Calibri"/>
          <w:spacing w:val="21"/>
          <w:w w:val="110"/>
        </w:rPr>
        <w:t> </w:t>
      </w:r>
      <w:r>
        <w:rPr>
          <w:rFonts w:ascii="Calibri"/>
          <w:w w:val="110"/>
          <w:u w:val="single"/>
        </w:rPr>
        <w:t>10.1080/09712119.2015.1031790</w:t>
      </w:r>
    </w:p>
    <w:p>
      <w:pPr>
        <w:spacing w:before="132"/>
        <w:ind w:left="1762" w:right="1988" w:firstLine="0"/>
        <w:jc w:val="left"/>
        <w:rPr>
          <w:rFonts w:ascii="Calibri"/>
          <w:sz w:val="20"/>
        </w:rPr>
      </w:pPr>
      <w:r>
        <w:rPr>
          <w:rFonts w:ascii="Arial Black"/>
          <w:b/>
          <w:sz w:val="20"/>
        </w:rPr>
        <w:t>To link to this article:   </w:t>
      </w:r>
      <w:hyperlink r:id="rId8">
        <w:r>
          <w:rPr>
            <w:rFonts w:ascii="Calibri"/>
            <w:sz w:val="20"/>
            <w:u w:val="single"/>
          </w:rPr>
          <w:t>http://dx.doi.org/10.1080/09712119.2015.1031790</w:t>
        </w:r>
      </w:hyperlink>
    </w:p>
    <w:p>
      <w:pPr>
        <w:pStyle w:val="BodyText"/>
        <w:rPr>
          <w:rFonts w:ascii="Calibri"/>
        </w:rPr>
      </w:pPr>
    </w:p>
    <w:p>
      <w:pPr>
        <w:pStyle w:val="BodyText"/>
        <w:rPr>
          <w:rFonts w:ascii="Calibri"/>
        </w:rPr>
      </w:pPr>
    </w:p>
    <w:p>
      <w:pPr>
        <w:pStyle w:val="BodyText"/>
        <w:spacing w:before="6"/>
        <w:rPr>
          <w:rFonts w:ascii="Calibri"/>
          <w:sz w:val="24"/>
        </w:rPr>
      </w:pPr>
    </w:p>
    <w:p>
      <w:pPr>
        <w:tabs>
          <w:tab w:pos="6847" w:val="left" w:leader="none"/>
        </w:tabs>
        <w:spacing w:before="70"/>
        <w:ind w:left="2455" w:right="1988" w:firstLine="0"/>
        <w:jc w:val="left"/>
        <w:rPr>
          <w:rFonts w:ascii="Calibri" w:hAnsi="Calibri"/>
          <w:sz w:val="18"/>
        </w:rPr>
      </w:pPr>
      <w:r>
        <w:rPr/>
        <w:drawing>
          <wp:anchor distT="0" distB="0" distL="0" distR="0" allowOverlap="1" layoutInCell="1" locked="0" behindDoc="0" simplePos="0" relativeHeight="1312">
            <wp:simplePos x="0" y="0"/>
            <wp:positionH relativeFrom="page">
              <wp:posOffset>1353819</wp:posOffset>
            </wp:positionH>
            <wp:positionV relativeFrom="paragraph">
              <wp:posOffset>-3323</wp:posOffset>
            </wp:positionV>
            <wp:extent cx="138175" cy="232600"/>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9" cstate="print"/>
                    <a:stretch>
                      <a:fillRect/>
                    </a:stretch>
                  </pic:blipFill>
                  <pic:spPr>
                    <a:xfrm>
                      <a:off x="0" y="0"/>
                      <a:ext cx="138175" cy="232600"/>
                    </a:xfrm>
                    <a:prstGeom prst="rect">
                      <a:avLst/>
                    </a:prstGeom>
                  </pic:spPr>
                </pic:pic>
              </a:graphicData>
            </a:graphic>
          </wp:anchor>
        </w:drawing>
      </w:r>
      <w:r>
        <w:rPr/>
        <w:drawing>
          <wp:anchor distT="0" distB="0" distL="0" distR="0" allowOverlap="1" layoutInCell="1" locked="0" behindDoc="1" simplePos="0" relativeHeight="268415183">
            <wp:simplePos x="0" y="0"/>
            <wp:positionH relativeFrom="page">
              <wp:posOffset>4142740</wp:posOffset>
            </wp:positionH>
            <wp:positionV relativeFrom="paragraph">
              <wp:posOffset>-3323</wp:posOffset>
            </wp:positionV>
            <wp:extent cx="210311" cy="224688"/>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10" cstate="print"/>
                    <a:stretch>
                      <a:fillRect/>
                    </a:stretch>
                  </pic:blipFill>
                  <pic:spPr>
                    <a:xfrm>
                      <a:off x="0" y="0"/>
                      <a:ext cx="210311" cy="224688"/>
                    </a:xfrm>
                    <a:prstGeom prst="rect">
                      <a:avLst/>
                    </a:prstGeom>
                  </pic:spPr>
                </pic:pic>
              </a:graphicData>
            </a:graphic>
          </wp:anchor>
        </w:drawing>
      </w:r>
      <w:r>
        <w:rPr/>
        <w:drawing>
          <wp:anchor distT="0" distB="0" distL="0" distR="0" allowOverlap="1" layoutInCell="1" locked="0" behindDoc="1" simplePos="0" relativeHeight="268415207">
            <wp:simplePos x="0" y="0"/>
            <wp:positionH relativeFrom="page">
              <wp:posOffset>3479571</wp:posOffset>
            </wp:positionH>
            <wp:positionV relativeFrom="paragraph">
              <wp:posOffset>611356</wp:posOffset>
            </wp:positionV>
            <wp:extent cx="165100" cy="111569"/>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1" cstate="print"/>
                    <a:stretch>
                      <a:fillRect/>
                    </a:stretch>
                  </pic:blipFill>
                  <pic:spPr>
                    <a:xfrm>
                      <a:off x="0" y="0"/>
                      <a:ext cx="165100" cy="111569"/>
                    </a:xfrm>
                    <a:prstGeom prst="rect">
                      <a:avLst/>
                    </a:prstGeom>
                  </pic:spPr>
                </pic:pic>
              </a:graphicData>
            </a:graphic>
          </wp:anchor>
        </w:drawing>
      </w:r>
      <w:r>
        <w:rPr>
          <w:rFonts w:ascii="Calibri" w:hAnsi="Calibri"/>
          <w:w w:val="115"/>
          <w:sz w:val="18"/>
        </w:rPr>
        <w:t>© 2015 </w:t>
      </w:r>
      <w:r>
        <w:rPr>
          <w:rFonts w:ascii="Calibri" w:hAnsi="Calibri"/>
          <w:spacing w:val="-3"/>
          <w:w w:val="115"/>
          <w:sz w:val="18"/>
        </w:rPr>
        <w:t>Taylor</w:t>
      </w:r>
      <w:r>
        <w:rPr>
          <w:rFonts w:ascii="Calibri" w:hAnsi="Calibri"/>
          <w:spacing w:val="-25"/>
          <w:w w:val="115"/>
          <w:sz w:val="18"/>
        </w:rPr>
        <w:t> </w:t>
      </w:r>
      <w:r>
        <w:rPr>
          <w:rFonts w:ascii="Calibri" w:hAnsi="Calibri"/>
          <w:w w:val="115"/>
          <w:sz w:val="18"/>
        </w:rPr>
        <w:t>&amp;</w:t>
      </w:r>
      <w:r>
        <w:rPr>
          <w:rFonts w:ascii="Calibri" w:hAnsi="Calibri"/>
          <w:spacing w:val="-9"/>
          <w:w w:val="115"/>
          <w:sz w:val="18"/>
        </w:rPr>
        <w:t> </w:t>
      </w:r>
      <w:r>
        <w:rPr>
          <w:rFonts w:ascii="Calibri" w:hAnsi="Calibri"/>
          <w:w w:val="115"/>
          <w:sz w:val="18"/>
        </w:rPr>
        <w:t>Francis</w:t>
        <w:tab/>
        <w:t>Published online: 27 Apr</w:t>
      </w:r>
      <w:r>
        <w:rPr>
          <w:rFonts w:ascii="Calibri" w:hAnsi="Calibri"/>
          <w:spacing w:val="-31"/>
          <w:w w:val="115"/>
          <w:sz w:val="18"/>
        </w:rPr>
        <w:t> </w:t>
      </w:r>
      <w:r>
        <w:rPr>
          <w:rFonts w:ascii="Calibri" w:hAnsi="Calibri"/>
          <w:w w:val="115"/>
          <w:sz w:val="18"/>
        </w:rPr>
        <w:t>2015.</w:t>
      </w:r>
    </w:p>
    <w:p>
      <w:pPr>
        <w:pStyle w:val="BodyText"/>
        <w:spacing w:before="11"/>
        <w:rPr>
          <w:rFonts w:ascii="Calibri"/>
          <w:sz w:val="29"/>
        </w:rPr>
      </w:pPr>
      <w:r>
        <w:rPr/>
        <w:pict>
          <v:line style="position:absolute;mso-position-horizontal-relative:page;mso-position-vertical-relative:paragraph;z-index:1048;mso-wrap-distance-left:0;mso-wrap-distance-right:0" from="100.599998pt,20.697998pt" to="314.200004pt,20.697998pt" stroked="true" strokeweight=".900002pt" strokecolor="#000000">
            <w10:wrap type="topAndBottom"/>
          </v:line>
        </w:pict>
      </w:r>
      <w:r>
        <w:rPr/>
        <w:pict>
          <v:line style="position:absolute;mso-position-horizontal-relative:page;mso-position-vertical-relative:paragraph;z-index:1072;mso-wrap-distance-left:0;mso-wrap-distance-right:0" from="320.200012pt,20.697998pt" to="533.800018pt,20.697998pt" stroked="true" strokeweight=".900002pt" strokecolor="#000000">
            <w10:wrap type="topAndBottom"/>
          </v:line>
        </w:pict>
      </w:r>
    </w:p>
    <w:p>
      <w:pPr>
        <w:tabs>
          <w:tab w:pos="6343" w:val="left" w:leader="none"/>
        </w:tabs>
        <w:spacing w:before="111"/>
        <w:ind w:left="1952" w:right="1988" w:firstLine="0"/>
        <w:jc w:val="left"/>
        <w:rPr>
          <w:rFonts w:ascii="Calibri"/>
          <w:sz w:val="18"/>
        </w:rPr>
      </w:pPr>
      <w:r>
        <w:rPr>
          <w:position w:val="3"/>
        </w:rPr>
        <w:drawing>
          <wp:inline distT="0" distB="0" distL="0" distR="0">
            <wp:extent cx="223265" cy="174891"/>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2" cstate="print"/>
                    <a:stretch>
                      <a:fillRect/>
                    </a:stretch>
                  </pic:blipFill>
                  <pic:spPr>
                    <a:xfrm>
                      <a:off x="0" y="0"/>
                      <a:ext cx="223265" cy="174891"/>
                    </a:xfrm>
                    <a:prstGeom prst="rect">
                      <a:avLst/>
                    </a:prstGeom>
                  </pic:spPr>
                </pic:pic>
              </a:graphicData>
            </a:graphic>
          </wp:inline>
        </w:drawing>
      </w:r>
      <w:r>
        <w:rPr>
          <w:position w:val="3"/>
        </w:rPr>
      </w:r>
      <w:r>
        <w:rPr>
          <w:position w:val="2"/>
          <w:sz w:val="20"/>
        </w:rPr>
        <w:t>  </w:t>
      </w:r>
      <w:hyperlink r:id="rId13">
        <w:r>
          <w:rPr>
            <w:rFonts w:ascii="Calibri"/>
            <w:w w:val="115"/>
            <w:position w:val="2"/>
            <w:sz w:val="18"/>
          </w:rPr>
          <w:t>Submit your article to</w:t>
        </w:r>
        <w:r>
          <w:rPr>
            <w:rFonts w:ascii="Calibri"/>
            <w:spacing w:val="-22"/>
            <w:w w:val="115"/>
            <w:position w:val="2"/>
            <w:sz w:val="18"/>
          </w:rPr>
          <w:t> </w:t>
        </w:r>
        <w:r>
          <w:rPr>
            <w:rFonts w:ascii="Calibri"/>
            <w:w w:val="115"/>
            <w:position w:val="2"/>
            <w:sz w:val="18"/>
          </w:rPr>
          <w:t>this</w:t>
        </w:r>
        <w:r>
          <w:rPr>
            <w:rFonts w:ascii="Calibri"/>
            <w:spacing w:val="-6"/>
            <w:w w:val="115"/>
            <w:position w:val="2"/>
            <w:sz w:val="18"/>
          </w:rPr>
          <w:t> </w:t>
        </w:r>
        <w:r>
          <w:rPr>
            <w:rFonts w:ascii="Calibri"/>
            <w:w w:val="115"/>
            <w:position w:val="2"/>
            <w:sz w:val="18"/>
          </w:rPr>
          <w:t>journal</w:t>
          <w:tab/>
        </w:r>
        <w:r>
          <w:rPr>
            <w:rFonts w:ascii="Calibri"/>
            <w:sz w:val="18"/>
          </w:rPr>
        </w:r>
        <w:r>
          <w:rPr>
            <w:position w:val="5"/>
            <w:sz w:val="18"/>
          </w:rPr>
          <w:t> </w:t>
        </w:r>
      </w:hyperlink>
      <w:r>
        <w:rPr>
          <w:rFonts w:ascii="Calibri"/>
          <w:sz w:val="18"/>
        </w:rPr>
        <w:drawing>
          <wp:inline distT="0" distB="0" distL="0" distR="0">
            <wp:extent cx="256032" cy="191173"/>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4" cstate="print"/>
                    <a:stretch>
                      <a:fillRect/>
                    </a:stretch>
                  </pic:blipFill>
                  <pic:spPr>
                    <a:xfrm>
                      <a:off x="0" y="0"/>
                      <a:ext cx="256032" cy="191173"/>
                    </a:xfrm>
                    <a:prstGeom prst="rect">
                      <a:avLst/>
                    </a:prstGeom>
                  </pic:spPr>
                </pic:pic>
              </a:graphicData>
            </a:graphic>
          </wp:inline>
        </w:drawing>
      </w:r>
      <w:r>
        <w:rPr>
          <w:rFonts w:ascii="Calibri"/>
          <w:w w:val="115"/>
          <w:position w:val="5"/>
          <w:sz w:val="18"/>
        </w:rPr>
        <w:t>Article</w:t>
      </w:r>
      <w:r>
        <w:rPr>
          <w:rFonts w:ascii="Calibri"/>
          <w:spacing w:val="-25"/>
          <w:w w:val="115"/>
          <w:position w:val="5"/>
          <w:sz w:val="18"/>
        </w:rPr>
        <w:t> </w:t>
      </w:r>
      <w:r>
        <w:rPr>
          <w:rFonts w:ascii="Calibri"/>
          <w:w w:val="115"/>
          <w:position w:val="5"/>
          <w:sz w:val="18"/>
        </w:rPr>
        <w:t>views:</w:t>
      </w:r>
      <w:r>
        <w:rPr>
          <w:rFonts w:ascii="Calibri"/>
          <w:spacing w:val="-25"/>
          <w:w w:val="115"/>
          <w:position w:val="5"/>
          <w:sz w:val="18"/>
        </w:rPr>
        <w:t> </w:t>
      </w:r>
      <w:r>
        <w:rPr>
          <w:rFonts w:ascii="Calibri"/>
          <w:w w:val="115"/>
          <w:position w:val="5"/>
          <w:sz w:val="18"/>
        </w:rPr>
        <w:t>481</w:t>
      </w:r>
    </w:p>
    <w:p>
      <w:pPr>
        <w:pStyle w:val="BodyText"/>
        <w:spacing w:before="1"/>
        <w:rPr>
          <w:rFonts w:ascii="Calibri"/>
          <w:sz w:val="27"/>
        </w:rPr>
      </w:pPr>
      <w:r>
        <w:rPr/>
        <w:pict>
          <v:line style="position:absolute;mso-position-horizontal-relative:page;mso-position-vertical-relative:paragraph;z-index:1096;mso-wrap-distance-left:0;mso-wrap-distance-right:0" from="100.599998pt,18.976007pt" to="314.200004pt,18.976007pt" stroked="true" strokeweight=".900002pt" strokecolor="#000000">
            <w10:wrap type="topAndBottom"/>
          </v:line>
        </w:pict>
      </w:r>
      <w:r>
        <w:rPr/>
        <w:pict>
          <v:line style="position:absolute;mso-position-horizontal-relative:page;mso-position-vertical-relative:paragraph;z-index:1120;mso-wrap-distance-left:0;mso-wrap-distance-right:0" from="320.200012pt,18.976007pt" to="533.800018pt,18.976007pt" stroked="true" strokeweight=".900002pt" strokecolor="#000000">
            <w10:wrap type="topAndBottom"/>
          </v:line>
        </w:pict>
      </w:r>
    </w:p>
    <w:p>
      <w:pPr>
        <w:pStyle w:val="BodyText"/>
        <w:spacing w:before="9"/>
        <w:rPr>
          <w:rFonts w:ascii="Calibri"/>
          <w:sz w:val="12"/>
        </w:rPr>
      </w:pPr>
    </w:p>
    <w:p>
      <w:pPr>
        <w:spacing w:before="65"/>
        <w:ind w:left="2455" w:right="1988" w:firstLine="0"/>
        <w:jc w:val="left"/>
        <w:rPr>
          <w:rFonts w:ascii="Calibri"/>
          <w:sz w:val="18"/>
        </w:rPr>
      </w:pPr>
      <w:r>
        <w:rPr/>
        <w:drawing>
          <wp:anchor distT="0" distB="0" distL="0" distR="0" allowOverlap="1" layoutInCell="1" locked="0" behindDoc="1" simplePos="0" relativeHeight="268415231">
            <wp:simplePos x="0" y="0"/>
            <wp:positionH relativeFrom="page">
              <wp:posOffset>1353819</wp:posOffset>
            </wp:positionH>
            <wp:positionV relativeFrom="paragraph">
              <wp:posOffset>-28575</wp:posOffset>
            </wp:positionV>
            <wp:extent cx="200152" cy="231508"/>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5" cstate="print"/>
                    <a:stretch>
                      <a:fillRect/>
                    </a:stretch>
                  </pic:blipFill>
                  <pic:spPr>
                    <a:xfrm>
                      <a:off x="0" y="0"/>
                      <a:ext cx="200152" cy="231508"/>
                    </a:xfrm>
                    <a:prstGeom prst="rect">
                      <a:avLst/>
                    </a:prstGeom>
                  </pic:spPr>
                </pic:pic>
              </a:graphicData>
            </a:graphic>
          </wp:anchor>
        </w:drawing>
      </w:r>
      <w:r>
        <w:rPr/>
        <w:drawing>
          <wp:anchor distT="0" distB="0" distL="0" distR="0" allowOverlap="1" layoutInCell="1" locked="0" behindDoc="1" simplePos="0" relativeHeight="268415255">
            <wp:simplePos x="0" y="0"/>
            <wp:positionH relativeFrom="page">
              <wp:posOffset>4142740</wp:posOffset>
            </wp:positionH>
            <wp:positionV relativeFrom="paragraph">
              <wp:posOffset>-28575</wp:posOffset>
            </wp:positionV>
            <wp:extent cx="235711" cy="264782"/>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6" cstate="print"/>
                    <a:stretch>
                      <a:fillRect/>
                    </a:stretch>
                  </pic:blipFill>
                  <pic:spPr>
                    <a:xfrm>
                      <a:off x="0" y="0"/>
                      <a:ext cx="235711" cy="264782"/>
                    </a:xfrm>
                    <a:prstGeom prst="rect">
                      <a:avLst/>
                    </a:prstGeom>
                  </pic:spPr>
                </pic:pic>
              </a:graphicData>
            </a:graphic>
          </wp:anchor>
        </w:drawing>
      </w:r>
      <w:r>
        <w:rPr/>
        <w:drawing>
          <wp:anchor distT="0" distB="0" distL="0" distR="0" allowOverlap="1" layoutInCell="1" locked="0" behindDoc="1" simplePos="0" relativeHeight="268415279">
            <wp:simplePos x="0" y="0"/>
            <wp:positionH relativeFrom="page">
              <wp:posOffset>5577662</wp:posOffset>
            </wp:positionH>
            <wp:positionV relativeFrom="paragraph">
              <wp:posOffset>41275</wp:posOffset>
            </wp:positionV>
            <wp:extent cx="165100" cy="111569"/>
            <wp:effectExtent l="0" t="0" r="0" b="0"/>
            <wp:wrapNone/>
            <wp:docPr id="19" name="image5.png" descr=""/>
            <wp:cNvGraphicFramePr>
              <a:graphicFrameLocks noChangeAspect="1"/>
            </wp:cNvGraphicFramePr>
            <a:graphic>
              <a:graphicData uri="http://schemas.openxmlformats.org/drawingml/2006/picture">
                <pic:pic>
                  <pic:nvPicPr>
                    <pic:cNvPr id="20" name="image5.png"/>
                    <pic:cNvPicPr/>
                  </pic:nvPicPr>
                  <pic:blipFill>
                    <a:blip r:embed="rId11" cstate="print"/>
                    <a:stretch>
                      <a:fillRect/>
                    </a:stretch>
                  </pic:blipFill>
                  <pic:spPr>
                    <a:xfrm>
                      <a:off x="0" y="0"/>
                      <a:ext cx="165100" cy="111569"/>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3544493</wp:posOffset>
            </wp:positionH>
            <wp:positionV relativeFrom="paragraph">
              <wp:posOffset>586105</wp:posOffset>
            </wp:positionV>
            <wp:extent cx="165100" cy="111569"/>
            <wp:effectExtent l="0" t="0" r="0" b="0"/>
            <wp:wrapNone/>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1" cstate="print"/>
                    <a:stretch>
                      <a:fillRect/>
                    </a:stretch>
                  </pic:blipFill>
                  <pic:spPr>
                    <a:xfrm>
                      <a:off x="0" y="0"/>
                      <a:ext cx="165100" cy="111569"/>
                    </a:xfrm>
                    <a:prstGeom prst="rect">
                      <a:avLst/>
                    </a:prstGeom>
                  </pic:spPr>
                </pic:pic>
              </a:graphicData>
            </a:graphic>
          </wp:anchor>
        </w:drawing>
      </w:r>
      <w:hyperlink r:id="rId17">
        <w:r>
          <w:rPr>
            <w:rFonts w:ascii="Calibri"/>
            <w:w w:val="115"/>
            <w:sz w:val="18"/>
          </w:rPr>
          <w:t>View</w:t>
        </w:r>
        <w:r>
          <w:rPr>
            <w:rFonts w:ascii="Calibri"/>
            <w:spacing w:val="-24"/>
            <w:w w:val="115"/>
            <w:sz w:val="18"/>
          </w:rPr>
          <w:t> </w:t>
        </w:r>
        <w:r>
          <w:rPr>
            <w:rFonts w:ascii="Calibri"/>
            <w:w w:val="115"/>
            <w:sz w:val="18"/>
          </w:rPr>
          <w:t>related</w:t>
        </w:r>
        <w:r>
          <w:rPr>
            <w:rFonts w:ascii="Calibri"/>
            <w:spacing w:val="-24"/>
            <w:w w:val="115"/>
            <w:sz w:val="18"/>
          </w:rPr>
          <w:t> </w:t>
        </w:r>
        <w:r>
          <w:rPr>
            <w:rFonts w:ascii="Calibri"/>
            <w:w w:val="115"/>
            <w:sz w:val="18"/>
          </w:rPr>
          <w:t>articles</w:t>
        </w:r>
        <w:r>
          <w:rPr>
            <w:rFonts w:ascii="Calibri"/>
            <w:spacing w:val="-2"/>
            <w:w w:val="115"/>
            <w:sz w:val="18"/>
          </w:rPr>
          <w:t> </w:t>
        </w:r>
        <w:r>
          <w:rPr>
            <w:rFonts w:ascii="Calibri"/>
            <w:spacing w:val="5"/>
            <w:sz w:val="18"/>
          </w:rPr>
        </w:r>
        <w:r>
          <w:rPr>
            <w:spacing w:val="5"/>
            <w:sz w:val="18"/>
          </w:rPr>
          <w:t>                                                     </w:t>
        </w:r>
      </w:hyperlink>
      <w:r>
        <w:rPr>
          <w:rFonts w:ascii="Calibri"/>
          <w:spacing w:val="5"/>
          <w:sz w:val="18"/>
        </w:rPr>
        <w:drawing>
          <wp:inline distT="0" distB="0" distL="0" distR="0">
            <wp:extent cx="165100" cy="111569"/>
            <wp:effectExtent l="0" t="0" r="0" b="0"/>
            <wp:docPr id="23" name="image5.png" descr=""/>
            <wp:cNvGraphicFramePr>
              <a:graphicFrameLocks noChangeAspect="1"/>
            </wp:cNvGraphicFramePr>
            <a:graphic>
              <a:graphicData uri="http://schemas.openxmlformats.org/drawingml/2006/picture">
                <pic:pic>
                  <pic:nvPicPr>
                    <pic:cNvPr id="24" name="image5.png"/>
                    <pic:cNvPicPr/>
                  </pic:nvPicPr>
                  <pic:blipFill>
                    <a:blip r:embed="rId11" cstate="print"/>
                    <a:stretch>
                      <a:fillRect/>
                    </a:stretch>
                  </pic:blipFill>
                  <pic:spPr>
                    <a:xfrm>
                      <a:off x="0" y="0"/>
                      <a:ext cx="165100" cy="111569"/>
                    </a:xfrm>
                    <a:prstGeom prst="rect">
                      <a:avLst/>
                    </a:prstGeom>
                  </pic:spPr>
                </pic:pic>
              </a:graphicData>
            </a:graphic>
          </wp:inline>
        </w:drawing>
      </w:r>
      <w:r>
        <w:rPr>
          <w:rFonts w:ascii="Calibri"/>
          <w:w w:val="115"/>
          <w:sz w:val="18"/>
        </w:rPr>
        <w:t>View</w:t>
      </w:r>
      <w:r>
        <w:rPr>
          <w:rFonts w:ascii="Calibri"/>
          <w:spacing w:val="-9"/>
          <w:w w:val="115"/>
          <w:sz w:val="18"/>
        </w:rPr>
        <w:t> </w:t>
      </w:r>
      <w:r>
        <w:rPr>
          <w:rFonts w:ascii="Calibri"/>
          <w:w w:val="115"/>
          <w:sz w:val="18"/>
        </w:rPr>
        <w:t>Crossmark</w:t>
      </w:r>
      <w:r>
        <w:rPr>
          <w:rFonts w:ascii="Calibri"/>
          <w:spacing w:val="-9"/>
          <w:w w:val="115"/>
          <w:sz w:val="18"/>
        </w:rPr>
        <w:t> </w:t>
      </w:r>
      <w:r>
        <w:rPr>
          <w:rFonts w:ascii="Calibri"/>
          <w:w w:val="115"/>
          <w:sz w:val="18"/>
        </w:rPr>
        <w:t>data</w:t>
      </w:r>
    </w:p>
    <w:p>
      <w:pPr>
        <w:pStyle w:val="BodyText"/>
        <w:spacing w:before="9"/>
        <w:rPr>
          <w:rFonts w:ascii="Calibri"/>
          <w:sz w:val="26"/>
        </w:rPr>
      </w:pPr>
      <w:r>
        <w:rPr/>
        <w:pict>
          <v:line style="position:absolute;mso-position-horizontal-relative:page;mso-position-vertical-relative:paragraph;z-index:1144;mso-wrap-distance-left:0;mso-wrap-distance-right:0" from="100.599998pt,18.743999pt" to="314.200004pt,18.743999pt" stroked="true" strokeweight=".900002pt" strokecolor="#000000">
            <w10:wrap type="topAndBottom"/>
          </v:line>
        </w:pict>
      </w:r>
      <w:r>
        <w:rPr/>
        <w:pict>
          <v:line style="position:absolute;mso-position-horizontal-relative:page;mso-position-vertical-relative:paragraph;z-index:1168;mso-wrap-distance-left:0;mso-wrap-distance-right:0" from="320.200012pt,18.743999pt" to="533.800018pt,18.743999pt" stroked="true" strokeweight=".900002pt" strokecolor="#000000">
            <w10:wrap type="topAndBottom"/>
          </v:line>
        </w:pict>
      </w:r>
    </w:p>
    <w:p>
      <w:pPr>
        <w:spacing w:before="111"/>
        <w:ind w:left="1952" w:right="1988" w:firstLine="0"/>
        <w:jc w:val="left"/>
        <w:rPr>
          <w:rFonts w:ascii="Calibri"/>
          <w:sz w:val="18"/>
        </w:rPr>
      </w:pPr>
      <w:r>
        <w:rPr>
          <w:position w:val="-6"/>
        </w:rPr>
        <w:drawing>
          <wp:inline distT="0" distB="0" distL="0" distR="0">
            <wp:extent cx="223519" cy="223520"/>
            <wp:effectExtent l="0" t="0" r="0" b="0"/>
            <wp:docPr id="25" name="image10.png" descr=""/>
            <wp:cNvGraphicFramePr>
              <a:graphicFrameLocks noChangeAspect="1"/>
            </wp:cNvGraphicFramePr>
            <a:graphic>
              <a:graphicData uri="http://schemas.openxmlformats.org/drawingml/2006/picture">
                <pic:pic>
                  <pic:nvPicPr>
                    <pic:cNvPr id="26" name="image10.png"/>
                    <pic:cNvPicPr/>
                  </pic:nvPicPr>
                  <pic:blipFill>
                    <a:blip r:embed="rId18" cstate="print"/>
                    <a:stretch>
                      <a:fillRect/>
                    </a:stretch>
                  </pic:blipFill>
                  <pic:spPr>
                    <a:xfrm>
                      <a:off x="0" y="0"/>
                      <a:ext cx="223519" cy="223520"/>
                    </a:xfrm>
                    <a:prstGeom prst="rect">
                      <a:avLst/>
                    </a:prstGeom>
                  </pic:spPr>
                </pic:pic>
              </a:graphicData>
            </a:graphic>
          </wp:inline>
        </w:drawing>
      </w:r>
      <w:r>
        <w:rPr>
          <w:position w:val="-6"/>
        </w:rPr>
      </w:r>
      <w:r>
        <w:rPr>
          <w:sz w:val="20"/>
        </w:rPr>
        <w:t>  </w:t>
      </w:r>
      <w:hyperlink r:id="rId19">
        <w:r>
          <w:rPr>
            <w:rFonts w:ascii="Calibri"/>
            <w:w w:val="110"/>
            <w:sz w:val="18"/>
          </w:rPr>
          <w:t>Citing articles: 1 View citing </w:t>
        </w:r>
        <w:r>
          <w:rPr>
            <w:rFonts w:ascii="Calibri"/>
            <w:spacing w:val="14"/>
            <w:w w:val="110"/>
            <w:sz w:val="18"/>
          </w:rPr>
          <w:t> </w:t>
        </w:r>
        <w:r>
          <w:rPr>
            <w:rFonts w:ascii="Calibri"/>
            <w:w w:val="110"/>
            <w:sz w:val="18"/>
          </w:rPr>
          <w:t>articles</w:t>
        </w:r>
      </w:hyperlink>
    </w:p>
    <w:p>
      <w:pPr>
        <w:pStyle w:val="BodyText"/>
        <w:spacing w:before="3"/>
        <w:rPr>
          <w:rFonts w:ascii="Calibri"/>
          <w:sz w:val="25"/>
        </w:rPr>
      </w:pPr>
      <w:r>
        <w:rPr/>
        <w:pict>
          <v:line style="position:absolute;mso-position-horizontal-relative:page;mso-position-vertical-relative:paragraph;z-index:1192;mso-wrap-distance-left:0;mso-wrap-distance-right:0" from="100.599998pt,17.846001pt" to="314.200004pt,17.846001pt" stroked="true" strokeweight=".900002pt" strokecolor="#000000">
            <w10:wrap type="topAndBottom"/>
          </v:line>
        </w:pict>
      </w:r>
    </w:p>
    <w:p>
      <w:pPr>
        <w:pStyle w:val="BodyText"/>
        <w:rPr>
          <w:rFonts w:ascii="Calibri"/>
          <w:sz w:val="34"/>
        </w:rPr>
      </w:pPr>
    </w:p>
    <w:p>
      <w:pPr>
        <w:pStyle w:val="BodyText"/>
        <w:rPr>
          <w:rFonts w:ascii="Calibri"/>
          <w:sz w:val="34"/>
        </w:rPr>
      </w:pPr>
    </w:p>
    <w:p>
      <w:pPr>
        <w:pStyle w:val="BodyText"/>
        <w:rPr>
          <w:rFonts w:ascii="Calibri"/>
          <w:sz w:val="34"/>
        </w:rPr>
      </w:pPr>
    </w:p>
    <w:p>
      <w:pPr>
        <w:pStyle w:val="BodyText"/>
        <w:rPr>
          <w:rFonts w:ascii="Calibri"/>
          <w:sz w:val="34"/>
        </w:rPr>
      </w:pPr>
    </w:p>
    <w:p>
      <w:pPr>
        <w:pStyle w:val="BodyText"/>
        <w:rPr>
          <w:rFonts w:ascii="Calibri"/>
          <w:sz w:val="34"/>
        </w:rPr>
      </w:pPr>
    </w:p>
    <w:p>
      <w:pPr>
        <w:pStyle w:val="BodyText"/>
        <w:rPr>
          <w:rFonts w:ascii="Calibri"/>
          <w:sz w:val="34"/>
        </w:rPr>
      </w:pPr>
    </w:p>
    <w:p>
      <w:pPr>
        <w:pStyle w:val="BodyText"/>
        <w:rPr>
          <w:rFonts w:ascii="Calibri"/>
          <w:sz w:val="34"/>
        </w:rPr>
      </w:pPr>
    </w:p>
    <w:p>
      <w:pPr>
        <w:pStyle w:val="BodyText"/>
        <w:rPr>
          <w:rFonts w:ascii="Calibri"/>
          <w:sz w:val="34"/>
        </w:rPr>
      </w:pPr>
    </w:p>
    <w:p>
      <w:pPr>
        <w:pStyle w:val="BodyText"/>
        <w:spacing w:before="8"/>
        <w:rPr>
          <w:rFonts w:ascii="Calibri"/>
          <w:sz w:val="32"/>
        </w:rPr>
      </w:pPr>
    </w:p>
    <w:p>
      <w:pPr>
        <w:spacing w:before="1"/>
        <w:ind w:left="2987" w:right="1988" w:firstLine="747"/>
        <w:jc w:val="left"/>
        <w:rPr>
          <w:rFonts w:ascii="Calibri"/>
          <w:sz w:val="18"/>
        </w:rPr>
      </w:pPr>
      <w:r>
        <w:rPr>
          <w:rFonts w:ascii="Calibri"/>
          <w:w w:val="115"/>
          <w:sz w:val="18"/>
        </w:rPr>
        <w:t>Full Terms &amp; Conditions of access and use can be found at </w:t>
      </w:r>
      <w:hyperlink r:id="rId20">
        <w:r>
          <w:rPr>
            <w:rFonts w:ascii="Calibri"/>
            <w:w w:val="110"/>
            <w:sz w:val="18"/>
          </w:rPr>
          <w:t>http://www.tandfonline.com/action/journalInformation?journalCode=taar20</w:t>
        </w:r>
      </w:hyperlink>
    </w:p>
    <w:p>
      <w:pPr>
        <w:pStyle w:val="BodyText"/>
        <w:spacing w:before="5"/>
        <w:rPr>
          <w:rFonts w:ascii="Calibri"/>
          <w:sz w:val="14"/>
        </w:rPr>
      </w:pPr>
      <w:r>
        <w:rPr/>
        <w:pict>
          <v:group style="position:absolute;margin-left:14.4pt;margin-top:10.748011pt;width:605pt;height:22pt;mso-position-horizontal-relative:page;mso-position-vertical-relative:paragraph;z-index:1264;mso-wrap-distance-left:0;mso-wrap-distance-right:0" coordorigin="288,215" coordsize="12100,440">
            <v:shape style="position:absolute;left:288;top:215;width:12100;height:440" coordorigin="288,215" coordsize="12100,440" path="m12386,398l288,398,313,332,355,277,412,236,479,215,12245,215,12204,215,12271,240,12326,282,12366,338,12386,398xm12196,655l429,655,471,655,405,630,350,588,310,532,288,464,288,357,288,398,12386,398,12388,406,12388,472,12388,472,12363,538,12321,593,12264,634,12196,655xm12388,514l12388,472,12388,472,12388,514xe" filled="true" fillcolor="#030303" stroked="false">
              <v:path arrowok="t"/>
              <v:fill type="solid"/>
            </v:shape>
            <v:shape style="position:absolute;left:12204;top:215;width:184;height:191" type="#_x0000_t75" stroked="false">
              <v:imagedata r:id="rId21" o:title=""/>
            </v:shape>
            <v:shape style="position:absolute;left:307;top:235;width:12062;height:401" coordorigin="307,235" coordsize="12062,401" path="m12149,635l529,635,461,629,399,602,350,557,318,498,307,431,321,365,355,307,406,262,470,239,549,235,12148,235,12219,242,12282,271,12332,320,12362,384,12369,449,12353,510,12320,564,12272,606,12213,631,12149,635xe" filled="true" fillcolor="#ffffff" stroked="false">
              <v:path arrowok="t"/>
              <v:fill type="solid"/>
            </v:shape>
            <v:shape style="position:absolute;left:288;top:464;width:183;height:191" type="#_x0000_t75" stroked="false">
              <v:imagedata r:id="rId22" o:title=""/>
            </v:shape>
            <v:shape style="position:absolute;left:12196;top:472;width:192;height:183" type="#_x0000_t75" stroked="false">
              <v:imagedata r:id="rId23" o:title=""/>
            </v:shape>
            <v:shapetype id="_x0000_t202" o:spt="202" coordsize="21600,21600" path="m,l,21600r21600,l21600,xe">
              <v:stroke joinstyle="miter"/>
              <v:path gradientshapeok="t" o:connecttype="rect"/>
            </v:shapetype>
            <v:shape style="position:absolute;left:488;top:339;width:2513;height:180" type="#_x0000_t202" filled="false" stroked="false">
              <v:textbox inset="0,0,0,0">
                <w:txbxContent>
                  <w:p>
                    <w:pPr>
                      <w:spacing w:line="180" w:lineRule="exact" w:before="0"/>
                      <w:ind w:left="0" w:right="-18" w:firstLine="0"/>
                      <w:jc w:val="left"/>
                      <w:rPr>
                        <w:rFonts w:ascii="Calibri"/>
                        <w:sz w:val="18"/>
                      </w:rPr>
                    </w:pPr>
                    <w:r>
                      <w:rPr>
                        <w:rFonts w:ascii="Arial Black"/>
                        <w:b/>
                        <w:sz w:val="18"/>
                      </w:rPr>
                      <w:t>Download by:</w:t>
                    </w:r>
                    <w:r>
                      <w:rPr>
                        <w:rFonts w:ascii="Arial Black"/>
                        <w:b/>
                        <w:spacing w:val="-29"/>
                        <w:sz w:val="18"/>
                      </w:rPr>
                      <w:t> </w:t>
                    </w:r>
                    <w:r>
                      <w:rPr>
                        <w:rFonts w:ascii="Calibri"/>
                        <w:sz w:val="18"/>
                      </w:rPr>
                      <w:t>[201.116.72.50]</w:t>
                    </w:r>
                  </w:p>
                </w:txbxContent>
              </v:textbox>
              <w10:wrap type="none"/>
            </v:shape>
            <v:shape style="position:absolute;left:9316;top:339;width:2333;height:180" type="#_x0000_t202" filled="false" stroked="false">
              <v:textbox inset="0,0,0,0">
                <w:txbxContent>
                  <w:p>
                    <w:pPr>
                      <w:spacing w:line="180" w:lineRule="exact" w:before="0"/>
                      <w:ind w:left="0" w:right="-15" w:firstLine="0"/>
                      <w:jc w:val="left"/>
                      <w:rPr>
                        <w:rFonts w:ascii="Calibri"/>
                        <w:sz w:val="18"/>
                      </w:rPr>
                    </w:pPr>
                    <w:r>
                      <w:rPr>
                        <w:rFonts w:ascii="Arial Black"/>
                        <w:b/>
                        <w:w w:val="105"/>
                        <w:sz w:val="18"/>
                      </w:rPr>
                      <w:t>Date: </w:t>
                    </w:r>
                    <w:r>
                      <w:rPr>
                        <w:rFonts w:ascii="Calibri"/>
                        <w:w w:val="105"/>
                        <w:sz w:val="18"/>
                      </w:rPr>
                      <w:t>08 July 2016, At:</w:t>
                    </w:r>
                    <w:r>
                      <w:rPr>
                        <w:rFonts w:ascii="Calibri"/>
                        <w:spacing w:val="-20"/>
                        <w:w w:val="105"/>
                        <w:sz w:val="18"/>
                      </w:rPr>
                      <w:t> </w:t>
                    </w:r>
                    <w:r>
                      <w:rPr>
                        <w:rFonts w:ascii="Calibri"/>
                        <w:w w:val="105"/>
                        <w:sz w:val="18"/>
                      </w:rPr>
                      <w:t>11:20</w:t>
                    </w:r>
                  </w:p>
                </w:txbxContent>
              </v:textbox>
              <w10:wrap type="none"/>
            </v:shape>
            <w10:wrap type="topAndBottom"/>
          </v:group>
        </w:pict>
      </w:r>
    </w:p>
    <w:p>
      <w:pPr>
        <w:spacing w:after="0"/>
        <w:rPr>
          <w:rFonts w:ascii="Calibri"/>
          <w:sz w:val="14"/>
        </w:rPr>
        <w:sectPr>
          <w:type w:val="continuous"/>
          <w:pgSz w:w="12690" w:h="16670"/>
          <w:pgMar w:top="380" w:bottom="0" w:left="180" w:right="180"/>
        </w:sectPr>
      </w:pPr>
    </w:p>
    <w:p>
      <w:pPr>
        <w:tabs>
          <w:tab w:pos="8204" w:val="left" w:leader="none"/>
        </w:tabs>
        <w:spacing w:line="151" w:lineRule="auto" w:before="121"/>
        <w:ind w:left="113" w:right="101" w:firstLine="0"/>
        <w:jc w:val="left"/>
        <w:rPr>
          <w:sz w:val="18"/>
        </w:rPr>
      </w:pPr>
      <w:bookmarkStart w:name="Abstract" w:id="1"/>
      <w:bookmarkEnd w:id="1"/>
      <w:r>
        <w:rPr/>
      </w:r>
      <w:bookmarkStart w:name="1. Introduction" w:id="2"/>
      <w:bookmarkEnd w:id="2"/>
      <w:r>
        <w:rPr/>
      </w:r>
      <w:bookmarkStart w:name="_bookmark0" w:id="3"/>
      <w:bookmarkEnd w:id="3"/>
      <w:r>
        <w:rPr/>
      </w:r>
      <w:r>
        <w:rPr>
          <w:i/>
          <w:sz w:val="18"/>
        </w:rPr>
        <w:t>Journal of Applied Animal</w:t>
      </w:r>
      <w:r>
        <w:rPr>
          <w:i/>
          <w:spacing w:val="27"/>
          <w:sz w:val="18"/>
        </w:rPr>
        <w:t> </w:t>
      </w:r>
      <w:r>
        <w:rPr>
          <w:i/>
          <w:sz w:val="18"/>
        </w:rPr>
        <w:t>Research,</w:t>
      </w:r>
      <w:r>
        <w:rPr>
          <w:i/>
          <w:spacing w:val="7"/>
          <w:sz w:val="18"/>
        </w:rPr>
        <w:t> </w:t>
      </w:r>
      <w:r>
        <w:rPr>
          <w:sz w:val="18"/>
        </w:rPr>
        <w:t>2016</w:t>
        <w:tab/>
      </w:r>
      <w:r>
        <w:rPr>
          <w:position w:val="-17"/>
          <w:sz w:val="18"/>
        </w:rPr>
        <w:drawing>
          <wp:inline distT="0" distB="0" distL="0" distR="0">
            <wp:extent cx="952614" cy="230403"/>
            <wp:effectExtent l="0" t="0" r="0" b="0"/>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24" cstate="print"/>
                    <a:stretch>
                      <a:fillRect/>
                    </a:stretch>
                  </pic:blipFill>
                  <pic:spPr>
                    <a:xfrm>
                      <a:off x="0" y="0"/>
                      <a:ext cx="952614" cy="230403"/>
                    </a:xfrm>
                    <a:prstGeom prst="rect">
                      <a:avLst/>
                    </a:prstGeom>
                  </pic:spPr>
                </pic:pic>
              </a:graphicData>
            </a:graphic>
          </wp:inline>
        </w:drawing>
      </w:r>
      <w:r>
        <w:rPr>
          <w:position w:val="-17"/>
          <w:sz w:val="18"/>
        </w:rPr>
      </w:r>
      <w:r>
        <w:rPr>
          <w:position w:val="-17"/>
          <w:sz w:val="18"/>
        </w:rPr>
        <w:t> </w:t>
      </w:r>
      <w:hyperlink r:id="rId8">
        <w:r>
          <w:rPr>
            <w:spacing w:val="-6"/>
            <w:sz w:val="18"/>
          </w:rPr>
          <w:t>Vol. </w:t>
        </w:r>
        <w:r>
          <w:rPr>
            <w:sz w:val="18"/>
          </w:rPr>
          <w:t>44, No. 1, 331</w:t>
        </w:r>
        <w:r>
          <w:rPr>
            <w:rFonts w:ascii="Arial" w:hAnsi="Arial"/>
            <w:sz w:val="18"/>
          </w:rPr>
          <w:t>–</w:t>
        </w:r>
        <w:r>
          <w:rPr>
            <w:sz w:val="18"/>
          </w:rPr>
          <w:t>337,</w:t>
        </w:r>
        <w:r>
          <w:rPr>
            <w:spacing w:val="6"/>
            <w:sz w:val="18"/>
          </w:rPr>
          <w:t> </w:t>
        </w:r>
        <w:r>
          <w:rPr>
            <w:sz w:val="18"/>
          </w:rPr>
          <w:t>http://dx.doi.org/10.108</w:t>
        </w:r>
      </w:hyperlink>
      <w:r>
        <w:rPr>
          <w:sz w:val="18"/>
        </w:rPr>
        <w:t>0/09712119.2015.1031790</w:t>
      </w:r>
    </w:p>
    <w:p>
      <w:pPr>
        <w:pStyle w:val="BodyText"/>
      </w:pPr>
    </w:p>
    <w:p>
      <w:pPr>
        <w:pStyle w:val="BodyText"/>
      </w:pPr>
    </w:p>
    <w:p>
      <w:pPr>
        <w:pStyle w:val="BodyText"/>
      </w:pPr>
    </w:p>
    <w:p>
      <w:pPr>
        <w:pStyle w:val="BodyText"/>
      </w:pPr>
    </w:p>
    <w:p>
      <w:pPr>
        <w:pStyle w:val="BodyText"/>
      </w:pPr>
    </w:p>
    <w:p>
      <w:pPr>
        <w:spacing w:line="242" w:lineRule="auto" w:before="208"/>
        <w:ind w:left="542" w:right="522" w:firstLine="0"/>
        <w:jc w:val="center"/>
        <w:rPr>
          <w:sz w:val="24"/>
        </w:rPr>
      </w:pPr>
      <w:r>
        <w:rPr>
          <w:w w:val="105"/>
          <w:sz w:val="24"/>
        </w:rPr>
        <w:t>Lactation curves and body weight changes of Alpine, Saanen and Anglo-Nubian goats as well as pre-weaning growth of their  kids</w:t>
      </w:r>
    </w:p>
    <w:p>
      <w:pPr>
        <w:pStyle w:val="BodyText"/>
        <w:spacing w:line="247" w:lineRule="exact" w:before="111"/>
        <w:ind w:left="178"/>
      </w:pPr>
      <w:r>
        <w:rPr/>
        <w:t>R. Rojo-Rubio</w:t>
      </w:r>
      <w:r>
        <w:rPr>
          <w:color w:val="000084"/>
          <w:position w:val="9"/>
          <w:sz w:val="13"/>
        </w:rPr>
        <w:t>a</w:t>
      </w:r>
      <w:r>
        <w:rPr/>
        <w:t>, A.E. Kholif</w:t>
      </w:r>
      <w:r>
        <w:rPr>
          <w:color w:val="000084"/>
          <w:position w:val="9"/>
          <w:sz w:val="13"/>
        </w:rPr>
        <w:t>b</w:t>
      </w:r>
      <w:r>
        <w:rPr/>
        <w:t>, A.Z.M. Salem</w:t>
      </w:r>
      <w:r>
        <w:rPr>
          <w:color w:val="000084"/>
          <w:position w:val="9"/>
          <w:sz w:val="13"/>
        </w:rPr>
        <w:t>c</w:t>
      </w:r>
      <w:hyperlink w:history="true" w:anchor="_bookmark0">
        <w:r>
          <w:rPr>
            <w:color w:val="000084"/>
          </w:rPr>
          <w:t>*</w:t>
        </w:r>
      </w:hyperlink>
      <w:r>
        <w:rPr/>
        <w:t>, G.D. Mendoza</w:t>
      </w:r>
      <w:r>
        <w:rPr>
          <w:color w:val="000084"/>
          <w:position w:val="9"/>
          <w:sz w:val="13"/>
        </w:rPr>
        <w:t>d</w:t>
      </w:r>
      <w:r>
        <w:rPr/>
        <w:t>, M.M.M.Y. Elghandour</w:t>
      </w:r>
      <w:r>
        <w:rPr>
          <w:color w:val="000084"/>
          <w:position w:val="9"/>
          <w:sz w:val="13"/>
        </w:rPr>
        <w:t>c</w:t>
      </w:r>
      <w:r>
        <w:rPr/>
        <w:t>, J. F.    Vazquez-Armijo</w:t>
      </w:r>
      <w:r>
        <w:rPr>
          <w:color w:val="000084"/>
          <w:position w:val="9"/>
          <w:sz w:val="13"/>
        </w:rPr>
        <w:t>a  </w:t>
      </w:r>
      <w:r>
        <w:rPr/>
        <w:t>and</w:t>
      </w:r>
    </w:p>
    <w:p>
      <w:pPr>
        <w:pStyle w:val="BodyText"/>
        <w:spacing w:line="247" w:lineRule="exact"/>
        <w:ind w:left="4290"/>
        <w:rPr>
          <w:sz w:val="13"/>
        </w:rPr>
      </w:pPr>
      <w:r>
        <w:rPr/>
        <w:t>H. Lee-Rangel</w:t>
      </w:r>
      <w:r>
        <w:rPr>
          <w:color w:val="000084"/>
          <w:position w:val="9"/>
          <w:sz w:val="13"/>
        </w:rPr>
        <w:t>e</w:t>
      </w:r>
    </w:p>
    <w:p>
      <w:pPr>
        <w:spacing w:line="215" w:lineRule="exact" w:before="103"/>
        <w:ind w:left="143" w:right="124" w:firstLine="0"/>
        <w:jc w:val="center"/>
        <w:rPr>
          <w:i/>
          <w:sz w:val="18"/>
        </w:rPr>
      </w:pPr>
      <w:r>
        <w:rPr>
          <w:i/>
          <w:position w:val="8"/>
          <w:sz w:val="12"/>
        </w:rPr>
        <w:t>a</w:t>
      </w:r>
      <w:r>
        <w:rPr>
          <w:i/>
          <w:sz w:val="18"/>
        </w:rPr>
        <w:t>Centro Universitario UAEM Temascaltepec, Universidad Autónoma del Estado de México, Temascaltepec 51300, México;  </w:t>
      </w:r>
      <w:r>
        <w:rPr>
          <w:i/>
          <w:position w:val="8"/>
          <w:sz w:val="12"/>
        </w:rPr>
        <w:t>b</w:t>
      </w:r>
      <w:r>
        <w:rPr>
          <w:i/>
          <w:sz w:val="18"/>
        </w:rPr>
        <w:t>Dairy</w:t>
      </w:r>
    </w:p>
    <w:p>
      <w:pPr>
        <w:spacing w:line="204" w:lineRule="auto" w:before="9"/>
        <w:ind w:left="143" w:right="122" w:firstLine="0"/>
        <w:jc w:val="center"/>
        <w:rPr>
          <w:i/>
          <w:sz w:val="18"/>
        </w:rPr>
      </w:pPr>
      <w:r>
        <w:rPr>
          <w:i/>
          <w:sz w:val="18"/>
        </w:rPr>
        <w:t>Science Department, National Research Centre, 33 Bohouth Street, Dokki, Giza, Egypt; </w:t>
      </w:r>
      <w:r>
        <w:rPr>
          <w:i/>
          <w:position w:val="8"/>
          <w:sz w:val="12"/>
        </w:rPr>
        <w:t>c</w:t>
      </w:r>
      <w:r>
        <w:rPr>
          <w:i/>
          <w:sz w:val="18"/>
        </w:rPr>
        <w:t>Facultad de Medicina Veterinaria y </w:t>
      </w:r>
      <w:r>
        <w:rPr>
          <w:i/>
          <w:sz w:val="18"/>
        </w:rPr>
        <w:t>Zootecnia, Universidad Autónoma del Estado de México, Toluca, México; </w:t>
      </w:r>
      <w:r>
        <w:rPr>
          <w:i/>
          <w:position w:val="8"/>
          <w:sz w:val="12"/>
        </w:rPr>
        <w:t>d</w:t>
      </w:r>
      <w:r>
        <w:rPr>
          <w:i/>
          <w:sz w:val="18"/>
        </w:rPr>
        <w:t>Universidad Autónoma Metropolitana, Unidad Xochimilco, México City,  México; </w:t>
      </w:r>
      <w:r>
        <w:rPr>
          <w:i/>
          <w:position w:val="8"/>
          <w:sz w:val="12"/>
        </w:rPr>
        <w:t>e</w:t>
      </w:r>
      <w:r>
        <w:rPr>
          <w:i/>
          <w:sz w:val="18"/>
        </w:rPr>
        <w:t>Facultad de Agronomía y Veterinaria, Universidad Autónoma de San Luis  Potosí,</w:t>
      </w:r>
    </w:p>
    <w:p>
      <w:pPr>
        <w:spacing w:line="205" w:lineRule="exact" w:before="0"/>
        <w:ind w:left="540" w:right="522" w:firstLine="0"/>
        <w:jc w:val="center"/>
        <w:rPr>
          <w:i/>
          <w:sz w:val="18"/>
        </w:rPr>
      </w:pPr>
      <w:r>
        <w:rPr>
          <w:i/>
          <w:sz w:val="18"/>
        </w:rPr>
        <w:t>San Luis Potosí,  México</w:t>
      </w:r>
    </w:p>
    <w:p>
      <w:pPr>
        <w:spacing w:before="111"/>
        <w:ind w:left="540" w:right="522" w:firstLine="0"/>
        <w:jc w:val="center"/>
        <w:rPr>
          <w:sz w:val="18"/>
        </w:rPr>
      </w:pPr>
      <w:r>
        <w:rPr>
          <w:sz w:val="18"/>
        </w:rPr>
        <w:t>(</w:t>
      </w:r>
      <w:r>
        <w:rPr>
          <w:i/>
          <w:sz w:val="18"/>
        </w:rPr>
        <w:t>Received 11 January 2015; accepted 17 March  2015</w:t>
      </w:r>
      <w:r>
        <w:rPr>
          <w:sz w:val="18"/>
        </w:rPr>
        <w:t>)</w:t>
      </w:r>
    </w:p>
    <w:p>
      <w:pPr>
        <w:pStyle w:val="BodyText"/>
        <w:spacing w:before="9"/>
        <w:rPr>
          <w:sz w:val="19"/>
        </w:rPr>
      </w:pPr>
    </w:p>
    <w:p>
      <w:pPr>
        <w:spacing w:line="230" w:lineRule="auto" w:before="1"/>
        <w:ind w:left="602" w:right="581" w:firstLine="0"/>
        <w:jc w:val="both"/>
        <w:rPr>
          <w:sz w:val="18"/>
        </w:rPr>
      </w:pPr>
      <w:r>
        <w:rPr>
          <w:sz w:val="18"/>
        </w:rPr>
        <w:t>Thirty-six goats: 15 Alpine (AG), 13 Saanen (SG) and 8 Anglo-Nubian (ANG) were used to evaluate dry matter intake (DMI), body weight (BW) changes and milk production to validate </w:t>
      </w:r>
      <w:r>
        <w:rPr>
          <w:spacing w:val="-4"/>
          <w:sz w:val="18"/>
        </w:rPr>
        <w:t>Wood</w:t>
      </w:r>
      <w:r>
        <w:rPr>
          <w:rFonts w:ascii="Arial" w:hAnsi="Arial"/>
          <w:spacing w:val="-4"/>
          <w:sz w:val="18"/>
        </w:rPr>
        <w:t>’</w:t>
      </w:r>
      <w:r>
        <w:rPr>
          <w:spacing w:val="-4"/>
          <w:sz w:val="18"/>
        </w:rPr>
        <w:t>s </w:t>
      </w:r>
      <w:r>
        <w:rPr>
          <w:sz w:val="18"/>
        </w:rPr>
        <w:t>model in lactation curves. The kids pre- weaning</w:t>
      </w:r>
      <w:r>
        <w:rPr>
          <w:spacing w:val="-2"/>
          <w:sz w:val="18"/>
        </w:rPr>
        <w:t> </w:t>
      </w:r>
      <w:r>
        <w:rPr>
          <w:sz w:val="18"/>
        </w:rPr>
        <w:t>weight,</w:t>
      </w:r>
      <w:r>
        <w:rPr>
          <w:spacing w:val="-3"/>
          <w:sz w:val="18"/>
        </w:rPr>
        <w:t> </w:t>
      </w:r>
      <w:r>
        <w:rPr>
          <w:sz w:val="18"/>
        </w:rPr>
        <w:t>weaning</w:t>
      </w:r>
      <w:r>
        <w:rPr>
          <w:spacing w:val="-3"/>
          <w:sz w:val="18"/>
        </w:rPr>
        <w:t> </w:t>
      </w:r>
      <w:r>
        <w:rPr>
          <w:sz w:val="18"/>
        </w:rPr>
        <w:t>weight</w:t>
      </w:r>
      <w:r>
        <w:rPr>
          <w:spacing w:val="-4"/>
          <w:sz w:val="18"/>
        </w:rPr>
        <w:t> </w:t>
      </w:r>
      <w:r>
        <w:rPr>
          <w:sz w:val="18"/>
        </w:rPr>
        <w:t>(WW)</w:t>
      </w:r>
      <w:r>
        <w:rPr>
          <w:spacing w:val="-3"/>
          <w:sz w:val="18"/>
        </w:rPr>
        <w:t> </w:t>
      </w:r>
      <w:r>
        <w:rPr>
          <w:sz w:val="18"/>
        </w:rPr>
        <w:t>and</w:t>
      </w:r>
      <w:r>
        <w:rPr>
          <w:spacing w:val="-4"/>
          <w:sz w:val="18"/>
        </w:rPr>
        <w:t> </w:t>
      </w:r>
      <w:r>
        <w:rPr>
          <w:sz w:val="18"/>
        </w:rPr>
        <w:t>daily</w:t>
      </w:r>
      <w:r>
        <w:rPr>
          <w:spacing w:val="-3"/>
          <w:sz w:val="18"/>
        </w:rPr>
        <w:t> </w:t>
      </w:r>
      <w:r>
        <w:rPr>
          <w:sz w:val="18"/>
        </w:rPr>
        <w:t>weight</w:t>
      </w:r>
      <w:r>
        <w:rPr>
          <w:spacing w:val="-3"/>
          <w:sz w:val="18"/>
        </w:rPr>
        <w:t> </w:t>
      </w:r>
      <w:r>
        <w:rPr>
          <w:sz w:val="18"/>
        </w:rPr>
        <w:t>gain</w:t>
      </w:r>
      <w:r>
        <w:rPr>
          <w:spacing w:val="-4"/>
          <w:sz w:val="18"/>
        </w:rPr>
        <w:t> </w:t>
      </w:r>
      <w:r>
        <w:rPr>
          <w:sz w:val="18"/>
        </w:rPr>
        <w:t>(DWG)</w:t>
      </w:r>
      <w:r>
        <w:rPr>
          <w:spacing w:val="-3"/>
          <w:sz w:val="18"/>
        </w:rPr>
        <w:t> </w:t>
      </w:r>
      <w:r>
        <w:rPr>
          <w:sz w:val="18"/>
        </w:rPr>
        <w:t>were</w:t>
      </w:r>
      <w:r>
        <w:rPr>
          <w:spacing w:val="-3"/>
          <w:sz w:val="18"/>
        </w:rPr>
        <w:t> </w:t>
      </w:r>
      <w:r>
        <w:rPr>
          <w:sz w:val="18"/>
        </w:rPr>
        <w:t>determined.</w:t>
      </w:r>
      <w:r>
        <w:rPr>
          <w:spacing w:val="-3"/>
          <w:sz w:val="18"/>
        </w:rPr>
        <w:t> </w:t>
      </w:r>
      <w:r>
        <w:rPr>
          <w:sz w:val="18"/>
        </w:rPr>
        <w:t>Milk</w:t>
      </w:r>
      <w:r>
        <w:rPr>
          <w:spacing w:val="-4"/>
          <w:sz w:val="18"/>
        </w:rPr>
        <w:t> </w:t>
      </w:r>
      <w:r>
        <w:rPr>
          <w:sz w:val="18"/>
        </w:rPr>
        <w:t>production</w:t>
      </w:r>
      <w:r>
        <w:rPr>
          <w:spacing w:val="-2"/>
          <w:sz w:val="18"/>
        </w:rPr>
        <w:t> </w:t>
      </w:r>
      <w:r>
        <w:rPr>
          <w:sz w:val="18"/>
        </w:rPr>
        <w:t>was</w:t>
      </w:r>
      <w:r>
        <w:rPr>
          <w:spacing w:val="-4"/>
          <w:sz w:val="18"/>
        </w:rPr>
        <w:t> </w:t>
      </w:r>
      <w:r>
        <w:rPr>
          <w:sz w:val="18"/>
        </w:rPr>
        <w:t>measured daily for a period of 90 d. The DWG was quantified daily, while BW was recorded weekly. Performance of 48 kids   (20 AG, 15 SG and 13 ANG), aged 15 d were evaluated. </w:t>
      </w:r>
      <w:r>
        <w:rPr>
          <w:spacing w:val="-4"/>
          <w:sz w:val="18"/>
        </w:rPr>
        <w:t>Wood</w:t>
      </w:r>
      <w:r>
        <w:rPr>
          <w:rFonts w:ascii="Arial" w:hAnsi="Arial"/>
          <w:spacing w:val="-4"/>
          <w:sz w:val="18"/>
        </w:rPr>
        <w:t>’</w:t>
      </w:r>
      <w:r>
        <w:rPr>
          <w:spacing w:val="-4"/>
          <w:sz w:val="18"/>
        </w:rPr>
        <w:t>s </w:t>
      </w:r>
      <w:r>
        <w:rPr>
          <w:sz w:val="18"/>
        </w:rPr>
        <w:t>model was utilised to describe goat</w:t>
      </w:r>
      <w:r>
        <w:rPr>
          <w:rFonts w:ascii="Arial" w:hAnsi="Arial"/>
          <w:sz w:val="18"/>
        </w:rPr>
        <w:t>’</w:t>
      </w:r>
      <w:r>
        <w:rPr>
          <w:sz w:val="18"/>
        </w:rPr>
        <w:t>s lactation curve</w:t>
      </w:r>
      <w:r>
        <w:rPr>
          <w:spacing w:val="-19"/>
          <w:sz w:val="18"/>
        </w:rPr>
        <w:t> </w:t>
      </w:r>
      <w:r>
        <w:rPr>
          <w:sz w:val="18"/>
        </w:rPr>
        <w:t>in the different studied goat breeds. Milk production was differed between breeds and according to the number of kids suckled </w:t>
      </w:r>
      <w:r>
        <w:rPr>
          <w:spacing w:val="10"/>
          <w:sz w:val="18"/>
        </w:rPr>
        <w:t>(</w:t>
      </w:r>
      <w:r>
        <w:rPr>
          <w:i/>
          <w:spacing w:val="10"/>
          <w:sz w:val="18"/>
        </w:rPr>
        <w:t>P </w:t>
      </w:r>
      <w:r>
        <w:rPr>
          <w:i/>
          <w:sz w:val="18"/>
        </w:rPr>
        <w:t>&lt; </w:t>
      </w:r>
      <w:r>
        <w:rPr>
          <w:sz w:val="18"/>
        </w:rPr>
        <w:t>0.05). Both of DMI and BW showed a linear increase </w:t>
      </w:r>
      <w:r>
        <w:rPr>
          <w:spacing w:val="3"/>
          <w:sz w:val="18"/>
        </w:rPr>
        <w:t>(</w:t>
      </w:r>
      <w:r>
        <w:rPr>
          <w:i/>
          <w:spacing w:val="3"/>
          <w:sz w:val="18"/>
        </w:rPr>
        <w:t>P </w:t>
      </w:r>
      <w:r>
        <w:rPr>
          <w:i/>
          <w:sz w:val="18"/>
        </w:rPr>
        <w:t>&lt; </w:t>
      </w:r>
      <w:r>
        <w:rPr>
          <w:sz w:val="18"/>
        </w:rPr>
        <w:t>0.05) during the studied period. Both of WW and DWG were unaffected by type of kidding and breed and were higher in males than in females. It is suggested that equation</w:t>
      </w:r>
      <w:r>
        <w:rPr>
          <w:spacing w:val="-19"/>
          <w:sz w:val="18"/>
        </w:rPr>
        <w:t> </w:t>
      </w:r>
      <w:r>
        <w:rPr>
          <w:sz w:val="18"/>
        </w:rPr>
        <w:t>of</w:t>
      </w:r>
      <w:r>
        <w:rPr>
          <w:spacing w:val="-20"/>
          <w:sz w:val="18"/>
        </w:rPr>
        <w:t> </w:t>
      </w:r>
      <w:r>
        <w:rPr>
          <w:spacing w:val="-4"/>
          <w:sz w:val="18"/>
        </w:rPr>
        <w:t>Wood</w:t>
      </w:r>
      <w:r>
        <w:rPr>
          <w:rFonts w:ascii="Arial" w:hAnsi="Arial"/>
          <w:spacing w:val="-4"/>
          <w:sz w:val="18"/>
        </w:rPr>
        <w:t>’</w:t>
      </w:r>
      <w:r>
        <w:rPr>
          <w:spacing w:val="-4"/>
          <w:sz w:val="18"/>
        </w:rPr>
        <w:t>s</w:t>
      </w:r>
      <w:r>
        <w:rPr>
          <w:spacing w:val="-20"/>
          <w:sz w:val="18"/>
        </w:rPr>
        <w:t> </w:t>
      </w:r>
      <w:r>
        <w:rPr>
          <w:sz w:val="18"/>
        </w:rPr>
        <w:t>model</w:t>
      </w:r>
      <w:r>
        <w:rPr>
          <w:spacing w:val="-18"/>
          <w:sz w:val="18"/>
        </w:rPr>
        <w:t> </w:t>
      </w:r>
      <w:r>
        <w:rPr>
          <w:sz w:val="18"/>
        </w:rPr>
        <w:t>is</w:t>
      </w:r>
      <w:r>
        <w:rPr>
          <w:spacing w:val="-19"/>
          <w:sz w:val="18"/>
        </w:rPr>
        <w:t> </w:t>
      </w:r>
      <w:r>
        <w:rPr>
          <w:sz w:val="18"/>
        </w:rPr>
        <w:t>adequate</w:t>
      </w:r>
      <w:r>
        <w:rPr>
          <w:spacing w:val="-19"/>
          <w:sz w:val="18"/>
        </w:rPr>
        <w:t> </w:t>
      </w:r>
      <w:r>
        <w:rPr>
          <w:sz w:val="18"/>
        </w:rPr>
        <w:t>to</w:t>
      </w:r>
      <w:r>
        <w:rPr>
          <w:spacing w:val="-20"/>
          <w:sz w:val="18"/>
        </w:rPr>
        <w:t> </w:t>
      </w:r>
      <w:r>
        <w:rPr>
          <w:sz w:val="18"/>
        </w:rPr>
        <w:t>describe</w:t>
      </w:r>
      <w:r>
        <w:rPr>
          <w:spacing w:val="-20"/>
          <w:sz w:val="18"/>
        </w:rPr>
        <w:t> </w:t>
      </w:r>
      <w:r>
        <w:rPr>
          <w:sz w:val="18"/>
        </w:rPr>
        <w:t>the</w:t>
      </w:r>
      <w:r>
        <w:rPr>
          <w:spacing w:val="-19"/>
          <w:sz w:val="18"/>
        </w:rPr>
        <w:t> </w:t>
      </w:r>
      <w:r>
        <w:rPr>
          <w:sz w:val="18"/>
        </w:rPr>
        <w:t>lactation</w:t>
      </w:r>
      <w:r>
        <w:rPr>
          <w:spacing w:val="-19"/>
          <w:sz w:val="18"/>
        </w:rPr>
        <w:t> </w:t>
      </w:r>
      <w:r>
        <w:rPr>
          <w:sz w:val="18"/>
        </w:rPr>
        <w:t>curve</w:t>
      </w:r>
      <w:r>
        <w:rPr>
          <w:spacing w:val="-19"/>
          <w:sz w:val="18"/>
        </w:rPr>
        <w:t> </w:t>
      </w:r>
      <w:r>
        <w:rPr>
          <w:sz w:val="18"/>
        </w:rPr>
        <w:t>in</w:t>
      </w:r>
      <w:r>
        <w:rPr>
          <w:spacing w:val="-20"/>
          <w:sz w:val="18"/>
        </w:rPr>
        <w:t> </w:t>
      </w:r>
      <w:r>
        <w:rPr>
          <w:sz w:val="18"/>
        </w:rPr>
        <w:t>studied</w:t>
      </w:r>
      <w:r>
        <w:rPr>
          <w:spacing w:val="-19"/>
          <w:sz w:val="18"/>
        </w:rPr>
        <w:t> </w:t>
      </w:r>
      <w:r>
        <w:rPr>
          <w:sz w:val="18"/>
        </w:rPr>
        <w:t>goat</w:t>
      </w:r>
      <w:r>
        <w:rPr>
          <w:spacing w:val="-20"/>
          <w:sz w:val="18"/>
        </w:rPr>
        <w:t> </w:t>
      </w:r>
      <w:r>
        <w:rPr>
          <w:sz w:val="18"/>
        </w:rPr>
        <w:t>breeds.</w:t>
      </w:r>
      <w:r>
        <w:rPr>
          <w:spacing w:val="-18"/>
          <w:sz w:val="18"/>
        </w:rPr>
        <w:t> </w:t>
      </w:r>
      <w:r>
        <w:rPr>
          <w:sz w:val="18"/>
        </w:rPr>
        <w:t>The</w:t>
      </w:r>
      <w:r>
        <w:rPr>
          <w:spacing w:val="-20"/>
          <w:sz w:val="18"/>
        </w:rPr>
        <w:t> </w:t>
      </w:r>
      <w:r>
        <w:rPr>
          <w:sz w:val="18"/>
        </w:rPr>
        <w:t>ANG</w:t>
      </w:r>
      <w:r>
        <w:rPr>
          <w:spacing w:val="-19"/>
          <w:sz w:val="18"/>
        </w:rPr>
        <w:t> </w:t>
      </w:r>
      <w:r>
        <w:rPr>
          <w:sz w:val="18"/>
        </w:rPr>
        <w:t>and</w:t>
      </w:r>
      <w:r>
        <w:rPr>
          <w:spacing w:val="-20"/>
          <w:sz w:val="18"/>
        </w:rPr>
        <w:t> </w:t>
      </w:r>
      <w:r>
        <w:rPr>
          <w:sz w:val="18"/>
        </w:rPr>
        <w:t>AG</w:t>
      </w:r>
      <w:r>
        <w:rPr>
          <w:spacing w:val="-19"/>
          <w:sz w:val="18"/>
        </w:rPr>
        <w:t> </w:t>
      </w:r>
      <w:r>
        <w:rPr>
          <w:sz w:val="18"/>
        </w:rPr>
        <w:t>breeds</w:t>
      </w:r>
      <w:r>
        <w:rPr>
          <w:spacing w:val="-19"/>
          <w:sz w:val="18"/>
        </w:rPr>
        <w:t> </w:t>
      </w:r>
      <w:r>
        <w:rPr>
          <w:i/>
          <w:sz w:val="18"/>
        </w:rPr>
        <w:t>versus </w:t>
      </w:r>
      <w:r>
        <w:rPr>
          <w:sz w:val="18"/>
        </w:rPr>
        <w:t>SG</w:t>
      </w:r>
      <w:r>
        <w:rPr>
          <w:spacing w:val="-6"/>
          <w:sz w:val="18"/>
        </w:rPr>
        <w:t> </w:t>
      </w:r>
      <w:r>
        <w:rPr>
          <w:sz w:val="18"/>
        </w:rPr>
        <w:t>had</w:t>
      </w:r>
      <w:r>
        <w:rPr>
          <w:spacing w:val="-6"/>
          <w:sz w:val="18"/>
        </w:rPr>
        <w:t> </w:t>
      </w:r>
      <w:r>
        <w:rPr>
          <w:sz w:val="18"/>
        </w:rPr>
        <w:t>more</w:t>
      </w:r>
      <w:r>
        <w:rPr>
          <w:spacing w:val="-6"/>
          <w:sz w:val="18"/>
        </w:rPr>
        <w:t> </w:t>
      </w:r>
      <w:r>
        <w:rPr>
          <w:sz w:val="18"/>
        </w:rPr>
        <w:t>persistence</w:t>
      </w:r>
      <w:r>
        <w:rPr>
          <w:spacing w:val="-6"/>
          <w:sz w:val="18"/>
        </w:rPr>
        <w:t> </w:t>
      </w:r>
      <w:r>
        <w:rPr>
          <w:sz w:val="18"/>
        </w:rPr>
        <w:t>for</w:t>
      </w:r>
      <w:r>
        <w:rPr>
          <w:spacing w:val="-7"/>
          <w:sz w:val="18"/>
        </w:rPr>
        <w:t> </w:t>
      </w:r>
      <w:r>
        <w:rPr>
          <w:sz w:val="18"/>
        </w:rPr>
        <w:t>milk</w:t>
      </w:r>
      <w:r>
        <w:rPr>
          <w:spacing w:val="-6"/>
          <w:sz w:val="18"/>
        </w:rPr>
        <w:t> </w:t>
      </w:r>
      <w:r>
        <w:rPr>
          <w:sz w:val="18"/>
        </w:rPr>
        <w:t>production</w:t>
      </w:r>
      <w:r>
        <w:rPr>
          <w:spacing w:val="-6"/>
          <w:sz w:val="18"/>
        </w:rPr>
        <w:t> </w:t>
      </w:r>
      <w:r>
        <w:rPr>
          <w:sz w:val="18"/>
        </w:rPr>
        <w:t>which</w:t>
      </w:r>
      <w:r>
        <w:rPr>
          <w:spacing w:val="-6"/>
          <w:sz w:val="18"/>
        </w:rPr>
        <w:t> </w:t>
      </w:r>
      <w:r>
        <w:rPr>
          <w:sz w:val="18"/>
        </w:rPr>
        <w:t>was</w:t>
      </w:r>
      <w:r>
        <w:rPr>
          <w:spacing w:val="-7"/>
          <w:sz w:val="18"/>
        </w:rPr>
        <w:t> </w:t>
      </w:r>
      <w:r>
        <w:rPr>
          <w:sz w:val="18"/>
        </w:rPr>
        <w:t>higher</w:t>
      </w:r>
      <w:r>
        <w:rPr>
          <w:spacing w:val="-6"/>
          <w:sz w:val="18"/>
        </w:rPr>
        <w:t> </w:t>
      </w:r>
      <w:r>
        <w:rPr>
          <w:sz w:val="18"/>
        </w:rPr>
        <w:t>for</w:t>
      </w:r>
      <w:r>
        <w:rPr>
          <w:spacing w:val="-7"/>
          <w:sz w:val="18"/>
        </w:rPr>
        <w:t> </w:t>
      </w:r>
      <w:r>
        <w:rPr>
          <w:sz w:val="18"/>
        </w:rPr>
        <w:t>those</w:t>
      </w:r>
      <w:r>
        <w:rPr>
          <w:spacing w:val="-6"/>
          <w:sz w:val="18"/>
        </w:rPr>
        <w:t> </w:t>
      </w:r>
      <w:r>
        <w:rPr>
          <w:sz w:val="18"/>
        </w:rPr>
        <w:t>with</w:t>
      </w:r>
      <w:r>
        <w:rPr>
          <w:spacing w:val="-6"/>
          <w:sz w:val="18"/>
        </w:rPr>
        <w:t> </w:t>
      </w:r>
      <w:r>
        <w:rPr>
          <w:sz w:val="18"/>
        </w:rPr>
        <w:t>single</w:t>
      </w:r>
      <w:r>
        <w:rPr>
          <w:spacing w:val="-7"/>
          <w:sz w:val="18"/>
        </w:rPr>
        <w:t> </w:t>
      </w:r>
      <w:r>
        <w:rPr>
          <w:sz w:val="18"/>
        </w:rPr>
        <w:t>type</w:t>
      </w:r>
      <w:r>
        <w:rPr>
          <w:spacing w:val="-6"/>
          <w:sz w:val="18"/>
        </w:rPr>
        <w:t> </w:t>
      </w:r>
      <w:r>
        <w:rPr>
          <w:sz w:val="18"/>
        </w:rPr>
        <w:t>of</w:t>
      </w:r>
      <w:r>
        <w:rPr>
          <w:spacing w:val="-6"/>
          <w:sz w:val="18"/>
        </w:rPr>
        <w:t> </w:t>
      </w:r>
      <w:r>
        <w:rPr>
          <w:sz w:val="18"/>
        </w:rPr>
        <w:t>birth</w:t>
      </w:r>
      <w:r>
        <w:rPr>
          <w:spacing w:val="-7"/>
          <w:sz w:val="18"/>
        </w:rPr>
        <w:t> </w:t>
      </w:r>
      <w:r>
        <w:rPr>
          <w:sz w:val="18"/>
        </w:rPr>
        <w:t>than</w:t>
      </w:r>
      <w:r>
        <w:rPr>
          <w:spacing w:val="-6"/>
          <w:sz w:val="18"/>
        </w:rPr>
        <w:t> </w:t>
      </w:r>
      <w:r>
        <w:rPr>
          <w:sz w:val="18"/>
        </w:rPr>
        <w:t>those</w:t>
      </w:r>
      <w:r>
        <w:rPr>
          <w:spacing w:val="-7"/>
          <w:sz w:val="18"/>
        </w:rPr>
        <w:t> </w:t>
      </w:r>
      <w:r>
        <w:rPr>
          <w:sz w:val="18"/>
        </w:rPr>
        <w:t>with</w:t>
      </w:r>
      <w:r>
        <w:rPr>
          <w:spacing w:val="-6"/>
          <w:sz w:val="18"/>
        </w:rPr>
        <w:t> </w:t>
      </w:r>
      <w:r>
        <w:rPr>
          <w:sz w:val="18"/>
        </w:rPr>
        <w:t>twins.</w:t>
      </w:r>
    </w:p>
    <w:p>
      <w:pPr>
        <w:spacing w:before="113"/>
        <w:ind w:left="602" w:right="0" w:firstLine="0"/>
        <w:jc w:val="both"/>
        <w:rPr>
          <w:sz w:val="18"/>
        </w:rPr>
      </w:pPr>
      <w:r>
        <w:rPr>
          <w:sz w:val="18"/>
        </w:rPr>
        <w:t>Keywords: goats; lactation curves; live weight; Wood</w:t>
      </w:r>
      <w:r>
        <w:rPr>
          <w:rFonts w:ascii="Arial" w:hAnsi="Arial"/>
          <w:sz w:val="18"/>
        </w:rPr>
        <w:t>’</w:t>
      </w:r>
      <w:r>
        <w:rPr>
          <w:sz w:val="18"/>
        </w:rPr>
        <w:t>s   model</w:t>
      </w:r>
    </w:p>
    <w:p>
      <w:pPr>
        <w:pStyle w:val="BodyText"/>
        <w:spacing w:before="3"/>
        <w:rPr>
          <w:sz w:val="29"/>
        </w:rPr>
      </w:pPr>
    </w:p>
    <w:p>
      <w:pPr>
        <w:spacing w:after="0"/>
        <w:rPr>
          <w:sz w:val="29"/>
        </w:rPr>
        <w:sectPr>
          <w:pgSz w:w="12190" w:h="15880"/>
          <w:pgMar w:top="740" w:bottom="280" w:left="1180" w:right="1200"/>
        </w:sectPr>
      </w:pPr>
    </w:p>
    <w:p>
      <w:pPr>
        <w:pStyle w:val="ListParagraph"/>
        <w:numPr>
          <w:ilvl w:val="0"/>
          <w:numId w:val="1"/>
        </w:numPr>
        <w:tabs>
          <w:tab w:pos="341" w:val="left" w:leader="none"/>
        </w:tabs>
        <w:spacing w:line="240" w:lineRule="auto" w:before="75" w:after="0"/>
        <w:ind w:left="340" w:right="0" w:hanging="215"/>
        <w:jc w:val="both"/>
        <w:rPr>
          <w:sz w:val="20"/>
        </w:rPr>
      </w:pPr>
      <w:r>
        <w:rPr>
          <w:w w:val="110"/>
          <w:sz w:val="20"/>
        </w:rPr>
        <w:t>Introduction</w:t>
      </w:r>
    </w:p>
    <w:p>
      <w:pPr>
        <w:pStyle w:val="BodyText"/>
        <w:spacing w:line="252" w:lineRule="auto" w:before="69"/>
        <w:ind w:left="125"/>
        <w:jc w:val="both"/>
      </w:pPr>
      <w:r>
        <w:rPr/>
        <w:t>Cow milk is globally used for human consumption; however, a small amount of sheep and goat milk is also used (Bilgin et al. </w:t>
      </w:r>
      <w:hyperlink w:history="true" w:anchor="_bookmark4">
        <w:r>
          <w:rPr>
            <w:color w:val="000084"/>
          </w:rPr>
          <w:t>2010</w:t>
        </w:r>
      </w:hyperlink>
      <w:r>
        <w:rPr/>
        <w:t>). Goat production in Mexico takes place primarily in arid and semiarid environments, under production systems with scarce technology, where most of the farmers come from a social stratum char- acterised by limited economic resources and limited technical knowledge (Cantú </w:t>
      </w:r>
      <w:hyperlink w:history="true" w:anchor="_bookmark4">
        <w:r>
          <w:rPr>
            <w:color w:val="000084"/>
          </w:rPr>
          <w:t>2008</w:t>
        </w:r>
      </w:hyperlink>
      <w:r>
        <w:rPr/>
        <w:t>). Alpine (AG),</w:t>
      </w:r>
      <w:r>
        <w:rPr>
          <w:spacing w:val="-8"/>
        </w:rPr>
        <w:t> </w:t>
      </w:r>
      <w:r>
        <w:rPr/>
        <w:t>Saanen (SG) and Anglo-Nubian (ANG) goats are the most famous dairy goat breeds in Mexico (Shrestha </w:t>
      </w:r>
      <w:hyperlink w:history="true" w:anchor="_bookmark5">
        <w:r>
          <w:rPr>
            <w:color w:val="000084"/>
          </w:rPr>
          <w:t>2012</w:t>
        </w:r>
      </w:hyperlink>
      <w:r>
        <w:rPr/>
        <w:t>). The SG is best known of the goat world, producing high milk yields with low fat levels compared to the ANG breed which produces less milk with higher fat and protein content (Haenlein &amp; Caccese </w:t>
      </w:r>
      <w:hyperlink w:history="true" w:anchor="_bookmark4">
        <w:r>
          <w:rPr>
            <w:color w:val="000084"/>
          </w:rPr>
          <w:t>1984</w:t>
        </w:r>
      </w:hyperlink>
      <w:r>
        <w:rPr/>
        <w:t>). The AG breed produces milk yields between the levels of the SG and ANG in general but with some individual</w:t>
      </w:r>
      <w:r>
        <w:rPr>
          <w:spacing w:val="-22"/>
        </w:rPr>
        <w:t> </w:t>
      </w:r>
      <w:r>
        <w:rPr/>
        <w:t>exceptions (Park &amp; Haenlein </w:t>
      </w:r>
      <w:hyperlink w:history="true" w:anchor="_bookmark5">
        <w:r>
          <w:rPr>
            <w:color w:val="000084"/>
          </w:rPr>
          <w:t>2010</w:t>
        </w:r>
      </w:hyperlink>
      <w:r>
        <w:rPr/>
        <w:t>). The average milk production and composition for the three breeds are: SG, 1325 kg milk/season with 31 and 41 g protein and fat/kg, respectively; AG, 1135 kg milk/season with 32.7 and 43 g protein and fat/kg, respectively; ANG, 840 kg milk/ season</w:t>
      </w:r>
      <w:r>
        <w:rPr>
          <w:spacing w:val="-8"/>
        </w:rPr>
        <w:t> </w:t>
      </w:r>
      <w:r>
        <w:rPr/>
        <w:t>with</w:t>
      </w:r>
      <w:r>
        <w:rPr>
          <w:spacing w:val="-9"/>
        </w:rPr>
        <w:t> </w:t>
      </w:r>
      <w:r>
        <w:rPr/>
        <w:t>38.5</w:t>
      </w:r>
      <w:r>
        <w:rPr>
          <w:spacing w:val="-8"/>
        </w:rPr>
        <w:t> </w:t>
      </w:r>
      <w:r>
        <w:rPr/>
        <w:t>and</w:t>
      </w:r>
      <w:r>
        <w:rPr>
          <w:spacing w:val="-8"/>
        </w:rPr>
        <w:t> </w:t>
      </w:r>
      <w:r>
        <w:rPr/>
        <w:t>56</w:t>
      </w:r>
      <w:r>
        <w:rPr>
          <w:spacing w:val="-9"/>
        </w:rPr>
        <w:t> </w:t>
      </w:r>
      <w:r>
        <w:rPr/>
        <w:t>g</w:t>
      </w:r>
      <w:r>
        <w:rPr>
          <w:spacing w:val="-9"/>
        </w:rPr>
        <w:t> </w:t>
      </w:r>
      <w:r>
        <w:rPr/>
        <w:t>protein</w:t>
      </w:r>
      <w:r>
        <w:rPr>
          <w:spacing w:val="-8"/>
        </w:rPr>
        <w:t> </w:t>
      </w:r>
      <w:r>
        <w:rPr/>
        <w:t>and</w:t>
      </w:r>
      <w:r>
        <w:rPr>
          <w:spacing w:val="-8"/>
        </w:rPr>
        <w:t> </w:t>
      </w:r>
      <w:r>
        <w:rPr/>
        <w:t>fat/kg,</w:t>
      </w:r>
      <w:r>
        <w:rPr>
          <w:spacing w:val="-8"/>
        </w:rPr>
        <w:t> </w:t>
      </w:r>
      <w:r>
        <w:rPr/>
        <w:t>respectively (Ruth </w:t>
      </w:r>
      <w:hyperlink w:history="true" w:anchor="_bookmark5">
        <w:r>
          <w:rPr>
            <w:color w:val="000084"/>
          </w:rPr>
          <w:t>2012</w:t>
        </w:r>
      </w:hyperlink>
      <w:r>
        <w:rPr/>
        <w:t>). Approximately, 31% of the world goats</w:t>
      </w:r>
      <w:r>
        <w:rPr>
          <w:spacing w:val="-1"/>
        </w:rPr>
        <w:t> </w:t>
      </w:r>
      <w:r>
        <w:rPr/>
        <w:t>are</w:t>
      </w:r>
    </w:p>
    <w:p>
      <w:pPr>
        <w:pStyle w:val="BodyText"/>
        <w:spacing w:line="254" w:lineRule="auto" w:before="75"/>
        <w:ind w:left="125" w:right="104"/>
        <w:jc w:val="both"/>
      </w:pPr>
      <w:r>
        <w:rPr/>
        <w:br w:type="column"/>
      </w:r>
      <w:r>
        <w:rPr/>
        <w:t>dairy goats in the developed countries compared with only 19% for the developing world. According to the FAO (</w:t>
      </w:r>
      <w:hyperlink w:history="true" w:anchor="_bookmark4">
        <w:r>
          <w:rPr>
            <w:color w:val="000084"/>
          </w:rPr>
          <w:t>2014</w:t>
        </w:r>
      </w:hyperlink>
      <w:r>
        <w:rPr/>
        <w:t>), goats produced approximately 2.4% of the world</w:t>
      </w:r>
      <w:r>
        <w:rPr>
          <w:rFonts w:ascii="Arial" w:hAnsi="Arial"/>
        </w:rPr>
        <w:t>’</w:t>
      </w:r>
      <w:r>
        <w:rPr/>
        <w:t>s total milk supply during 2012.</w:t>
      </w:r>
    </w:p>
    <w:p>
      <w:pPr>
        <w:pStyle w:val="BodyText"/>
        <w:spacing w:line="254" w:lineRule="auto" w:before="5"/>
        <w:ind w:left="125" w:right="103" w:firstLine="298"/>
        <w:jc w:val="both"/>
      </w:pPr>
      <w:r>
        <w:rPr/>
        <w:t>Lactation curves have a wide variety of applications that</w:t>
      </w:r>
      <w:r>
        <w:rPr>
          <w:spacing w:val="-7"/>
        </w:rPr>
        <w:t> </w:t>
      </w:r>
      <w:r>
        <w:rPr/>
        <w:t>may</w:t>
      </w:r>
      <w:r>
        <w:rPr>
          <w:spacing w:val="-6"/>
        </w:rPr>
        <w:t> </w:t>
      </w:r>
      <w:r>
        <w:rPr/>
        <w:t>be</w:t>
      </w:r>
      <w:r>
        <w:rPr>
          <w:spacing w:val="-7"/>
        </w:rPr>
        <w:t> </w:t>
      </w:r>
      <w:r>
        <w:rPr/>
        <w:t>used</w:t>
      </w:r>
      <w:r>
        <w:rPr>
          <w:spacing w:val="-5"/>
        </w:rPr>
        <w:t> </w:t>
      </w:r>
      <w:r>
        <w:rPr/>
        <w:t>in</w:t>
      </w:r>
      <w:r>
        <w:rPr>
          <w:spacing w:val="-8"/>
        </w:rPr>
        <w:t> </w:t>
      </w:r>
      <w:r>
        <w:rPr/>
        <w:t>genetic</w:t>
      </w:r>
      <w:r>
        <w:rPr>
          <w:spacing w:val="-6"/>
        </w:rPr>
        <w:t> </w:t>
      </w:r>
      <w:r>
        <w:rPr/>
        <w:t>evaluations</w:t>
      </w:r>
      <w:r>
        <w:rPr>
          <w:spacing w:val="-6"/>
        </w:rPr>
        <w:t> </w:t>
      </w:r>
      <w:r>
        <w:rPr/>
        <w:t>(Schaeffer</w:t>
      </w:r>
      <w:r>
        <w:rPr>
          <w:spacing w:val="-7"/>
        </w:rPr>
        <w:t> </w:t>
      </w:r>
      <w:hyperlink w:history="true" w:anchor="_bookmark5">
        <w:r>
          <w:rPr>
            <w:color w:val="000084"/>
          </w:rPr>
          <w:t>2004</w:t>
        </w:r>
      </w:hyperlink>
      <w:r>
        <w:rPr/>
        <w:t>), formulation of rations and economic evaluation of different management strategies (Dag et al. </w:t>
      </w:r>
      <w:hyperlink w:history="true" w:anchor="_bookmark4">
        <w:r>
          <w:rPr>
            <w:color w:val="000084"/>
          </w:rPr>
          <w:t>2005</w:t>
        </w:r>
      </w:hyperlink>
      <w:r>
        <w:rPr/>
        <w:t>;</w:t>
      </w:r>
      <w:r>
        <w:rPr>
          <w:spacing w:val="-32"/>
        </w:rPr>
        <w:t> </w:t>
      </w:r>
      <w:r>
        <w:rPr/>
        <w:t>Keskin &amp; Dag </w:t>
      </w:r>
      <w:hyperlink w:history="true" w:anchor="_bookmark4">
        <w:r>
          <w:rPr>
            <w:color w:val="000084"/>
          </w:rPr>
          <w:t>2006</w:t>
        </w:r>
      </w:hyperlink>
      <w:r>
        <w:rPr/>
        <w:t>). Previous knowledge with the expected peak yield will help for arrange the feeding strategy to allow economic management of feed for covering the animal</w:t>
      </w:r>
      <w:r>
        <w:rPr>
          <w:rFonts w:ascii="Arial" w:hAnsi="Arial"/>
        </w:rPr>
        <w:t>’</w:t>
      </w:r>
      <w:r>
        <w:rPr/>
        <w:t>s requirement, reduce cost and possibly maintain peak yield for as long as possible (Amin </w:t>
      </w:r>
      <w:hyperlink w:history="true" w:anchor="_bookmark4">
        <w:r>
          <w:rPr>
            <w:color w:val="000084"/>
          </w:rPr>
          <w:t>2003</w:t>
        </w:r>
      </w:hyperlink>
      <w:r>
        <w:rPr/>
        <w:t>; Grzesiak et al.</w:t>
      </w:r>
      <w:r>
        <w:rPr>
          <w:spacing w:val="20"/>
        </w:rPr>
        <w:t> </w:t>
      </w:r>
      <w:hyperlink w:history="true" w:anchor="_bookmark4">
        <w:r>
          <w:rPr>
            <w:color w:val="000084"/>
          </w:rPr>
          <w:t>2003</w:t>
        </w:r>
      </w:hyperlink>
      <w:r>
        <w:rPr/>
        <w:t>).</w:t>
      </w:r>
    </w:p>
    <w:p>
      <w:pPr>
        <w:pStyle w:val="BodyText"/>
        <w:spacing w:line="254" w:lineRule="auto" w:before="5"/>
        <w:ind w:left="125" w:right="103" w:firstLine="298"/>
        <w:jc w:val="both"/>
      </w:pPr>
      <w:r>
        <w:rPr/>
        <w:t>Several models of lactation curves have been developed. </w:t>
      </w:r>
      <w:r>
        <w:rPr>
          <w:spacing w:val="-5"/>
        </w:rPr>
        <w:t>Wood</w:t>
      </w:r>
      <w:r>
        <w:rPr>
          <w:rFonts w:ascii="Arial" w:hAnsi="Arial"/>
          <w:spacing w:val="-5"/>
        </w:rPr>
        <w:t>’</w:t>
      </w:r>
      <w:r>
        <w:rPr>
          <w:spacing w:val="-5"/>
        </w:rPr>
        <w:t>s  </w:t>
      </w:r>
      <w:r>
        <w:rPr/>
        <w:t>model developed by </w:t>
      </w:r>
      <w:r>
        <w:rPr>
          <w:spacing w:val="-4"/>
        </w:rPr>
        <w:t>Wood  </w:t>
      </w:r>
      <w:r>
        <w:rPr/>
        <w:t>(</w:t>
      </w:r>
      <w:hyperlink w:history="true" w:anchor="_bookmark5">
        <w:r>
          <w:rPr>
            <w:color w:val="000084"/>
          </w:rPr>
          <w:t>1967</w:t>
        </w:r>
      </w:hyperlink>
      <w:r>
        <w:rPr/>
        <w:t>)  is the most well known and commonly employed math- ematical model, specifically applied (Swalve &amp; Guo </w:t>
      </w:r>
      <w:hyperlink w:history="true" w:anchor="_bookmark5">
        <w:r>
          <w:rPr>
            <w:color w:val="000084"/>
          </w:rPr>
          <w:t>1999</w:t>
        </w:r>
      </w:hyperlink>
      <w:r>
        <w:rPr/>
        <w:t>). Productive performance through lactation is similar, in both, in cattle as in goats, making it possible to describe the lactation curve of goats using the model most commonly used in cattle </w:t>
      </w:r>
      <w:r>
        <w:rPr>
          <w:spacing w:val="-3"/>
        </w:rPr>
        <w:t>(Wood </w:t>
      </w:r>
      <w:hyperlink w:history="true" w:anchor="_bookmark5">
        <w:r>
          <w:rPr>
            <w:color w:val="000084"/>
          </w:rPr>
          <w:t>1967</w:t>
        </w:r>
      </w:hyperlink>
      <w:r>
        <w:rPr/>
        <w:t>; Gipson &amp; Grossman </w:t>
      </w:r>
      <w:hyperlink w:history="true" w:anchor="_bookmark4">
        <w:r>
          <w:rPr>
            <w:color w:val="000084"/>
          </w:rPr>
          <w:t>1990</w:t>
        </w:r>
      </w:hyperlink>
      <w:r>
        <w:rPr/>
        <w:t>). Ortiz et al. (</w:t>
      </w:r>
      <w:hyperlink w:history="true" w:anchor="_bookmark5">
        <w:r>
          <w:rPr>
            <w:color w:val="000084"/>
          </w:rPr>
          <w:t>1988</w:t>
        </w:r>
      </w:hyperlink>
      <w:r>
        <w:rPr/>
        <w:t>) assessed weight changes associated with lactation, and the differences </w:t>
      </w:r>
      <w:r>
        <w:rPr>
          <w:spacing w:val="8"/>
        </w:rPr>
        <w:t> </w:t>
      </w:r>
      <w:r>
        <w:rPr/>
        <w:t>in</w:t>
      </w:r>
    </w:p>
    <w:p>
      <w:pPr>
        <w:spacing w:after="0" w:line="254" w:lineRule="auto"/>
        <w:jc w:val="both"/>
        <w:sectPr>
          <w:type w:val="continuous"/>
          <w:pgSz w:w="12190" w:h="15880"/>
          <w:pgMar w:top="380" w:bottom="0" w:left="1180" w:right="1200"/>
          <w:cols w:num="2" w:equalWidth="0">
            <w:col w:w="4676" w:space="352"/>
            <w:col w:w="4782"/>
          </w:cols>
        </w:sectPr>
      </w:pPr>
    </w:p>
    <w:p>
      <w:pPr>
        <w:pStyle w:val="BodyText"/>
      </w:pPr>
      <w:r>
        <w:rPr/>
        <w:pict>
          <v:shape style="position:absolute;margin-left:.953263pt;margin-top:287.387146pt;width:12pt;height:221.45pt;mso-position-horizontal-relative:page;mso-position-vertical-relative:page;z-index:1504"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p>
    <w:p>
      <w:pPr>
        <w:pStyle w:val="BodyText"/>
        <w:rPr>
          <w:sz w:val="16"/>
        </w:rPr>
      </w:pPr>
    </w:p>
    <w:p>
      <w:pPr>
        <w:pStyle w:val="BodyText"/>
        <w:spacing w:line="20" w:lineRule="exact"/>
        <w:ind w:left="122"/>
        <w:rPr>
          <w:sz w:val="2"/>
        </w:rPr>
      </w:pPr>
      <w:r>
        <w:rPr>
          <w:sz w:val="2"/>
        </w:rPr>
        <w:pict>
          <v:group style="width:479.2pt;height:.25pt;mso-position-horizontal-relative:char;mso-position-vertical-relative:line" coordorigin="0,0" coordsize="9584,5">
            <v:line style="position:absolute" from="3,2" to="9581,2" stroked="true" strokeweight=".227pt" strokecolor="#000000"/>
          </v:group>
        </w:pict>
      </w:r>
      <w:r>
        <w:rPr>
          <w:sz w:val="2"/>
        </w:rPr>
      </w:r>
    </w:p>
    <w:p>
      <w:pPr>
        <w:spacing w:line="202" w:lineRule="exact" w:before="0"/>
        <w:ind w:left="125" w:right="0" w:firstLine="0"/>
        <w:jc w:val="left"/>
        <w:rPr>
          <w:sz w:val="18"/>
        </w:rPr>
      </w:pPr>
      <w:r>
        <w:rPr>
          <w:sz w:val="18"/>
        </w:rPr>
        <w:t>*Corresponding author. Email: </w:t>
      </w:r>
      <w:hyperlink r:id="rId25">
        <w:r>
          <w:rPr>
            <w:color w:val="000084"/>
            <w:sz w:val="18"/>
          </w:rPr>
          <w:t>asalem70@yahoo.com</w:t>
        </w:r>
      </w:hyperlink>
    </w:p>
    <w:p>
      <w:pPr>
        <w:pStyle w:val="BodyText"/>
        <w:spacing w:before="2"/>
        <w:rPr>
          <w:sz w:val="11"/>
        </w:rPr>
      </w:pPr>
    </w:p>
    <w:p>
      <w:pPr>
        <w:spacing w:before="83"/>
        <w:ind w:left="125" w:right="0" w:firstLine="0"/>
        <w:jc w:val="left"/>
        <w:rPr>
          <w:sz w:val="14"/>
        </w:rPr>
      </w:pPr>
      <w:r>
        <w:rPr>
          <w:sz w:val="14"/>
        </w:rPr>
        <w:t>© 2015 Taylor &amp; Francis</w:t>
      </w:r>
    </w:p>
    <w:p>
      <w:pPr>
        <w:spacing w:after="0"/>
        <w:jc w:val="left"/>
        <w:rPr>
          <w:sz w:val="14"/>
        </w:rPr>
        <w:sectPr>
          <w:type w:val="continuous"/>
          <w:pgSz w:w="12190" w:h="15880"/>
          <w:pgMar w:top="380" w:bottom="0" w:left="1180" w:right="1200"/>
        </w:sectPr>
      </w:pPr>
    </w:p>
    <w:p>
      <w:pPr>
        <w:pStyle w:val="BodyText"/>
        <w:spacing w:before="7"/>
        <w:rPr>
          <w:sz w:val="12"/>
        </w:rPr>
      </w:pPr>
    </w:p>
    <w:p>
      <w:pPr>
        <w:spacing w:after="0"/>
        <w:rPr>
          <w:sz w:val="12"/>
        </w:rPr>
        <w:sectPr>
          <w:headerReference w:type="even" r:id="rId26"/>
          <w:headerReference w:type="default" r:id="rId27"/>
          <w:pgSz w:w="12190" w:h="15880"/>
          <w:pgMar w:header="1017" w:footer="0" w:top="1200" w:bottom="280" w:left="1180" w:right="1200"/>
          <w:pgNumType w:start="332"/>
        </w:sectPr>
      </w:pPr>
    </w:p>
    <w:p>
      <w:pPr>
        <w:pStyle w:val="BodyText"/>
        <w:spacing w:line="249" w:lineRule="auto" w:before="109"/>
        <w:ind w:left="125"/>
        <w:jc w:val="both"/>
      </w:pPr>
      <w:r>
        <w:rPr/>
        <w:pict>
          <v:shape style="position:absolute;margin-left:.953263pt;margin-top:287.387146pt;width:12pt;height:221.45pt;mso-position-horizontal-relative:page;mso-position-vertical-relative:page;z-index:1624"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bookmarkStart w:name="2. Materials and methods" w:id="4"/>
      <w:bookmarkEnd w:id="4"/>
      <w:r>
        <w:rPr/>
      </w:r>
      <w:bookmarkStart w:name="2.1. Study site" w:id="5"/>
      <w:bookmarkEnd w:id="5"/>
      <w:r>
        <w:rPr/>
      </w:r>
      <w:bookmarkStart w:name="2.2. Experimental animals and feeding" w:id="6"/>
      <w:bookmarkEnd w:id="6"/>
      <w:r>
        <w:rPr/>
      </w:r>
      <w:bookmarkStart w:name="2.3. Data and management" w:id="7"/>
      <w:bookmarkEnd w:id="7"/>
      <w:r>
        <w:rPr/>
      </w:r>
      <w:bookmarkStart w:name="2.4. Concentrates analytical procedures" w:id="8"/>
      <w:bookmarkEnd w:id="8"/>
      <w:r>
        <w:rPr/>
      </w:r>
      <w:bookmarkStart w:name="_bookmark1" w:id="9"/>
      <w:bookmarkEnd w:id="9"/>
      <w:r>
        <w:rPr/>
      </w:r>
      <w:r>
        <w:rPr/>
        <w:t>physical behaviour at different conditions presented by the rangelands throughout the year, and concluding that animals calving at the beginning of the drought season show loss of weight from this moment, achieving weight gain during the rainy season.</w:t>
      </w:r>
    </w:p>
    <w:p>
      <w:pPr>
        <w:pStyle w:val="BodyText"/>
        <w:spacing w:line="249" w:lineRule="auto" w:before="9"/>
        <w:ind w:left="125" w:firstLine="298"/>
        <w:jc w:val="both"/>
      </w:pPr>
      <w:r>
        <w:rPr/>
        <w:t>The present study aimed to quantify the milk</w:t>
      </w:r>
      <w:r>
        <w:rPr>
          <w:spacing w:val="-20"/>
        </w:rPr>
        <w:t> </w:t>
      </w:r>
      <w:r>
        <w:rPr/>
        <w:t>produc- tion per lactation and evaluate if the </w:t>
      </w:r>
      <w:r>
        <w:rPr>
          <w:spacing w:val="-5"/>
        </w:rPr>
        <w:t>Wood</w:t>
      </w:r>
      <w:r>
        <w:rPr>
          <w:rFonts w:ascii="Arial" w:hAnsi="Arial"/>
          <w:spacing w:val="-5"/>
        </w:rPr>
        <w:t>’</w:t>
      </w:r>
      <w:r>
        <w:rPr>
          <w:spacing w:val="-5"/>
        </w:rPr>
        <w:t>s </w:t>
      </w:r>
      <w:r>
        <w:rPr/>
        <w:t>model can be used for describing the lactation curve in Alpine, Saanen and Anglo-Nubian goat suckling their kids and  to determine the voluntary intake and weight perform- ance of goats during lactation, in addition to evaluating the pre-weaning growth in their</w:t>
      </w:r>
      <w:r>
        <w:rPr>
          <w:spacing w:val="37"/>
        </w:rPr>
        <w:t> </w:t>
      </w:r>
      <w:r>
        <w:rPr/>
        <w:t>offspring.</w:t>
      </w:r>
    </w:p>
    <w:p>
      <w:pPr>
        <w:pStyle w:val="BodyText"/>
      </w:pPr>
    </w:p>
    <w:p>
      <w:pPr>
        <w:pStyle w:val="BodyText"/>
        <w:spacing w:before="3"/>
      </w:pPr>
    </w:p>
    <w:p>
      <w:pPr>
        <w:pStyle w:val="ListParagraph"/>
        <w:numPr>
          <w:ilvl w:val="0"/>
          <w:numId w:val="1"/>
        </w:numPr>
        <w:tabs>
          <w:tab w:pos="341" w:val="left" w:leader="none"/>
        </w:tabs>
        <w:spacing w:line="240" w:lineRule="auto" w:before="0" w:after="0"/>
        <w:ind w:left="340" w:right="0" w:hanging="215"/>
        <w:jc w:val="both"/>
        <w:rPr>
          <w:sz w:val="20"/>
        </w:rPr>
      </w:pPr>
      <w:r>
        <w:rPr>
          <w:w w:val="105"/>
          <w:sz w:val="20"/>
        </w:rPr>
        <w:t>Materials  and</w:t>
      </w:r>
      <w:r>
        <w:rPr>
          <w:spacing w:val="9"/>
          <w:w w:val="105"/>
          <w:sz w:val="20"/>
        </w:rPr>
        <w:t> </w:t>
      </w:r>
      <w:r>
        <w:rPr>
          <w:w w:val="105"/>
          <w:sz w:val="20"/>
        </w:rPr>
        <w:t>methods</w:t>
      </w:r>
    </w:p>
    <w:p>
      <w:pPr>
        <w:pStyle w:val="ListParagraph"/>
        <w:numPr>
          <w:ilvl w:val="1"/>
          <w:numId w:val="1"/>
        </w:numPr>
        <w:tabs>
          <w:tab w:pos="491" w:val="left" w:leader="none"/>
        </w:tabs>
        <w:spacing w:line="240" w:lineRule="auto" w:before="49" w:after="0"/>
        <w:ind w:left="490" w:right="0" w:hanging="365"/>
        <w:jc w:val="both"/>
        <w:rPr>
          <w:i/>
          <w:sz w:val="20"/>
        </w:rPr>
      </w:pPr>
      <w:r>
        <w:rPr>
          <w:i/>
          <w:sz w:val="20"/>
        </w:rPr>
        <w:t>Study</w:t>
      </w:r>
      <w:r>
        <w:rPr>
          <w:i/>
          <w:spacing w:val="26"/>
          <w:sz w:val="20"/>
        </w:rPr>
        <w:t> </w:t>
      </w:r>
      <w:r>
        <w:rPr>
          <w:i/>
          <w:sz w:val="20"/>
        </w:rPr>
        <w:t>site</w:t>
      </w:r>
    </w:p>
    <w:p>
      <w:pPr>
        <w:pStyle w:val="BodyText"/>
        <w:spacing w:line="249" w:lineRule="auto" w:before="68"/>
        <w:ind w:left="125"/>
        <w:jc w:val="both"/>
      </w:pPr>
      <w:r>
        <w:rPr/>
        <w:t>The current study was carried out at the experimental farm of the Universidad Autónoma Chapingo, México, located at 19°30</w:t>
      </w:r>
      <w:r>
        <w:rPr>
          <w:rFonts w:ascii="Arial" w:hAnsi="Arial"/>
        </w:rPr>
        <w:t>′ </w:t>
      </w:r>
      <w:r>
        <w:rPr/>
        <w:t>N latitude and 98°54</w:t>
      </w:r>
      <w:r>
        <w:rPr>
          <w:rFonts w:ascii="Arial" w:hAnsi="Arial"/>
        </w:rPr>
        <w:t>′ </w:t>
      </w:r>
      <w:r>
        <w:rPr/>
        <w:t>W longitude, at 2250 m above sea level. Weather in this region is clas- sified as sub-humid temperate with summer rains. The average annual temperature and rainfall are 15°C and 600 mm, respectively (INEGI </w:t>
      </w:r>
      <w:hyperlink w:history="true" w:anchor="_bookmark4">
        <w:r>
          <w:rPr>
            <w:color w:val="000084"/>
          </w:rPr>
          <w:t>2009</w:t>
        </w:r>
      </w:hyperlink>
      <w:r>
        <w:rPr/>
        <w:t>).</w:t>
      </w:r>
    </w:p>
    <w:p>
      <w:pPr>
        <w:pStyle w:val="BodyText"/>
      </w:pPr>
    </w:p>
    <w:p>
      <w:pPr>
        <w:pStyle w:val="ListParagraph"/>
        <w:numPr>
          <w:ilvl w:val="1"/>
          <w:numId w:val="1"/>
        </w:numPr>
        <w:tabs>
          <w:tab w:pos="491" w:val="left" w:leader="none"/>
        </w:tabs>
        <w:spacing w:line="240" w:lineRule="auto" w:before="139" w:after="0"/>
        <w:ind w:left="490" w:right="0" w:hanging="365"/>
        <w:jc w:val="both"/>
        <w:rPr>
          <w:i/>
          <w:sz w:val="20"/>
        </w:rPr>
      </w:pPr>
      <w:r>
        <w:rPr>
          <w:i/>
          <w:sz w:val="20"/>
        </w:rPr>
        <w:t>Experimental  animals  and</w:t>
      </w:r>
      <w:r>
        <w:rPr>
          <w:i/>
          <w:spacing w:val="20"/>
          <w:sz w:val="20"/>
        </w:rPr>
        <w:t> </w:t>
      </w:r>
      <w:r>
        <w:rPr>
          <w:i/>
          <w:sz w:val="20"/>
        </w:rPr>
        <w:t>feeding</w:t>
      </w:r>
    </w:p>
    <w:p>
      <w:pPr>
        <w:pStyle w:val="BodyText"/>
        <w:spacing w:line="249" w:lineRule="auto" w:before="68"/>
        <w:ind w:left="125"/>
        <w:jc w:val="both"/>
      </w:pPr>
      <w:r>
        <w:rPr/>
        <w:t>Thirty-six goats undergoing their first and second kidding (15 AG, 13 SG and 8 ANG), all of them with their offspring, were selected from a commercial flocks. Does were managed in a confined system and were kept in roofed pens, and separated by type of kidding (single or  twins).  Daily  in  the  pen,  goats  received  per  head</w:t>
      </w:r>
    </w:p>
    <w:p>
      <w:pPr>
        <w:pStyle w:val="BodyText"/>
        <w:spacing w:line="223" w:lineRule="auto" w:before="13"/>
        <w:ind w:left="125" w:right="-11"/>
      </w:pPr>
      <w:r>
        <w:rPr/>
        <w:t>1.2 kg of dry matter (DM) of alfalfa hay, 0.08 kg of rumen bypass fat (Megalac</w:t>
      </w:r>
      <w:r>
        <w:rPr>
          <w:position w:val="9"/>
          <w:sz w:val="13"/>
        </w:rPr>
        <w:t>©</w:t>
      </w:r>
      <w:r>
        <w:rPr/>
        <w:t>, Arm &amp; Hammer     Animal</w:t>
      </w:r>
    </w:p>
    <w:p>
      <w:pPr>
        <w:pStyle w:val="BodyText"/>
        <w:rPr>
          <w:sz w:val="22"/>
        </w:rPr>
      </w:pPr>
    </w:p>
    <w:p>
      <w:pPr>
        <w:spacing w:line="198" w:lineRule="exact" w:before="147"/>
        <w:ind w:left="125" w:right="-11" w:firstLine="0"/>
        <w:jc w:val="left"/>
        <w:rPr>
          <w:sz w:val="18"/>
        </w:rPr>
      </w:pPr>
      <w:r>
        <w:rPr/>
        <w:pict>
          <v:line style="position:absolute;mso-position-horizontal-relative:page;mso-position-vertical-relative:paragraph;z-index:1528" from="65.253998pt,30.945105pt" to="292.762998pt,30.945105pt" stroked="true" strokeweight=".51pt" strokecolor="#000000">
            <w10:wrap type="none"/>
          </v:line>
        </w:pict>
      </w:r>
      <w:r>
        <w:rPr>
          <w:sz w:val="18"/>
        </w:rPr>
        <w:t>Table 1. Ingredients and chemical composition of the concen- trate.</w:t>
      </w:r>
    </w:p>
    <w:p>
      <w:pPr>
        <w:spacing w:before="161"/>
        <w:ind w:left="0" w:right="0" w:firstLine="0"/>
        <w:jc w:val="right"/>
        <w:rPr>
          <w:sz w:val="18"/>
        </w:rPr>
      </w:pPr>
      <w:r>
        <w:rPr>
          <w:w w:val="95"/>
          <w:sz w:val="18"/>
        </w:rPr>
        <w:t>(g/kg)</w:t>
      </w:r>
    </w:p>
    <w:p>
      <w:pPr>
        <w:spacing w:before="127"/>
        <w:ind w:left="125" w:right="0" w:firstLine="0"/>
        <w:jc w:val="both"/>
        <w:rPr>
          <w:i/>
          <w:sz w:val="18"/>
        </w:rPr>
      </w:pPr>
      <w:r>
        <w:rPr/>
        <w:pict>
          <v:line style="position:absolute;mso-position-horizontal-relative:page;mso-position-vertical-relative:paragraph;z-index:1576" from="65.253998pt,4.292541pt" to="292.762998pt,4.292541pt" stroked="true" strokeweight=".51pt" strokecolor="#000000">
            <w10:wrap type="none"/>
          </v:line>
        </w:pict>
      </w:r>
      <w:r>
        <w:rPr>
          <w:i/>
          <w:sz w:val="18"/>
        </w:rPr>
        <w:t>Ingredient</w:t>
      </w:r>
    </w:p>
    <w:p>
      <w:pPr>
        <w:tabs>
          <w:tab w:pos="4256" w:val="left" w:leader="none"/>
        </w:tabs>
        <w:spacing w:before="12"/>
        <w:ind w:left="125" w:right="0" w:firstLine="0"/>
        <w:jc w:val="both"/>
        <w:rPr>
          <w:sz w:val="18"/>
        </w:rPr>
      </w:pPr>
      <w:r>
        <w:rPr>
          <w:sz w:val="18"/>
        </w:rPr>
        <w:t>Sorghum</w:t>
      </w:r>
      <w:r>
        <w:rPr>
          <w:spacing w:val="7"/>
          <w:sz w:val="18"/>
        </w:rPr>
        <w:t> </w:t>
      </w:r>
      <w:r>
        <w:rPr>
          <w:sz w:val="18"/>
        </w:rPr>
        <w:t>grain</w:t>
        <w:tab/>
        <w:t>680</w:t>
      </w:r>
    </w:p>
    <w:p>
      <w:pPr>
        <w:tabs>
          <w:tab w:pos="4256" w:val="left" w:leader="none"/>
        </w:tabs>
        <w:spacing w:before="12"/>
        <w:ind w:left="125" w:right="0" w:firstLine="0"/>
        <w:jc w:val="both"/>
        <w:rPr>
          <w:sz w:val="18"/>
        </w:rPr>
      </w:pPr>
      <w:r>
        <w:rPr>
          <w:sz w:val="18"/>
        </w:rPr>
        <w:t>Soybean</w:t>
      </w:r>
      <w:r>
        <w:rPr>
          <w:spacing w:val="9"/>
          <w:sz w:val="18"/>
        </w:rPr>
        <w:t> </w:t>
      </w:r>
      <w:r>
        <w:rPr>
          <w:sz w:val="18"/>
        </w:rPr>
        <w:t>meal</w:t>
        <w:tab/>
        <w:t>200</w:t>
      </w:r>
    </w:p>
    <w:p>
      <w:pPr>
        <w:tabs>
          <w:tab w:pos="4256" w:val="left" w:leader="none"/>
        </w:tabs>
        <w:spacing w:line="201" w:lineRule="exact" w:before="13"/>
        <w:ind w:left="125" w:right="0" w:firstLine="0"/>
        <w:jc w:val="both"/>
        <w:rPr>
          <w:sz w:val="18"/>
        </w:rPr>
      </w:pPr>
      <w:r>
        <w:rPr>
          <w:sz w:val="18"/>
        </w:rPr>
        <w:t>Fish</w:t>
      </w:r>
      <w:r>
        <w:rPr>
          <w:spacing w:val="11"/>
          <w:sz w:val="18"/>
        </w:rPr>
        <w:t> </w:t>
      </w:r>
      <w:r>
        <w:rPr>
          <w:sz w:val="18"/>
        </w:rPr>
        <w:t>meal</w:t>
        <w:tab/>
        <w:t>100</w:t>
      </w:r>
    </w:p>
    <w:p>
      <w:pPr>
        <w:tabs>
          <w:tab w:pos="4435" w:val="left" w:leader="none"/>
        </w:tabs>
        <w:spacing w:line="225" w:lineRule="exact" w:before="0"/>
        <w:ind w:left="125" w:right="0" w:firstLine="0"/>
        <w:jc w:val="both"/>
        <w:rPr>
          <w:sz w:val="18"/>
        </w:rPr>
      </w:pPr>
      <w:r>
        <w:rPr>
          <w:i/>
          <w:sz w:val="18"/>
        </w:rPr>
        <w:t>Bacifermen</w:t>
      </w:r>
      <w:r>
        <w:rPr>
          <w:i/>
          <w:spacing w:val="9"/>
          <w:sz w:val="18"/>
        </w:rPr>
        <w:t> </w:t>
      </w:r>
      <w:r>
        <w:rPr>
          <w:i/>
          <w:sz w:val="18"/>
        </w:rPr>
        <w:t>lechones</w:t>
      </w:r>
      <w:r>
        <w:rPr>
          <w:position w:val="8"/>
          <w:sz w:val="12"/>
        </w:rPr>
        <w:t>a</w:t>
      </w:r>
      <w:r>
        <w:rPr>
          <w:sz w:val="18"/>
        </w:rPr>
        <w:tab/>
        <w:t>0.7</w:t>
      </w:r>
    </w:p>
    <w:p>
      <w:pPr>
        <w:tabs>
          <w:tab w:pos="4435" w:val="left" w:leader="none"/>
        </w:tabs>
        <w:spacing w:before="12"/>
        <w:ind w:left="125" w:right="0" w:firstLine="0"/>
        <w:jc w:val="both"/>
        <w:rPr>
          <w:sz w:val="18"/>
        </w:rPr>
      </w:pPr>
      <w:r>
        <w:rPr>
          <w:sz w:val="18"/>
        </w:rPr>
        <w:t>Sodium</w:t>
      </w:r>
      <w:r>
        <w:rPr>
          <w:spacing w:val="8"/>
          <w:sz w:val="18"/>
        </w:rPr>
        <w:t> </w:t>
      </w:r>
      <w:r>
        <w:rPr>
          <w:sz w:val="18"/>
        </w:rPr>
        <w:t>bicarbonate</w:t>
        <w:tab/>
        <w:t>0.5</w:t>
      </w:r>
    </w:p>
    <w:p>
      <w:pPr>
        <w:tabs>
          <w:tab w:pos="4346" w:val="left" w:leader="none"/>
        </w:tabs>
        <w:spacing w:line="201" w:lineRule="exact" w:before="13"/>
        <w:ind w:left="125" w:right="0" w:firstLine="0"/>
        <w:jc w:val="both"/>
        <w:rPr>
          <w:sz w:val="18"/>
        </w:rPr>
      </w:pPr>
      <w:r>
        <w:rPr>
          <w:sz w:val="18"/>
        </w:rPr>
        <w:t>Mineral</w:t>
      </w:r>
      <w:r>
        <w:rPr>
          <w:spacing w:val="8"/>
          <w:sz w:val="18"/>
        </w:rPr>
        <w:t> </w:t>
      </w:r>
      <w:r>
        <w:rPr>
          <w:sz w:val="18"/>
        </w:rPr>
        <w:t>premix</w:t>
        <w:tab/>
        <w:t>18.8</w:t>
      </w:r>
    </w:p>
    <w:p>
      <w:pPr>
        <w:spacing w:line="225" w:lineRule="exact" w:before="0"/>
        <w:ind w:left="125" w:right="0" w:firstLine="0"/>
        <w:jc w:val="both"/>
        <w:rPr>
          <w:sz w:val="12"/>
        </w:rPr>
      </w:pPr>
      <w:r>
        <w:rPr>
          <w:i/>
          <w:sz w:val="18"/>
        </w:rPr>
        <w:t>Chemical composition</w:t>
      </w:r>
      <w:r>
        <w:rPr>
          <w:position w:val="8"/>
          <w:sz w:val="12"/>
        </w:rPr>
        <w:t>b</w:t>
      </w:r>
    </w:p>
    <w:p>
      <w:pPr>
        <w:tabs>
          <w:tab w:pos="4256" w:val="left" w:leader="none"/>
        </w:tabs>
        <w:spacing w:before="12"/>
        <w:ind w:left="125" w:right="0" w:firstLine="0"/>
        <w:jc w:val="both"/>
        <w:rPr>
          <w:sz w:val="18"/>
        </w:rPr>
      </w:pPr>
      <w:r>
        <w:rPr>
          <w:sz w:val="18"/>
        </w:rPr>
        <w:t>Crude</w:t>
      </w:r>
      <w:r>
        <w:rPr>
          <w:spacing w:val="9"/>
          <w:sz w:val="18"/>
        </w:rPr>
        <w:t> </w:t>
      </w:r>
      <w:r>
        <w:rPr>
          <w:sz w:val="18"/>
        </w:rPr>
        <w:t>protein</w:t>
        <w:tab/>
        <w:t>218.5</w:t>
      </w:r>
    </w:p>
    <w:p>
      <w:pPr>
        <w:tabs>
          <w:tab w:pos="4256" w:val="left" w:leader="none"/>
        </w:tabs>
        <w:spacing w:before="13"/>
        <w:ind w:left="125" w:right="0" w:firstLine="0"/>
        <w:jc w:val="both"/>
        <w:rPr>
          <w:sz w:val="18"/>
        </w:rPr>
      </w:pPr>
      <w:r>
        <w:rPr>
          <w:sz w:val="18"/>
        </w:rPr>
        <w:t>Neutral</w:t>
      </w:r>
      <w:r>
        <w:rPr>
          <w:spacing w:val="6"/>
          <w:sz w:val="18"/>
        </w:rPr>
        <w:t> </w:t>
      </w:r>
      <w:r>
        <w:rPr>
          <w:sz w:val="18"/>
        </w:rPr>
        <w:t>detergent</w:t>
      </w:r>
      <w:r>
        <w:rPr>
          <w:spacing w:val="6"/>
          <w:sz w:val="18"/>
        </w:rPr>
        <w:t> </w:t>
      </w:r>
      <w:r>
        <w:rPr>
          <w:sz w:val="18"/>
        </w:rPr>
        <w:t>fibre</w:t>
        <w:tab/>
        <w:t>269.1</w:t>
      </w:r>
    </w:p>
    <w:p>
      <w:pPr>
        <w:tabs>
          <w:tab w:pos="4256" w:val="left" w:leader="none"/>
        </w:tabs>
        <w:spacing w:before="12"/>
        <w:ind w:left="125" w:right="0" w:firstLine="0"/>
        <w:jc w:val="both"/>
        <w:rPr>
          <w:sz w:val="18"/>
        </w:rPr>
      </w:pPr>
      <w:r>
        <w:rPr>
          <w:sz w:val="18"/>
        </w:rPr>
        <w:t>Acid</w:t>
      </w:r>
      <w:r>
        <w:rPr>
          <w:spacing w:val="7"/>
          <w:sz w:val="18"/>
        </w:rPr>
        <w:t> </w:t>
      </w:r>
      <w:r>
        <w:rPr>
          <w:sz w:val="18"/>
        </w:rPr>
        <w:t>detergent</w:t>
      </w:r>
      <w:r>
        <w:rPr>
          <w:spacing w:val="7"/>
          <w:sz w:val="18"/>
        </w:rPr>
        <w:t> </w:t>
      </w:r>
      <w:r>
        <w:rPr>
          <w:sz w:val="18"/>
        </w:rPr>
        <w:t>fibre</w:t>
        <w:tab/>
        <w:t>124.1</w:t>
      </w:r>
    </w:p>
    <w:p>
      <w:pPr>
        <w:tabs>
          <w:tab w:pos="4256" w:val="left" w:leader="none"/>
        </w:tabs>
        <w:spacing w:before="12"/>
        <w:ind w:left="125" w:right="0" w:firstLine="0"/>
        <w:jc w:val="both"/>
        <w:rPr>
          <w:sz w:val="18"/>
        </w:rPr>
      </w:pPr>
      <w:r>
        <w:rPr>
          <w:sz w:val="18"/>
        </w:rPr>
        <w:t>Cellular</w:t>
      </w:r>
      <w:r>
        <w:rPr>
          <w:spacing w:val="8"/>
          <w:sz w:val="18"/>
        </w:rPr>
        <w:t> </w:t>
      </w:r>
      <w:r>
        <w:rPr>
          <w:sz w:val="18"/>
        </w:rPr>
        <w:t>content</w:t>
        <w:tab/>
        <w:t>730.5</w:t>
      </w:r>
    </w:p>
    <w:p>
      <w:pPr>
        <w:tabs>
          <w:tab w:pos="4346" w:val="left" w:leader="none"/>
        </w:tabs>
        <w:spacing w:line="201" w:lineRule="exact" w:before="12"/>
        <w:ind w:left="125" w:right="0" w:firstLine="0"/>
        <w:jc w:val="both"/>
        <w:rPr>
          <w:sz w:val="18"/>
        </w:rPr>
      </w:pPr>
      <w:r>
        <w:rPr>
          <w:sz w:val="18"/>
        </w:rPr>
        <w:t>Ash</w:t>
        <w:tab/>
        <w:t>80.3</w:t>
      </w:r>
    </w:p>
    <w:p>
      <w:pPr>
        <w:tabs>
          <w:tab w:pos="4346" w:val="left" w:leader="none"/>
        </w:tabs>
        <w:spacing w:line="225" w:lineRule="exact" w:before="0"/>
        <w:ind w:left="125" w:right="0" w:firstLine="0"/>
        <w:jc w:val="both"/>
        <w:rPr>
          <w:sz w:val="18"/>
        </w:rPr>
      </w:pPr>
      <w:r>
        <w:rPr>
          <w:sz w:val="18"/>
        </w:rPr>
        <w:t>Metabolisable</w:t>
      </w:r>
      <w:r>
        <w:rPr>
          <w:spacing w:val="8"/>
          <w:sz w:val="18"/>
        </w:rPr>
        <w:t> </w:t>
      </w:r>
      <w:r>
        <w:rPr>
          <w:sz w:val="18"/>
        </w:rPr>
        <w:t>energy</w:t>
      </w:r>
      <w:r>
        <w:rPr>
          <w:position w:val="8"/>
          <w:sz w:val="12"/>
        </w:rPr>
        <w:t>c</w:t>
      </w:r>
      <w:r>
        <w:rPr>
          <w:sz w:val="18"/>
        </w:rPr>
        <w:tab/>
        <w:t>31.9</w:t>
      </w:r>
    </w:p>
    <w:p>
      <w:pPr>
        <w:spacing w:line="189" w:lineRule="exact" w:before="116"/>
        <w:ind w:left="125" w:right="0" w:firstLine="0"/>
        <w:jc w:val="both"/>
        <w:rPr>
          <w:i/>
          <w:sz w:val="16"/>
        </w:rPr>
      </w:pPr>
      <w:r>
        <w:rPr/>
        <w:pict>
          <v:line style="position:absolute;mso-position-horizontal-relative:page;mso-position-vertical-relative:paragraph;z-index:1552" from="65.252998pt,4.018161pt" to="292.761998pt,4.018161pt" stroked="true" strokeweight=".51022pt" strokecolor="#000000">
            <w10:wrap type="none"/>
          </v:line>
        </w:pict>
      </w:r>
      <w:r>
        <w:rPr>
          <w:position w:val="7"/>
          <w:sz w:val="10"/>
        </w:rPr>
        <w:t>a</w:t>
      </w:r>
      <w:r>
        <w:rPr>
          <w:sz w:val="16"/>
        </w:rPr>
        <w:t>Culture of Lactic acid </w:t>
      </w:r>
      <w:r>
        <w:rPr>
          <w:i/>
          <w:sz w:val="16"/>
        </w:rPr>
        <w:t>Bacillus plantarum.</w:t>
      </w:r>
    </w:p>
    <w:p>
      <w:pPr>
        <w:spacing w:line="179" w:lineRule="exact" w:before="0"/>
        <w:ind w:left="125" w:right="0" w:firstLine="0"/>
        <w:jc w:val="both"/>
        <w:rPr>
          <w:sz w:val="16"/>
        </w:rPr>
      </w:pPr>
      <w:r>
        <w:rPr>
          <w:position w:val="7"/>
          <w:sz w:val="10"/>
        </w:rPr>
        <w:t>b</w:t>
      </w:r>
      <w:r>
        <w:rPr>
          <w:sz w:val="16"/>
        </w:rPr>
        <w:t>Analyzed values.</w:t>
      </w:r>
    </w:p>
    <w:p>
      <w:pPr>
        <w:spacing w:line="189" w:lineRule="exact" w:before="0"/>
        <w:ind w:left="125" w:right="0" w:firstLine="0"/>
        <w:jc w:val="both"/>
        <w:rPr>
          <w:sz w:val="16"/>
        </w:rPr>
      </w:pPr>
      <w:r>
        <w:rPr>
          <w:position w:val="7"/>
          <w:sz w:val="10"/>
        </w:rPr>
        <w:t>c</w:t>
      </w:r>
      <w:r>
        <w:rPr>
          <w:sz w:val="16"/>
        </w:rPr>
        <w:t>Calculated according to NRC (</w:t>
      </w:r>
      <w:hyperlink w:history="true" w:anchor="_bookmark5">
        <w:r>
          <w:rPr>
            <w:color w:val="000084"/>
            <w:sz w:val="16"/>
          </w:rPr>
          <w:t>2001</w:t>
        </w:r>
      </w:hyperlink>
      <w:r>
        <w:rPr>
          <w:sz w:val="16"/>
        </w:rPr>
        <w:t>).</w:t>
      </w:r>
    </w:p>
    <w:p>
      <w:pPr>
        <w:pStyle w:val="BodyText"/>
        <w:spacing w:line="249" w:lineRule="auto" w:before="85"/>
        <w:ind w:left="125" w:right="103"/>
        <w:jc w:val="both"/>
      </w:pPr>
      <w:r>
        <w:rPr/>
        <w:br w:type="column"/>
      </w:r>
      <w:r>
        <w:rPr/>
        <w:t>Nutrition</w:t>
      </w:r>
      <w:r>
        <w:rPr>
          <w:position w:val="9"/>
          <w:sz w:val="13"/>
        </w:rPr>
        <w:t>©</w:t>
      </w:r>
      <w:r>
        <w:rPr/>
        <w:t>, Princeton, NJ, USA), as well 2 kg of concentrate (</w:t>
      </w:r>
      <w:hyperlink w:history="true" w:anchor="_bookmark1">
        <w:r>
          <w:rPr>
            <w:color w:val="000084"/>
          </w:rPr>
          <w:t>Table 1</w:t>
        </w:r>
      </w:hyperlink>
      <w:r>
        <w:rPr/>
        <w:t>), with free access to  water.</w:t>
      </w:r>
    </w:p>
    <w:p>
      <w:pPr>
        <w:pStyle w:val="BodyText"/>
        <w:spacing w:line="249" w:lineRule="auto" w:before="10"/>
        <w:ind w:left="125" w:right="103" w:firstLine="298"/>
        <w:jc w:val="both"/>
      </w:pPr>
      <w:r>
        <w:rPr/>
        <w:t>Goats were fed twice daily in equal amounts at</w:t>
      </w:r>
      <w:r>
        <w:rPr>
          <w:spacing w:val="-13"/>
        </w:rPr>
        <w:t> </w:t>
      </w:r>
      <w:r>
        <w:rPr/>
        <w:t>07:00 and 15:00 h, where dry matter intake (DMI) was estimated daily by the difference between weight of offered and refused feeds. Goats live weight </w:t>
      </w:r>
      <w:r>
        <w:rPr>
          <w:spacing w:val="-4"/>
        </w:rPr>
        <w:t>(LW) </w:t>
      </w:r>
      <w:r>
        <w:rPr/>
        <w:t>was obtained at intervals of 10 d after the beginning of the experiment before offering early morning</w:t>
      </w:r>
      <w:r>
        <w:rPr>
          <w:spacing w:val="26"/>
        </w:rPr>
        <w:t> </w:t>
      </w:r>
      <w:r>
        <w:rPr/>
        <w:t>ration.</w:t>
      </w:r>
    </w:p>
    <w:p>
      <w:pPr>
        <w:pStyle w:val="BodyText"/>
        <w:spacing w:line="249" w:lineRule="auto" w:before="10"/>
        <w:ind w:left="125" w:right="103" w:firstLine="298"/>
        <w:jc w:val="both"/>
      </w:pPr>
      <w:r>
        <w:rPr/>
        <w:t>Forty-eight kids (20 AG, 15 SG and 13 ANG) aged about</w:t>
      </w:r>
      <w:r>
        <w:rPr>
          <w:spacing w:val="-4"/>
        </w:rPr>
        <w:t> </w:t>
      </w:r>
      <w:r>
        <w:rPr/>
        <w:t>15</w:t>
      </w:r>
      <w:r>
        <w:rPr>
          <w:spacing w:val="-5"/>
        </w:rPr>
        <w:t> </w:t>
      </w:r>
      <w:r>
        <w:rPr/>
        <w:t>d</w:t>
      </w:r>
      <w:r>
        <w:rPr>
          <w:spacing w:val="-4"/>
        </w:rPr>
        <w:t> </w:t>
      </w:r>
      <w:r>
        <w:rPr/>
        <w:t>were</w:t>
      </w:r>
      <w:r>
        <w:rPr>
          <w:spacing w:val="-4"/>
        </w:rPr>
        <w:t> </w:t>
      </w:r>
      <w:r>
        <w:rPr/>
        <w:t>used</w:t>
      </w:r>
      <w:r>
        <w:rPr>
          <w:spacing w:val="-5"/>
        </w:rPr>
        <w:t> </w:t>
      </w:r>
      <w:r>
        <w:rPr/>
        <w:t>also</w:t>
      </w:r>
      <w:r>
        <w:rPr>
          <w:spacing w:val="-4"/>
        </w:rPr>
        <w:t> </w:t>
      </w:r>
      <w:r>
        <w:rPr/>
        <w:t>in</w:t>
      </w:r>
      <w:r>
        <w:rPr>
          <w:spacing w:val="-4"/>
        </w:rPr>
        <w:t> </w:t>
      </w:r>
      <w:r>
        <w:rPr/>
        <w:t>the</w:t>
      </w:r>
      <w:r>
        <w:rPr>
          <w:spacing w:val="-4"/>
        </w:rPr>
        <w:t> </w:t>
      </w:r>
      <w:r>
        <w:rPr/>
        <w:t>current</w:t>
      </w:r>
      <w:r>
        <w:rPr>
          <w:spacing w:val="-5"/>
        </w:rPr>
        <w:t> </w:t>
      </w:r>
      <w:r>
        <w:rPr/>
        <w:t>study.</w:t>
      </w:r>
      <w:r>
        <w:rPr>
          <w:spacing w:val="-5"/>
        </w:rPr>
        <w:t> </w:t>
      </w:r>
      <w:r>
        <w:rPr/>
        <w:t>Kids</w:t>
      </w:r>
      <w:r>
        <w:rPr>
          <w:spacing w:val="-5"/>
        </w:rPr>
        <w:t> </w:t>
      </w:r>
      <w:r>
        <w:rPr/>
        <w:t>were separated from their mothers and allowed only to access milk from their mothers at 07:00 and 15:00 h daily where each kid was weighed before suckling. Kids were daily weighed from the beginning of the experiment and until weaning was performed for determination of milk intake, daily weight gain (DWG) and weaning weight (WW).</w:t>
      </w:r>
      <w:r>
        <w:rPr>
          <w:spacing w:val="-8"/>
        </w:rPr>
        <w:t> </w:t>
      </w:r>
      <w:r>
        <w:rPr/>
        <w:t>Feeding</w:t>
      </w:r>
      <w:r>
        <w:rPr>
          <w:spacing w:val="-7"/>
        </w:rPr>
        <w:t> </w:t>
      </w:r>
      <w:r>
        <w:rPr/>
        <w:t>kids</w:t>
      </w:r>
      <w:r>
        <w:rPr>
          <w:spacing w:val="-7"/>
        </w:rPr>
        <w:t> </w:t>
      </w:r>
      <w:r>
        <w:rPr/>
        <w:t>was</w:t>
      </w:r>
      <w:r>
        <w:rPr>
          <w:spacing w:val="-8"/>
        </w:rPr>
        <w:t> </w:t>
      </w:r>
      <w:r>
        <w:rPr/>
        <w:t>supplemented</w:t>
      </w:r>
      <w:r>
        <w:rPr>
          <w:spacing w:val="-7"/>
        </w:rPr>
        <w:t> </w:t>
      </w:r>
      <w:r>
        <w:rPr/>
        <w:t>by</w:t>
      </w:r>
      <w:r>
        <w:rPr>
          <w:spacing w:val="-8"/>
        </w:rPr>
        <w:t> </w:t>
      </w:r>
      <w:r>
        <w:rPr/>
        <w:t>creep</w:t>
      </w:r>
      <w:r>
        <w:rPr>
          <w:spacing w:val="-9"/>
        </w:rPr>
        <w:t> </w:t>
      </w:r>
      <w:r>
        <w:rPr/>
        <w:t>feeding, with the same feed </w:t>
      </w:r>
      <w:r>
        <w:rPr>
          <w:spacing w:val="-3"/>
        </w:rPr>
        <w:t>(</w:t>
      </w:r>
      <w:hyperlink w:history="true" w:anchor="_bookmark1">
        <w:r>
          <w:rPr>
            <w:color w:val="000084"/>
            <w:spacing w:val="-3"/>
          </w:rPr>
          <w:t>Table </w:t>
        </w:r>
        <w:r>
          <w:rPr>
            <w:color w:val="000084"/>
          </w:rPr>
          <w:t>1</w:t>
        </w:r>
      </w:hyperlink>
      <w:r>
        <w:rPr/>
        <w:t>) that mother goats</w:t>
      </w:r>
      <w:r>
        <w:rPr>
          <w:spacing w:val="-29"/>
        </w:rPr>
        <w:t> </w:t>
      </w:r>
      <w:r>
        <w:rPr/>
        <w:t>consumed at rate of 55 g/kid/d until the weaning was</w:t>
      </w:r>
      <w:r>
        <w:rPr>
          <w:spacing w:val="28"/>
        </w:rPr>
        <w:t> </w:t>
      </w:r>
      <w:r>
        <w:rPr/>
        <w:t>done.</w:t>
      </w:r>
    </w:p>
    <w:p>
      <w:pPr>
        <w:pStyle w:val="BodyText"/>
      </w:pPr>
    </w:p>
    <w:p>
      <w:pPr>
        <w:pStyle w:val="BodyText"/>
        <w:spacing w:before="2"/>
        <w:rPr>
          <w:sz w:val="17"/>
        </w:rPr>
      </w:pPr>
    </w:p>
    <w:p>
      <w:pPr>
        <w:pStyle w:val="ListParagraph"/>
        <w:numPr>
          <w:ilvl w:val="1"/>
          <w:numId w:val="1"/>
        </w:numPr>
        <w:tabs>
          <w:tab w:pos="491" w:val="left" w:leader="none"/>
        </w:tabs>
        <w:spacing w:line="240" w:lineRule="auto" w:before="0" w:after="0"/>
        <w:ind w:left="490" w:right="0" w:hanging="365"/>
        <w:jc w:val="both"/>
        <w:rPr>
          <w:i/>
          <w:sz w:val="20"/>
        </w:rPr>
      </w:pPr>
      <w:r>
        <w:rPr>
          <w:i/>
          <w:sz w:val="20"/>
        </w:rPr>
        <w:t>Data  and</w:t>
      </w:r>
      <w:r>
        <w:rPr>
          <w:i/>
          <w:spacing w:val="21"/>
          <w:sz w:val="20"/>
        </w:rPr>
        <w:t> </w:t>
      </w:r>
      <w:r>
        <w:rPr>
          <w:i/>
          <w:sz w:val="20"/>
        </w:rPr>
        <w:t>management</w:t>
      </w:r>
    </w:p>
    <w:p>
      <w:pPr>
        <w:pStyle w:val="BodyText"/>
        <w:spacing w:line="249" w:lineRule="auto" w:before="69"/>
        <w:ind w:left="125" w:right="103"/>
        <w:jc w:val="both"/>
      </w:pPr>
      <w:r>
        <w:rPr/>
        <w:t>The technique described by Coombe et al. (</w:t>
      </w:r>
      <w:hyperlink w:history="true" w:anchor="_bookmark4">
        <w:r>
          <w:rPr>
            <w:color w:val="000084"/>
          </w:rPr>
          <w:t>1960</w:t>
        </w:r>
      </w:hyperlink>
      <w:r>
        <w:rPr/>
        <w:t>) was used to determine the daily milk production; consistent in the method of weight-suckling-weight of the goat kids, adding residual milk; repeating the procedure daily until 90 d when weaning was  performed.</w:t>
      </w:r>
    </w:p>
    <w:p>
      <w:pPr>
        <w:pStyle w:val="BodyText"/>
        <w:spacing w:line="240" w:lineRule="exact" w:before="5"/>
        <w:ind w:left="125" w:right="103" w:firstLine="298"/>
        <w:jc w:val="both"/>
      </w:pPr>
      <w:r>
        <w:rPr/>
        <w:pict>
          <v:shape style="position:absolute;margin-left:380.636108pt;margin-top:30.056843pt;width:2.050pt;height:6.65pt;mso-position-horizontal-relative:page;mso-position-vertical-relative:paragraph;z-index:-20008" type="#_x0000_t202" filled="false" stroked="false">
            <v:textbox inset="0,0,0,0">
              <w:txbxContent>
                <w:p>
                  <w:pPr>
                    <w:spacing w:line="133" w:lineRule="exact" w:before="0"/>
                    <w:ind w:left="0" w:right="0" w:firstLine="0"/>
                    <w:jc w:val="left"/>
                    <w:rPr>
                      <w:i/>
                      <w:sz w:val="13"/>
                    </w:rPr>
                  </w:pPr>
                  <w:r>
                    <w:rPr>
                      <w:i/>
                      <w:w w:val="111"/>
                      <w:sz w:val="13"/>
                    </w:rPr>
                    <w:t>t</w:t>
                  </w:r>
                </w:p>
              </w:txbxContent>
            </v:textbox>
            <w10:wrap type="none"/>
          </v:shape>
        </w:pict>
      </w:r>
      <w:r>
        <w:rPr/>
        <w:t>The</w:t>
      </w:r>
      <w:r>
        <w:rPr>
          <w:spacing w:val="-13"/>
        </w:rPr>
        <w:t> </w:t>
      </w:r>
      <w:r>
        <w:rPr/>
        <w:t>prediction</w:t>
      </w:r>
      <w:r>
        <w:rPr>
          <w:spacing w:val="-12"/>
        </w:rPr>
        <w:t> </w:t>
      </w:r>
      <w:r>
        <w:rPr/>
        <w:t>equation</w:t>
      </w:r>
      <w:r>
        <w:rPr>
          <w:spacing w:val="-12"/>
        </w:rPr>
        <w:t> </w:t>
      </w:r>
      <w:r>
        <w:rPr/>
        <w:t>for</w:t>
      </w:r>
      <w:r>
        <w:rPr>
          <w:spacing w:val="-13"/>
        </w:rPr>
        <w:t> </w:t>
      </w:r>
      <w:r>
        <w:rPr/>
        <w:t>daily</w:t>
      </w:r>
      <w:r>
        <w:rPr>
          <w:spacing w:val="-14"/>
        </w:rPr>
        <w:t> </w:t>
      </w:r>
      <w:r>
        <w:rPr/>
        <w:t>milk</w:t>
      </w:r>
      <w:r>
        <w:rPr>
          <w:spacing w:val="-12"/>
        </w:rPr>
        <w:t> </w:t>
      </w:r>
      <w:r>
        <w:rPr/>
        <w:t>yield</w:t>
      </w:r>
      <w:r>
        <w:rPr>
          <w:spacing w:val="-12"/>
        </w:rPr>
        <w:t> </w:t>
      </w:r>
      <w:r>
        <w:rPr/>
        <w:t>was</w:t>
      </w:r>
      <w:r>
        <w:rPr>
          <w:spacing w:val="-13"/>
        </w:rPr>
        <w:t> </w:t>
      </w:r>
      <w:r>
        <w:rPr/>
        <w:t>fitted by the </w:t>
      </w:r>
      <w:r>
        <w:rPr>
          <w:spacing w:val="-5"/>
        </w:rPr>
        <w:t>Wood</w:t>
      </w:r>
      <w:r>
        <w:rPr>
          <w:rFonts w:ascii="Arial" w:hAnsi="Arial"/>
          <w:spacing w:val="-5"/>
        </w:rPr>
        <w:t>’</w:t>
      </w:r>
      <w:r>
        <w:rPr>
          <w:spacing w:val="-5"/>
        </w:rPr>
        <w:t>s </w:t>
      </w:r>
      <w:r>
        <w:rPr/>
        <w:t>(</w:t>
      </w:r>
      <w:hyperlink w:history="true" w:anchor="_bookmark5">
        <w:r>
          <w:rPr>
            <w:color w:val="000084"/>
          </w:rPr>
          <w:t>1967</w:t>
        </w:r>
      </w:hyperlink>
      <w:r>
        <w:rPr/>
        <w:t>) incomplete gamma function: </w:t>
      </w:r>
      <w:r>
        <w:rPr>
          <w:i/>
        </w:rPr>
        <w:t>Y</w:t>
      </w:r>
      <w:r>
        <w:rPr>
          <w:i/>
          <w:position w:val="-2"/>
          <w:sz w:val="13"/>
        </w:rPr>
        <w:t>t </w:t>
      </w:r>
      <w:r>
        <w:rPr>
          <w:i/>
        </w:rPr>
        <w:t>= </w:t>
      </w:r>
      <w:r>
        <w:rPr>
          <w:i/>
        </w:rPr>
        <w:t>at</w:t>
      </w:r>
      <w:r>
        <w:rPr>
          <w:i/>
          <w:position w:val="9"/>
          <w:sz w:val="13"/>
        </w:rPr>
        <w:t>b</w:t>
      </w:r>
      <w:r>
        <w:rPr>
          <w:i/>
        </w:rPr>
        <w:t>e</w:t>
      </w:r>
      <w:r>
        <w:rPr>
          <w:rFonts w:ascii="Arial" w:hAnsi="Arial"/>
          <w:position w:val="9"/>
          <w:sz w:val="13"/>
        </w:rPr>
        <w:t>−</w:t>
      </w:r>
      <w:r>
        <w:rPr>
          <w:i/>
          <w:position w:val="9"/>
          <w:sz w:val="13"/>
        </w:rPr>
        <w:t>ct</w:t>
      </w:r>
      <w:r>
        <w:rPr/>
        <w:t>; where </w:t>
      </w:r>
      <w:r>
        <w:rPr>
          <w:i/>
        </w:rPr>
        <w:t>Y </w:t>
      </w:r>
      <w:r>
        <w:rPr/>
        <w:t>is the milk parameter on lactation day </w:t>
      </w:r>
      <w:r>
        <w:rPr>
          <w:i/>
        </w:rPr>
        <w:t>t</w:t>
      </w:r>
      <w:r>
        <w:rPr/>
        <w:t>, </w:t>
      </w:r>
      <w:r>
        <w:rPr>
          <w:i/>
        </w:rPr>
        <w:t>a  </w:t>
      </w:r>
      <w:r>
        <w:rPr/>
        <w:t>is  the  associated  parameter  with  the  initial     </w:t>
      </w:r>
      <w:r>
        <w:rPr>
          <w:spacing w:val="11"/>
        </w:rPr>
        <w:t> </w:t>
      </w:r>
      <w:r>
        <w:rPr/>
        <w:t>milk</w:t>
      </w:r>
    </w:p>
    <w:p>
      <w:pPr>
        <w:pStyle w:val="BodyText"/>
        <w:spacing w:line="247" w:lineRule="auto" w:before="4"/>
        <w:ind w:left="125" w:right="103"/>
        <w:jc w:val="both"/>
      </w:pPr>
      <w:r>
        <w:rPr/>
        <w:t>production, </w:t>
      </w:r>
      <w:r>
        <w:rPr>
          <w:i/>
        </w:rPr>
        <w:t>b </w:t>
      </w:r>
      <w:r>
        <w:rPr/>
        <w:t>is the associated parameter with the rise in milk production to peak lactation, </w:t>
      </w:r>
      <w:r>
        <w:rPr>
          <w:i/>
        </w:rPr>
        <w:t>e </w:t>
      </w:r>
      <w:r>
        <w:rPr/>
        <w:t>is the Neper number and</w:t>
      </w:r>
      <w:r>
        <w:rPr>
          <w:spacing w:val="-15"/>
        </w:rPr>
        <w:t> </w:t>
      </w:r>
      <w:r>
        <w:rPr>
          <w:i/>
        </w:rPr>
        <w:t>c</w:t>
      </w:r>
      <w:r>
        <w:rPr>
          <w:i/>
          <w:spacing w:val="-15"/>
        </w:rPr>
        <w:t> </w:t>
      </w:r>
      <w:r>
        <w:rPr/>
        <w:t>is</w:t>
      </w:r>
      <w:r>
        <w:rPr>
          <w:spacing w:val="-16"/>
        </w:rPr>
        <w:t> </w:t>
      </w:r>
      <w:r>
        <w:rPr/>
        <w:t>the</w:t>
      </w:r>
      <w:r>
        <w:rPr>
          <w:spacing w:val="-15"/>
        </w:rPr>
        <w:t> </w:t>
      </w:r>
      <w:r>
        <w:rPr/>
        <w:t>associated</w:t>
      </w:r>
      <w:r>
        <w:rPr>
          <w:spacing w:val="-14"/>
        </w:rPr>
        <w:t> </w:t>
      </w:r>
      <w:r>
        <w:rPr/>
        <w:t>parameter</w:t>
      </w:r>
      <w:r>
        <w:rPr>
          <w:spacing w:val="-13"/>
        </w:rPr>
        <w:t> </w:t>
      </w:r>
      <w:r>
        <w:rPr/>
        <w:t>with</w:t>
      </w:r>
      <w:r>
        <w:rPr>
          <w:spacing w:val="-14"/>
        </w:rPr>
        <w:t> </w:t>
      </w:r>
      <w:r>
        <w:rPr/>
        <w:t>the</w:t>
      </w:r>
      <w:r>
        <w:rPr>
          <w:spacing w:val="-15"/>
        </w:rPr>
        <w:t> </w:t>
      </w:r>
      <w:r>
        <w:rPr/>
        <w:t>decrease</w:t>
      </w:r>
      <w:r>
        <w:rPr>
          <w:spacing w:val="-15"/>
        </w:rPr>
        <w:t> </w:t>
      </w:r>
      <w:r>
        <w:rPr/>
        <w:t>in</w:t>
      </w:r>
      <w:r>
        <w:rPr>
          <w:spacing w:val="-15"/>
        </w:rPr>
        <w:t> </w:t>
      </w:r>
      <w:r>
        <w:rPr/>
        <w:t>milk production from peak to the end of lactation. </w:t>
      </w:r>
      <w:r>
        <w:rPr>
          <w:spacing w:val="-5"/>
        </w:rPr>
        <w:t>Wood</w:t>
      </w:r>
      <w:r>
        <w:rPr>
          <w:rFonts w:ascii="Arial" w:hAnsi="Arial"/>
          <w:spacing w:val="-5"/>
        </w:rPr>
        <w:t>’</w:t>
      </w:r>
      <w:r>
        <w:rPr>
          <w:spacing w:val="-5"/>
        </w:rPr>
        <w:t>s </w:t>
      </w:r>
      <w:r>
        <w:rPr/>
        <w:t>model was linearised through the natural logarithm as:</w:t>
      </w:r>
      <w:r>
        <w:rPr>
          <w:spacing w:val="-21"/>
        </w:rPr>
        <w:t> </w:t>
      </w:r>
      <w:r>
        <w:rPr/>
        <w:t>ln (</w:t>
      </w:r>
      <w:r>
        <w:rPr>
          <w:i/>
        </w:rPr>
        <w:t>Yt</w:t>
      </w:r>
      <w:r>
        <w:rPr/>
        <w:t>)</w:t>
      </w:r>
      <w:r>
        <w:rPr>
          <w:spacing w:val="-13"/>
        </w:rPr>
        <w:t> </w:t>
      </w:r>
      <w:r>
        <w:rPr/>
        <w:t>=</w:t>
      </w:r>
      <w:r>
        <w:rPr>
          <w:spacing w:val="-13"/>
        </w:rPr>
        <w:t> </w:t>
      </w:r>
      <w:r>
        <w:rPr>
          <w:spacing w:val="7"/>
        </w:rPr>
        <w:t>ln(</w:t>
      </w:r>
      <w:r>
        <w:rPr>
          <w:i/>
          <w:spacing w:val="7"/>
        </w:rPr>
        <w:t>a</w:t>
      </w:r>
      <w:r>
        <w:rPr>
          <w:spacing w:val="7"/>
        </w:rPr>
        <w:t>)+</w:t>
      </w:r>
      <w:r>
        <w:rPr>
          <w:spacing w:val="-13"/>
        </w:rPr>
        <w:t> </w:t>
      </w:r>
      <w:r>
        <w:rPr>
          <w:i/>
        </w:rPr>
        <w:t>b</w:t>
      </w:r>
      <w:r>
        <w:rPr/>
        <w:t>ln(</w:t>
      </w:r>
      <w:r>
        <w:rPr>
          <w:i/>
        </w:rPr>
        <w:t>t</w:t>
      </w:r>
      <w:r>
        <w:rPr/>
        <w:t>)</w:t>
      </w:r>
      <w:r>
        <w:rPr>
          <w:spacing w:val="-14"/>
        </w:rPr>
        <w:t> </w:t>
      </w:r>
      <w:r>
        <w:rPr>
          <w:rFonts w:ascii="Arial" w:hAnsi="Arial"/>
        </w:rPr>
        <w:t>–</w:t>
      </w:r>
      <w:r>
        <w:rPr>
          <w:rFonts w:ascii="Arial" w:hAnsi="Arial"/>
          <w:spacing w:val="-18"/>
        </w:rPr>
        <w:t> </w:t>
      </w:r>
      <w:r>
        <w:rPr>
          <w:i/>
        </w:rPr>
        <w:t>ct</w:t>
      </w:r>
      <w:r>
        <w:rPr/>
        <w:t>.</w:t>
      </w:r>
      <w:r>
        <w:rPr>
          <w:spacing w:val="-13"/>
        </w:rPr>
        <w:t> </w:t>
      </w:r>
      <w:r>
        <w:rPr/>
        <w:t>After</w:t>
      </w:r>
      <w:r>
        <w:rPr>
          <w:spacing w:val="-11"/>
        </w:rPr>
        <w:t> </w:t>
      </w:r>
      <w:r>
        <w:rPr/>
        <w:t>the</w:t>
      </w:r>
      <w:r>
        <w:rPr>
          <w:spacing w:val="-12"/>
        </w:rPr>
        <w:t> </w:t>
      </w:r>
      <w:r>
        <w:rPr/>
        <w:t>transformation</w:t>
      </w:r>
      <w:r>
        <w:rPr>
          <w:spacing w:val="-12"/>
        </w:rPr>
        <w:t> </w:t>
      </w:r>
      <w:r>
        <w:rPr/>
        <w:t>process, parameters that define the incomplete gamma function (i.e., </w:t>
      </w:r>
      <w:r>
        <w:rPr>
          <w:i/>
        </w:rPr>
        <w:t>a, b </w:t>
      </w:r>
      <w:r>
        <w:rPr/>
        <w:t>and </w:t>
      </w:r>
      <w:r>
        <w:rPr>
          <w:i/>
        </w:rPr>
        <w:t>c</w:t>
      </w:r>
      <w:r>
        <w:rPr/>
        <w:t>) were estimated through multiple regression; for breed and type of kidding. Following, some lactation curve parameters were obtained, as: days to maximum milk production (TPY), by the following formula TPY </w:t>
      </w:r>
      <w:r>
        <w:rPr>
          <w:i/>
        </w:rPr>
        <w:t>= b</w:t>
      </w:r>
      <w:r>
        <w:rPr/>
        <w:t>/</w:t>
      </w:r>
      <w:r>
        <w:rPr>
          <w:i/>
        </w:rPr>
        <w:t>c</w:t>
      </w:r>
      <w:r>
        <w:rPr/>
        <w:t>; the maximum production (YP), by YP = </w:t>
      </w:r>
      <w:r>
        <w:rPr>
          <w:i/>
        </w:rPr>
        <w:t>a</w:t>
      </w:r>
      <w:r>
        <w:rPr/>
        <w:t>(TPY)</w:t>
      </w:r>
      <w:r>
        <w:rPr>
          <w:i/>
          <w:position w:val="9"/>
          <w:sz w:val="13"/>
        </w:rPr>
        <w:t>b</w:t>
      </w:r>
      <w:r>
        <w:rPr>
          <w:i/>
        </w:rPr>
        <w:t>e</w:t>
      </w:r>
      <w:r>
        <w:rPr>
          <w:rFonts w:ascii="Arial" w:hAnsi="Arial"/>
          <w:position w:val="9"/>
          <w:sz w:val="13"/>
        </w:rPr>
        <w:t>−</w:t>
      </w:r>
      <w:r>
        <w:rPr>
          <w:i/>
          <w:position w:val="9"/>
          <w:sz w:val="13"/>
        </w:rPr>
        <w:t>b</w:t>
      </w:r>
      <w:r>
        <w:rPr/>
        <w:t>; the rate of decrease from peak to end of</w:t>
      </w:r>
      <w:r>
        <w:rPr>
          <w:spacing w:val="-13"/>
        </w:rPr>
        <w:t> </w:t>
      </w:r>
      <w:r>
        <w:rPr/>
        <w:t>lactation</w:t>
      </w:r>
      <w:r>
        <w:rPr>
          <w:spacing w:val="-14"/>
        </w:rPr>
        <w:t> </w:t>
      </w:r>
      <w:r>
        <w:rPr/>
        <w:t>(persistence),</w:t>
      </w:r>
      <w:r>
        <w:rPr>
          <w:spacing w:val="-12"/>
        </w:rPr>
        <w:t> </w:t>
      </w:r>
      <w:r>
        <w:rPr/>
        <w:t>as</w:t>
      </w:r>
      <w:r>
        <w:rPr>
          <w:spacing w:val="-12"/>
        </w:rPr>
        <w:t> </w:t>
      </w:r>
      <w:r>
        <w:rPr/>
        <w:t>persistence</w:t>
      </w:r>
      <w:r>
        <w:rPr>
          <w:spacing w:val="-13"/>
        </w:rPr>
        <w:t> </w:t>
      </w:r>
      <w:r>
        <w:rPr/>
        <w:t>=</w:t>
      </w:r>
      <w:r>
        <w:rPr>
          <w:spacing w:val="-13"/>
        </w:rPr>
        <w:t> </w:t>
      </w:r>
      <w:r>
        <w:rPr>
          <w:i/>
        </w:rPr>
        <w:t>c</w:t>
      </w:r>
      <w:r>
        <w:rPr/>
        <w:t>(TPY</w:t>
      </w:r>
      <w:r>
        <w:rPr>
          <w:spacing w:val="-13"/>
        </w:rPr>
        <w:t> </w:t>
      </w:r>
      <w:r>
        <w:rPr>
          <w:rFonts w:ascii="Verdana" w:hAnsi="Verdana"/>
        </w:rPr>
        <w:t>–</w:t>
      </w:r>
      <w:r>
        <w:rPr>
          <w:rFonts w:ascii="Verdana" w:hAnsi="Verdana"/>
          <w:spacing w:val="-34"/>
        </w:rPr>
        <w:t> </w:t>
      </w:r>
      <w:r>
        <w:rPr>
          <w:i/>
        </w:rPr>
        <w:t>t</w:t>
      </w:r>
      <w:r>
        <w:rPr/>
        <w:t>/TPY</w:t>
      </w:r>
    </w:p>
    <w:p>
      <w:pPr>
        <w:pStyle w:val="BodyText"/>
        <w:spacing w:line="242" w:lineRule="exact"/>
        <w:ind w:left="125" w:hanging="1"/>
        <w:jc w:val="both"/>
      </w:pPr>
      <w:r>
        <w:rPr>
          <w:i/>
        </w:rPr>
        <w:t>+ t</w:t>
      </w:r>
      <w:r>
        <w:rPr/>
        <w:t>); predicted total production (PTP) by PTP = </w:t>
      </w:r>
      <w:r>
        <w:rPr>
          <w:rFonts w:ascii="Calibri" w:hAnsi="Calibri"/>
        </w:rPr>
        <w:t>∑</w:t>
      </w:r>
      <w:r>
        <w:rPr>
          <w:i/>
        </w:rPr>
        <w:t>at</w:t>
      </w:r>
      <w:r>
        <w:rPr>
          <w:i/>
          <w:position w:val="9"/>
          <w:sz w:val="13"/>
        </w:rPr>
        <w:t>b</w:t>
      </w:r>
      <w:r>
        <w:rPr>
          <w:i/>
        </w:rPr>
        <w:t>e</w:t>
      </w:r>
      <w:r>
        <w:rPr>
          <w:rFonts w:ascii="Arial" w:hAnsi="Arial"/>
          <w:position w:val="9"/>
          <w:sz w:val="13"/>
        </w:rPr>
        <w:t>−</w:t>
      </w:r>
      <w:r>
        <w:rPr>
          <w:i/>
          <w:position w:val="9"/>
          <w:sz w:val="13"/>
        </w:rPr>
        <w:t>ct</w:t>
      </w:r>
      <w:r>
        <w:rPr/>
        <w:t>;</w:t>
      </w:r>
    </w:p>
    <w:p>
      <w:pPr>
        <w:pStyle w:val="BodyText"/>
        <w:spacing w:line="249" w:lineRule="auto"/>
        <w:ind w:left="125" w:right="104"/>
        <w:jc w:val="both"/>
      </w:pPr>
      <w:r>
        <w:rPr/>
        <w:t>and observed total production (OTP) calculated by the sum of milk production recorded daily during the experimental period of 90 d.</w:t>
      </w:r>
    </w:p>
    <w:p>
      <w:pPr>
        <w:pStyle w:val="BodyText"/>
      </w:pPr>
    </w:p>
    <w:p>
      <w:pPr>
        <w:pStyle w:val="BodyText"/>
        <w:spacing w:before="3"/>
        <w:rPr>
          <w:sz w:val="17"/>
        </w:rPr>
      </w:pPr>
    </w:p>
    <w:p>
      <w:pPr>
        <w:pStyle w:val="ListParagraph"/>
        <w:numPr>
          <w:ilvl w:val="1"/>
          <w:numId w:val="1"/>
        </w:numPr>
        <w:tabs>
          <w:tab w:pos="491" w:val="left" w:leader="none"/>
        </w:tabs>
        <w:spacing w:line="240" w:lineRule="auto" w:before="0" w:after="0"/>
        <w:ind w:left="490" w:right="0" w:hanging="365"/>
        <w:jc w:val="both"/>
        <w:rPr>
          <w:i/>
          <w:sz w:val="20"/>
        </w:rPr>
      </w:pPr>
      <w:r>
        <w:rPr>
          <w:i/>
          <w:sz w:val="20"/>
        </w:rPr>
        <w:t>Concentrates analytical</w:t>
      </w:r>
      <w:r>
        <w:rPr>
          <w:i/>
          <w:spacing w:val="44"/>
          <w:sz w:val="20"/>
        </w:rPr>
        <w:t> </w:t>
      </w:r>
      <w:r>
        <w:rPr>
          <w:i/>
          <w:sz w:val="20"/>
        </w:rPr>
        <w:t>procedures</w:t>
      </w:r>
    </w:p>
    <w:p>
      <w:pPr>
        <w:pStyle w:val="BodyText"/>
        <w:spacing w:line="249" w:lineRule="auto" w:before="69"/>
        <w:ind w:left="125" w:right="102"/>
        <w:jc w:val="both"/>
      </w:pPr>
      <w:r>
        <w:rPr/>
        <w:t>Samples of concentrate mixture were collected twice </w:t>
      </w:r>
      <w:r>
        <w:rPr>
          <w:spacing w:val="-3"/>
        </w:rPr>
        <w:t>weekly,</w:t>
      </w:r>
      <w:r>
        <w:rPr>
          <w:spacing w:val="-12"/>
        </w:rPr>
        <w:t> </w:t>
      </w:r>
      <w:r>
        <w:rPr/>
        <w:t>ground</w:t>
      </w:r>
      <w:r>
        <w:rPr>
          <w:spacing w:val="-13"/>
        </w:rPr>
        <w:t> </w:t>
      </w:r>
      <w:r>
        <w:rPr/>
        <w:t>to</w:t>
      </w:r>
      <w:r>
        <w:rPr>
          <w:spacing w:val="-12"/>
        </w:rPr>
        <w:t> </w:t>
      </w:r>
      <w:r>
        <w:rPr/>
        <w:t>pass</w:t>
      </w:r>
      <w:r>
        <w:rPr>
          <w:spacing w:val="-12"/>
        </w:rPr>
        <w:t> </w:t>
      </w:r>
      <w:r>
        <w:rPr/>
        <w:t>a</w:t>
      </w:r>
      <w:r>
        <w:rPr>
          <w:spacing w:val="-12"/>
        </w:rPr>
        <w:t> </w:t>
      </w:r>
      <w:r>
        <w:rPr/>
        <w:t>1-mm</w:t>
      </w:r>
      <w:r>
        <w:rPr>
          <w:spacing w:val="-12"/>
        </w:rPr>
        <w:t> </w:t>
      </w:r>
      <w:r>
        <w:rPr/>
        <w:t>screen</w:t>
      </w:r>
      <w:r>
        <w:rPr>
          <w:spacing w:val="-13"/>
        </w:rPr>
        <w:t> </w:t>
      </w:r>
      <w:r>
        <w:rPr/>
        <w:t>on</w:t>
      </w:r>
      <w:r>
        <w:rPr>
          <w:spacing w:val="-12"/>
        </w:rPr>
        <w:t> </w:t>
      </w:r>
      <w:r>
        <w:rPr/>
        <w:t>a</w:t>
      </w:r>
      <w:r>
        <w:rPr>
          <w:spacing w:val="-12"/>
        </w:rPr>
        <w:t> </w:t>
      </w:r>
      <w:r>
        <w:rPr/>
        <w:t>model</w:t>
      </w:r>
      <w:r>
        <w:rPr>
          <w:spacing w:val="-13"/>
        </w:rPr>
        <w:t> </w:t>
      </w:r>
      <w:r>
        <w:rPr/>
        <w:t>4</w:t>
      </w:r>
      <w:r>
        <w:rPr>
          <w:spacing w:val="-12"/>
        </w:rPr>
        <w:t> </w:t>
      </w:r>
      <w:r>
        <w:rPr/>
        <w:t>Wiley Mill</w:t>
      </w:r>
      <w:r>
        <w:rPr>
          <w:spacing w:val="-11"/>
        </w:rPr>
        <w:t> </w:t>
      </w:r>
      <w:r>
        <w:rPr/>
        <w:t>and</w:t>
      </w:r>
      <w:r>
        <w:rPr>
          <w:spacing w:val="-10"/>
        </w:rPr>
        <w:t> </w:t>
      </w:r>
      <w:r>
        <w:rPr/>
        <w:t>analysed</w:t>
      </w:r>
      <w:r>
        <w:rPr>
          <w:spacing w:val="-11"/>
        </w:rPr>
        <w:t> </w:t>
      </w:r>
      <w:r>
        <w:rPr/>
        <w:t>according</w:t>
      </w:r>
      <w:r>
        <w:rPr>
          <w:spacing w:val="-8"/>
        </w:rPr>
        <w:t> </w:t>
      </w:r>
      <w:r>
        <w:rPr/>
        <w:t>to</w:t>
      </w:r>
      <w:r>
        <w:rPr>
          <w:spacing w:val="-10"/>
        </w:rPr>
        <w:t> </w:t>
      </w:r>
      <w:r>
        <w:rPr/>
        <w:t>the</w:t>
      </w:r>
      <w:r>
        <w:rPr>
          <w:spacing w:val="-10"/>
        </w:rPr>
        <w:t> </w:t>
      </w:r>
      <w:r>
        <w:rPr/>
        <w:t>AOAC</w:t>
      </w:r>
      <w:r>
        <w:rPr>
          <w:spacing w:val="-10"/>
        </w:rPr>
        <w:t> </w:t>
      </w:r>
      <w:r>
        <w:rPr/>
        <w:t>(</w:t>
      </w:r>
      <w:hyperlink w:history="true" w:anchor="_bookmark4">
        <w:r>
          <w:rPr>
            <w:color w:val="000084"/>
          </w:rPr>
          <w:t>1997</w:t>
        </w:r>
      </w:hyperlink>
      <w:r>
        <w:rPr/>
        <w:t>)</w:t>
      </w:r>
      <w:r>
        <w:rPr>
          <w:spacing w:val="-9"/>
        </w:rPr>
        <w:t> </w:t>
      </w:r>
      <w:r>
        <w:rPr/>
        <w:t>for</w:t>
      </w:r>
      <w:r>
        <w:rPr>
          <w:spacing w:val="-10"/>
        </w:rPr>
        <w:t> </w:t>
      </w:r>
      <w:r>
        <w:rPr/>
        <w:t>DM</w:t>
      </w:r>
    </w:p>
    <w:p>
      <w:pPr>
        <w:spacing w:after="0" w:line="249" w:lineRule="auto"/>
        <w:jc w:val="both"/>
        <w:sectPr>
          <w:type w:val="continuous"/>
          <w:pgSz w:w="12190" w:h="15880"/>
          <w:pgMar w:top="380" w:bottom="0" w:left="1180" w:right="1200"/>
          <w:cols w:num="2" w:equalWidth="0">
            <w:col w:w="4676" w:space="353"/>
            <w:col w:w="4781"/>
          </w:cols>
        </w:sectPr>
      </w:pPr>
    </w:p>
    <w:p>
      <w:pPr>
        <w:pStyle w:val="BodyText"/>
        <w:spacing w:before="1"/>
        <w:rPr>
          <w:sz w:val="22"/>
        </w:rPr>
      </w:pPr>
    </w:p>
    <w:p>
      <w:pPr>
        <w:pStyle w:val="BodyText"/>
        <w:spacing w:line="249" w:lineRule="auto"/>
        <w:ind w:left="105" w:right="76"/>
        <w:jc w:val="both"/>
      </w:pPr>
      <w:bookmarkStart w:name="2.5. Statistical analysis" w:id="10"/>
      <w:bookmarkEnd w:id="10"/>
      <w:r>
        <w:rPr/>
      </w:r>
      <w:bookmarkStart w:name="3. Results" w:id="11"/>
      <w:bookmarkEnd w:id="11"/>
      <w:r>
        <w:rPr/>
      </w:r>
      <w:bookmarkStart w:name="3.1. Goat's locational curves" w:id="12"/>
      <w:bookmarkEnd w:id="12"/>
      <w:r>
        <w:rPr/>
      </w:r>
      <w:bookmarkStart w:name="_bookmark2" w:id="13"/>
      <w:bookmarkEnd w:id="13"/>
      <w:r>
        <w:rPr/>
      </w:r>
      <w:r>
        <w:rPr/>
        <w:t>(method 934.01) and crude protein (Nitrogen × 6.25; method 990.03). The neutral detergent fibre </w:t>
      </w:r>
      <w:r>
        <w:rPr>
          <w:spacing w:val="-6"/>
        </w:rPr>
        <w:t>(Van </w:t>
      </w:r>
      <w:r>
        <w:rPr/>
        <w:t>Soest et</w:t>
      </w:r>
      <w:r>
        <w:rPr>
          <w:spacing w:val="-18"/>
        </w:rPr>
        <w:t> </w:t>
      </w:r>
      <w:r>
        <w:rPr/>
        <w:t>al.</w:t>
      </w:r>
      <w:r>
        <w:rPr>
          <w:spacing w:val="-18"/>
        </w:rPr>
        <w:t> </w:t>
      </w:r>
      <w:hyperlink w:history="true" w:anchor="_bookmark5">
        <w:r>
          <w:rPr>
            <w:color w:val="000084"/>
          </w:rPr>
          <w:t>1991</w:t>
        </w:r>
      </w:hyperlink>
      <w:r>
        <w:rPr/>
        <w:t>)</w:t>
      </w:r>
      <w:r>
        <w:rPr>
          <w:spacing w:val="-17"/>
        </w:rPr>
        <w:t> </w:t>
      </w:r>
      <w:r>
        <w:rPr/>
        <w:t>and</w:t>
      </w:r>
      <w:r>
        <w:rPr>
          <w:spacing w:val="-17"/>
        </w:rPr>
        <w:t> </w:t>
      </w:r>
      <w:r>
        <w:rPr/>
        <w:t>acid</w:t>
      </w:r>
      <w:r>
        <w:rPr>
          <w:spacing w:val="-17"/>
        </w:rPr>
        <w:t> </w:t>
      </w:r>
      <w:r>
        <w:rPr/>
        <w:t>detergent</w:t>
      </w:r>
      <w:r>
        <w:rPr>
          <w:spacing w:val="-19"/>
        </w:rPr>
        <w:t> </w:t>
      </w:r>
      <w:r>
        <w:rPr/>
        <w:t>fibre</w:t>
      </w:r>
      <w:r>
        <w:rPr>
          <w:spacing w:val="-19"/>
        </w:rPr>
        <w:t> </w:t>
      </w:r>
      <w:r>
        <w:rPr/>
        <w:t>(AOAC</w:t>
      </w:r>
      <w:r>
        <w:rPr>
          <w:spacing w:val="-18"/>
        </w:rPr>
        <w:t> </w:t>
      </w:r>
      <w:hyperlink w:history="true" w:anchor="_bookmark4">
        <w:r>
          <w:rPr>
            <w:color w:val="000084"/>
          </w:rPr>
          <w:t>1997</w:t>
        </w:r>
      </w:hyperlink>
      <w:r>
        <w:rPr/>
        <w:t>;</w:t>
      </w:r>
      <w:r>
        <w:rPr>
          <w:spacing w:val="-17"/>
        </w:rPr>
        <w:t> </w:t>
      </w:r>
      <w:r>
        <w:rPr/>
        <w:t>973.18) analyses used an ANKOM200 Fibre Analyser Unit (ANKOM</w:t>
      </w:r>
      <w:r>
        <w:rPr>
          <w:spacing w:val="-18"/>
        </w:rPr>
        <w:t> </w:t>
      </w:r>
      <w:r>
        <w:rPr/>
        <w:t>Technology</w:t>
      </w:r>
      <w:r>
        <w:rPr>
          <w:spacing w:val="-18"/>
        </w:rPr>
        <w:t> </w:t>
      </w:r>
      <w:r>
        <w:rPr/>
        <w:t>Corp.,</w:t>
      </w:r>
      <w:r>
        <w:rPr>
          <w:spacing w:val="-19"/>
        </w:rPr>
        <w:t> </w:t>
      </w:r>
      <w:r>
        <w:rPr/>
        <w:t>Macedon,</w:t>
      </w:r>
      <w:r>
        <w:rPr>
          <w:spacing w:val="-19"/>
        </w:rPr>
        <w:t> </w:t>
      </w:r>
      <w:r>
        <w:rPr>
          <w:spacing w:val="-9"/>
        </w:rPr>
        <w:t>NY,</w:t>
      </w:r>
      <w:r>
        <w:rPr>
          <w:spacing w:val="-19"/>
        </w:rPr>
        <w:t> </w:t>
      </w:r>
      <w:r>
        <w:rPr/>
        <w:t>USA).</w:t>
      </w:r>
      <w:r>
        <w:rPr>
          <w:spacing w:val="-19"/>
        </w:rPr>
        <w:t> </w:t>
      </w:r>
      <w:r>
        <w:rPr/>
        <w:t>Neut- ral detergent fibre was assayed without use of an alpha amylase</w:t>
      </w:r>
      <w:r>
        <w:rPr>
          <w:spacing w:val="-20"/>
        </w:rPr>
        <w:t> </w:t>
      </w:r>
      <w:r>
        <w:rPr/>
        <w:t>but</w:t>
      </w:r>
      <w:r>
        <w:rPr>
          <w:spacing w:val="-20"/>
        </w:rPr>
        <w:t> </w:t>
      </w:r>
      <w:r>
        <w:rPr/>
        <w:t>with</w:t>
      </w:r>
      <w:r>
        <w:rPr>
          <w:spacing w:val="-20"/>
        </w:rPr>
        <w:t> </w:t>
      </w:r>
      <w:r>
        <w:rPr/>
        <w:t>sodium</w:t>
      </w:r>
      <w:r>
        <w:rPr>
          <w:spacing w:val="-19"/>
        </w:rPr>
        <w:t> </w:t>
      </w:r>
      <w:r>
        <w:rPr/>
        <w:t>sulphite</w:t>
      </w:r>
      <w:r>
        <w:rPr>
          <w:spacing w:val="-20"/>
        </w:rPr>
        <w:t> </w:t>
      </w:r>
      <w:r>
        <w:rPr/>
        <w:t>in</w:t>
      </w:r>
      <w:r>
        <w:rPr>
          <w:spacing w:val="-19"/>
        </w:rPr>
        <w:t> </w:t>
      </w:r>
      <w:r>
        <w:rPr/>
        <w:t>the</w:t>
      </w:r>
      <w:r>
        <w:rPr>
          <w:spacing w:val="-20"/>
        </w:rPr>
        <w:t> </w:t>
      </w:r>
      <w:r>
        <w:rPr>
          <w:spacing w:val="-4"/>
        </w:rPr>
        <w:t>NDF.</w:t>
      </w:r>
      <w:r>
        <w:rPr>
          <w:spacing w:val="-19"/>
        </w:rPr>
        <w:t> </w:t>
      </w:r>
      <w:r>
        <w:rPr/>
        <w:t>Both</w:t>
      </w:r>
      <w:r>
        <w:rPr>
          <w:spacing w:val="-20"/>
        </w:rPr>
        <w:t> </w:t>
      </w:r>
      <w:r>
        <w:rPr/>
        <w:t>neutral detergent fibre and acid detergent fibre are expressed without</w:t>
      </w:r>
      <w:r>
        <w:rPr>
          <w:spacing w:val="-8"/>
        </w:rPr>
        <w:t> </w:t>
      </w:r>
      <w:r>
        <w:rPr/>
        <w:t>residual</w:t>
      </w:r>
      <w:r>
        <w:rPr>
          <w:spacing w:val="-8"/>
        </w:rPr>
        <w:t> </w:t>
      </w:r>
      <w:r>
        <w:rPr/>
        <w:t>ash.</w:t>
      </w:r>
      <w:r>
        <w:rPr>
          <w:spacing w:val="-8"/>
        </w:rPr>
        <w:t> </w:t>
      </w:r>
      <w:r>
        <w:rPr/>
        <w:t>Ash</w:t>
      </w:r>
      <w:r>
        <w:rPr>
          <w:spacing w:val="-8"/>
        </w:rPr>
        <w:t> </w:t>
      </w:r>
      <w:r>
        <w:rPr/>
        <w:t>was</w:t>
      </w:r>
      <w:r>
        <w:rPr>
          <w:spacing w:val="-8"/>
        </w:rPr>
        <w:t> </w:t>
      </w:r>
      <w:r>
        <w:rPr/>
        <w:t>determined</w:t>
      </w:r>
      <w:r>
        <w:rPr>
          <w:spacing w:val="-8"/>
        </w:rPr>
        <w:t> </w:t>
      </w:r>
      <w:r>
        <w:rPr/>
        <w:t>by</w:t>
      </w:r>
      <w:r>
        <w:rPr>
          <w:spacing w:val="-8"/>
        </w:rPr>
        <w:t> </w:t>
      </w:r>
      <w:r>
        <w:rPr/>
        <w:t>incineration at</w:t>
      </w:r>
      <w:r>
        <w:rPr>
          <w:spacing w:val="-6"/>
        </w:rPr>
        <w:t> </w:t>
      </w:r>
      <w:r>
        <w:rPr/>
        <w:t>550°C</w:t>
      </w:r>
      <w:r>
        <w:rPr>
          <w:spacing w:val="-5"/>
        </w:rPr>
        <w:t> </w:t>
      </w:r>
      <w:r>
        <w:rPr/>
        <w:t>for</w:t>
      </w:r>
      <w:r>
        <w:rPr>
          <w:spacing w:val="-7"/>
        </w:rPr>
        <w:t> </w:t>
      </w:r>
      <w:r>
        <w:rPr/>
        <w:t>3</w:t>
      </w:r>
      <w:r>
        <w:rPr>
          <w:spacing w:val="-5"/>
        </w:rPr>
        <w:t> </w:t>
      </w:r>
      <w:r>
        <w:rPr/>
        <w:t>h</w:t>
      </w:r>
      <w:r>
        <w:rPr>
          <w:spacing w:val="-5"/>
        </w:rPr>
        <w:t> </w:t>
      </w:r>
      <w:r>
        <w:rPr/>
        <w:t>(AOAC</w:t>
      </w:r>
      <w:r>
        <w:rPr>
          <w:spacing w:val="-6"/>
        </w:rPr>
        <w:t> </w:t>
      </w:r>
      <w:hyperlink w:history="true" w:anchor="_bookmark4">
        <w:r>
          <w:rPr>
            <w:color w:val="000084"/>
          </w:rPr>
          <w:t>1997</w:t>
        </w:r>
      </w:hyperlink>
      <w:r>
        <w:rPr/>
        <w:t>;</w:t>
      </w:r>
      <w:r>
        <w:rPr>
          <w:spacing w:val="-5"/>
        </w:rPr>
        <w:t> </w:t>
      </w:r>
      <w:r>
        <w:rPr/>
        <w:t>method</w:t>
      </w:r>
      <w:r>
        <w:rPr>
          <w:spacing w:val="-5"/>
        </w:rPr>
        <w:t> </w:t>
      </w:r>
      <w:r>
        <w:rPr/>
        <w:t>942.05).</w:t>
      </w:r>
    </w:p>
    <w:p>
      <w:pPr>
        <w:pStyle w:val="BodyText"/>
      </w:pPr>
    </w:p>
    <w:p>
      <w:pPr>
        <w:pStyle w:val="ListParagraph"/>
        <w:numPr>
          <w:ilvl w:val="1"/>
          <w:numId w:val="1"/>
        </w:numPr>
        <w:tabs>
          <w:tab w:pos="471" w:val="left" w:leader="none"/>
        </w:tabs>
        <w:spacing w:line="240" w:lineRule="auto" w:before="139" w:after="0"/>
        <w:ind w:left="470" w:right="0" w:hanging="365"/>
        <w:jc w:val="both"/>
        <w:rPr>
          <w:i/>
          <w:sz w:val="20"/>
        </w:rPr>
      </w:pPr>
      <w:r>
        <w:rPr>
          <w:i/>
          <w:sz w:val="20"/>
        </w:rPr>
        <w:t>Statistical</w:t>
      </w:r>
      <w:r>
        <w:rPr>
          <w:i/>
          <w:spacing w:val="17"/>
          <w:sz w:val="20"/>
        </w:rPr>
        <w:t> </w:t>
      </w:r>
      <w:r>
        <w:rPr>
          <w:i/>
          <w:sz w:val="20"/>
        </w:rPr>
        <w:t>analysis</w:t>
      </w:r>
    </w:p>
    <w:p>
      <w:pPr>
        <w:pStyle w:val="BodyText"/>
        <w:spacing w:line="242" w:lineRule="auto" w:before="69"/>
        <w:ind w:left="105" w:right="77"/>
        <w:jc w:val="both"/>
      </w:pPr>
      <w:r>
        <w:rPr>
          <w:spacing w:val="-7"/>
        </w:rPr>
        <w:t>To </w:t>
      </w:r>
      <w:r>
        <w:rPr/>
        <w:t>determine the effects of breed and type of kidding on the parameters of the lactation curve, data were analysed to estimated regression coefficients through the follow- ing model: </w:t>
      </w:r>
      <w:r>
        <w:rPr>
          <w:i/>
          <w:spacing w:val="-3"/>
        </w:rPr>
        <w:t>Y</w:t>
      </w:r>
      <w:r>
        <w:rPr>
          <w:i/>
          <w:spacing w:val="-3"/>
          <w:position w:val="-2"/>
          <w:sz w:val="13"/>
        </w:rPr>
        <w:t>ijk </w:t>
      </w:r>
      <w:r>
        <w:rPr>
          <w:i/>
          <w:spacing w:val="34"/>
        </w:rPr>
        <w:t>= µ </w:t>
      </w:r>
      <w:r>
        <w:rPr>
          <w:i/>
        </w:rPr>
        <w:t>+ </w:t>
      </w:r>
      <w:r>
        <w:rPr/>
        <w:t>B</w:t>
      </w:r>
      <w:r>
        <w:rPr>
          <w:i/>
          <w:position w:val="-2"/>
          <w:sz w:val="13"/>
        </w:rPr>
        <w:t>i </w:t>
      </w:r>
      <w:r>
        <w:rPr>
          <w:i/>
        </w:rPr>
        <w:t>+ </w:t>
      </w:r>
      <w:r>
        <w:rPr>
          <w:spacing w:val="-4"/>
        </w:rPr>
        <w:t>RT</w:t>
      </w:r>
      <w:r>
        <w:rPr>
          <w:i/>
          <w:spacing w:val="-4"/>
          <w:position w:val="-2"/>
          <w:sz w:val="13"/>
        </w:rPr>
        <w:t>j </w:t>
      </w:r>
      <w:r>
        <w:rPr>
          <w:i/>
        </w:rPr>
        <w:t>+ </w:t>
      </w:r>
      <w:r>
        <w:rPr>
          <w:rFonts w:ascii="Arial" w:hAnsi="Arial"/>
        </w:rPr>
        <w:t>ε</w:t>
      </w:r>
      <w:r>
        <w:rPr>
          <w:i/>
          <w:position w:val="-2"/>
          <w:sz w:val="13"/>
        </w:rPr>
        <w:t>ijk, </w:t>
      </w:r>
      <w:r>
        <w:rPr/>
        <w:t>where </w:t>
      </w:r>
      <w:r>
        <w:rPr>
          <w:i/>
          <w:spacing w:val="-3"/>
        </w:rPr>
        <w:t>Y</w:t>
      </w:r>
      <w:r>
        <w:rPr>
          <w:i/>
          <w:spacing w:val="-3"/>
          <w:position w:val="-2"/>
          <w:sz w:val="13"/>
        </w:rPr>
        <w:t>ijk </w:t>
      </w:r>
      <w:r>
        <w:rPr/>
        <w:t>is a  curve parameter observation (</w:t>
      </w:r>
      <w:r>
        <w:rPr>
          <w:i/>
        </w:rPr>
        <w:t>a</w:t>
      </w:r>
      <w:r>
        <w:rPr/>
        <w:t>, </w:t>
      </w:r>
      <w:r>
        <w:rPr>
          <w:i/>
        </w:rPr>
        <w:t>b</w:t>
      </w:r>
      <w:r>
        <w:rPr/>
        <w:t>, </w:t>
      </w:r>
      <w:r>
        <w:rPr>
          <w:i/>
        </w:rPr>
        <w:t>c</w:t>
      </w:r>
      <w:r>
        <w:rPr/>
        <w:t>, </w:t>
      </w:r>
      <w:r>
        <w:rPr>
          <w:spacing w:val="-7"/>
        </w:rPr>
        <w:t>TPY, </w:t>
      </w:r>
      <w:r>
        <w:rPr>
          <w:spacing w:val="-6"/>
        </w:rPr>
        <w:t>PTP, </w:t>
      </w:r>
      <w:r>
        <w:rPr>
          <w:spacing w:val="-7"/>
        </w:rPr>
        <w:t>YP, </w:t>
      </w:r>
      <w:r>
        <w:rPr/>
        <w:t>OTP and persistence); </w:t>
      </w:r>
      <w:r>
        <w:rPr>
          <w:i/>
        </w:rPr>
        <w:t>µ </w:t>
      </w:r>
      <w:r>
        <w:rPr/>
        <w:t>is the mean population; B</w:t>
      </w:r>
      <w:r>
        <w:rPr>
          <w:i/>
          <w:position w:val="-2"/>
          <w:sz w:val="13"/>
        </w:rPr>
        <w:t>i </w:t>
      </w:r>
      <w:r>
        <w:rPr/>
        <w:t>is the effect of the </w:t>
      </w:r>
      <w:r>
        <w:rPr>
          <w:i/>
        </w:rPr>
        <w:t>i</w:t>
      </w:r>
      <w:r>
        <w:rPr/>
        <w:t>th breed (</w:t>
      </w:r>
      <w:r>
        <w:rPr>
          <w:i/>
        </w:rPr>
        <w:t>i </w:t>
      </w:r>
      <w:r>
        <w:rPr/>
        <w:t>= AG, SG, NG); </w:t>
      </w:r>
      <w:r>
        <w:rPr>
          <w:spacing w:val="-4"/>
        </w:rPr>
        <w:t>RT</w:t>
      </w:r>
      <w:r>
        <w:rPr>
          <w:i/>
          <w:spacing w:val="-4"/>
          <w:position w:val="-2"/>
          <w:sz w:val="13"/>
        </w:rPr>
        <w:t>j </w:t>
      </w:r>
      <w:r>
        <w:rPr/>
        <w:t>is the</w:t>
      </w:r>
      <w:r>
        <w:rPr>
          <w:spacing w:val="-11"/>
        </w:rPr>
        <w:t> </w:t>
      </w:r>
      <w:r>
        <w:rPr/>
        <w:t>effect of</w:t>
      </w:r>
      <w:r>
        <w:rPr>
          <w:spacing w:val="22"/>
        </w:rPr>
        <w:t> </w:t>
      </w:r>
      <w:r>
        <w:rPr/>
        <w:t>the</w:t>
      </w:r>
      <w:r>
        <w:rPr>
          <w:spacing w:val="23"/>
        </w:rPr>
        <w:t> </w:t>
      </w:r>
      <w:r>
        <w:rPr>
          <w:i/>
        </w:rPr>
        <w:t>j</w:t>
      </w:r>
      <w:r>
        <w:rPr/>
        <w:t>th</w:t>
      </w:r>
      <w:r>
        <w:rPr>
          <w:spacing w:val="22"/>
        </w:rPr>
        <w:t> </w:t>
      </w:r>
      <w:r>
        <w:rPr/>
        <w:t>type</w:t>
      </w:r>
      <w:r>
        <w:rPr>
          <w:spacing w:val="24"/>
        </w:rPr>
        <w:t> </w:t>
      </w:r>
      <w:r>
        <w:rPr/>
        <w:t>of</w:t>
      </w:r>
      <w:r>
        <w:rPr>
          <w:spacing w:val="22"/>
        </w:rPr>
        <w:t> </w:t>
      </w:r>
      <w:r>
        <w:rPr/>
        <w:t>kidding</w:t>
      </w:r>
      <w:r>
        <w:rPr>
          <w:spacing w:val="24"/>
        </w:rPr>
        <w:t> </w:t>
      </w:r>
      <w:r>
        <w:rPr/>
        <w:t>(</w:t>
      </w:r>
      <w:r>
        <w:rPr>
          <w:i/>
        </w:rPr>
        <w:t>j</w:t>
      </w:r>
      <w:r>
        <w:rPr>
          <w:i/>
          <w:spacing w:val="22"/>
        </w:rPr>
        <w:t> </w:t>
      </w:r>
      <w:r>
        <w:rPr/>
        <w:t>=</w:t>
      </w:r>
      <w:r>
        <w:rPr>
          <w:spacing w:val="23"/>
        </w:rPr>
        <w:t> </w:t>
      </w:r>
      <w:r>
        <w:rPr/>
        <w:t>single,</w:t>
      </w:r>
      <w:r>
        <w:rPr>
          <w:spacing w:val="23"/>
        </w:rPr>
        <w:t> </w:t>
      </w:r>
      <w:r>
        <w:rPr/>
        <w:t>twins);</w:t>
      </w:r>
      <w:r>
        <w:rPr>
          <w:spacing w:val="23"/>
        </w:rPr>
        <w:t> </w:t>
      </w:r>
      <w:r>
        <w:rPr>
          <w:rFonts w:ascii="Arial" w:hAnsi="Arial"/>
        </w:rPr>
        <w:t>ε</w:t>
      </w:r>
      <w:r>
        <w:rPr>
          <w:i/>
          <w:position w:val="-2"/>
          <w:sz w:val="13"/>
        </w:rPr>
        <w:t>ijk </w:t>
      </w:r>
      <w:r>
        <w:rPr>
          <w:i/>
          <w:spacing w:val="8"/>
          <w:position w:val="-2"/>
          <w:sz w:val="13"/>
        </w:rPr>
        <w:t> </w:t>
      </w:r>
      <w:r>
        <w:rPr/>
        <w:t>is</w:t>
      </w:r>
      <w:r>
        <w:rPr>
          <w:spacing w:val="23"/>
        </w:rPr>
        <w:t> </w:t>
      </w:r>
      <w:r>
        <w:rPr/>
        <w:t>the</w:t>
      </w:r>
    </w:p>
    <w:p>
      <w:pPr>
        <w:pStyle w:val="BodyText"/>
        <w:spacing w:line="237" w:lineRule="exact"/>
        <w:ind w:left="105"/>
        <w:jc w:val="both"/>
      </w:pPr>
      <w:r>
        <w:rPr/>
        <w:t>random error =&gt; NID (0, </w:t>
      </w:r>
      <w:r>
        <w:rPr>
          <w:rFonts w:ascii="Arial" w:hAnsi="Arial"/>
        </w:rPr>
        <w:t>σ</w:t>
      </w:r>
      <w:r>
        <w:rPr>
          <w:position w:val="9"/>
          <w:sz w:val="13"/>
        </w:rPr>
        <w:t>2</w:t>
      </w:r>
      <w:r>
        <w:rPr>
          <w:position w:val="-2"/>
          <w:sz w:val="13"/>
        </w:rPr>
        <w:t>e</w:t>
      </w:r>
      <w:r>
        <w:rPr/>
        <w:t>).</w:t>
      </w:r>
    </w:p>
    <w:p>
      <w:pPr>
        <w:pStyle w:val="BodyText"/>
        <w:spacing w:line="230" w:lineRule="auto" w:before="11"/>
        <w:ind w:left="105" w:right="77" w:firstLine="298"/>
        <w:jc w:val="both"/>
      </w:pPr>
      <w:r>
        <w:rPr/>
        <w:t>Data of DMI were analysed using the following model: </w:t>
      </w:r>
      <w:r>
        <w:rPr>
          <w:i/>
        </w:rPr>
        <w:t>Y</w:t>
      </w:r>
      <w:r>
        <w:rPr>
          <w:i/>
          <w:position w:val="-2"/>
          <w:sz w:val="13"/>
        </w:rPr>
        <w:t>ij </w:t>
      </w:r>
      <w:r>
        <w:rPr>
          <w:i/>
        </w:rPr>
        <w:t>= µ + </w:t>
      </w:r>
      <w:r>
        <w:rPr/>
        <w:t>B</w:t>
      </w:r>
      <w:r>
        <w:rPr>
          <w:i/>
          <w:position w:val="-2"/>
          <w:sz w:val="13"/>
        </w:rPr>
        <w:t>i </w:t>
      </w:r>
      <w:r>
        <w:rPr>
          <w:i/>
        </w:rPr>
        <w:t>+ </w:t>
      </w:r>
      <w:r>
        <w:rPr>
          <w:rFonts w:ascii="Arial" w:hAnsi="Arial"/>
        </w:rPr>
        <w:t>β</w:t>
      </w:r>
      <w:r>
        <w:rPr>
          <w:position w:val="-2"/>
          <w:sz w:val="13"/>
        </w:rPr>
        <w:t>1</w:t>
      </w:r>
      <w:r>
        <w:rPr/>
        <w:t>(</w:t>
      </w:r>
      <w:r>
        <w:rPr>
          <w:i/>
        </w:rPr>
        <w:t>t</w:t>
      </w:r>
      <w:r>
        <w:rPr/>
        <w:t>) </w:t>
      </w:r>
      <w:r>
        <w:rPr>
          <w:i/>
        </w:rPr>
        <w:t>+ </w:t>
      </w:r>
      <w:r>
        <w:rPr>
          <w:rFonts w:ascii="Arial" w:hAnsi="Arial"/>
        </w:rPr>
        <w:t>ε</w:t>
      </w:r>
      <w:r>
        <w:rPr>
          <w:i/>
          <w:position w:val="-2"/>
          <w:sz w:val="13"/>
        </w:rPr>
        <w:t>ij</w:t>
      </w:r>
      <w:r>
        <w:rPr/>
        <w:t>, where </w:t>
      </w:r>
      <w:r>
        <w:rPr>
          <w:i/>
        </w:rPr>
        <w:t>Y</w:t>
      </w:r>
      <w:r>
        <w:rPr>
          <w:i/>
          <w:position w:val="-2"/>
          <w:sz w:val="13"/>
        </w:rPr>
        <w:t>ij </w:t>
      </w:r>
      <w:r>
        <w:rPr/>
        <w:t>is the DMI observation; </w:t>
      </w:r>
      <w:r>
        <w:rPr>
          <w:i/>
        </w:rPr>
        <w:t>µ </w:t>
      </w:r>
      <w:r>
        <w:rPr/>
        <w:t>is the mean population; B</w:t>
      </w:r>
      <w:r>
        <w:rPr>
          <w:i/>
          <w:position w:val="-2"/>
          <w:sz w:val="13"/>
        </w:rPr>
        <w:t>i </w:t>
      </w:r>
      <w:r>
        <w:rPr/>
        <w:t>is the effect of the </w:t>
      </w:r>
      <w:r>
        <w:rPr>
          <w:i/>
        </w:rPr>
        <w:t>i</w:t>
      </w:r>
      <w:r>
        <w:rPr/>
        <w:t>th breed (</w:t>
      </w:r>
      <w:r>
        <w:rPr>
          <w:i/>
        </w:rPr>
        <w:t>i </w:t>
      </w:r>
      <w:r>
        <w:rPr/>
        <w:t>= AG, SG, ANG); </w:t>
      </w:r>
      <w:r>
        <w:rPr>
          <w:rFonts w:ascii="Arial" w:hAnsi="Arial"/>
        </w:rPr>
        <w:t>β</w:t>
      </w:r>
      <w:r>
        <w:rPr>
          <w:position w:val="-2"/>
          <w:sz w:val="13"/>
        </w:rPr>
        <w:t>1 </w:t>
      </w:r>
      <w:r>
        <w:rPr/>
        <w:t>is the partial regression coefficient; </w:t>
      </w:r>
      <w:r>
        <w:rPr>
          <w:i/>
        </w:rPr>
        <w:t>t </w:t>
      </w:r>
      <w:r>
        <w:rPr/>
        <w:t>is the lactation day; </w:t>
      </w:r>
      <w:r>
        <w:rPr>
          <w:rFonts w:ascii="Arial" w:hAnsi="Arial"/>
        </w:rPr>
        <w:t>ε</w:t>
      </w:r>
      <w:r>
        <w:rPr>
          <w:i/>
          <w:position w:val="-2"/>
          <w:sz w:val="13"/>
        </w:rPr>
        <w:t>ij </w:t>
      </w:r>
      <w:r>
        <w:rPr/>
        <w:t>is the random error =&gt; NID (0, </w:t>
      </w:r>
      <w:r>
        <w:rPr>
          <w:rFonts w:ascii="Arial" w:hAnsi="Arial"/>
        </w:rPr>
        <w:t>σ</w:t>
      </w:r>
      <w:r>
        <w:rPr>
          <w:position w:val="9"/>
          <w:sz w:val="13"/>
        </w:rPr>
        <w:t>2</w:t>
      </w:r>
      <w:r>
        <w:rPr>
          <w:position w:val="-2"/>
          <w:sz w:val="13"/>
        </w:rPr>
        <w:t>e</w:t>
      </w:r>
      <w:r>
        <w:rPr/>
        <w:t>).</w:t>
      </w:r>
    </w:p>
    <w:p>
      <w:pPr>
        <w:pStyle w:val="BodyText"/>
        <w:spacing w:line="249" w:lineRule="auto" w:before="5"/>
        <w:ind w:left="105" w:right="77" w:firstLine="298"/>
        <w:jc w:val="both"/>
        <w:rPr>
          <w:i/>
          <w:sz w:val="13"/>
        </w:rPr>
      </w:pPr>
      <w:r>
        <w:rPr/>
        <w:t>Factors which affect the LW of lactating goats were analysed under the following model: </w:t>
      </w:r>
      <w:r>
        <w:rPr>
          <w:i/>
        </w:rPr>
        <w:t>Y</w:t>
      </w:r>
      <w:r>
        <w:rPr>
          <w:i/>
          <w:position w:val="-2"/>
          <w:sz w:val="13"/>
        </w:rPr>
        <w:t>ijk  </w:t>
      </w:r>
      <w:r>
        <w:rPr>
          <w:i/>
        </w:rPr>
        <w:t>= µ + </w:t>
      </w:r>
      <w:r>
        <w:rPr/>
        <w:t>B</w:t>
      </w:r>
      <w:r>
        <w:rPr>
          <w:i/>
          <w:position w:val="-2"/>
          <w:sz w:val="13"/>
        </w:rPr>
        <w:t>i  </w:t>
      </w:r>
      <w:r>
        <w:rPr>
          <w:i/>
        </w:rPr>
        <w:t>+ </w:t>
      </w:r>
      <w:r>
        <w:rPr/>
        <w:t>RT</w:t>
      </w:r>
      <w:r>
        <w:rPr>
          <w:i/>
          <w:position w:val="-2"/>
          <w:sz w:val="13"/>
        </w:rPr>
        <w:t>j</w:t>
      </w:r>
    </w:p>
    <w:p>
      <w:pPr>
        <w:pStyle w:val="BodyText"/>
        <w:spacing w:line="228" w:lineRule="auto"/>
        <w:ind w:left="105" w:right="77"/>
        <w:jc w:val="both"/>
      </w:pPr>
      <w:r>
        <w:rPr>
          <w:i/>
        </w:rPr>
        <w:t>+ </w:t>
      </w:r>
      <w:r>
        <w:rPr>
          <w:rFonts w:ascii="Arial" w:hAnsi="Arial"/>
        </w:rPr>
        <w:t>β</w:t>
      </w:r>
      <w:r>
        <w:rPr>
          <w:position w:val="-2"/>
          <w:sz w:val="13"/>
        </w:rPr>
        <w:t>1</w:t>
      </w:r>
      <w:r>
        <w:rPr/>
        <w:t>(</w:t>
      </w:r>
      <w:r>
        <w:rPr>
          <w:i/>
        </w:rPr>
        <w:t>t</w:t>
      </w:r>
      <w:r>
        <w:rPr/>
        <w:t>) </w:t>
      </w:r>
      <w:r>
        <w:rPr>
          <w:i/>
        </w:rPr>
        <w:t>+ </w:t>
      </w:r>
      <w:r>
        <w:rPr>
          <w:rFonts w:ascii="Arial" w:hAnsi="Arial"/>
        </w:rPr>
        <w:t>ε</w:t>
      </w:r>
      <w:r>
        <w:rPr>
          <w:i/>
          <w:position w:val="-2"/>
          <w:sz w:val="13"/>
        </w:rPr>
        <w:t>ijk</w:t>
      </w:r>
      <w:r>
        <w:rPr/>
        <w:t>, where </w:t>
      </w:r>
      <w:r>
        <w:rPr>
          <w:i/>
          <w:spacing w:val="-3"/>
        </w:rPr>
        <w:t>Y</w:t>
      </w:r>
      <w:r>
        <w:rPr>
          <w:i/>
          <w:spacing w:val="-3"/>
          <w:position w:val="-2"/>
          <w:sz w:val="13"/>
        </w:rPr>
        <w:t>ijk </w:t>
      </w:r>
      <w:r>
        <w:rPr/>
        <w:t>is the </w:t>
      </w:r>
      <w:r>
        <w:rPr>
          <w:spacing w:val="-8"/>
        </w:rPr>
        <w:t>LW </w:t>
      </w:r>
      <w:r>
        <w:rPr/>
        <w:t>observation; </w:t>
      </w:r>
      <w:r>
        <w:rPr>
          <w:i/>
        </w:rPr>
        <w:t>µ </w:t>
      </w:r>
      <w:r>
        <w:rPr/>
        <w:t>is the mean population; B</w:t>
      </w:r>
      <w:r>
        <w:rPr>
          <w:i/>
          <w:position w:val="-2"/>
          <w:sz w:val="13"/>
        </w:rPr>
        <w:t>i </w:t>
      </w:r>
      <w:r>
        <w:rPr/>
        <w:t>is the effect of the </w:t>
      </w:r>
      <w:r>
        <w:rPr>
          <w:i/>
        </w:rPr>
        <w:t>i</w:t>
      </w:r>
      <w:r>
        <w:rPr/>
        <w:t>th breed (</w:t>
      </w:r>
      <w:r>
        <w:rPr>
          <w:i/>
        </w:rPr>
        <w:t>i </w:t>
      </w:r>
      <w:r>
        <w:rPr/>
        <w:t>=</w:t>
      </w:r>
      <w:r>
        <w:rPr>
          <w:spacing w:val="-27"/>
        </w:rPr>
        <w:t> </w:t>
      </w:r>
      <w:r>
        <w:rPr/>
        <w:t>AG, SG, ANG); </w:t>
      </w:r>
      <w:r>
        <w:rPr>
          <w:spacing w:val="-4"/>
        </w:rPr>
        <w:t>RT</w:t>
      </w:r>
      <w:r>
        <w:rPr>
          <w:i/>
          <w:spacing w:val="-4"/>
          <w:position w:val="-2"/>
          <w:sz w:val="13"/>
        </w:rPr>
        <w:t>j   </w:t>
      </w:r>
      <w:r>
        <w:rPr/>
        <w:t>is the effect of the </w:t>
      </w:r>
      <w:r>
        <w:rPr>
          <w:i/>
        </w:rPr>
        <w:t>j</w:t>
      </w:r>
      <w:r>
        <w:rPr/>
        <w:t>th type of kidding   (</w:t>
      </w:r>
      <w:r>
        <w:rPr>
          <w:i/>
        </w:rPr>
        <w:t>j </w:t>
      </w:r>
      <w:r>
        <w:rPr/>
        <w:t>= single, twins); </w:t>
      </w:r>
      <w:r>
        <w:rPr>
          <w:rFonts w:ascii="Arial" w:hAnsi="Arial"/>
        </w:rPr>
        <w:t>β</w:t>
      </w:r>
      <w:r>
        <w:rPr>
          <w:position w:val="-2"/>
          <w:sz w:val="13"/>
        </w:rPr>
        <w:t>1 </w:t>
      </w:r>
      <w:r>
        <w:rPr/>
        <w:t>is the partial regression</w:t>
      </w:r>
      <w:r>
        <w:rPr>
          <w:spacing w:val="-8"/>
        </w:rPr>
        <w:t> </w:t>
      </w:r>
      <w:r>
        <w:rPr/>
        <w:t>coefficient; </w:t>
      </w:r>
      <w:r>
        <w:rPr>
          <w:i/>
        </w:rPr>
        <w:t>t </w:t>
      </w:r>
      <w:r>
        <w:rPr/>
        <w:t>is the lactation day; </w:t>
      </w:r>
      <w:r>
        <w:rPr>
          <w:rFonts w:ascii="Arial" w:hAnsi="Arial"/>
        </w:rPr>
        <w:t>ε</w:t>
      </w:r>
      <w:r>
        <w:rPr>
          <w:i/>
          <w:position w:val="-2"/>
          <w:sz w:val="13"/>
        </w:rPr>
        <w:t>ij  </w:t>
      </w:r>
      <w:r>
        <w:rPr/>
        <w:t>is the random error =&gt; NID    (0,</w:t>
      </w:r>
      <w:r>
        <w:rPr>
          <w:spacing w:val="1"/>
        </w:rPr>
        <w:t> </w:t>
      </w:r>
      <w:r>
        <w:rPr>
          <w:rFonts w:ascii="Arial" w:hAnsi="Arial"/>
        </w:rPr>
        <w:t>σ</w:t>
      </w:r>
      <w:r>
        <w:rPr>
          <w:position w:val="9"/>
          <w:sz w:val="13"/>
        </w:rPr>
        <w:t>2</w:t>
      </w:r>
      <w:r>
        <w:rPr>
          <w:position w:val="-2"/>
          <w:sz w:val="13"/>
        </w:rPr>
        <w:t>e</w:t>
      </w:r>
      <w:r>
        <w:rPr/>
        <w:t>).</w:t>
      </w:r>
    </w:p>
    <w:p>
      <w:pPr>
        <w:spacing w:line="249" w:lineRule="auto" w:before="5"/>
        <w:ind w:left="105" w:right="78" w:firstLine="298"/>
        <w:jc w:val="both"/>
        <w:rPr>
          <w:sz w:val="20"/>
        </w:rPr>
      </w:pPr>
      <w:r>
        <w:rPr>
          <w:sz w:val="20"/>
        </w:rPr>
        <w:t>Data of DWG and WW in kids were analysed using the following model: </w:t>
      </w:r>
      <w:r>
        <w:rPr>
          <w:i/>
          <w:spacing w:val="-3"/>
          <w:sz w:val="20"/>
        </w:rPr>
        <w:t>Y</w:t>
      </w:r>
      <w:r>
        <w:rPr>
          <w:i/>
          <w:spacing w:val="-3"/>
          <w:position w:val="-2"/>
          <w:sz w:val="13"/>
        </w:rPr>
        <w:t>ijkl  </w:t>
      </w:r>
      <w:r>
        <w:rPr>
          <w:i/>
          <w:sz w:val="20"/>
        </w:rPr>
        <w:t>= µ + </w:t>
      </w:r>
      <w:r>
        <w:rPr>
          <w:sz w:val="20"/>
        </w:rPr>
        <w:t>B</w:t>
      </w:r>
      <w:r>
        <w:rPr>
          <w:i/>
          <w:position w:val="-2"/>
          <w:sz w:val="13"/>
        </w:rPr>
        <w:t>i </w:t>
      </w:r>
      <w:r>
        <w:rPr>
          <w:i/>
          <w:sz w:val="20"/>
        </w:rPr>
        <w:t>+ </w:t>
      </w:r>
      <w:r>
        <w:rPr>
          <w:spacing w:val="-4"/>
          <w:sz w:val="20"/>
        </w:rPr>
        <w:t>RT</w:t>
      </w:r>
      <w:r>
        <w:rPr>
          <w:i/>
          <w:spacing w:val="-4"/>
          <w:position w:val="-2"/>
          <w:sz w:val="13"/>
        </w:rPr>
        <w:t>j  </w:t>
      </w:r>
      <w:r>
        <w:rPr>
          <w:i/>
          <w:sz w:val="20"/>
        </w:rPr>
        <w:t>+ S</w:t>
      </w:r>
      <w:r>
        <w:rPr>
          <w:i/>
          <w:position w:val="-2"/>
          <w:sz w:val="13"/>
        </w:rPr>
        <w:t>k </w:t>
      </w:r>
      <w:r>
        <w:rPr>
          <w:i/>
          <w:sz w:val="20"/>
        </w:rPr>
        <w:t>+ </w:t>
      </w:r>
      <w:r>
        <w:rPr>
          <w:rFonts w:ascii="Arial" w:hAnsi="Arial"/>
          <w:sz w:val="20"/>
        </w:rPr>
        <w:t>β</w:t>
      </w:r>
      <w:r>
        <w:rPr>
          <w:position w:val="-2"/>
          <w:sz w:val="13"/>
        </w:rPr>
        <w:t>1</w:t>
      </w:r>
      <w:r>
        <w:rPr>
          <w:sz w:val="20"/>
        </w:rPr>
        <w:t>(iLW)</w:t>
      </w:r>
    </w:p>
    <w:p>
      <w:pPr>
        <w:pStyle w:val="BodyText"/>
        <w:spacing w:line="230" w:lineRule="auto"/>
        <w:ind w:left="105" w:right="77"/>
        <w:jc w:val="both"/>
      </w:pPr>
      <w:r>
        <w:rPr>
          <w:i/>
        </w:rPr>
        <w:t>+ </w:t>
      </w:r>
      <w:r>
        <w:rPr>
          <w:rFonts w:ascii="Arial" w:hAnsi="Arial"/>
        </w:rPr>
        <w:t>ε</w:t>
      </w:r>
      <w:r>
        <w:rPr>
          <w:i/>
          <w:position w:val="-2"/>
          <w:sz w:val="13"/>
        </w:rPr>
        <w:t>ijkl</w:t>
      </w:r>
      <w:r>
        <w:rPr/>
        <w:t>, where </w:t>
      </w:r>
      <w:r>
        <w:rPr>
          <w:i/>
          <w:spacing w:val="-3"/>
        </w:rPr>
        <w:t>Y</w:t>
      </w:r>
      <w:r>
        <w:rPr>
          <w:i/>
          <w:spacing w:val="-3"/>
          <w:position w:val="-2"/>
          <w:sz w:val="13"/>
        </w:rPr>
        <w:t>ijkl </w:t>
      </w:r>
      <w:r>
        <w:rPr/>
        <w:t>is the DWG and WW observation; </w:t>
      </w:r>
      <w:r>
        <w:rPr>
          <w:i/>
        </w:rPr>
        <w:t>µ </w:t>
      </w:r>
      <w:r>
        <w:rPr/>
        <w:t>is the mean population; B</w:t>
      </w:r>
      <w:r>
        <w:rPr>
          <w:i/>
          <w:position w:val="-2"/>
          <w:sz w:val="13"/>
        </w:rPr>
        <w:t>i </w:t>
      </w:r>
      <w:r>
        <w:rPr/>
        <w:t>is the effect of the </w:t>
      </w:r>
      <w:r>
        <w:rPr>
          <w:i/>
        </w:rPr>
        <w:t>i</w:t>
      </w:r>
      <w:r>
        <w:rPr/>
        <w:t>th breed (</w:t>
      </w:r>
      <w:r>
        <w:rPr>
          <w:i/>
        </w:rPr>
        <w:t>i </w:t>
      </w:r>
      <w:r>
        <w:rPr/>
        <w:t>= AG, SG, ANG); </w:t>
      </w:r>
      <w:r>
        <w:rPr>
          <w:spacing w:val="-4"/>
        </w:rPr>
        <w:t>RT</w:t>
      </w:r>
      <w:r>
        <w:rPr>
          <w:i/>
          <w:spacing w:val="-4"/>
          <w:position w:val="-2"/>
          <w:sz w:val="13"/>
        </w:rPr>
        <w:t>j </w:t>
      </w:r>
      <w:r>
        <w:rPr/>
        <w:t>is the effect of the </w:t>
      </w:r>
      <w:r>
        <w:rPr>
          <w:i/>
        </w:rPr>
        <w:t>j</w:t>
      </w:r>
      <w:r>
        <w:rPr/>
        <w:t>th type of kidding (</w:t>
      </w:r>
      <w:r>
        <w:rPr>
          <w:i/>
        </w:rPr>
        <w:t>j </w:t>
      </w:r>
      <w:r>
        <w:rPr/>
        <w:t>= single, twins); </w:t>
      </w:r>
      <w:r>
        <w:rPr>
          <w:i/>
        </w:rPr>
        <w:t>S</w:t>
      </w:r>
      <w:r>
        <w:rPr>
          <w:i/>
          <w:position w:val="-2"/>
          <w:sz w:val="13"/>
        </w:rPr>
        <w:t>k </w:t>
      </w:r>
      <w:r>
        <w:rPr/>
        <w:t>is the effect of the </w:t>
      </w:r>
      <w:r>
        <w:rPr>
          <w:i/>
        </w:rPr>
        <w:t>k</w:t>
      </w:r>
      <w:r>
        <w:rPr/>
        <w:t>th sex (</w:t>
      </w:r>
      <w:r>
        <w:rPr>
          <w:i/>
        </w:rPr>
        <w:t>k</w:t>
      </w:r>
      <w:r>
        <w:rPr>
          <w:i/>
          <w:spacing w:val="-10"/>
        </w:rPr>
        <w:t> </w:t>
      </w:r>
      <w:r>
        <w:rPr/>
        <w:t>=</w:t>
      </w:r>
      <w:r>
        <w:rPr>
          <w:spacing w:val="-10"/>
        </w:rPr>
        <w:t> </w:t>
      </w:r>
      <w:r>
        <w:rPr/>
        <w:t>male,</w:t>
      </w:r>
      <w:r>
        <w:rPr>
          <w:spacing w:val="-10"/>
        </w:rPr>
        <w:t> </w:t>
      </w:r>
      <w:r>
        <w:rPr/>
        <w:t>female);</w:t>
      </w:r>
      <w:r>
        <w:rPr>
          <w:spacing w:val="-10"/>
        </w:rPr>
        <w:t> </w:t>
      </w:r>
      <w:r>
        <w:rPr>
          <w:rFonts w:ascii="Arial" w:hAnsi="Arial"/>
        </w:rPr>
        <w:t>β</w:t>
      </w:r>
      <w:r>
        <w:rPr>
          <w:position w:val="-2"/>
          <w:sz w:val="13"/>
        </w:rPr>
        <w:t>1</w:t>
      </w:r>
      <w:r>
        <w:rPr>
          <w:spacing w:val="8"/>
          <w:position w:val="-2"/>
          <w:sz w:val="13"/>
        </w:rPr>
        <w:t> </w:t>
      </w:r>
      <w:r>
        <w:rPr/>
        <w:t>is</w:t>
      </w:r>
      <w:r>
        <w:rPr>
          <w:spacing w:val="-10"/>
        </w:rPr>
        <w:t> </w:t>
      </w:r>
      <w:r>
        <w:rPr/>
        <w:t>the</w:t>
      </w:r>
      <w:r>
        <w:rPr>
          <w:spacing w:val="-10"/>
        </w:rPr>
        <w:t> </w:t>
      </w:r>
      <w:r>
        <w:rPr/>
        <w:t>partial</w:t>
      </w:r>
      <w:r>
        <w:rPr>
          <w:spacing w:val="-9"/>
        </w:rPr>
        <w:t> </w:t>
      </w:r>
      <w:r>
        <w:rPr/>
        <w:t>regression</w:t>
      </w:r>
      <w:r>
        <w:rPr>
          <w:spacing w:val="-8"/>
        </w:rPr>
        <w:t> </w:t>
      </w:r>
      <w:r>
        <w:rPr/>
        <w:t>coefficient; </w:t>
      </w:r>
      <w:r>
        <w:rPr>
          <w:spacing w:val="-5"/>
        </w:rPr>
        <w:t>iLW </w:t>
      </w:r>
      <w:r>
        <w:rPr/>
        <w:t>is the initial </w:t>
      </w:r>
      <w:r>
        <w:rPr>
          <w:spacing w:val="-8"/>
        </w:rPr>
        <w:t>LW </w:t>
      </w:r>
      <w:r>
        <w:rPr/>
        <w:t>of the kid used as covariate; </w:t>
      </w:r>
      <w:r>
        <w:rPr>
          <w:rFonts w:ascii="Arial" w:hAnsi="Arial"/>
        </w:rPr>
        <w:t>ε</w:t>
      </w:r>
      <w:r>
        <w:rPr>
          <w:i/>
          <w:position w:val="-2"/>
          <w:sz w:val="13"/>
        </w:rPr>
        <w:t>ijkl </w:t>
      </w:r>
      <w:r>
        <w:rPr/>
        <w:t>is the random error =&gt; NID (0, </w:t>
      </w:r>
      <w:r>
        <w:rPr>
          <w:spacing w:val="5"/>
        </w:rPr>
        <w:t> </w:t>
      </w:r>
      <w:r>
        <w:rPr>
          <w:rFonts w:ascii="Arial" w:hAnsi="Arial"/>
        </w:rPr>
        <w:t>σ</w:t>
      </w:r>
      <w:r>
        <w:rPr>
          <w:position w:val="9"/>
          <w:sz w:val="13"/>
        </w:rPr>
        <w:t>2</w:t>
      </w:r>
      <w:r>
        <w:rPr>
          <w:position w:val="-2"/>
          <w:sz w:val="13"/>
        </w:rPr>
        <w:t>e</w:t>
      </w:r>
      <w:r>
        <w:rPr/>
        <w:t>).</w:t>
      </w:r>
    </w:p>
    <w:p>
      <w:pPr>
        <w:pStyle w:val="BodyText"/>
        <w:rPr>
          <w:sz w:val="24"/>
        </w:rPr>
      </w:pPr>
    </w:p>
    <w:p>
      <w:pPr>
        <w:pStyle w:val="ListParagraph"/>
        <w:numPr>
          <w:ilvl w:val="0"/>
          <w:numId w:val="1"/>
        </w:numPr>
        <w:tabs>
          <w:tab w:pos="321" w:val="left" w:leader="none"/>
        </w:tabs>
        <w:spacing w:line="240" w:lineRule="auto" w:before="169" w:after="0"/>
        <w:ind w:left="320" w:right="0" w:hanging="215"/>
        <w:jc w:val="both"/>
        <w:rPr>
          <w:sz w:val="20"/>
        </w:rPr>
      </w:pPr>
      <w:r>
        <w:rPr>
          <w:w w:val="105"/>
          <w:sz w:val="20"/>
        </w:rPr>
        <w:t>Results</w:t>
      </w:r>
    </w:p>
    <w:p>
      <w:pPr>
        <w:pStyle w:val="ListParagraph"/>
        <w:numPr>
          <w:ilvl w:val="1"/>
          <w:numId w:val="1"/>
        </w:numPr>
        <w:tabs>
          <w:tab w:pos="471" w:val="left" w:leader="none"/>
        </w:tabs>
        <w:spacing w:line="240" w:lineRule="auto" w:before="48" w:after="0"/>
        <w:ind w:left="470" w:right="0" w:hanging="365"/>
        <w:jc w:val="both"/>
        <w:rPr>
          <w:i/>
          <w:sz w:val="20"/>
        </w:rPr>
      </w:pPr>
      <w:r>
        <w:rPr>
          <w:i/>
          <w:spacing w:val="-3"/>
          <w:sz w:val="20"/>
        </w:rPr>
        <w:t>Goat</w:t>
      </w:r>
      <w:r>
        <w:rPr>
          <w:rFonts w:ascii="Arial" w:hAnsi="Arial"/>
          <w:spacing w:val="-3"/>
          <w:sz w:val="20"/>
        </w:rPr>
        <w:t>’</w:t>
      </w:r>
      <w:r>
        <w:rPr>
          <w:i/>
          <w:spacing w:val="-3"/>
          <w:sz w:val="20"/>
        </w:rPr>
        <w:t>s  </w:t>
      </w:r>
      <w:r>
        <w:rPr>
          <w:i/>
          <w:sz w:val="20"/>
        </w:rPr>
        <w:t>locational</w:t>
      </w:r>
      <w:r>
        <w:rPr>
          <w:i/>
          <w:spacing w:val="11"/>
          <w:sz w:val="20"/>
        </w:rPr>
        <w:t> </w:t>
      </w:r>
      <w:r>
        <w:rPr>
          <w:i/>
          <w:sz w:val="20"/>
        </w:rPr>
        <w:t>curves</w:t>
      </w:r>
    </w:p>
    <w:p>
      <w:pPr>
        <w:pStyle w:val="BodyText"/>
        <w:spacing w:line="249" w:lineRule="auto" w:before="68"/>
        <w:ind w:left="105"/>
        <w:jc w:val="both"/>
        <w:rPr>
          <w:i/>
        </w:rPr>
      </w:pPr>
      <w:r>
        <w:rPr/>
        <w:t>Regression coefficients of the equation of Wood lactation curve showed that different breed had a different    (</w:t>
      </w:r>
      <w:r>
        <w:rPr>
          <w:i/>
        </w:rPr>
        <w:t>P &lt;  </w:t>
      </w:r>
    </w:p>
    <w:p>
      <w:pPr>
        <w:pStyle w:val="BodyText"/>
        <w:spacing w:before="2" w:after="39"/>
        <w:rPr>
          <w:i/>
          <w:sz w:val="14"/>
        </w:rPr>
      </w:pPr>
      <w:r>
        <w:rPr/>
        <w:br w:type="column"/>
      </w:r>
      <w:r>
        <w:rPr>
          <w:i/>
          <w:sz w:val="14"/>
        </w:rPr>
      </w:r>
    </w:p>
    <w:p>
      <w:pPr>
        <w:pStyle w:val="BodyText"/>
        <w:ind w:left="263"/>
      </w:pPr>
      <w:r>
        <w:rPr/>
        <w:drawing>
          <wp:inline distT="0" distB="0" distL="0" distR="0">
            <wp:extent cx="2694983" cy="1578863"/>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28" cstate="print"/>
                    <a:stretch>
                      <a:fillRect/>
                    </a:stretch>
                  </pic:blipFill>
                  <pic:spPr>
                    <a:xfrm>
                      <a:off x="0" y="0"/>
                      <a:ext cx="2694983" cy="1578863"/>
                    </a:xfrm>
                    <a:prstGeom prst="rect">
                      <a:avLst/>
                    </a:prstGeom>
                  </pic:spPr>
                </pic:pic>
              </a:graphicData>
            </a:graphic>
          </wp:inline>
        </w:drawing>
      </w:r>
      <w:r>
        <w:rPr/>
      </w:r>
    </w:p>
    <w:p>
      <w:pPr>
        <w:spacing w:line="200" w:lineRule="exact" w:before="152"/>
        <w:ind w:left="106" w:right="123" w:firstLine="0"/>
        <w:jc w:val="both"/>
        <w:rPr>
          <w:sz w:val="18"/>
        </w:rPr>
      </w:pPr>
      <w:r>
        <w:rPr>
          <w:sz w:val="18"/>
        </w:rPr>
        <w:t>Figure 1. Lactation curves of Alpine, Saanen and Anglo- Nubian goats.</w:t>
      </w:r>
    </w:p>
    <w:p>
      <w:pPr>
        <w:pStyle w:val="BodyText"/>
        <w:spacing w:before="1"/>
      </w:pPr>
    </w:p>
    <w:p>
      <w:pPr>
        <w:pStyle w:val="BodyText"/>
        <w:spacing w:line="259" w:lineRule="auto"/>
        <w:ind w:left="106" w:right="123"/>
        <w:jc w:val="both"/>
      </w:pPr>
      <w:r>
        <w:rPr/>
        <w:t>milk production with less persistence of milk yield and more </w:t>
      </w:r>
      <w:r>
        <w:rPr>
          <w:i/>
        </w:rPr>
        <w:t>c </w:t>
      </w:r>
      <w:r>
        <w:rPr/>
        <w:t>value compared to both of AG and ANG, which almost</w:t>
      </w:r>
      <w:r>
        <w:rPr>
          <w:spacing w:val="-5"/>
        </w:rPr>
        <w:t> </w:t>
      </w:r>
      <w:r>
        <w:rPr/>
        <w:t>had</w:t>
      </w:r>
      <w:r>
        <w:rPr>
          <w:spacing w:val="-6"/>
        </w:rPr>
        <w:t> </w:t>
      </w:r>
      <w:r>
        <w:rPr/>
        <w:t>the</w:t>
      </w:r>
      <w:r>
        <w:rPr>
          <w:spacing w:val="-6"/>
        </w:rPr>
        <w:t> </w:t>
      </w:r>
      <w:r>
        <w:rPr/>
        <w:t>same</w:t>
      </w:r>
      <w:r>
        <w:rPr>
          <w:spacing w:val="-5"/>
        </w:rPr>
        <w:t> </w:t>
      </w:r>
      <w:r>
        <w:rPr>
          <w:i/>
        </w:rPr>
        <w:t>b</w:t>
      </w:r>
      <w:r>
        <w:rPr>
          <w:i/>
          <w:spacing w:val="-7"/>
        </w:rPr>
        <w:t> </w:t>
      </w:r>
      <w:r>
        <w:rPr/>
        <w:t>and</w:t>
      </w:r>
      <w:r>
        <w:rPr>
          <w:spacing w:val="-6"/>
        </w:rPr>
        <w:t> </w:t>
      </w:r>
      <w:r>
        <w:rPr>
          <w:i/>
        </w:rPr>
        <w:t>c</w:t>
      </w:r>
      <w:r>
        <w:rPr>
          <w:i/>
          <w:spacing w:val="-5"/>
        </w:rPr>
        <w:t> </w:t>
      </w:r>
      <w:r>
        <w:rPr/>
        <w:t>values.</w:t>
      </w:r>
      <w:r>
        <w:rPr>
          <w:spacing w:val="-5"/>
        </w:rPr>
        <w:t> </w:t>
      </w:r>
      <w:r>
        <w:rPr>
          <w:spacing w:val="-4"/>
        </w:rPr>
        <w:t>Type</w:t>
      </w:r>
      <w:r>
        <w:rPr>
          <w:spacing w:val="-6"/>
        </w:rPr>
        <w:t> </w:t>
      </w:r>
      <w:r>
        <w:rPr/>
        <w:t>of</w:t>
      </w:r>
      <w:r>
        <w:rPr>
          <w:spacing w:val="-6"/>
        </w:rPr>
        <w:t> </w:t>
      </w:r>
      <w:r>
        <w:rPr/>
        <w:t>kidding</w:t>
      </w:r>
      <w:r>
        <w:rPr>
          <w:spacing w:val="-6"/>
        </w:rPr>
        <w:t> </w:t>
      </w:r>
      <w:r>
        <w:rPr/>
        <w:t>(i.e., single or twin suckled lambs) had affected </w:t>
      </w:r>
      <w:r>
        <w:rPr>
          <w:spacing w:val="18"/>
        </w:rPr>
        <w:t>(</w:t>
      </w:r>
      <w:r>
        <w:rPr>
          <w:i/>
          <w:spacing w:val="18"/>
        </w:rPr>
        <w:t>P </w:t>
      </w:r>
      <w:r>
        <w:rPr>
          <w:i/>
        </w:rPr>
        <w:t>&lt; </w:t>
      </w:r>
      <w:r>
        <w:rPr/>
        <w:t>0.05) each of </w:t>
      </w:r>
      <w:r>
        <w:rPr>
          <w:i/>
        </w:rPr>
        <w:t>a</w:t>
      </w:r>
      <w:r>
        <w:rPr/>
        <w:t>, </w:t>
      </w:r>
      <w:r>
        <w:rPr>
          <w:i/>
        </w:rPr>
        <w:t>b </w:t>
      </w:r>
      <w:r>
        <w:rPr/>
        <w:t>and </w:t>
      </w:r>
      <w:r>
        <w:rPr>
          <w:i/>
        </w:rPr>
        <w:t>c </w:t>
      </w:r>
      <w:r>
        <w:rPr/>
        <w:t>(</w:t>
      </w:r>
      <w:hyperlink w:history="true" w:anchor="_bookmark2">
        <w:r>
          <w:rPr>
            <w:color w:val="000084"/>
          </w:rPr>
          <w:t>Figure 2</w:t>
        </w:r>
      </w:hyperlink>
      <w:r>
        <w:rPr/>
        <w:t>). Goat suckled twins had higher </w:t>
      </w:r>
      <w:r>
        <w:rPr>
          <w:i/>
        </w:rPr>
        <w:t>a</w:t>
      </w:r>
      <w:r>
        <w:rPr/>
        <w:t>, </w:t>
      </w:r>
      <w:r>
        <w:rPr>
          <w:i/>
        </w:rPr>
        <w:t>b </w:t>
      </w:r>
      <w:r>
        <w:rPr/>
        <w:t>and </w:t>
      </w:r>
      <w:r>
        <w:rPr>
          <w:i/>
        </w:rPr>
        <w:t>c </w:t>
      </w:r>
      <w:r>
        <w:rPr/>
        <w:t>values than those suckled single kids. However,</w:t>
      </w:r>
      <w:r>
        <w:rPr>
          <w:spacing w:val="-10"/>
        </w:rPr>
        <w:t> </w:t>
      </w:r>
      <w:r>
        <w:rPr/>
        <w:t>lactating</w:t>
      </w:r>
      <w:r>
        <w:rPr>
          <w:spacing w:val="-11"/>
        </w:rPr>
        <w:t> </w:t>
      </w:r>
      <w:r>
        <w:rPr/>
        <w:t>goats</w:t>
      </w:r>
      <w:r>
        <w:rPr>
          <w:spacing w:val="-9"/>
        </w:rPr>
        <w:t> </w:t>
      </w:r>
      <w:r>
        <w:rPr/>
        <w:t>with</w:t>
      </w:r>
      <w:r>
        <w:rPr>
          <w:spacing w:val="-10"/>
        </w:rPr>
        <w:t> </w:t>
      </w:r>
      <w:r>
        <w:rPr/>
        <w:t>one</w:t>
      </w:r>
      <w:r>
        <w:rPr>
          <w:spacing w:val="-10"/>
        </w:rPr>
        <w:t> </w:t>
      </w:r>
      <w:r>
        <w:rPr/>
        <w:t>kid</w:t>
      </w:r>
      <w:r>
        <w:rPr>
          <w:spacing w:val="-10"/>
        </w:rPr>
        <w:t> </w:t>
      </w:r>
      <w:r>
        <w:rPr/>
        <w:t>have</w:t>
      </w:r>
      <w:r>
        <w:rPr>
          <w:spacing w:val="-10"/>
        </w:rPr>
        <w:t> </w:t>
      </w:r>
      <w:r>
        <w:rPr/>
        <w:t>a</w:t>
      </w:r>
      <w:r>
        <w:rPr>
          <w:spacing w:val="-11"/>
        </w:rPr>
        <w:t> </w:t>
      </w:r>
      <w:r>
        <w:rPr/>
        <w:t>lower</w:t>
      </w:r>
      <w:r>
        <w:rPr>
          <w:spacing w:val="-10"/>
        </w:rPr>
        <w:t> </w:t>
      </w:r>
      <w:r>
        <w:rPr/>
        <w:t>initial production and rate of increase, likewise as a greater persistence during lactation </w:t>
      </w:r>
      <w:r>
        <w:rPr>
          <w:spacing w:val="-3"/>
        </w:rPr>
        <w:t>(</w:t>
      </w:r>
      <w:hyperlink w:history="true" w:anchor="_bookmark2">
        <w:r>
          <w:rPr>
            <w:color w:val="000084"/>
            <w:spacing w:val="-3"/>
          </w:rPr>
          <w:t>Table </w:t>
        </w:r>
        <w:r>
          <w:rPr>
            <w:color w:val="000084"/>
          </w:rPr>
          <w:t>2</w:t>
        </w:r>
      </w:hyperlink>
      <w:r>
        <w:rPr>
          <w:color w:val="000084"/>
        </w:rPr>
        <w:t> </w:t>
      </w:r>
      <w:r>
        <w:rPr/>
        <w:t>and </w:t>
      </w:r>
      <w:hyperlink w:history="true" w:anchor="_bookmark2">
        <w:r>
          <w:rPr>
            <w:color w:val="000084"/>
          </w:rPr>
          <w:t>Figure</w:t>
        </w:r>
        <w:r>
          <w:rPr>
            <w:color w:val="000084"/>
            <w:spacing w:val="11"/>
          </w:rPr>
          <w:t> </w:t>
        </w:r>
        <w:r>
          <w:rPr>
            <w:color w:val="000084"/>
          </w:rPr>
          <w:t>2</w:t>
        </w:r>
      </w:hyperlink>
      <w:r>
        <w:rPr/>
        <w:t>).</w:t>
      </w:r>
    </w:p>
    <w:p>
      <w:pPr>
        <w:pStyle w:val="BodyText"/>
        <w:spacing w:before="3"/>
        <w:rPr>
          <w:sz w:val="27"/>
        </w:rPr>
      </w:pPr>
      <w:r>
        <w:rPr/>
        <w:drawing>
          <wp:anchor distT="0" distB="0" distL="0" distR="0" allowOverlap="1" layoutInCell="1" locked="0" behindDoc="0" simplePos="0" relativeHeight="1648">
            <wp:simplePos x="0" y="0"/>
            <wp:positionH relativeFrom="page">
              <wp:posOffset>4037038</wp:posOffset>
            </wp:positionH>
            <wp:positionV relativeFrom="paragraph">
              <wp:posOffset>224090</wp:posOffset>
            </wp:positionV>
            <wp:extent cx="2870897" cy="1706879"/>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29" cstate="print"/>
                    <a:stretch>
                      <a:fillRect/>
                    </a:stretch>
                  </pic:blipFill>
                  <pic:spPr>
                    <a:xfrm>
                      <a:off x="0" y="0"/>
                      <a:ext cx="2870897" cy="1706879"/>
                    </a:xfrm>
                    <a:prstGeom prst="rect">
                      <a:avLst/>
                    </a:prstGeom>
                  </pic:spPr>
                </pic:pic>
              </a:graphicData>
            </a:graphic>
          </wp:anchor>
        </w:drawing>
      </w:r>
    </w:p>
    <w:p>
      <w:pPr>
        <w:spacing w:line="200" w:lineRule="exact" w:before="124"/>
        <w:ind w:left="105" w:right="117" w:firstLine="0"/>
        <w:jc w:val="both"/>
        <w:rPr>
          <w:sz w:val="18"/>
        </w:rPr>
      </w:pPr>
      <w:r>
        <w:rPr>
          <w:sz w:val="18"/>
        </w:rPr>
        <w:t>Figure 2. Lactation curves of Alpine, Saanen and Anglo- Nubian goats according to type of  kidding.</w:t>
      </w:r>
    </w:p>
    <w:p>
      <w:pPr>
        <w:pStyle w:val="BodyText"/>
        <w:rPr>
          <w:sz w:val="18"/>
        </w:rPr>
      </w:pPr>
    </w:p>
    <w:p>
      <w:pPr>
        <w:pStyle w:val="BodyText"/>
        <w:spacing w:before="4"/>
        <w:rPr>
          <w:sz w:val="22"/>
        </w:rPr>
      </w:pPr>
    </w:p>
    <w:p>
      <w:pPr>
        <w:spacing w:line="200" w:lineRule="exact" w:before="0"/>
        <w:ind w:left="106" w:right="124" w:firstLine="0"/>
        <w:jc w:val="both"/>
        <w:rPr>
          <w:sz w:val="18"/>
        </w:rPr>
      </w:pPr>
      <w:r>
        <w:rPr>
          <w:sz w:val="18"/>
        </w:rPr>
        <w:t>Table 2. Regression coefficients of the equation of Wood lactation curve by breed and type of  birth.</w:t>
      </w:r>
    </w:p>
    <w:p>
      <w:pPr>
        <w:pStyle w:val="BodyText"/>
        <w:spacing w:before="5"/>
        <w:rPr>
          <w:sz w:val="6"/>
        </w:rPr>
      </w:pPr>
    </w:p>
    <w:tbl>
      <w:tblPr>
        <w:tblW w:w="0" w:type="auto"/>
        <w:jc w:val="left"/>
        <w:tblInd w:w="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9"/>
        <w:gridCol w:w="1327"/>
        <w:gridCol w:w="1146"/>
        <w:gridCol w:w="1273"/>
      </w:tblGrid>
      <w:tr>
        <w:trPr>
          <w:trHeight w:val="379" w:hRule="exact"/>
        </w:trPr>
        <w:tc>
          <w:tcPr>
            <w:tcW w:w="839" w:type="dxa"/>
            <w:tcBorders>
              <w:left w:val="nil"/>
              <w:right w:val="nil"/>
            </w:tcBorders>
          </w:tcPr>
          <w:p>
            <w:pPr>
              <w:pStyle w:val="TableParagraph"/>
              <w:spacing w:before="81"/>
              <w:ind w:left="35"/>
              <w:rPr>
                <w:sz w:val="18"/>
              </w:rPr>
            </w:pPr>
            <w:r>
              <w:rPr>
                <w:sz w:val="18"/>
              </w:rPr>
              <w:t>Variable</w:t>
            </w:r>
          </w:p>
        </w:tc>
        <w:tc>
          <w:tcPr>
            <w:tcW w:w="1327" w:type="dxa"/>
            <w:tcBorders>
              <w:left w:val="nil"/>
              <w:right w:val="nil"/>
            </w:tcBorders>
          </w:tcPr>
          <w:p>
            <w:pPr>
              <w:pStyle w:val="TableParagraph"/>
              <w:spacing w:before="81"/>
              <w:ind w:left="437"/>
              <w:rPr>
                <w:sz w:val="18"/>
              </w:rPr>
            </w:pPr>
            <w:r>
              <w:rPr>
                <w:i/>
                <w:sz w:val="18"/>
              </w:rPr>
              <w:t>a </w:t>
            </w:r>
            <w:r>
              <w:rPr>
                <w:sz w:val="18"/>
              </w:rPr>
              <w:t>(kg)</w:t>
            </w:r>
          </w:p>
        </w:tc>
        <w:tc>
          <w:tcPr>
            <w:tcW w:w="1146" w:type="dxa"/>
            <w:tcBorders>
              <w:left w:val="nil"/>
              <w:right w:val="nil"/>
            </w:tcBorders>
          </w:tcPr>
          <w:p>
            <w:pPr>
              <w:pStyle w:val="TableParagraph"/>
              <w:spacing w:before="81"/>
              <w:ind w:right="28"/>
              <w:jc w:val="center"/>
              <w:rPr>
                <w:i/>
                <w:sz w:val="18"/>
              </w:rPr>
            </w:pPr>
            <w:r>
              <w:rPr>
                <w:i/>
                <w:w w:val="99"/>
                <w:sz w:val="18"/>
              </w:rPr>
              <w:t>b</w:t>
            </w:r>
          </w:p>
        </w:tc>
        <w:tc>
          <w:tcPr>
            <w:tcW w:w="1273" w:type="dxa"/>
            <w:tcBorders>
              <w:left w:val="nil"/>
              <w:right w:val="nil"/>
            </w:tcBorders>
          </w:tcPr>
          <w:p>
            <w:pPr>
              <w:pStyle w:val="TableParagraph"/>
              <w:spacing w:before="81"/>
              <w:ind w:left="92"/>
              <w:jc w:val="center"/>
              <w:rPr>
                <w:i/>
                <w:sz w:val="18"/>
              </w:rPr>
            </w:pPr>
            <w:r>
              <w:rPr>
                <w:i/>
                <w:w w:val="98"/>
                <w:sz w:val="18"/>
              </w:rPr>
              <w:t>c</w:t>
            </w:r>
          </w:p>
        </w:tc>
      </w:tr>
      <w:tr>
        <w:trPr>
          <w:trHeight w:val="467" w:hRule="exact"/>
        </w:trPr>
        <w:tc>
          <w:tcPr>
            <w:tcW w:w="839" w:type="dxa"/>
            <w:tcBorders>
              <w:left w:val="nil"/>
              <w:bottom w:val="nil"/>
              <w:right w:val="nil"/>
            </w:tcBorders>
          </w:tcPr>
          <w:p>
            <w:pPr>
              <w:pStyle w:val="TableParagraph"/>
              <w:spacing w:before="36"/>
              <w:ind w:left="35"/>
              <w:rPr>
                <w:i/>
                <w:sz w:val="18"/>
              </w:rPr>
            </w:pPr>
            <w:r>
              <w:rPr>
                <w:i/>
                <w:sz w:val="18"/>
              </w:rPr>
              <w:t>Breed</w:t>
            </w:r>
          </w:p>
          <w:p>
            <w:pPr>
              <w:pStyle w:val="TableParagraph"/>
              <w:spacing w:before="13"/>
              <w:ind w:left="35"/>
              <w:rPr>
                <w:sz w:val="18"/>
              </w:rPr>
            </w:pPr>
            <w:r>
              <w:rPr>
                <w:sz w:val="18"/>
              </w:rPr>
              <w:t>Alpine</w:t>
            </w:r>
          </w:p>
        </w:tc>
        <w:tc>
          <w:tcPr>
            <w:tcW w:w="1327" w:type="dxa"/>
            <w:tcBorders>
              <w:left w:val="nil"/>
              <w:bottom w:val="nil"/>
              <w:right w:val="nil"/>
            </w:tcBorders>
          </w:tcPr>
          <w:p>
            <w:pPr>
              <w:pStyle w:val="TableParagraph"/>
              <w:spacing w:before="2"/>
              <w:rPr>
                <w:sz w:val="20"/>
              </w:rPr>
            </w:pPr>
          </w:p>
          <w:p>
            <w:pPr>
              <w:pStyle w:val="TableParagraph"/>
              <w:ind w:left="228"/>
              <w:rPr>
                <w:sz w:val="12"/>
              </w:rPr>
            </w:pPr>
            <w:r>
              <w:rPr>
                <w:sz w:val="18"/>
              </w:rPr>
              <w:t>1.41 ± 0.08</w:t>
            </w:r>
            <w:r>
              <w:rPr>
                <w:position w:val="8"/>
                <w:sz w:val="12"/>
              </w:rPr>
              <w:t>a</w:t>
            </w:r>
          </w:p>
        </w:tc>
        <w:tc>
          <w:tcPr>
            <w:tcW w:w="1146" w:type="dxa"/>
            <w:tcBorders>
              <w:left w:val="nil"/>
              <w:bottom w:val="nil"/>
              <w:right w:val="nil"/>
            </w:tcBorders>
          </w:tcPr>
          <w:p>
            <w:pPr>
              <w:pStyle w:val="TableParagraph"/>
              <w:spacing w:before="2"/>
              <w:rPr>
                <w:sz w:val="20"/>
              </w:rPr>
            </w:pPr>
          </w:p>
          <w:p>
            <w:pPr>
              <w:pStyle w:val="TableParagraph"/>
              <w:ind w:left="138" w:right="89"/>
              <w:jc w:val="center"/>
              <w:rPr>
                <w:sz w:val="12"/>
              </w:rPr>
            </w:pPr>
            <w:r>
              <w:rPr>
                <w:sz w:val="18"/>
              </w:rPr>
              <w:t>0.24 ± 0.02</w:t>
            </w:r>
            <w:r>
              <w:rPr>
                <w:position w:val="8"/>
                <w:sz w:val="12"/>
              </w:rPr>
              <w:t>b</w:t>
            </w:r>
          </w:p>
        </w:tc>
        <w:tc>
          <w:tcPr>
            <w:tcW w:w="1273" w:type="dxa"/>
            <w:tcBorders>
              <w:left w:val="nil"/>
              <w:bottom w:val="nil"/>
              <w:right w:val="nil"/>
            </w:tcBorders>
          </w:tcPr>
          <w:p>
            <w:pPr>
              <w:pStyle w:val="TableParagraph"/>
              <w:spacing w:before="2"/>
              <w:rPr>
                <w:sz w:val="20"/>
              </w:rPr>
            </w:pPr>
          </w:p>
          <w:p>
            <w:pPr>
              <w:pStyle w:val="TableParagraph"/>
              <w:ind w:left="85"/>
              <w:jc w:val="center"/>
              <w:rPr>
                <w:sz w:val="12"/>
              </w:rPr>
            </w:pPr>
            <w:r>
              <w:rPr>
                <w:sz w:val="18"/>
              </w:rPr>
              <w:t>0.007 ± 0.0011</w:t>
            </w:r>
            <w:r>
              <w:rPr>
                <w:position w:val="8"/>
                <w:sz w:val="12"/>
              </w:rPr>
              <w:t>b</w:t>
            </w:r>
          </w:p>
        </w:tc>
      </w:tr>
      <w:tr>
        <w:trPr>
          <w:trHeight w:val="219" w:hRule="exact"/>
        </w:trPr>
        <w:tc>
          <w:tcPr>
            <w:tcW w:w="839" w:type="dxa"/>
            <w:tcBorders>
              <w:top w:val="nil"/>
              <w:left w:val="nil"/>
              <w:bottom w:val="nil"/>
              <w:right w:val="nil"/>
            </w:tcBorders>
          </w:tcPr>
          <w:p>
            <w:pPr>
              <w:pStyle w:val="TableParagraph"/>
              <w:spacing w:before="12"/>
              <w:ind w:left="35"/>
              <w:rPr>
                <w:sz w:val="18"/>
              </w:rPr>
            </w:pPr>
            <w:r>
              <w:rPr>
                <w:sz w:val="18"/>
              </w:rPr>
              <w:t>Saanen</w:t>
            </w:r>
          </w:p>
        </w:tc>
        <w:tc>
          <w:tcPr>
            <w:tcW w:w="1327" w:type="dxa"/>
            <w:tcBorders>
              <w:top w:val="nil"/>
              <w:left w:val="nil"/>
              <w:bottom w:val="nil"/>
              <w:right w:val="nil"/>
            </w:tcBorders>
          </w:tcPr>
          <w:p>
            <w:pPr>
              <w:pStyle w:val="TableParagraph"/>
              <w:spacing w:line="219" w:lineRule="exact"/>
              <w:ind w:left="214"/>
              <w:rPr>
                <w:sz w:val="12"/>
              </w:rPr>
            </w:pPr>
            <w:r>
              <w:rPr>
                <w:sz w:val="18"/>
              </w:rPr>
              <w:t>1.28 ± 0.10</w:t>
            </w:r>
            <w:r>
              <w:rPr>
                <w:position w:val="8"/>
                <w:sz w:val="12"/>
              </w:rPr>
              <w:t>ab</w:t>
            </w:r>
          </w:p>
        </w:tc>
        <w:tc>
          <w:tcPr>
            <w:tcW w:w="1146" w:type="dxa"/>
            <w:tcBorders>
              <w:top w:val="nil"/>
              <w:left w:val="nil"/>
              <w:bottom w:val="nil"/>
              <w:right w:val="nil"/>
            </w:tcBorders>
          </w:tcPr>
          <w:p>
            <w:pPr>
              <w:pStyle w:val="TableParagraph"/>
              <w:spacing w:line="219" w:lineRule="exact"/>
              <w:ind w:left="138" w:right="89"/>
              <w:jc w:val="center"/>
              <w:rPr>
                <w:sz w:val="12"/>
              </w:rPr>
            </w:pPr>
            <w:r>
              <w:rPr>
                <w:sz w:val="18"/>
              </w:rPr>
              <w:t>0.33 ± 0.03</w:t>
            </w:r>
            <w:r>
              <w:rPr>
                <w:position w:val="8"/>
                <w:sz w:val="12"/>
              </w:rPr>
              <w:t>a</w:t>
            </w:r>
          </w:p>
        </w:tc>
        <w:tc>
          <w:tcPr>
            <w:tcW w:w="1273" w:type="dxa"/>
            <w:tcBorders>
              <w:top w:val="nil"/>
              <w:left w:val="nil"/>
              <w:bottom w:val="nil"/>
              <w:right w:val="nil"/>
            </w:tcBorders>
          </w:tcPr>
          <w:p>
            <w:pPr>
              <w:pStyle w:val="TableParagraph"/>
              <w:spacing w:line="219" w:lineRule="exact"/>
              <w:ind w:left="82"/>
              <w:jc w:val="center"/>
              <w:rPr>
                <w:sz w:val="12"/>
              </w:rPr>
            </w:pPr>
            <w:r>
              <w:rPr>
                <w:sz w:val="18"/>
              </w:rPr>
              <w:t>0.012 ± 0.0014</w:t>
            </w:r>
            <w:r>
              <w:rPr>
                <w:position w:val="8"/>
                <w:sz w:val="12"/>
              </w:rPr>
              <w:t>a</w:t>
            </w:r>
          </w:p>
        </w:tc>
      </w:tr>
      <w:tr>
        <w:trPr>
          <w:trHeight w:val="215" w:hRule="exact"/>
        </w:trPr>
        <w:tc>
          <w:tcPr>
            <w:tcW w:w="839" w:type="dxa"/>
            <w:tcBorders>
              <w:top w:val="nil"/>
              <w:left w:val="nil"/>
              <w:bottom w:val="nil"/>
              <w:right w:val="nil"/>
            </w:tcBorders>
          </w:tcPr>
          <w:p>
            <w:pPr>
              <w:pStyle w:val="TableParagraph"/>
              <w:spacing w:before="12"/>
              <w:ind w:left="35"/>
              <w:rPr>
                <w:sz w:val="18"/>
              </w:rPr>
            </w:pPr>
            <w:r>
              <w:rPr>
                <w:sz w:val="18"/>
              </w:rPr>
              <w:t>Anglo-</w:t>
            </w:r>
          </w:p>
        </w:tc>
        <w:tc>
          <w:tcPr>
            <w:tcW w:w="1327" w:type="dxa"/>
            <w:tcBorders>
              <w:top w:val="nil"/>
              <w:left w:val="nil"/>
              <w:bottom w:val="nil"/>
              <w:right w:val="nil"/>
            </w:tcBorders>
          </w:tcPr>
          <w:p>
            <w:pPr>
              <w:pStyle w:val="TableParagraph"/>
              <w:spacing w:line="219" w:lineRule="exact"/>
              <w:ind w:left="216"/>
              <w:rPr>
                <w:sz w:val="12"/>
              </w:rPr>
            </w:pPr>
            <w:r>
              <w:rPr>
                <w:sz w:val="18"/>
              </w:rPr>
              <w:t>1.18 ± 0.11</w:t>
            </w:r>
            <w:r>
              <w:rPr>
                <w:position w:val="8"/>
                <w:sz w:val="12"/>
              </w:rPr>
              <w:t>b</w:t>
            </w:r>
          </w:p>
        </w:tc>
        <w:tc>
          <w:tcPr>
            <w:tcW w:w="1146" w:type="dxa"/>
            <w:tcBorders>
              <w:top w:val="nil"/>
              <w:left w:val="nil"/>
              <w:bottom w:val="nil"/>
              <w:right w:val="nil"/>
            </w:tcBorders>
          </w:tcPr>
          <w:p>
            <w:pPr>
              <w:pStyle w:val="TableParagraph"/>
              <w:spacing w:line="219" w:lineRule="exact"/>
              <w:ind w:left="138" w:right="89"/>
              <w:jc w:val="center"/>
              <w:rPr>
                <w:sz w:val="12"/>
              </w:rPr>
            </w:pPr>
            <w:r>
              <w:rPr>
                <w:sz w:val="18"/>
              </w:rPr>
              <w:t>0.21 ± 0.04</w:t>
            </w:r>
            <w:r>
              <w:rPr>
                <w:position w:val="8"/>
                <w:sz w:val="12"/>
              </w:rPr>
              <w:t>c</w:t>
            </w:r>
          </w:p>
        </w:tc>
        <w:tc>
          <w:tcPr>
            <w:tcW w:w="1273" w:type="dxa"/>
            <w:tcBorders>
              <w:top w:val="nil"/>
              <w:left w:val="nil"/>
              <w:bottom w:val="nil"/>
              <w:right w:val="nil"/>
            </w:tcBorders>
          </w:tcPr>
          <w:p>
            <w:pPr>
              <w:pStyle w:val="TableParagraph"/>
              <w:spacing w:line="219" w:lineRule="exact"/>
              <w:ind w:left="82"/>
              <w:jc w:val="center"/>
              <w:rPr>
                <w:sz w:val="12"/>
              </w:rPr>
            </w:pPr>
            <w:r>
              <w:rPr>
                <w:sz w:val="18"/>
              </w:rPr>
              <w:t>0.005 ± 0.0016</w:t>
            </w:r>
            <w:r>
              <w:rPr>
                <w:position w:val="8"/>
                <w:sz w:val="12"/>
              </w:rPr>
              <w:t>c</w:t>
            </w:r>
          </w:p>
        </w:tc>
      </w:tr>
    </w:tbl>
    <w:p>
      <w:pPr>
        <w:spacing w:before="17"/>
        <w:ind w:left="264" w:right="0" w:firstLine="0"/>
        <w:jc w:val="left"/>
        <w:rPr>
          <w:sz w:val="18"/>
        </w:rPr>
      </w:pPr>
      <w:r>
        <w:rPr>
          <w:sz w:val="18"/>
        </w:rPr>
        <w:t>Nubian</w:t>
      </w:r>
    </w:p>
    <w:p>
      <w:pPr>
        <w:spacing w:line="201" w:lineRule="exact" w:before="12"/>
        <w:ind w:left="106" w:right="0" w:firstLine="0"/>
        <w:jc w:val="both"/>
        <w:rPr>
          <w:i/>
          <w:sz w:val="18"/>
        </w:rPr>
      </w:pPr>
      <w:r>
        <w:rPr>
          <w:i/>
          <w:sz w:val="18"/>
        </w:rPr>
        <w:t>Type of kidding</w:t>
      </w:r>
    </w:p>
    <w:p>
      <w:pPr>
        <w:tabs>
          <w:tab w:pos="1008" w:val="left" w:leader="none"/>
        </w:tabs>
        <w:spacing w:line="220" w:lineRule="exact" w:before="10"/>
        <w:ind w:left="106" w:right="123" w:firstLine="0"/>
        <w:jc w:val="both"/>
        <w:rPr>
          <w:sz w:val="12"/>
        </w:rPr>
      </w:pPr>
      <w:r>
        <w:rPr>
          <w:sz w:val="18"/>
        </w:rPr>
        <w:t>Single    1.130 ± 0.071</w:t>
      </w:r>
      <w:r>
        <w:rPr>
          <w:position w:val="8"/>
          <w:sz w:val="12"/>
        </w:rPr>
        <w:t>b     </w:t>
      </w:r>
      <w:r>
        <w:rPr>
          <w:sz w:val="18"/>
        </w:rPr>
        <w:t>0.213 ± 0.02</w:t>
      </w:r>
      <w:r>
        <w:rPr>
          <w:position w:val="8"/>
          <w:sz w:val="12"/>
        </w:rPr>
        <w:t>b     </w:t>
      </w:r>
      <w:r>
        <w:rPr>
          <w:sz w:val="18"/>
        </w:rPr>
        <w:t>0.005 ± 0.0010</w:t>
      </w:r>
      <w:r>
        <w:rPr>
          <w:position w:val="8"/>
          <w:sz w:val="12"/>
        </w:rPr>
        <w:t>b    </w:t>
      </w:r>
      <w:r>
        <w:rPr>
          <w:spacing w:val="-3"/>
          <w:sz w:val="18"/>
        </w:rPr>
        <w:t>Twin</w:t>
        <w:tab/>
      </w:r>
      <w:r>
        <w:rPr>
          <w:sz w:val="18"/>
        </w:rPr>
        <w:t>1.417 ± 0.095</w:t>
      </w:r>
      <w:r>
        <w:rPr>
          <w:position w:val="8"/>
          <w:sz w:val="12"/>
        </w:rPr>
        <w:t>a       </w:t>
      </w:r>
      <w:r>
        <w:rPr>
          <w:sz w:val="18"/>
        </w:rPr>
        <w:t>0.310 ± 0.03</w:t>
      </w:r>
      <w:r>
        <w:rPr>
          <w:position w:val="8"/>
          <w:sz w:val="12"/>
        </w:rPr>
        <w:t>a      </w:t>
      </w:r>
      <w:r>
        <w:rPr>
          <w:sz w:val="18"/>
        </w:rPr>
        <w:t>0.011 ± </w:t>
      </w:r>
      <w:r>
        <w:rPr>
          <w:spacing w:val="42"/>
          <w:sz w:val="18"/>
        </w:rPr>
        <w:t> </w:t>
      </w:r>
      <w:r>
        <w:rPr>
          <w:sz w:val="18"/>
        </w:rPr>
        <w:t>0.0013</w:t>
      </w:r>
      <w:r>
        <w:rPr>
          <w:position w:val="8"/>
          <w:sz w:val="12"/>
        </w:rPr>
        <w:t>a</w:t>
      </w:r>
    </w:p>
    <w:p>
      <w:pPr>
        <w:spacing w:after="0" w:line="220" w:lineRule="exact"/>
        <w:jc w:val="both"/>
        <w:rPr>
          <w:sz w:val="12"/>
        </w:rPr>
        <w:sectPr>
          <w:pgSz w:w="12190" w:h="15880"/>
          <w:pgMar w:header="1017" w:footer="0" w:top="1200" w:bottom="280" w:left="1200" w:right="1180"/>
          <w:cols w:num="2" w:equalWidth="0">
            <w:col w:w="4735" w:space="293"/>
            <w:col w:w="4782"/>
          </w:cols>
        </w:sectPr>
      </w:pPr>
    </w:p>
    <w:p>
      <w:pPr>
        <w:pStyle w:val="BodyText"/>
        <w:spacing w:line="249" w:lineRule="auto"/>
        <w:ind w:left="105"/>
        <w:jc w:val="both"/>
      </w:pPr>
      <w:r>
        <w:rPr/>
        <w:pict>
          <v:shape style="position:absolute;margin-left:.953263pt;margin-top:287.387146pt;width:12pt;height:221.45pt;mso-position-horizontal-relative:page;mso-position-vertical-relative:page;z-index:1696"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r>
        <w:rPr/>
        <w:t>0.05) </w:t>
      </w:r>
      <w:r>
        <w:rPr>
          <w:i/>
        </w:rPr>
        <w:t>a</w:t>
      </w:r>
      <w:r>
        <w:rPr/>
        <w:t>, </w:t>
      </w:r>
      <w:r>
        <w:rPr>
          <w:i/>
        </w:rPr>
        <w:t>b </w:t>
      </w:r>
      <w:r>
        <w:rPr/>
        <w:t>and </w:t>
      </w:r>
      <w:r>
        <w:rPr>
          <w:i/>
        </w:rPr>
        <w:t>c </w:t>
      </w:r>
      <w:r>
        <w:rPr/>
        <w:t>parameters. Alpine breed, followed by SG and then ANG breed begin lactation season with higher (</w:t>
      </w:r>
      <w:r>
        <w:rPr>
          <w:i/>
        </w:rPr>
        <w:t>P &lt; </w:t>
      </w:r>
      <w:r>
        <w:rPr/>
        <w:t>0.05) milk production (</w:t>
      </w:r>
      <w:hyperlink w:history="true" w:anchor="_bookmark2">
        <w:r>
          <w:rPr>
            <w:color w:val="000084"/>
          </w:rPr>
          <w:t>Figure 1</w:t>
        </w:r>
      </w:hyperlink>
      <w:r>
        <w:rPr/>
        <w:t>). However, SG breed obtained a higher (</w:t>
      </w:r>
      <w:r>
        <w:rPr>
          <w:i/>
        </w:rPr>
        <w:t>P &lt; </w:t>
      </w:r>
      <w:r>
        <w:rPr/>
        <w:t>0.05) rate of  increased</w:t>
      </w:r>
    </w:p>
    <w:p>
      <w:pPr>
        <w:pStyle w:val="BodyText"/>
        <w:spacing w:line="20" w:lineRule="exact"/>
        <w:ind w:left="100"/>
        <w:rPr>
          <w:sz w:val="2"/>
        </w:rPr>
      </w:pPr>
      <w:r>
        <w:rPr/>
        <w:br w:type="column"/>
      </w:r>
      <w:r>
        <w:rPr>
          <w:sz w:val="2"/>
        </w:rPr>
        <w:pict>
          <v:group style="width:228.05pt;height:.5pt;mso-position-horizontal-relative:char;mso-position-vertical-relative:line" coordorigin="0,0" coordsize="4561,10">
            <v:line style="position:absolute" from="5,5" to="4555,5" stroked="true" strokeweight=".45355pt" strokecolor="#000000"/>
          </v:group>
        </w:pict>
      </w:r>
      <w:r>
        <w:rPr>
          <w:sz w:val="2"/>
        </w:rPr>
      </w:r>
    </w:p>
    <w:p>
      <w:pPr>
        <w:spacing w:line="180" w:lineRule="exact" w:before="23"/>
        <w:ind w:left="105" w:right="122" w:firstLine="0"/>
        <w:jc w:val="both"/>
        <w:rPr>
          <w:sz w:val="16"/>
        </w:rPr>
      </w:pPr>
      <w:r>
        <w:rPr>
          <w:sz w:val="16"/>
        </w:rPr>
        <w:t>Notes: Means within a column with different letters differ (</w:t>
      </w:r>
      <w:r>
        <w:rPr>
          <w:i/>
          <w:sz w:val="16"/>
        </w:rPr>
        <w:t>P </w:t>
      </w:r>
      <w:r>
        <w:rPr>
          <w:sz w:val="16"/>
        </w:rPr>
        <w:t>&lt; 0.05).</w:t>
      </w:r>
      <w:r>
        <w:rPr>
          <w:spacing w:val="-17"/>
          <w:sz w:val="16"/>
        </w:rPr>
        <w:t> </w:t>
      </w:r>
      <w:r>
        <w:rPr>
          <w:i/>
          <w:sz w:val="16"/>
        </w:rPr>
        <w:t>a </w:t>
      </w:r>
      <w:r>
        <w:rPr>
          <w:sz w:val="16"/>
        </w:rPr>
        <w:t>is the associated parameter with the initial milk production; </w:t>
      </w:r>
      <w:r>
        <w:rPr>
          <w:i/>
          <w:sz w:val="16"/>
        </w:rPr>
        <w:t>b </w:t>
      </w:r>
      <w:r>
        <w:rPr>
          <w:sz w:val="16"/>
        </w:rPr>
        <w:t>is the associated parameter with the rise in milk production to peak lactation; </w:t>
      </w:r>
      <w:r>
        <w:rPr>
          <w:i/>
          <w:sz w:val="16"/>
        </w:rPr>
        <w:t>c </w:t>
      </w:r>
      <w:r>
        <w:rPr>
          <w:sz w:val="16"/>
        </w:rPr>
        <w:t>is the associated parameter with the decrease in milk production</w:t>
      </w:r>
      <w:r>
        <w:rPr>
          <w:spacing w:val="-18"/>
          <w:sz w:val="16"/>
        </w:rPr>
        <w:t> </w:t>
      </w:r>
      <w:r>
        <w:rPr>
          <w:sz w:val="16"/>
        </w:rPr>
        <w:t>from peak to the end of</w:t>
      </w:r>
      <w:r>
        <w:rPr>
          <w:spacing w:val="38"/>
          <w:sz w:val="16"/>
        </w:rPr>
        <w:t> </w:t>
      </w:r>
      <w:r>
        <w:rPr>
          <w:sz w:val="16"/>
        </w:rPr>
        <w:t>lactation.</w:t>
      </w:r>
    </w:p>
    <w:p>
      <w:pPr>
        <w:spacing w:after="0" w:line="180" w:lineRule="exact"/>
        <w:jc w:val="both"/>
        <w:rPr>
          <w:sz w:val="16"/>
        </w:rPr>
        <w:sectPr>
          <w:type w:val="continuous"/>
          <w:pgSz w:w="12190" w:h="15880"/>
          <w:pgMar w:top="380" w:bottom="0" w:left="1200" w:right="1180"/>
          <w:cols w:num="2" w:equalWidth="0">
            <w:col w:w="4656" w:space="373"/>
            <w:col w:w="4781"/>
          </w:cols>
        </w:sectPr>
      </w:pPr>
    </w:p>
    <w:p>
      <w:pPr>
        <w:pStyle w:val="BodyText"/>
        <w:spacing w:before="1"/>
        <w:rPr>
          <w:sz w:val="17"/>
        </w:rPr>
      </w:pPr>
    </w:p>
    <w:p>
      <w:pPr>
        <w:spacing w:line="200" w:lineRule="exact" w:before="85"/>
        <w:ind w:left="145" w:right="0" w:firstLine="0"/>
        <w:jc w:val="left"/>
        <w:rPr>
          <w:sz w:val="18"/>
        </w:rPr>
      </w:pPr>
      <w:bookmarkStart w:name="3.2. Milk yield production" w:id="14"/>
      <w:bookmarkEnd w:id="14"/>
      <w:r>
        <w:rPr/>
      </w:r>
      <w:bookmarkStart w:name="3.3. Dry matter intake, live and weaning" w:id="15"/>
      <w:bookmarkEnd w:id="15"/>
      <w:r>
        <w:rPr/>
      </w:r>
      <w:bookmarkStart w:name="4. Discussion" w:id="16"/>
      <w:bookmarkEnd w:id="16"/>
      <w:r>
        <w:rPr/>
      </w:r>
      <w:bookmarkStart w:name="4.1. Lactation curve and milk yield prod" w:id="17"/>
      <w:bookmarkEnd w:id="17"/>
      <w:r>
        <w:rPr/>
      </w:r>
      <w:bookmarkStart w:name="_bookmark3" w:id="18"/>
      <w:bookmarkEnd w:id="18"/>
      <w:r>
        <w:rPr/>
      </w:r>
      <w:r>
        <w:rPr>
          <w:sz w:val="18"/>
        </w:rPr>
        <w:t>Table 3. Days at maximum milk production (TPY), maximum production per day (YP), persistence (PER), predicted total production (PTP) and total yield observed (OTP).</w:t>
      </w:r>
    </w:p>
    <w:p>
      <w:pPr>
        <w:pStyle w:val="BodyText"/>
        <w:spacing w:before="5"/>
        <w:rPr>
          <w:sz w:val="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3"/>
        <w:gridCol w:w="1586"/>
        <w:gridCol w:w="1576"/>
        <w:gridCol w:w="1754"/>
        <w:gridCol w:w="1755"/>
        <w:gridCol w:w="1499"/>
      </w:tblGrid>
      <w:tr>
        <w:trPr>
          <w:trHeight w:val="379" w:hRule="exact"/>
        </w:trPr>
        <w:tc>
          <w:tcPr>
            <w:tcW w:w="1443" w:type="dxa"/>
            <w:tcBorders>
              <w:left w:val="nil"/>
              <w:right w:val="nil"/>
            </w:tcBorders>
          </w:tcPr>
          <w:p>
            <w:pPr/>
          </w:p>
        </w:tc>
        <w:tc>
          <w:tcPr>
            <w:tcW w:w="1586" w:type="dxa"/>
            <w:tcBorders>
              <w:left w:val="nil"/>
              <w:right w:val="nil"/>
            </w:tcBorders>
          </w:tcPr>
          <w:p>
            <w:pPr>
              <w:pStyle w:val="TableParagraph"/>
              <w:spacing w:before="81"/>
              <w:ind w:left="469"/>
              <w:rPr>
                <w:sz w:val="18"/>
              </w:rPr>
            </w:pPr>
            <w:r>
              <w:rPr>
                <w:sz w:val="18"/>
              </w:rPr>
              <w:t>TPY (d)</w:t>
            </w:r>
          </w:p>
        </w:tc>
        <w:tc>
          <w:tcPr>
            <w:tcW w:w="1576" w:type="dxa"/>
            <w:tcBorders>
              <w:left w:val="nil"/>
              <w:right w:val="nil"/>
            </w:tcBorders>
          </w:tcPr>
          <w:p>
            <w:pPr>
              <w:pStyle w:val="TableParagraph"/>
              <w:spacing w:before="81"/>
              <w:ind w:left="328" w:right="328"/>
              <w:jc w:val="center"/>
              <w:rPr>
                <w:sz w:val="18"/>
              </w:rPr>
            </w:pPr>
            <w:r>
              <w:rPr>
                <w:sz w:val="18"/>
              </w:rPr>
              <w:t>YP (kg)</w:t>
            </w:r>
          </w:p>
        </w:tc>
        <w:tc>
          <w:tcPr>
            <w:tcW w:w="1754" w:type="dxa"/>
            <w:tcBorders>
              <w:left w:val="nil"/>
              <w:right w:val="nil"/>
            </w:tcBorders>
          </w:tcPr>
          <w:p>
            <w:pPr>
              <w:pStyle w:val="TableParagraph"/>
              <w:spacing w:before="81"/>
              <w:ind w:left="512"/>
              <w:rPr>
                <w:sz w:val="18"/>
              </w:rPr>
            </w:pPr>
            <w:r>
              <w:rPr>
                <w:sz w:val="18"/>
              </w:rPr>
              <w:t>PER (g/d)</w:t>
            </w:r>
          </w:p>
        </w:tc>
        <w:tc>
          <w:tcPr>
            <w:tcW w:w="1755" w:type="dxa"/>
            <w:tcBorders>
              <w:left w:val="nil"/>
              <w:right w:val="nil"/>
            </w:tcBorders>
          </w:tcPr>
          <w:p>
            <w:pPr>
              <w:pStyle w:val="TableParagraph"/>
              <w:spacing w:before="81"/>
              <w:ind w:left="547"/>
              <w:rPr>
                <w:sz w:val="18"/>
              </w:rPr>
            </w:pPr>
            <w:r>
              <w:rPr>
                <w:sz w:val="18"/>
              </w:rPr>
              <w:t>PTP (kg)</w:t>
            </w:r>
          </w:p>
        </w:tc>
        <w:tc>
          <w:tcPr>
            <w:tcW w:w="1499" w:type="dxa"/>
            <w:tcBorders>
              <w:left w:val="nil"/>
              <w:right w:val="nil"/>
            </w:tcBorders>
          </w:tcPr>
          <w:p>
            <w:pPr>
              <w:pStyle w:val="TableParagraph"/>
              <w:spacing w:before="81"/>
              <w:ind w:left="570"/>
              <w:rPr>
                <w:sz w:val="18"/>
              </w:rPr>
            </w:pPr>
            <w:r>
              <w:rPr>
                <w:sz w:val="18"/>
              </w:rPr>
              <w:t>OTP (kg)</w:t>
            </w:r>
          </w:p>
        </w:tc>
      </w:tr>
      <w:tr>
        <w:trPr>
          <w:trHeight w:val="467" w:hRule="exact"/>
        </w:trPr>
        <w:tc>
          <w:tcPr>
            <w:tcW w:w="1443" w:type="dxa"/>
            <w:tcBorders>
              <w:left w:val="nil"/>
              <w:bottom w:val="nil"/>
              <w:right w:val="nil"/>
            </w:tcBorders>
          </w:tcPr>
          <w:p>
            <w:pPr>
              <w:pStyle w:val="TableParagraph"/>
              <w:spacing w:before="36"/>
              <w:ind w:left="35"/>
              <w:rPr>
                <w:i/>
                <w:sz w:val="18"/>
              </w:rPr>
            </w:pPr>
            <w:r>
              <w:rPr>
                <w:i/>
                <w:sz w:val="18"/>
              </w:rPr>
              <w:t>Breed</w:t>
            </w:r>
          </w:p>
          <w:p>
            <w:pPr>
              <w:pStyle w:val="TableParagraph"/>
              <w:spacing w:before="13"/>
              <w:ind w:left="35"/>
              <w:rPr>
                <w:sz w:val="18"/>
              </w:rPr>
            </w:pPr>
            <w:r>
              <w:rPr>
                <w:sz w:val="18"/>
              </w:rPr>
              <w:t>Alpine</w:t>
            </w:r>
          </w:p>
        </w:tc>
        <w:tc>
          <w:tcPr>
            <w:tcW w:w="1586" w:type="dxa"/>
            <w:tcBorders>
              <w:left w:val="nil"/>
              <w:bottom w:val="nil"/>
              <w:right w:val="nil"/>
            </w:tcBorders>
          </w:tcPr>
          <w:p>
            <w:pPr>
              <w:pStyle w:val="TableParagraph"/>
              <w:spacing w:before="2"/>
              <w:rPr>
                <w:sz w:val="20"/>
              </w:rPr>
            </w:pPr>
          </w:p>
          <w:p>
            <w:pPr>
              <w:pStyle w:val="TableParagraph"/>
              <w:ind w:left="374"/>
              <w:rPr>
                <w:sz w:val="12"/>
              </w:rPr>
            </w:pPr>
            <w:r>
              <w:rPr>
                <w:sz w:val="18"/>
              </w:rPr>
              <w:t>38.4 ± 4.6</w:t>
            </w:r>
            <w:r>
              <w:rPr>
                <w:position w:val="8"/>
                <w:sz w:val="12"/>
              </w:rPr>
              <w:t>ab</w:t>
            </w:r>
          </w:p>
        </w:tc>
        <w:tc>
          <w:tcPr>
            <w:tcW w:w="1576" w:type="dxa"/>
            <w:tcBorders>
              <w:left w:val="nil"/>
              <w:bottom w:val="nil"/>
              <w:right w:val="nil"/>
            </w:tcBorders>
          </w:tcPr>
          <w:p>
            <w:pPr>
              <w:pStyle w:val="TableParagraph"/>
              <w:spacing w:before="2"/>
              <w:rPr>
                <w:sz w:val="20"/>
              </w:rPr>
            </w:pPr>
          </w:p>
          <w:p>
            <w:pPr>
              <w:pStyle w:val="TableParagraph"/>
              <w:ind w:left="328" w:right="328"/>
              <w:jc w:val="center"/>
              <w:rPr>
                <w:sz w:val="12"/>
              </w:rPr>
            </w:pPr>
            <w:r>
              <w:rPr>
                <w:sz w:val="18"/>
              </w:rPr>
              <w:t>2.68 ± 0.15</w:t>
            </w:r>
            <w:r>
              <w:rPr>
                <w:position w:val="8"/>
                <w:sz w:val="12"/>
              </w:rPr>
              <w:t>b</w:t>
            </w:r>
          </w:p>
        </w:tc>
        <w:tc>
          <w:tcPr>
            <w:tcW w:w="1754" w:type="dxa"/>
            <w:tcBorders>
              <w:left w:val="nil"/>
              <w:bottom w:val="nil"/>
              <w:right w:val="nil"/>
            </w:tcBorders>
          </w:tcPr>
          <w:p>
            <w:pPr>
              <w:pStyle w:val="TableParagraph"/>
              <w:spacing w:before="2"/>
              <w:rPr>
                <w:sz w:val="20"/>
              </w:rPr>
            </w:pPr>
          </w:p>
          <w:p>
            <w:pPr>
              <w:pStyle w:val="TableParagraph"/>
              <w:ind w:right="338"/>
              <w:jc w:val="right"/>
              <w:rPr>
                <w:sz w:val="12"/>
              </w:rPr>
            </w:pPr>
            <w:r>
              <w:rPr>
                <w:sz w:val="18"/>
              </w:rPr>
              <w:t>10.759 ± 1.39</w:t>
            </w:r>
            <w:r>
              <w:rPr>
                <w:position w:val="8"/>
                <w:sz w:val="12"/>
              </w:rPr>
              <w:t>a</w:t>
            </w:r>
          </w:p>
        </w:tc>
        <w:tc>
          <w:tcPr>
            <w:tcW w:w="1755" w:type="dxa"/>
            <w:tcBorders>
              <w:left w:val="nil"/>
              <w:bottom w:val="nil"/>
              <w:right w:val="nil"/>
            </w:tcBorders>
          </w:tcPr>
          <w:p>
            <w:pPr>
              <w:pStyle w:val="TableParagraph"/>
              <w:spacing w:before="2"/>
              <w:rPr>
                <w:sz w:val="20"/>
              </w:rPr>
            </w:pPr>
          </w:p>
          <w:p>
            <w:pPr>
              <w:pStyle w:val="TableParagraph"/>
              <w:ind w:right="338"/>
              <w:jc w:val="right"/>
              <w:rPr>
                <w:sz w:val="12"/>
              </w:rPr>
            </w:pPr>
            <w:r>
              <w:rPr>
                <w:sz w:val="18"/>
              </w:rPr>
              <w:t>193.5 ± 10.1</w:t>
            </w:r>
            <w:r>
              <w:rPr>
                <w:position w:val="8"/>
                <w:sz w:val="12"/>
              </w:rPr>
              <w:t>a</w:t>
            </w:r>
          </w:p>
        </w:tc>
        <w:tc>
          <w:tcPr>
            <w:tcW w:w="1499" w:type="dxa"/>
            <w:tcBorders>
              <w:left w:val="nil"/>
              <w:bottom w:val="nil"/>
              <w:right w:val="nil"/>
            </w:tcBorders>
          </w:tcPr>
          <w:p>
            <w:pPr>
              <w:pStyle w:val="TableParagraph"/>
              <w:spacing w:before="2"/>
              <w:rPr>
                <w:sz w:val="20"/>
              </w:rPr>
            </w:pPr>
          </w:p>
          <w:p>
            <w:pPr>
              <w:pStyle w:val="TableParagraph"/>
              <w:ind w:right="82"/>
              <w:jc w:val="right"/>
              <w:rPr>
                <w:sz w:val="12"/>
              </w:rPr>
            </w:pPr>
            <w:r>
              <w:rPr>
                <w:sz w:val="18"/>
              </w:rPr>
              <w:t>193.4 ± 10.1</w:t>
            </w:r>
            <w:r>
              <w:rPr>
                <w:position w:val="8"/>
                <w:sz w:val="12"/>
              </w:rPr>
              <w:t>a</w:t>
            </w:r>
          </w:p>
        </w:tc>
      </w:tr>
      <w:tr>
        <w:trPr>
          <w:trHeight w:val="219" w:hRule="exact"/>
        </w:trPr>
        <w:tc>
          <w:tcPr>
            <w:tcW w:w="1443" w:type="dxa"/>
            <w:tcBorders>
              <w:top w:val="nil"/>
              <w:left w:val="nil"/>
              <w:bottom w:val="nil"/>
              <w:right w:val="nil"/>
            </w:tcBorders>
          </w:tcPr>
          <w:p>
            <w:pPr>
              <w:pStyle w:val="TableParagraph"/>
              <w:spacing w:before="12"/>
              <w:ind w:left="35"/>
              <w:rPr>
                <w:sz w:val="18"/>
              </w:rPr>
            </w:pPr>
            <w:r>
              <w:rPr>
                <w:sz w:val="18"/>
              </w:rPr>
              <w:t>Saanen</w:t>
            </w:r>
          </w:p>
        </w:tc>
        <w:tc>
          <w:tcPr>
            <w:tcW w:w="1586" w:type="dxa"/>
            <w:tcBorders>
              <w:top w:val="nil"/>
              <w:left w:val="nil"/>
              <w:bottom w:val="nil"/>
              <w:right w:val="nil"/>
            </w:tcBorders>
          </w:tcPr>
          <w:p>
            <w:pPr>
              <w:pStyle w:val="TableParagraph"/>
              <w:spacing w:line="219" w:lineRule="exact"/>
              <w:ind w:left="374"/>
              <w:rPr>
                <w:sz w:val="12"/>
              </w:rPr>
            </w:pPr>
            <w:r>
              <w:rPr>
                <w:sz w:val="18"/>
              </w:rPr>
              <w:t>28.5 ± 5.1</w:t>
            </w:r>
            <w:r>
              <w:rPr>
                <w:position w:val="8"/>
                <w:sz w:val="12"/>
              </w:rPr>
              <w:t>b</w:t>
            </w:r>
          </w:p>
        </w:tc>
        <w:tc>
          <w:tcPr>
            <w:tcW w:w="1576" w:type="dxa"/>
            <w:tcBorders>
              <w:top w:val="nil"/>
              <w:left w:val="nil"/>
              <w:bottom w:val="nil"/>
              <w:right w:val="nil"/>
            </w:tcBorders>
          </w:tcPr>
          <w:p>
            <w:pPr>
              <w:pStyle w:val="TableParagraph"/>
              <w:spacing w:line="219" w:lineRule="exact"/>
              <w:ind w:left="328" w:right="328"/>
              <w:jc w:val="center"/>
              <w:rPr>
                <w:sz w:val="12"/>
              </w:rPr>
            </w:pPr>
            <w:r>
              <w:rPr>
                <w:sz w:val="18"/>
              </w:rPr>
              <w:t>2.62 ± 0.17</w:t>
            </w:r>
            <w:r>
              <w:rPr>
                <w:position w:val="8"/>
                <w:sz w:val="12"/>
              </w:rPr>
              <w:t>b</w:t>
            </w:r>
          </w:p>
        </w:tc>
        <w:tc>
          <w:tcPr>
            <w:tcW w:w="1754" w:type="dxa"/>
            <w:tcBorders>
              <w:top w:val="nil"/>
              <w:left w:val="nil"/>
              <w:bottom w:val="nil"/>
              <w:right w:val="nil"/>
            </w:tcBorders>
          </w:tcPr>
          <w:p>
            <w:pPr>
              <w:pStyle w:val="TableParagraph"/>
              <w:spacing w:line="219" w:lineRule="exact"/>
              <w:ind w:right="330"/>
              <w:jc w:val="right"/>
              <w:rPr>
                <w:sz w:val="12"/>
              </w:rPr>
            </w:pPr>
            <w:r>
              <w:rPr>
                <w:sz w:val="18"/>
              </w:rPr>
              <w:t>14.430 ± 1.64</w:t>
            </w:r>
            <w:r>
              <w:rPr>
                <w:position w:val="8"/>
                <w:sz w:val="12"/>
              </w:rPr>
              <w:t>b</w:t>
            </w:r>
          </w:p>
        </w:tc>
        <w:tc>
          <w:tcPr>
            <w:tcW w:w="1755" w:type="dxa"/>
            <w:tcBorders>
              <w:top w:val="nil"/>
              <w:left w:val="nil"/>
              <w:bottom w:val="nil"/>
              <w:right w:val="nil"/>
            </w:tcBorders>
          </w:tcPr>
          <w:p>
            <w:pPr>
              <w:pStyle w:val="TableParagraph"/>
              <w:spacing w:line="219" w:lineRule="exact"/>
              <w:ind w:right="338"/>
              <w:jc w:val="right"/>
              <w:rPr>
                <w:sz w:val="12"/>
              </w:rPr>
            </w:pPr>
            <w:r>
              <w:rPr>
                <w:sz w:val="18"/>
              </w:rPr>
              <w:t>187.2 ± 12.5</w:t>
            </w:r>
            <w:r>
              <w:rPr>
                <w:position w:val="8"/>
                <w:sz w:val="12"/>
              </w:rPr>
              <w:t>a</w:t>
            </w:r>
          </w:p>
        </w:tc>
        <w:tc>
          <w:tcPr>
            <w:tcW w:w="1499" w:type="dxa"/>
            <w:tcBorders>
              <w:top w:val="nil"/>
              <w:left w:val="nil"/>
              <w:bottom w:val="nil"/>
              <w:right w:val="nil"/>
            </w:tcBorders>
          </w:tcPr>
          <w:p>
            <w:pPr>
              <w:pStyle w:val="TableParagraph"/>
              <w:spacing w:line="219" w:lineRule="exact"/>
              <w:ind w:right="82"/>
              <w:jc w:val="right"/>
              <w:rPr>
                <w:sz w:val="12"/>
              </w:rPr>
            </w:pPr>
            <w:r>
              <w:rPr>
                <w:sz w:val="18"/>
              </w:rPr>
              <w:t>187.4 ± 12.6</w:t>
            </w:r>
            <w:r>
              <w:rPr>
                <w:position w:val="8"/>
                <w:sz w:val="12"/>
              </w:rPr>
              <w:t>a</w:t>
            </w:r>
          </w:p>
        </w:tc>
      </w:tr>
      <w:tr>
        <w:trPr>
          <w:trHeight w:val="235" w:hRule="exact"/>
        </w:trPr>
        <w:tc>
          <w:tcPr>
            <w:tcW w:w="1443" w:type="dxa"/>
            <w:tcBorders>
              <w:top w:val="nil"/>
              <w:left w:val="nil"/>
              <w:bottom w:val="nil"/>
              <w:right w:val="nil"/>
            </w:tcBorders>
          </w:tcPr>
          <w:p>
            <w:pPr>
              <w:pStyle w:val="TableParagraph"/>
              <w:spacing w:before="12"/>
              <w:ind w:left="35"/>
              <w:rPr>
                <w:sz w:val="18"/>
              </w:rPr>
            </w:pPr>
            <w:r>
              <w:rPr>
                <w:sz w:val="18"/>
              </w:rPr>
              <w:t>Anglo-Nubian</w:t>
            </w:r>
          </w:p>
        </w:tc>
        <w:tc>
          <w:tcPr>
            <w:tcW w:w="1586" w:type="dxa"/>
            <w:tcBorders>
              <w:top w:val="nil"/>
              <w:left w:val="nil"/>
              <w:bottom w:val="nil"/>
              <w:right w:val="nil"/>
            </w:tcBorders>
          </w:tcPr>
          <w:p>
            <w:pPr>
              <w:pStyle w:val="TableParagraph"/>
              <w:spacing w:line="219" w:lineRule="exact"/>
              <w:ind w:left="374"/>
              <w:rPr>
                <w:sz w:val="12"/>
              </w:rPr>
            </w:pPr>
            <w:r>
              <w:rPr>
                <w:sz w:val="18"/>
              </w:rPr>
              <w:t>42.8 ± 6.5</w:t>
            </w:r>
            <w:r>
              <w:rPr>
                <w:position w:val="8"/>
                <w:sz w:val="12"/>
              </w:rPr>
              <w:t>a</w:t>
            </w:r>
          </w:p>
        </w:tc>
        <w:tc>
          <w:tcPr>
            <w:tcW w:w="1576" w:type="dxa"/>
            <w:tcBorders>
              <w:top w:val="nil"/>
              <w:left w:val="nil"/>
              <w:bottom w:val="nil"/>
              <w:right w:val="nil"/>
            </w:tcBorders>
          </w:tcPr>
          <w:p>
            <w:pPr>
              <w:pStyle w:val="TableParagraph"/>
              <w:spacing w:line="219" w:lineRule="exact"/>
              <w:ind w:left="322" w:right="328"/>
              <w:jc w:val="center"/>
              <w:rPr>
                <w:sz w:val="12"/>
              </w:rPr>
            </w:pPr>
            <w:r>
              <w:rPr>
                <w:sz w:val="18"/>
              </w:rPr>
              <w:t>2.07 ± 0.22</w:t>
            </w:r>
            <w:r>
              <w:rPr>
                <w:position w:val="8"/>
                <w:sz w:val="12"/>
              </w:rPr>
              <w:t>a</w:t>
            </w:r>
          </w:p>
        </w:tc>
        <w:tc>
          <w:tcPr>
            <w:tcW w:w="1754" w:type="dxa"/>
            <w:tcBorders>
              <w:top w:val="nil"/>
              <w:left w:val="nil"/>
              <w:bottom w:val="nil"/>
              <w:right w:val="nil"/>
            </w:tcBorders>
          </w:tcPr>
          <w:p>
            <w:pPr>
              <w:pStyle w:val="TableParagraph"/>
              <w:spacing w:line="219" w:lineRule="exact"/>
              <w:ind w:right="338"/>
              <w:jc w:val="right"/>
              <w:rPr>
                <w:sz w:val="12"/>
              </w:rPr>
            </w:pPr>
            <w:r>
              <w:rPr>
                <w:sz w:val="18"/>
              </w:rPr>
              <w:t>8.860 ± 2.02</w:t>
            </w:r>
            <w:r>
              <w:rPr>
                <w:position w:val="8"/>
                <w:sz w:val="12"/>
              </w:rPr>
              <w:t>a</w:t>
            </w:r>
          </w:p>
        </w:tc>
        <w:tc>
          <w:tcPr>
            <w:tcW w:w="1755" w:type="dxa"/>
            <w:tcBorders>
              <w:top w:val="nil"/>
              <w:left w:val="nil"/>
              <w:bottom w:val="nil"/>
              <w:right w:val="nil"/>
            </w:tcBorders>
          </w:tcPr>
          <w:p>
            <w:pPr>
              <w:pStyle w:val="TableParagraph"/>
              <w:spacing w:line="219" w:lineRule="exact"/>
              <w:ind w:right="330"/>
              <w:jc w:val="right"/>
              <w:rPr>
                <w:sz w:val="12"/>
              </w:rPr>
            </w:pPr>
            <w:r>
              <w:rPr>
                <w:sz w:val="18"/>
              </w:rPr>
              <w:t>152.6 ± 13.8</w:t>
            </w:r>
            <w:r>
              <w:rPr>
                <w:position w:val="8"/>
                <w:sz w:val="12"/>
              </w:rPr>
              <w:t>b</w:t>
            </w:r>
          </w:p>
        </w:tc>
        <w:tc>
          <w:tcPr>
            <w:tcW w:w="1499" w:type="dxa"/>
            <w:tcBorders>
              <w:top w:val="nil"/>
              <w:left w:val="nil"/>
              <w:bottom w:val="nil"/>
              <w:right w:val="nil"/>
            </w:tcBorders>
          </w:tcPr>
          <w:p>
            <w:pPr>
              <w:pStyle w:val="TableParagraph"/>
              <w:spacing w:line="219" w:lineRule="exact"/>
              <w:ind w:right="73"/>
              <w:jc w:val="right"/>
              <w:rPr>
                <w:sz w:val="12"/>
              </w:rPr>
            </w:pPr>
            <w:r>
              <w:rPr>
                <w:sz w:val="18"/>
              </w:rPr>
              <w:t>152.6 ± 13.9</w:t>
            </w:r>
            <w:r>
              <w:rPr>
                <w:position w:val="8"/>
                <w:sz w:val="12"/>
              </w:rPr>
              <w:t>b</w:t>
            </w:r>
          </w:p>
        </w:tc>
      </w:tr>
      <w:tr>
        <w:trPr>
          <w:trHeight w:val="423" w:hRule="exact"/>
        </w:trPr>
        <w:tc>
          <w:tcPr>
            <w:tcW w:w="1443" w:type="dxa"/>
            <w:tcBorders>
              <w:top w:val="nil"/>
              <w:left w:val="nil"/>
              <w:bottom w:val="nil"/>
              <w:right w:val="nil"/>
            </w:tcBorders>
          </w:tcPr>
          <w:p>
            <w:pPr>
              <w:pStyle w:val="TableParagraph"/>
              <w:spacing w:line="204" w:lineRule="exact"/>
              <w:ind w:left="35"/>
              <w:rPr>
                <w:i/>
                <w:sz w:val="18"/>
              </w:rPr>
            </w:pPr>
            <w:r>
              <w:rPr>
                <w:i/>
                <w:sz w:val="18"/>
              </w:rPr>
              <w:t>Type of kidding</w:t>
            </w:r>
          </w:p>
          <w:p>
            <w:pPr>
              <w:pStyle w:val="TableParagraph"/>
              <w:spacing w:before="12"/>
              <w:ind w:left="35"/>
              <w:rPr>
                <w:sz w:val="18"/>
              </w:rPr>
            </w:pPr>
            <w:r>
              <w:rPr>
                <w:sz w:val="18"/>
              </w:rPr>
              <w:t>Single</w:t>
            </w:r>
          </w:p>
        </w:tc>
        <w:tc>
          <w:tcPr>
            <w:tcW w:w="1586" w:type="dxa"/>
            <w:tcBorders>
              <w:top w:val="nil"/>
              <w:left w:val="nil"/>
              <w:bottom w:val="nil"/>
              <w:right w:val="nil"/>
            </w:tcBorders>
          </w:tcPr>
          <w:p>
            <w:pPr>
              <w:pStyle w:val="TableParagraph"/>
              <w:spacing w:before="8"/>
              <w:rPr>
                <w:sz w:val="16"/>
              </w:rPr>
            </w:pPr>
          </w:p>
          <w:p>
            <w:pPr>
              <w:pStyle w:val="TableParagraph"/>
              <w:ind w:left="284"/>
              <w:rPr>
                <w:sz w:val="12"/>
              </w:rPr>
            </w:pPr>
            <w:r>
              <w:rPr>
                <w:sz w:val="18"/>
              </w:rPr>
              <w:t>42.41 ± 3.9</w:t>
            </w:r>
            <w:r>
              <w:rPr>
                <w:position w:val="8"/>
                <w:sz w:val="12"/>
              </w:rPr>
              <w:t>a</w:t>
            </w:r>
          </w:p>
        </w:tc>
        <w:tc>
          <w:tcPr>
            <w:tcW w:w="1576" w:type="dxa"/>
            <w:tcBorders>
              <w:top w:val="nil"/>
              <w:left w:val="nil"/>
              <w:bottom w:val="nil"/>
              <w:right w:val="nil"/>
            </w:tcBorders>
          </w:tcPr>
          <w:p>
            <w:pPr>
              <w:pStyle w:val="TableParagraph"/>
              <w:spacing w:before="8"/>
              <w:rPr>
                <w:sz w:val="16"/>
              </w:rPr>
            </w:pPr>
          </w:p>
          <w:p>
            <w:pPr>
              <w:pStyle w:val="TableParagraph"/>
              <w:ind w:left="328" w:right="239"/>
              <w:jc w:val="center"/>
              <w:rPr>
                <w:sz w:val="12"/>
              </w:rPr>
            </w:pPr>
            <w:r>
              <w:rPr>
                <w:sz w:val="18"/>
              </w:rPr>
              <w:t>1.9 ± 0.13</w:t>
            </w:r>
            <w:r>
              <w:rPr>
                <w:position w:val="8"/>
                <w:sz w:val="12"/>
              </w:rPr>
              <w:t>b</w:t>
            </w:r>
          </w:p>
        </w:tc>
        <w:tc>
          <w:tcPr>
            <w:tcW w:w="1754" w:type="dxa"/>
            <w:tcBorders>
              <w:top w:val="nil"/>
              <w:left w:val="nil"/>
              <w:bottom w:val="nil"/>
              <w:right w:val="nil"/>
            </w:tcBorders>
          </w:tcPr>
          <w:p>
            <w:pPr>
              <w:pStyle w:val="TableParagraph"/>
              <w:spacing w:before="8"/>
              <w:rPr>
                <w:sz w:val="16"/>
              </w:rPr>
            </w:pPr>
          </w:p>
          <w:p>
            <w:pPr>
              <w:pStyle w:val="TableParagraph"/>
              <w:ind w:right="330"/>
              <w:jc w:val="right"/>
              <w:rPr>
                <w:sz w:val="12"/>
              </w:rPr>
            </w:pPr>
            <w:r>
              <w:rPr>
                <w:sz w:val="18"/>
              </w:rPr>
              <w:t>8.86 ± 1.26</w:t>
            </w:r>
            <w:r>
              <w:rPr>
                <w:position w:val="8"/>
                <w:sz w:val="12"/>
              </w:rPr>
              <w:t>b</w:t>
            </w:r>
          </w:p>
        </w:tc>
        <w:tc>
          <w:tcPr>
            <w:tcW w:w="1755" w:type="dxa"/>
            <w:tcBorders>
              <w:top w:val="nil"/>
              <w:left w:val="nil"/>
              <w:bottom w:val="nil"/>
              <w:right w:val="nil"/>
            </w:tcBorders>
          </w:tcPr>
          <w:p>
            <w:pPr>
              <w:pStyle w:val="TableParagraph"/>
              <w:spacing w:before="8"/>
              <w:rPr>
                <w:sz w:val="16"/>
              </w:rPr>
            </w:pPr>
          </w:p>
          <w:p>
            <w:pPr>
              <w:pStyle w:val="TableParagraph"/>
              <w:ind w:left="332"/>
              <w:rPr>
                <w:sz w:val="12"/>
              </w:rPr>
            </w:pPr>
            <w:r>
              <w:rPr>
                <w:sz w:val="18"/>
              </w:rPr>
              <w:t>146.97 ± 8.7</w:t>
            </w:r>
            <w:r>
              <w:rPr>
                <w:position w:val="8"/>
                <w:sz w:val="12"/>
              </w:rPr>
              <w:t>b</w:t>
            </w:r>
          </w:p>
        </w:tc>
        <w:tc>
          <w:tcPr>
            <w:tcW w:w="1499" w:type="dxa"/>
            <w:tcBorders>
              <w:top w:val="nil"/>
              <w:left w:val="nil"/>
              <w:bottom w:val="nil"/>
              <w:right w:val="nil"/>
            </w:tcBorders>
          </w:tcPr>
          <w:p>
            <w:pPr>
              <w:pStyle w:val="TableParagraph"/>
              <w:spacing w:before="8"/>
              <w:rPr>
                <w:sz w:val="16"/>
              </w:rPr>
            </w:pPr>
          </w:p>
          <w:p>
            <w:pPr>
              <w:pStyle w:val="TableParagraph"/>
              <w:ind w:left="332"/>
              <w:rPr>
                <w:sz w:val="12"/>
              </w:rPr>
            </w:pPr>
            <w:r>
              <w:rPr>
                <w:sz w:val="18"/>
              </w:rPr>
              <w:t>146.93 ± 8.79</w:t>
            </w:r>
            <w:r>
              <w:rPr>
                <w:position w:val="8"/>
                <w:sz w:val="12"/>
              </w:rPr>
              <w:t>b</w:t>
            </w:r>
          </w:p>
        </w:tc>
      </w:tr>
      <w:tr>
        <w:trPr>
          <w:trHeight w:val="300" w:hRule="exact"/>
        </w:trPr>
        <w:tc>
          <w:tcPr>
            <w:tcW w:w="1443" w:type="dxa"/>
            <w:tcBorders>
              <w:top w:val="nil"/>
              <w:left w:val="nil"/>
              <w:bottom w:val="single" w:sz="4" w:space="0" w:color="000000"/>
              <w:right w:val="nil"/>
            </w:tcBorders>
          </w:tcPr>
          <w:p>
            <w:pPr>
              <w:pStyle w:val="TableParagraph"/>
              <w:spacing w:before="12"/>
              <w:ind w:left="35"/>
              <w:rPr>
                <w:sz w:val="18"/>
              </w:rPr>
            </w:pPr>
            <w:r>
              <w:rPr>
                <w:sz w:val="18"/>
              </w:rPr>
              <w:t>Twin</w:t>
            </w:r>
          </w:p>
        </w:tc>
        <w:tc>
          <w:tcPr>
            <w:tcW w:w="1586" w:type="dxa"/>
            <w:tcBorders>
              <w:top w:val="nil"/>
              <w:left w:val="nil"/>
              <w:bottom w:val="single" w:sz="4" w:space="0" w:color="000000"/>
              <w:right w:val="nil"/>
            </w:tcBorders>
          </w:tcPr>
          <w:p>
            <w:pPr>
              <w:pStyle w:val="TableParagraph"/>
              <w:spacing w:line="219" w:lineRule="exact"/>
              <w:ind w:left="284"/>
              <w:rPr>
                <w:sz w:val="12"/>
              </w:rPr>
            </w:pPr>
            <w:r>
              <w:rPr>
                <w:sz w:val="18"/>
              </w:rPr>
              <w:t>30.81 ± 5.0</w:t>
            </w:r>
            <w:r>
              <w:rPr>
                <w:position w:val="8"/>
                <w:sz w:val="12"/>
              </w:rPr>
              <w:t>b</w:t>
            </w:r>
          </w:p>
        </w:tc>
        <w:tc>
          <w:tcPr>
            <w:tcW w:w="1576" w:type="dxa"/>
            <w:tcBorders>
              <w:top w:val="nil"/>
              <w:left w:val="nil"/>
              <w:bottom w:val="single" w:sz="4" w:space="0" w:color="000000"/>
              <w:right w:val="nil"/>
            </w:tcBorders>
          </w:tcPr>
          <w:p>
            <w:pPr>
              <w:pStyle w:val="TableParagraph"/>
              <w:spacing w:line="219" w:lineRule="exact"/>
              <w:ind w:left="328" w:right="247"/>
              <w:jc w:val="center"/>
              <w:rPr>
                <w:sz w:val="12"/>
              </w:rPr>
            </w:pPr>
            <w:r>
              <w:rPr>
                <w:sz w:val="18"/>
              </w:rPr>
              <w:t>2.9 ± 0.17</w:t>
            </w:r>
            <w:r>
              <w:rPr>
                <w:position w:val="8"/>
                <w:sz w:val="12"/>
              </w:rPr>
              <w:t>a</w:t>
            </w:r>
          </w:p>
        </w:tc>
        <w:tc>
          <w:tcPr>
            <w:tcW w:w="1754" w:type="dxa"/>
            <w:tcBorders>
              <w:top w:val="nil"/>
              <w:left w:val="nil"/>
              <w:bottom w:val="single" w:sz="4" w:space="0" w:color="000000"/>
              <w:right w:val="nil"/>
            </w:tcBorders>
          </w:tcPr>
          <w:p>
            <w:pPr>
              <w:pStyle w:val="TableParagraph"/>
              <w:spacing w:line="219" w:lineRule="exact"/>
              <w:ind w:right="338"/>
              <w:jc w:val="right"/>
              <w:rPr>
                <w:sz w:val="12"/>
              </w:rPr>
            </w:pPr>
            <w:r>
              <w:rPr>
                <w:sz w:val="18"/>
              </w:rPr>
              <w:t>12.66 ± 1.64</w:t>
            </w:r>
            <w:r>
              <w:rPr>
                <w:position w:val="8"/>
                <w:sz w:val="12"/>
              </w:rPr>
              <w:t>a</w:t>
            </w:r>
          </w:p>
        </w:tc>
        <w:tc>
          <w:tcPr>
            <w:tcW w:w="1755" w:type="dxa"/>
            <w:tcBorders>
              <w:top w:val="nil"/>
              <w:left w:val="nil"/>
              <w:bottom w:val="single" w:sz="4" w:space="0" w:color="000000"/>
              <w:right w:val="nil"/>
            </w:tcBorders>
          </w:tcPr>
          <w:p>
            <w:pPr>
              <w:pStyle w:val="TableParagraph"/>
              <w:spacing w:line="219" w:lineRule="exact"/>
              <w:ind w:right="344"/>
              <w:jc w:val="right"/>
              <w:rPr>
                <w:sz w:val="12"/>
              </w:rPr>
            </w:pPr>
            <w:r>
              <w:rPr>
                <w:sz w:val="18"/>
              </w:rPr>
              <w:t>208.64 ± 11.8</w:t>
            </w:r>
            <w:r>
              <w:rPr>
                <w:position w:val="8"/>
                <w:sz w:val="12"/>
              </w:rPr>
              <w:t>a</w:t>
            </w:r>
          </w:p>
        </w:tc>
        <w:tc>
          <w:tcPr>
            <w:tcW w:w="1499" w:type="dxa"/>
            <w:tcBorders>
              <w:top w:val="nil"/>
              <w:left w:val="nil"/>
              <w:bottom w:val="single" w:sz="4" w:space="0" w:color="000000"/>
              <w:right w:val="nil"/>
            </w:tcBorders>
          </w:tcPr>
          <w:p>
            <w:pPr>
              <w:pStyle w:val="TableParagraph"/>
              <w:spacing w:line="219" w:lineRule="exact"/>
              <w:jc w:val="right"/>
              <w:rPr>
                <w:sz w:val="12"/>
              </w:rPr>
            </w:pPr>
            <w:r>
              <w:rPr>
                <w:sz w:val="18"/>
              </w:rPr>
              <w:t>208.77 ± 11.84</w:t>
            </w:r>
            <w:r>
              <w:rPr>
                <w:position w:val="8"/>
                <w:sz w:val="12"/>
              </w:rPr>
              <w:t>a</w:t>
            </w:r>
          </w:p>
        </w:tc>
      </w:tr>
    </w:tbl>
    <w:p>
      <w:pPr>
        <w:spacing w:before="26"/>
        <w:ind w:left="145" w:right="0" w:firstLine="0"/>
        <w:jc w:val="left"/>
        <w:rPr>
          <w:sz w:val="16"/>
        </w:rPr>
      </w:pPr>
      <w:r>
        <w:rPr>
          <w:position w:val="7"/>
          <w:sz w:val="10"/>
        </w:rPr>
        <w:t>a,b</w:t>
      </w:r>
      <w:r>
        <w:rPr>
          <w:sz w:val="16"/>
        </w:rPr>
        <w:t>Means within a column with different letters differ (</w:t>
      </w:r>
      <w:r>
        <w:rPr>
          <w:i/>
          <w:sz w:val="16"/>
        </w:rPr>
        <w:t>P </w:t>
      </w:r>
      <w:r>
        <w:rPr>
          <w:sz w:val="16"/>
        </w:rPr>
        <w:t>&lt;  0.05).</w:t>
      </w:r>
    </w:p>
    <w:p>
      <w:pPr>
        <w:pStyle w:val="BodyText"/>
        <w:spacing w:before="10"/>
        <w:rPr>
          <w:sz w:val="15"/>
        </w:rPr>
      </w:pPr>
    </w:p>
    <w:p>
      <w:pPr>
        <w:spacing w:after="0"/>
        <w:rPr>
          <w:sz w:val="15"/>
        </w:rPr>
        <w:sectPr>
          <w:pgSz w:w="12190" w:h="15880"/>
          <w:pgMar w:header="1017" w:footer="0" w:top="1200" w:bottom="280" w:left="1160" w:right="1200"/>
        </w:sectPr>
      </w:pPr>
    </w:p>
    <w:p>
      <w:pPr>
        <w:pStyle w:val="BodyText"/>
        <w:spacing w:before="7"/>
        <w:rPr>
          <w:sz w:val="21"/>
        </w:rPr>
      </w:pPr>
    </w:p>
    <w:p>
      <w:pPr>
        <w:spacing w:line="200" w:lineRule="exact" w:before="0"/>
        <w:ind w:left="157" w:right="0" w:firstLine="0"/>
        <w:jc w:val="left"/>
        <w:rPr>
          <w:sz w:val="18"/>
        </w:rPr>
      </w:pPr>
      <w:r>
        <w:rPr/>
        <w:pict>
          <v:line style="position:absolute;mso-position-horizontal-relative:page;mso-position-vertical-relative:paragraph;z-index:1720" from="65.876999pt,23.675097pt" to="293.385999pt,23.675097pt" stroked="true" strokeweight=".51pt" strokecolor="#000000">
            <w10:wrap type="none"/>
          </v:line>
        </w:pict>
      </w:r>
      <w:r>
        <w:rPr>
          <w:sz w:val="18"/>
        </w:rPr>
        <w:t>Table 4. Dry matter intake and live weight in lactating goats according to breed.</w:t>
      </w:r>
    </w:p>
    <w:p>
      <w:pPr>
        <w:spacing w:before="160"/>
        <w:ind w:left="2644" w:right="1673" w:firstLine="0"/>
        <w:jc w:val="center"/>
        <w:rPr>
          <w:sz w:val="18"/>
        </w:rPr>
      </w:pPr>
      <w:r>
        <w:rPr>
          <w:sz w:val="18"/>
        </w:rPr>
        <w:t>DMI</w:t>
      </w:r>
    </w:p>
    <w:p>
      <w:pPr>
        <w:pStyle w:val="BodyText"/>
        <w:spacing w:line="249" w:lineRule="auto" w:before="74"/>
        <w:ind w:left="157" w:right="103"/>
        <w:jc w:val="both"/>
      </w:pPr>
      <w:r>
        <w:rPr/>
        <w:br w:type="column"/>
      </w:r>
      <w:r>
        <w:rPr/>
        <w:t>than SG breed (</w:t>
      </w:r>
      <w:hyperlink w:history="true" w:anchor="_bookmark3">
        <w:r>
          <w:rPr>
            <w:color w:val="000084"/>
          </w:rPr>
          <w:t>Table 4</w:t>
        </w:r>
      </w:hyperlink>
      <w:r>
        <w:rPr/>
        <w:t>). Breeds type (i.e., AG, SG and ANG) and kidding type (i.e., single or twin suckled lambs) were a non-influential factors (</w:t>
      </w:r>
      <w:r>
        <w:rPr>
          <w:i/>
        </w:rPr>
        <w:t>P &gt; </w:t>
      </w:r>
      <w:r>
        <w:rPr/>
        <w:t>0.05) on each of WW or DWG. However, sex of suckled kids   signifi-</w:t>
      </w:r>
    </w:p>
    <w:p>
      <w:pPr>
        <w:spacing w:after="0" w:line="249" w:lineRule="auto"/>
        <w:jc w:val="both"/>
        <w:sectPr>
          <w:type w:val="continuous"/>
          <w:pgSz w:w="12190" w:h="15880"/>
          <w:pgMar w:top="380" w:bottom="0" w:left="1160" w:right="1200"/>
          <w:cols w:num="2" w:equalWidth="0">
            <w:col w:w="4708" w:space="308"/>
            <w:col w:w="4814"/>
          </w:cols>
        </w:sectPr>
      </w:pPr>
    </w:p>
    <w:p>
      <w:pPr>
        <w:tabs>
          <w:tab w:pos="1186" w:val="left" w:leader="none"/>
        </w:tabs>
        <w:spacing w:line="202" w:lineRule="exact" w:before="0"/>
        <w:ind w:left="157" w:right="0" w:firstLine="0"/>
        <w:jc w:val="left"/>
        <w:rPr>
          <w:sz w:val="18"/>
        </w:rPr>
      </w:pPr>
      <w:r>
        <w:rPr/>
        <w:pict>
          <v:line style="position:absolute;mso-position-horizontal-relative:page;mso-position-vertical-relative:paragraph;z-index:1768" from="65.876999pt,14.37142pt" to="293.385999pt,14.37142pt" stroked="true" strokeweight=".51pt" strokecolor="#000000">
            <w10:wrap type="none"/>
          </v:line>
        </w:pict>
      </w:r>
      <w:r>
        <w:rPr>
          <w:spacing w:val="-3"/>
          <w:sz w:val="18"/>
        </w:rPr>
        <w:t>Variable</w:t>
        <w:tab/>
      </w:r>
      <w:r>
        <w:rPr>
          <w:sz w:val="18"/>
        </w:rPr>
        <w:t>DMI</w:t>
      </w:r>
      <w:r>
        <w:rPr>
          <w:spacing w:val="3"/>
          <w:sz w:val="18"/>
        </w:rPr>
        <w:t> </w:t>
      </w:r>
      <w:r>
        <w:rPr>
          <w:sz w:val="18"/>
        </w:rPr>
        <w:t>(kg/d)</w:t>
      </w:r>
    </w:p>
    <w:p>
      <w:pPr>
        <w:tabs>
          <w:tab w:pos="1634" w:val="left" w:leader="none"/>
        </w:tabs>
        <w:spacing w:line="202" w:lineRule="exact" w:before="0"/>
        <w:ind w:left="157" w:right="0" w:firstLine="0"/>
        <w:jc w:val="left"/>
        <w:rPr>
          <w:sz w:val="18"/>
        </w:rPr>
      </w:pPr>
      <w:r>
        <w:rPr/>
        <w:br w:type="column"/>
      </w:r>
      <w:r>
        <w:rPr>
          <w:sz w:val="18"/>
        </w:rPr>
        <w:t>(g/kg</w:t>
      </w:r>
      <w:r>
        <w:rPr>
          <w:spacing w:val="20"/>
          <w:sz w:val="18"/>
        </w:rPr>
        <w:t> </w:t>
      </w:r>
      <w:r>
        <w:rPr>
          <w:sz w:val="18"/>
        </w:rPr>
        <w:t>BW</w:t>
      </w:r>
      <w:r>
        <w:rPr>
          <w:position w:val="8"/>
          <w:sz w:val="12"/>
        </w:rPr>
        <w:t>0.75</w:t>
      </w:r>
      <w:r>
        <w:rPr>
          <w:sz w:val="18"/>
        </w:rPr>
        <w:t>)</w:t>
        <w:tab/>
      </w:r>
      <w:r>
        <w:rPr>
          <w:spacing w:val="-7"/>
          <w:sz w:val="18"/>
        </w:rPr>
        <w:t>LW</w:t>
      </w:r>
      <w:r>
        <w:rPr>
          <w:spacing w:val="5"/>
          <w:sz w:val="18"/>
        </w:rPr>
        <w:t> </w:t>
      </w:r>
      <w:r>
        <w:rPr>
          <w:sz w:val="18"/>
        </w:rPr>
        <w:t>(kg)</w:t>
      </w:r>
    </w:p>
    <w:p>
      <w:pPr>
        <w:pStyle w:val="BodyText"/>
        <w:ind w:left="157"/>
      </w:pPr>
      <w:r>
        <w:rPr/>
        <w:br w:type="column"/>
      </w:r>
      <w:r>
        <w:rPr/>
        <w:t>cantly (</w:t>
      </w:r>
      <w:r>
        <w:rPr>
          <w:i/>
        </w:rPr>
        <w:t>P &lt; </w:t>
      </w:r>
      <w:r>
        <w:rPr/>
        <w:t>0.05) affected both of WW and DWG; male</w:t>
      </w:r>
    </w:p>
    <w:p>
      <w:pPr>
        <w:spacing w:after="0"/>
        <w:sectPr>
          <w:type w:val="continuous"/>
          <w:pgSz w:w="12190" w:h="15880"/>
          <w:pgMar w:top="380" w:bottom="0" w:left="1160" w:right="1200"/>
          <w:cols w:num="3" w:equalWidth="0">
            <w:col w:w="2026" w:space="147"/>
            <w:col w:w="2253" w:space="589"/>
            <w:col w:w="4815"/>
          </w:cols>
        </w:sectPr>
      </w:pPr>
    </w:p>
    <w:p>
      <w:pPr>
        <w:tabs>
          <w:tab w:pos="1061" w:val="left" w:leader="none"/>
          <w:tab w:pos="2705" w:val="left" w:leader="none"/>
          <w:tab w:pos="3527" w:val="left" w:leader="none"/>
        </w:tabs>
        <w:spacing w:line="225" w:lineRule="exact" w:before="74"/>
        <w:ind w:left="157" w:right="0" w:firstLine="0"/>
        <w:jc w:val="left"/>
        <w:rPr>
          <w:sz w:val="12"/>
        </w:rPr>
      </w:pPr>
      <w:r>
        <w:rPr>
          <w:sz w:val="18"/>
        </w:rPr>
        <w:t>Alpine</w:t>
        <w:tab/>
        <w:t>2.815</w:t>
      </w:r>
      <w:r>
        <w:rPr>
          <w:spacing w:val="14"/>
          <w:sz w:val="18"/>
        </w:rPr>
        <w:t> </w:t>
      </w:r>
      <w:r>
        <w:rPr>
          <w:sz w:val="18"/>
        </w:rPr>
        <w:t>±</w:t>
      </w:r>
      <w:r>
        <w:rPr>
          <w:spacing w:val="15"/>
          <w:sz w:val="18"/>
        </w:rPr>
        <w:t> </w:t>
      </w:r>
      <w:r>
        <w:rPr>
          <w:sz w:val="18"/>
        </w:rPr>
        <w:t>0.016</w:t>
      </w:r>
      <w:r>
        <w:rPr>
          <w:position w:val="8"/>
          <w:sz w:val="12"/>
        </w:rPr>
        <w:t>a</w:t>
        <w:tab/>
      </w:r>
      <w:r>
        <w:rPr>
          <w:sz w:val="18"/>
        </w:rPr>
        <w:t>156</w:t>
        <w:tab/>
        <w:t>47.311 ±</w:t>
      </w:r>
      <w:r>
        <w:rPr>
          <w:spacing w:val="22"/>
          <w:sz w:val="18"/>
        </w:rPr>
        <w:t> </w:t>
      </w:r>
      <w:r>
        <w:rPr>
          <w:sz w:val="18"/>
        </w:rPr>
        <w:t>0.716</w:t>
      </w:r>
      <w:r>
        <w:rPr>
          <w:position w:val="8"/>
          <w:sz w:val="12"/>
        </w:rPr>
        <w:t>a</w:t>
      </w:r>
    </w:p>
    <w:p>
      <w:pPr>
        <w:tabs>
          <w:tab w:pos="1061" w:val="left" w:leader="none"/>
          <w:tab w:pos="2705" w:val="left" w:leader="none"/>
          <w:tab w:pos="3527" w:val="left" w:leader="none"/>
        </w:tabs>
        <w:spacing w:line="225" w:lineRule="exact" w:before="0"/>
        <w:ind w:left="157" w:right="0" w:firstLine="0"/>
        <w:jc w:val="left"/>
        <w:rPr>
          <w:sz w:val="12"/>
        </w:rPr>
      </w:pPr>
      <w:r>
        <w:rPr>
          <w:sz w:val="18"/>
        </w:rPr>
        <w:t>Saanen</w:t>
        <w:tab/>
        <w:t>2.765</w:t>
      </w:r>
      <w:r>
        <w:rPr>
          <w:spacing w:val="14"/>
          <w:sz w:val="18"/>
        </w:rPr>
        <w:t> </w:t>
      </w:r>
      <w:r>
        <w:rPr>
          <w:sz w:val="18"/>
        </w:rPr>
        <w:t>±</w:t>
      </w:r>
      <w:r>
        <w:rPr>
          <w:spacing w:val="15"/>
          <w:sz w:val="18"/>
        </w:rPr>
        <w:t> </w:t>
      </w:r>
      <w:r>
        <w:rPr>
          <w:sz w:val="18"/>
        </w:rPr>
        <w:t>0.016</w:t>
      </w:r>
      <w:r>
        <w:rPr>
          <w:position w:val="8"/>
          <w:sz w:val="12"/>
        </w:rPr>
        <w:t>b</w:t>
        <w:tab/>
      </w:r>
      <w:r>
        <w:rPr>
          <w:sz w:val="18"/>
        </w:rPr>
        <w:t>162</w:t>
        <w:tab/>
        <w:t>44.037 ±</w:t>
      </w:r>
      <w:r>
        <w:rPr>
          <w:spacing w:val="31"/>
          <w:sz w:val="18"/>
        </w:rPr>
        <w:t> </w:t>
      </w:r>
      <w:r>
        <w:rPr>
          <w:sz w:val="18"/>
        </w:rPr>
        <w:t>0.779</w:t>
      </w:r>
      <w:r>
        <w:rPr>
          <w:position w:val="8"/>
          <w:sz w:val="12"/>
        </w:rPr>
        <w:t>b</w:t>
      </w:r>
    </w:p>
    <w:p>
      <w:pPr>
        <w:pStyle w:val="BodyText"/>
        <w:spacing w:line="249" w:lineRule="auto" w:before="10"/>
        <w:ind w:left="157"/>
      </w:pPr>
      <w:r>
        <w:rPr/>
        <w:br w:type="column"/>
      </w:r>
      <w:r>
        <w:rPr/>
        <w:t>suckled kids had higher WW and DWG compared to female suckled kids (</w:t>
      </w:r>
      <w:hyperlink w:history="true" w:anchor="_bookmark3">
        <w:r>
          <w:rPr>
            <w:color w:val="000084"/>
          </w:rPr>
          <w:t>Table 5</w:t>
        </w:r>
      </w:hyperlink>
      <w:r>
        <w:rPr/>
        <w:t>).</w:t>
      </w:r>
    </w:p>
    <w:p>
      <w:pPr>
        <w:spacing w:after="0" w:line="249" w:lineRule="auto"/>
        <w:sectPr>
          <w:type w:val="continuous"/>
          <w:pgSz w:w="12190" w:h="15880"/>
          <w:pgMar w:top="380" w:bottom="0" w:left="1160" w:right="1200"/>
          <w:cols w:num="2" w:equalWidth="0">
            <w:col w:w="4709" w:space="308"/>
            <w:col w:w="4813"/>
          </w:cols>
        </w:sectPr>
      </w:pPr>
    </w:p>
    <w:p>
      <w:pPr>
        <w:spacing w:before="12"/>
        <w:ind w:left="157" w:right="0" w:firstLine="0"/>
        <w:jc w:val="left"/>
        <w:rPr>
          <w:sz w:val="18"/>
        </w:rPr>
      </w:pPr>
      <w:r>
        <w:rPr>
          <w:sz w:val="18"/>
        </w:rPr>
        <w:t>Anglo-</w:t>
      </w:r>
    </w:p>
    <w:p>
      <w:pPr>
        <w:spacing w:before="12"/>
        <w:ind w:left="316" w:right="0" w:firstLine="0"/>
        <w:jc w:val="left"/>
        <w:rPr>
          <w:sz w:val="18"/>
        </w:rPr>
      </w:pPr>
      <w:r>
        <w:rPr/>
        <w:pict>
          <v:line style="position:absolute;mso-position-horizontal-relative:page;mso-position-vertical-relative:paragraph;z-index:1744" from="65.876999pt,12.007379pt" to="293.385999pt,12.007379pt" stroked="true" strokeweight=".45355pt" strokecolor="#000000">
            <w10:wrap type="none"/>
          </v:line>
        </w:pict>
      </w:r>
      <w:r>
        <w:rPr>
          <w:w w:val="95"/>
          <w:sz w:val="18"/>
        </w:rPr>
        <w:t>Nubian</w:t>
      </w:r>
    </w:p>
    <w:p>
      <w:pPr>
        <w:tabs>
          <w:tab w:pos="1801" w:val="left" w:leader="none"/>
          <w:tab w:pos="2623" w:val="left" w:leader="none"/>
        </w:tabs>
        <w:spacing w:line="219" w:lineRule="exact" w:before="0"/>
        <w:ind w:left="157" w:right="0" w:firstLine="0"/>
        <w:jc w:val="left"/>
        <w:rPr>
          <w:sz w:val="12"/>
        </w:rPr>
      </w:pPr>
      <w:r>
        <w:rPr/>
        <w:br w:type="column"/>
      </w:r>
      <w:r>
        <w:rPr>
          <w:sz w:val="18"/>
        </w:rPr>
        <w:t>2.559</w:t>
      </w:r>
      <w:r>
        <w:rPr>
          <w:spacing w:val="14"/>
          <w:sz w:val="18"/>
        </w:rPr>
        <w:t> </w:t>
      </w:r>
      <w:r>
        <w:rPr>
          <w:sz w:val="18"/>
        </w:rPr>
        <w:t>±</w:t>
      </w:r>
      <w:r>
        <w:rPr>
          <w:spacing w:val="15"/>
          <w:sz w:val="18"/>
        </w:rPr>
        <w:t> </w:t>
      </w:r>
      <w:r>
        <w:rPr>
          <w:sz w:val="18"/>
        </w:rPr>
        <w:t>0.016</w:t>
      </w:r>
      <w:r>
        <w:rPr>
          <w:position w:val="8"/>
          <w:sz w:val="12"/>
        </w:rPr>
        <w:t>c</w:t>
        <w:tab/>
      </w:r>
      <w:r>
        <w:rPr>
          <w:sz w:val="18"/>
        </w:rPr>
        <w:t>141</w:t>
        <w:tab/>
        <w:t>47.560 ±</w:t>
      </w:r>
      <w:r>
        <w:rPr>
          <w:spacing w:val="29"/>
          <w:sz w:val="18"/>
        </w:rPr>
        <w:t> </w:t>
      </w:r>
      <w:r>
        <w:rPr>
          <w:sz w:val="18"/>
        </w:rPr>
        <w:t>0.623</w:t>
      </w:r>
      <w:r>
        <w:rPr>
          <w:position w:val="8"/>
          <w:sz w:val="12"/>
        </w:rPr>
        <w:t>a</w:t>
      </w:r>
    </w:p>
    <w:p>
      <w:pPr>
        <w:spacing w:after="0" w:line="219" w:lineRule="exact"/>
        <w:jc w:val="left"/>
        <w:rPr>
          <w:sz w:val="12"/>
        </w:rPr>
        <w:sectPr>
          <w:type w:val="continuous"/>
          <w:pgSz w:w="12190" w:h="15880"/>
          <w:pgMar w:top="380" w:bottom="0" w:left="1160" w:right="1200"/>
          <w:cols w:num="2" w:equalWidth="0">
            <w:col w:w="841" w:space="62"/>
            <w:col w:w="8927"/>
          </w:cols>
        </w:sectPr>
      </w:pPr>
    </w:p>
    <w:p>
      <w:pPr>
        <w:spacing w:before="57"/>
        <w:ind w:left="157" w:right="0" w:firstLine="0"/>
        <w:jc w:val="both"/>
        <w:rPr>
          <w:sz w:val="16"/>
        </w:rPr>
      </w:pPr>
      <w:r>
        <w:rPr>
          <w:position w:val="7"/>
          <w:sz w:val="10"/>
        </w:rPr>
        <w:t>a,b,c</w:t>
      </w:r>
      <w:r>
        <w:rPr>
          <w:sz w:val="16"/>
        </w:rPr>
        <w:t>Means within a column with different letters differ (</w:t>
      </w:r>
      <w:r>
        <w:rPr>
          <w:i/>
          <w:sz w:val="16"/>
        </w:rPr>
        <w:t>P </w:t>
      </w:r>
      <w:r>
        <w:rPr>
          <w:sz w:val="16"/>
        </w:rPr>
        <w:t>&lt;   0.05).</w:t>
      </w:r>
    </w:p>
    <w:p>
      <w:pPr>
        <w:pStyle w:val="BodyText"/>
        <w:rPr>
          <w:sz w:val="18"/>
        </w:rPr>
      </w:pPr>
    </w:p>
    <w:p>
      <w:pPr>
        <w:pStyle w:val="BodyText"/>
        <w:spacing w:before="8"/>
        <w:rPr>
          <w:sz w:val="14"/>
        </w:rPr>
      </w:pPr>
    </w:p>
    <w:p>
      <w:pPr>
        <w:pStyle w:val="ListParagraph"/>
        <w:numPr>
          <w:ilvl w:val="1"/>
          <w:numId w:val="1"/>
        </w:numPr>
        <w:tabs>
          <w:tab w:pos="511" w:val="left" w:leader="none"/>
        </w:tabs>
        <w:spacing w:line="240" w:lineRule="auto" w:before="0" w:after="0"/>
        <w:ind w:left="510" w:right="0" w:hanging="365"/>
        <w:jc w:val="both"/>
        <w:rPr>
          <w:i/>
          <w:sz w:val="20"/>
        </w:rPr>
      </w:pPr>
      <w:r>
        <w:rPr>
          <w:i/>
          <w:sz w:val="20"/>
        </w:rPr>
        <w:t>Milk  yield</w:t>
      </w:r>
      <w:r>
        <w:rPr>
          <w:i/>
          <w:spacing w:val="5"/>
          <w:sz w:val="20"/>
        </w:rPr>
        <w:t> </w:t>
      </w:r>
      <w:r>
        <w:rPr>
          <w:i/>
          <w:sz w:val="20"/>
        </w:rPr>
        <w:t>production</w:t>
      </w:r>
    </w:p>
    <w:p>
      <w:pPr>
        <w:pStyle w:val="BodyText"/>
        <w:spacing w:line="254" w:lineRule="auto" w:before="69"/>
        <w:ind w:left="145"/>
        <w:jc w:val="both"/>
      </w:pPr>
      <w:r>
        <w:rPr/>
        <w:t>Anglo-Nubian</w:t>
      </w:r>
      <w:r>
        <w:rPr>
          <w:spacing w:val="-10"/>
        </w:rPr>
        <w:t> </w:t>
      </w:r>
      <w:r>
        <w:rPr/>
        <w:t>goat</w:t>
      </w:r>
      <w:r>
        <w:rPr>
          <w:spacing w:val="-9"/>
        </w:rPr>
        <w:t> </w:t>
      </w:r>
      <w:r>
        <w:rPr/>
        <w:t>breed</w:t>
      </w:r>
      <w:r>
        <w:rPr>
          <w:spacing w:val="-9"/>
        </w:rPr>
        <w:t> </w:t>
      </w:r>
      <w:r>
        <w:rPr/>
        <w:t>had</w:t>
      </w:r>
      <w:r>
        <w:rPr>
          <w:spacing w:val="-9"/>
        </w:rPr>
        <w:t> </w:t>
      </w:r>
      <w:r>
        <w:rPr/>
        <w:t>the</w:t>
      </w:r>
      <w:r>
        <w:rPr>
          <w:spacing w:val="-9"/>
        </w:rPr>
        <w:t> </w:t>
      </w:r>
      <w:r>
        <w:rPr/>
        <w:t>highest</w:t>
      </w:r>
      <w:r>
        <w:rPr>
          <w:spacing w:val="-10"/>
        </w:rPr>
        <w:t> </w:t>
      </w:r>
      <w:r>
        <w:rPr>
          <w:spacing w:val="15"/>
        </w:rPr>
        <w:t>(</w:t>
      </w:r>
      <w:r>
        <w:rPr>
          <w:i/>
          <w:spacing w:val="15"/>
        </w:rPr>
        <w:t>P&lt;</w:t>
      </w:r>
      <w:r>
        <w:rPr>
          <w:i/>
          <w:spacing w:val="-9"/>
        </w:rPr>
        <w:t> </w:t>
      </w:r>
      <w:r>
        <w:rPr/>
        <w:t>0.05)</w:t>
      </w:r>
      <w:r>
        <w:rPr>
          <w:spacing w:val="-9"/>
        </w:rPr>
        <w:t> </w:t>
      </w:r>
      <w:r>
        <w:rPr/>
        <w:t>TPY with the lowest </w:t>
      </w:r>
      <w:r>
        <w:rPr>
          <w:spacing w:val="3"/>
        </w:rPr>
        <w:t>(</w:t>
      </w:r>
      <w:r>
        <w:rPr>
          <w:i/>
          <w:spacing w:val="3"/>
        </w:rPr>
        <w:t>P </w:t>
      </w:r>
      <w:r>
        <w:rPr>
          <w:i/>
        </w:rPr>
        <w:t>&lt; </w:t>
      </w:r>
      <w:r>
        <w:rPr/>
        <w:t>0.05) maximum production per day (YP), </w:t>
      </w:r>
      <w:r>
        <w:rPr>
          <w:spacing w:val="-6"/>
        </w:rPr>
        <w:t>PTP, </w:t>
      </w:r>
      <w:r>
        <w:rPr>
          <w:spacing w:val="-5"/>
        </w:rPr>
        <w:t>OTP, </w:t>
      </w:r>
      <w:r>
        <w:rPr/>
        <w:t>and persistence. However, inversed trends</w:t>
      </w:r>
      <w:r>
        <w:rPr>
          <w:spacing w:val="-4"/>
        </w:rPr>
        <w:t> </w:t>
      </w:r>
      <w:r>
        <w:rPr/>
        <w:t>were</w:t>
      </w:r>
      <w:r>
        <w:rPr>
          <w:spacing w:val="-6"/>
        </w:rPr>
        <w:t> </w:t>
      </w:r>
      <w:r>
        <w:rPr/>
        <w:t>observed</w:t>
      </w:r>
      <w:r>
        <w:rPr>
          <w:spacing w:val="-5"/>
        </w:rPr>
        <w:t> </w:t>
      </w:r>
      <w:r>
        <w:rPr/>
        <w:t>(</w:t>
      </w:r>
      <w:r>
        <w:rPr>
          <w:i/>
        </w:rPr>
        <w:t>P</w:t>
      </w:r>
      <w:r>
        <w:rPr>
          <w:i/>
          <w:spacing w:val="-6"/>
        </w:rPr>
        <w:t> </w:t>
      </w:r>
      <w:r>
        <w:rPr>
          <w:i/>
        </w:rPr>
        <w:t>&lt;</w:t>
      </w:r>
      <w:r>
        <w:rPr>
          <w:i/>
          <w:spacing w:val="-5"/>
        </w:rPr>
        <w:t> </w:t>
      </w:r>
      <w:r>
        <w:rPr/>
        <w:t>0.05)</w:t>
      </w:r>
      <w:r>
        <w:rPr>
          <w:spacing w:val="-5"/>
        </w:rPr>
        <w:t> </w:t>
      </w:r>
      <w:r>
        <w:rPr/>
        <w:t>with</w:t>
      </w:r>
      <w:r>
        <w:rPr>
          <w:spacing w:val="-5"/>
        </w:rPr>
        <w:t> </w:t>
      </w:r>
      <w:r>
        <w:rPr/>
        <w:t>the</w:t>
      </w:r>
      <w:r>
        <w:rPr>
          <w:spacing w:val="-5"/>
        </w:rPr>
        <w:t> </w:t>
      </w:r>
      <w:r>
        <w:rPr/>
        <w:t>SG</w:t>
      </w:r>
      <w:r>
        <w:rPr>
          <w:spacing w:val="-6"/>
        </w:rPr>
        <w:t> </w:t>
      </w:r>
      <w:r>
        <w:rPr/>
        <w:t>breed.</w:t>
      </w:r>
      <w:r>
        <w:rPr>
          <w:spacing w:val="-5"/>
        </w:rPr>
        <w:t> </w:t>
      </w:r>
      <w:r>
        <w:rPr/>
        <w:t>With exception of </w:t>
      </w:r>
      <w:r>
        <w:rPr>
          <w:spacing w:val="-7"/>
        </w:rPr>
        <w:t>TPY, </w:t>
      </w:r>
      <w:r>
        <w:rPr/>
        <w:t>all of </w:t>
      </w:r>
      <w:r>
        <w:rPr>
          <w:spacing w:val="-7"/>
        </w:rPr>
        <w:t>YP, </w:t>
      </w:r>
      <w:r>
        <w:rPr>
          <w:spacing w:val="-6"/>
        </w:rPr>
        <w:t>PTP, OTP, </w:t>
      </w:r>
      <w:r>
        <w:rPr/>
        <w:t>and persistence were higher </w:t>
      </w:r>
      <w:r>
        <w:rPr>
          <w:spacing w:val="7"/>
        </w:rPr>
        <w:t>(</w:t>
      </w:r>
      <w:r>
        <w:rPr>
          <w:i/>
          <w:spacing w:val="7"/>
        </w:rPr>
        <w:t>P </w:t>
      </w:r>
      <w:r>
        <w:rPr>
          <w:i/>
        </w:rPr>
        <w:t>&lt; </w:t>
      </w:r>
      <w:r>
        <w:rPr/>
        <w:t>0.05) for goats with twin suckled kids than</w:t>
      </w:r>
      <w:r>
        <w:rPr>
          <w:spacing w:val="-9"/>
        </w:rPr>
        <w:t> </w:t>
      </w:r>
      <w:r>
        <w:rPr/>
        <w:t>those</w:t>
      </w:r>
      <w:r>
        <w:rPr>
          <w:spacing w:val="-8"/>
        </w:rPr>
        <w:t> </w:t>
      </w:r>
      <w:r>
        <w:rPr/>
        <w:t>with</w:t>
      </w:r>
      <w:r>
        <w:rPr>
          <w:spacing w:val="-8"/>
        </w:rPr>
        <w:t> </w:t>
      </w:r>
      <w:r>
        <w:rPr/>
        <w:t>single</w:t>
      </w:r>
      <w:r>
        <w:rPr>
          <w:spacing w:val="-9"/>
        </w:rPr>
        <w:t> </w:t>
      </w:r>
      <w:r>
        <w:rPr/>
        <w:t>suckled</w:t>
      </w:r>
      <w:r>
        <w:rPr>
          <w:spacing w:val="-9"/>
        </w:rPr>
        <w:t> </w:t>
      </w:r>
      <w:r>
        <w:rPr/>
        <w:t>kids</w:t>
      </w:r>
      <w:r>
        <w:rPr>
          <w:spacing w:val="-9"/>
        </w:rPr>
        <w:t> </w:t>
      </w:r>
      <w:r>
        <w:rPr/>
        <w:t>(</w:t>
      </w:r>
      <w:hyperlink w:history="true" w:anchor="_bookmark3">
        <w:r>
          <w:rPr>
            <w:color w:val="000084"/>
          </w:rPr>
          <w:t>Table</w:t>
        </w:r>
        <w:r>
          <w:rPr>
            <w:color w:val="000084"/>
            <w:spacing w:val="-9"/>
          </w:rPr>
          <w:t> </w:t>
        </w:r>
        <w:r>
          <w:rPr>
            <w:color w:val="000084"/>
          </w:rPr>
          <w:t>3</w:t>
        </w:r>
      </w:hyperlink>
      <w:r>
        <w:rPr/>
        <w:t>).</w:t>
      </w:r>
    </w:p>
    <w:p>
      <w:pPr>
        <w:pStyle w:val="BodyText"/>
      </w:pPr>
    </w:p>
    <w:p>
      <w:pPr>
        <w:pStyle w:val="BodyText"/>
        <w:spacing w:before="1"/>
        <w:rPr>
          <w:sz w:val="22"/>
        </w:rPr>
      </w:pPr>
    </w:p>
    <w:p>
      <w:pPr>
        <w:pStyle w:val="ListParagraph"/>
        <w:numPr>
          <w:ilvl w:val="1"/>
          <w:numId w:val="1"/>
        </w:numPr>
        <w:tabs>
          <w:tab w:pos="511" w:val="left" w:leader="none"/>
        </w:tabs>
        <w:spacing w:line="240" w:lineRule="auto" w:before="0" w:after="0"/>
        <w:ind w:left="510" w:right="0" w:hanging="365"/>
        <w:jc w:val="both"/>
        <w:rPr>
          <w:i/>
          <w:sz w:val="20"/>
        </w:rPr>
      </w:pPr>
      <w:r>
        <w:rPr>
          <w:i/>
          <w:sz w:val="20"/>
        </w:rPr>
        <w:t>Dry matter intake, live and weaning  </w:t>
      </w:r>
      <w:r>
        <w:rPr>
          <w:i/>
          <w:spacing w:val="38"/>
          <w:sz w:val="20"/>
        </w:rPr>
        <w:t> </w:t>
      </w:r>
      <w:r>
        <w:rPr>
          <w:i/>
          <w:sz w:val="20"/>
        </w:rPr>
        <w:t>weight</w:t>
      </w:r>
    </w:p>
    <w:p>
      <w:pPr>
        <w:pStyle w:val="BodyText"/>
        <w:spacing w:line="254" w:lineRule="auto" w:before="68"/>
        <w:ind w:left="145"/>
        <w:jc w:val="both"/>
      </w:pPr>
      <w:r>
        <w:rPr/>
        <w:t>Alpine breed followed with SG breed consumed higher (</w:t>
      </w:r>
      <w:r>
        <w:rPr>
          <w:i/>
        </w:rPr>
        <w:t>P</w:t>
      </w:r>
      <w:r>
        <w:rPr>
          <w:i/>
          <w:spacing w:val="-7"/>
        </w:rPr>
        <w:t> </w:t>
      </w:r>
      <w:r>
        <w:rPr>
          <w:i/>
        </w:rPr>
        <w:t>&lt;</w:t>
      </w:r>
      <w:r>
        <w:rPr>
          <w:i/>
          <w:spacing w:val="-7"/>
        </w:rPr>
        <w:t> </w:t>
      </w:r>
      <w:r>
        <w:rPr/>
        <w:t>0.05)</w:t>
      </w:r>
      <w:r>
        <w:rPr>
          <w:spacing w:val="-5"/>
        </w:rPr>
        <w:t> </w:t>
      </w:r>
      <w:r>
        <w:rPr/>
        <w:t>feed</w:t>
      </w:r>
      <w:r>
        <w:rPr>
          <w:spacing w:val="-7"/>
        </w:rPr>
        <w:t> </w:t>
      </w:r>
      <w:r>
        <w:rPr/>
        <w:t>DM</w:t>
      </w:r>
      <w:r>
        <w:rPr>
          <w:spacing w:val="-5"/>
        </w:rPr>
        <w:t> </w:t>
      </w:r>
      <w:r>
        <w:rPr/>
        <w:t>than</w:t>
      </w:r>
      <w:r>
        <w:rPr>
          <w:spacing w:val="-6"/>
        </w:rPr>
        <w:t> </w:t>
      </w:r>
      <w:r>
        <w:rPr/>
        <w:t>ANG</w:t>
      </w:r>
      <w:r>
        <w:rPr>
          <w:spacing w:val="-5"/>
        </w:rPr>
        <w:t> </w:t>
      </w:r>
      <w:r>
        <w:rPr/>
        <w:t>breed</w:t>
      </w:r>
      <w:r>
        <w:rPr>
          <w:spacing w:val="-6"/>
        </w:rPr>
        <w:t> </w:t>
      </w:r>
      <w:r>
        <w:rPr/>
        <w:t>(</w:t>
      </w:r>
      <w:hyperlink w:history="true" w:anchor="_bookmark3">
        <w:r>
          <w:rPr>
            <w:color w:val="000084"/>
          </w:rPr>
          <w:t>Table</w:t>
        </w:r>
        <w:r>
          <w:rPr>
            <w:color w:val="000084"/>
            <w:spacing w:val="-6"/>
          </w:rPr>
          <w:t> </w:t>
        </w:r>
        <w:r>
          <w:rPr>
            <w:color w:val="000084"/>
          </w:rPr>
          <w:t>4</w:t>
        </w:r>
      </w:hyperlink>
      <w:r>
        <w:rPr/>
        <w:t>).</w:t>
      </w:r>
      <w:r>
        <w:rPr>
          <w:spacing w:val="-6"/>
        </w:rPr>
        <w:t> </w:t>
      </w:r>
      <w:r>
        <w:rPr/>
        <w:t>However both</w:t>
      </w:r>
      <w:r>
        <w:rPr>
          <w:spacing w:val="27"/>
        </w:rPr>
        <w:t> </w:t>
      </w:r>
      <w:r>
        <w:rPr/>
        <w:t>of</w:t>
      </w:r>
      <w:r>
        <w:rPr>
          <w:spacing w:val="27"/>
        </w:rPr>
        <w:t> </w:t>
      </w:r>
      <w:r>
        <w:rPr/>
        <w:t>ANG</w:t>
      </w:r>
      <w:r>
        <w:rPr>
          <w:spacing w:val="27"/>
        </w:rPr>
        <w:t> </w:t>
      </w:r>
      <w:r>
        <w:rPr/>
        <w:t>and</w:t>
      </w:r>
      <w:r>
        <w:rPr>
          <w:spacing w:val="27"/>
        </w:rPr>
        <w:t> </w:t>
      </w:r>
      <w:r>
        <w:rPr/>
        <w:t>AG</w:t>
      </w:r>
      <w:r>
        <w:rPr>
          <w:spacing w:val="27"/>
        </w:rPr>
        <w:t> </w:t>
      </w:r>
      <w:r>
        <w:rPr/>
        <w:t>breeds</w:t>
      </w:r>
      <w:r>
        <w:rPr>
          <w:spacing w:val="27"/>
        </w:rPr>
        <w:t> </w:t>
      </w:r>
      <w:r>
        <w:rPr/>
        <w:t>were</w:t>
      </w:r>
      <w:r>
        <w:rPr>
          <w:spacing w:val="27"/>
        </w:rPr>
        <w:t> </w:t>
      </w:r>
      <w:r>
        <w:rPr/>
        <w:t>heavier</w:t>
      </w:r>
      <w:r>
        <w:rPr>
          <w:spacing w:val="27"/>
        </w:rPr>
        <w:t> </w:t>
      </w:r>
      <w:r>
        <w:rPr>
          <w:spacing w:val="15"/>
        </w:rPr>
        <w:t>(</w:t>
      </w:r>
      <w:r>
        <w:rPr>
          <w:i/>
          <w:spacing w:val="15"/>
        </w:rPr>
        <w:t>P</w:t>
      </w:r>
      <w:r>
        <w:rPr>
          <w:i/>
          <w:spacing w:val="-4"/>
        </w:rPr>
        <w:t> </w:t>
      </w:r>
      <w:r>
        <w:rPr>
          <w:i/>
        </w:rPr>
        <w:t>&lt;</w:t>
      </w:r>
      <w:r>
        <w:rPr>
          <w:i/>
          <w:spacing w:val="27"/>
        </w:rPr>
        <w:t> </w:t>
      </w:r>
      <w:r>
        <w:rPr/>
        <w:t>0.05)</w:t>
      </w:r>
    </w:p>
    <w:p>
      <w:pPr>
        <w:pStyle w:val="BodyText"/>
        <w:spacing w:before="8"/>
        <w:rPr>
          <w:sz w:val="22"/>
        </w:rPr>
      </w:pPr>
    </w:p>
    <w:p>
      <w:pPr>
        <w:spacing w:line="200" w:lineRule="exact" w:before="1"/>
        <w:ind w:left="145" w:right="0" w:firstLine="0"/>
        <w:jc w:val="both"/>
        <w:rPr>
          <w:sz w:val="18"/>
        </w:rPr>
      </w:pPr>
      <w:r>
        <w:rPr/>
        <w:pict>
          <v:line style="position:absolute;mso-position-horizontal-relative:page;mso-position-vertical-relative:paragraph;z-index:1792" from="65.253998pt,23.754305pt" to="292.762998pt,23.754305pt" stroked="true" strokeweight=".454pt" strokecolor="#000000">
            <w10:wrap type="none"/>
          </v:line>
        </w:pict>
      </w:r>
      <w:r>
        <w:rPr>
          <w:sz w:val="18"/>
        </w:rPr>
        <w:t>Table 5. Goat kids weaning weight and daily weight gain according to breed, type of kidding and  sex.</w:t>
      </w:r>
    </w:p>
    <w:p>
      <w:pPr>
        <w:pStyle w:val="ListParagraph"/>
        <w:numPr>
          <w:ilvl w:val="0"/>
          <w:numId w:val="1"/>
        </w:numPr>
        <w:tabs>
          <w:tab w:pos="361" w:val="left" w:leader="none"/>
        </w:tabs>
        <w:spacing w:line="240" w:lineRule="auto" w:before="13" w:after="0"/>
        <w:ind w:left="360" w:right="0" w:hanging="215"/>
        <w:jc w:val="both"/>
        <w:rPr>
          <w:sz w:val="20"/>
        </w:rPr>
      </w:pPr>
      <w:r>
        <w:rPr>
          <w:w w:val="100"/>
          <w:sz w:val="20"/>
        </w:rPr>
        <w:br w:type="column"/>
      </w:r>
      <w:r>
        <w:rPr>
          <w:sz w:val="20"/>
        </w:rPr>
        <w:t>Discussion</w:t>
      </w:r>
    </w:p>
    <w:p>
      <w:pPr>
        <w:pStyle w:val="ListParagraph"/>
        <w:numPr>
          <w:ilvl w:val="1"/>
          <w:numId w:val="1"/>
        </w:numPr>
        <w:tabs>
          <w:tab w:pos="511" w:val="left" w:leader="none"/>
        </w:tabs>
        <w:spacing w:line="240" w:lineRule="auto" w:before="49" w:after="0"/>
        <w:ind w:left="510" w:right="0" w:hanging="365"/>
        <w:jc w:val="both"/>
        <w:rPr>
          <w:i/>
          <w:sz w:val="20"/>
        </w:rPr>
      </w:pPr>
      <w:r>
        <w:rPr>
          <w:i/>
          <w:sz w:val="20"/>
        </w:rPr>
        <w:t>Lactation  curve  and milk  yield</w:t>
      </w:r>
      <w:r>
        <w:rPr>
          <w:i/>
          <w:spacing w:val="-20"/>
          <w:sz w:val="20"/>
        </w:rPr>
        <w:t> </w:t>
      </w:r>
      <w:r>
        <w:rPr>
          <w:i/>
          <w:sz w:val="20"/>
        </w:rPr>
        <w:t>production</w:t>
      </w:r>
    </w:p>
    <w:p>
      <w:pPr>
        <w:pStyle w:val="BodyText"/>
        <w:spacing w:line="249" w:lineRule="auto" w:before="69"/>
        <w:ind w:left="145" w:right="103"/>
        <w:jc w:val="both"/>
      </w:pPr>
      <w:r>
        <w:rPr>
          <w:spacing w:val="-4"/>
        </w:rPr>
        <w:t>Wood </w:t>
      </w:r>
      <w:r>
        <w:rPr/>
        <w:t>lactation curve parameters were significantly affected by breed type. Under the study condition, AG breed started the lactation season with higher milk production than the other two breeds with a higher increased milk production rate. These findings are consistent with those obtained by Sánchez et al. (</w:t>
      </w:r>
      <w:hyperlink w:history="true" w:anchor="_bookmark5">
        <w:r>
          <w:rPr>
            <w:color w:val="000084"/>
          </w:rPr>
          <w:t>2006</w:t>
        </w:r>
      </w:hyperlink>
      <w:r>
        <w:rPr/>
        <w:t>) for ANG goats with no differences between Creoles and Celtiberic goat breeds. In another study, Arbiza (</w:t>
      </w:r>
      <w:hyperlink w:history="true" w:anchor="_bookmark4">
        <w:r>
          <w:rPr>
            <w:color w:val="000084"/>
          </w:rPr>
          <w:t>1987</w:t>
        </w:r>
      </w:hyperlink>
      <w:r>
        <w:rPr/>
        <w:t>) mentioned that ANG goats had a lower persistence than Toggenbourg</w:t>
      </w:r>
      <w:r>
        <w:rPr>
          <w:spacing w:val="-10"/>
        </w:rPr>
        <w:t> </w:t>
      </w:r>
      <w:r>
        <w:rPr/>
        <w:t>goats,</w:t>
      </w:r>
      <w:r>
        <w:rPr>
          <w:spacing w:val="-8"/>
        </w:rPr>
        <w:t> </w:t>
      </w:r>
      <w:r>
        <w:rPr/>
        <w:t>which</w:t>
      </w:r>
      <w:r>
        <w:rPr>
          <w:spacing w:val="-8"/>
        </w:rPr>
        <w:t> </w:t>
      </w:r>
      <w:r>
        <w:rPr/>
        <w:t>reported</w:t>
      </w:r>
      <w:r>
        <w:rPr>
          <w:spacing w:val="-8"/>
        </w:rPr>
        <w:t> </w:t>
      </w:r>
      <w:r>
        <w:rPr/>
        <w:t>a</w:t>
      </w:r>
      <w:r>
        <w:rPr>
          <w:spacing w:val="-8"/>
        </w:rPr>
        <w:t> </w:t>
      </w:r>
      <w:r>
        <w:rPr/>
        <w:t>positive</w:t>
      </w:r>
      <w:r>
        <w:rPr>
          <w:spacing w:val="-7"/>
        </w:rPr>
        <w:t> </w:t>
      </w:r>
      <w:r>
        <w:rPr/>
        <w:t>correlation with</w:t>
      </w:r>
      <w:r>
        <w:rPr>
          <w:spacing w:val="-10"/>
        </w:rPr>
        <w:t> </w:t>
      </w:r>
      <w:r>
        <w:rPr/>
        <w:t>the</w:t>
      </w:r>
      <w:r>
        <w:rPr>
          <w:spacing w:val="-10"/>
        </w:rPr>
        <w:t> </w:t>
      </w:r>
      <w:r>
        <w:rPr/>
        <w:t>parameter</w:t>
      </w:r>
      <w:r>
        <w:rPr>
          <w:spacing w:val="-9"/>
        </w:rPr>
        <w:t> </w:t>
      </w:r>
      <w:r>
        <w:rPr>
          <w:i/>
        </w:rPr>
        <w:t>b</w:t>
      </w:r>
      <w:r>
        <w:rPr/>
        <w:t>;</w:t>
      </w:r>
      <w:r>
        <w:rPr>
          <w:spacing w:val="-10"/>
        </w:rPr>
        <w:t> </w:t>
      </w:r>
      <w:r>
        <w:rPr/>
        <w:t>indicating</w:t>
      </w:r>
      <w:r>
        <w:rPr>
          <w:spacing w:val="-11"/>
        </w:rPr>
        <w:t> </w:t>
      </w:r>
      <w:r>
        <w:rPr/>
        <w:t>a</w:t>
      </w:r>
      <w:r>
        <w:rPr>
          <w:spacing w:val="-9"/>
        </w:rPr>
        <w:t> </w:t>
      </w:r>
      <w:r>
        <w:rPr/>
        <w:t>higher</w:t>
      </w:r>
      <w:r>
        <w:rPr>
          <w:spacing w:val="-9"/>
        </w:rPr>
        <w:t> </w:t>
      </w:r>
      <w:r>
        <w:rPr/>
        <w:t>rate</w:t>
      </w:r>
      <w:r>
        <w:rPr>
          <w:spacing w:val="-9"/>
        </w:rPr>
        <w:t> </w:t>
      </w:r>
      <w:r>
        <w:rPr/>
        <w:t>of</w:t>
      </w:r>
      <w:r>
        <w:rPr>
          <w:spacing w:val="-10"/>
        </w:rPr>
        <w:t> </w:t>
      </w:r>
      <w:r>
        <w:rPr/>
        <w:t>increased greater persistence. Salvador et al. (</w:t>
      </w:r>
      <w:hyperlink w:history="true" w:anchor="_bookmark5">
        <w:r>
          <w:rPr>
            <w:color w:val="000084"/>
          </w:rPr>
          <w:t>2006</w:t>
        </w:r>
      </w:hyperlink>
      <w:r>
        <w:rPr/>
        <w:t>) showed that the correlation between milk production per day with days in production was 0.32 </w:t>
      </w:r>
      <w:r>
        <w:rPr>
          <w:spacing w:val="4"/>
        </w:rPr>
        <w:t>(</w:t>
      </w:r>
      <w:r>
        <w:rPr>
          <w:i/>
          <w:spacing w:val="4"/>
        </w:rPr>
        <w:t>P </w:t>
      </w:r>
      <w:r>
        <w:rPr>
          <w:i/>
        </w:rPr>
        <w:t>&lt; </w:t>
      </w:r>
      <w:r>
        <w:rPr/>
        <w:t>0.01), which indicated that as the goats produce more milk per </w:t>
      </w:r>
      <w:r>
        <w:rPr>
          <w:spacing w:val="-3"/>
        </w:rPr>
        <w:t>day, </w:t>
      </w:r>
      <w:r>
        <w:rPr/>
        <w:t>will had more extended days in lactation; increased production days should increase total milk production. Moreover, Capote et al. (</w:t>
      </w:r>
      <w:hyperlink w:history="true" w:anchor="_bookmark4">
        <w:r>
          <w:rPr>
            <w:color w:val="000084"/>
          </w:rPr>
          <w:t>1999</w:t>
        </w:r>
      </w:hyperlink>
      <w:r>
        <w:rPr/>
        <w:t>) showed increased milk   </w:t>
      </w:r>
      <w:r>
        <w:rPr>
          <w:spacing w:val="5"/>
        </w:rPr>
        <w:t> </w:t>
      </w:r>
      <w:r>
        <w:rPr/>
        <w:t>production</w:t>
      </w:r>
    </w:p>
    <w:p>
      <w:pPr>
        <w:spacing w:after="0" w:line="249" w:lineRule="auto"/>
        <w:jc w:val="both"/>
        <w:sectPr>
          <w:type w:val="continuous"/>
          <w:pgSz w:w="12190" w:h="15880"/>
          <w:pgMar w:top="380" w:bottom="0" w:left="1160" w:right="1200"/>
          <w:cols w:num="2" w:equalWidth="0">
            <w:col w:w="4696" w:space="333"/>
            <w:col w:w="4801"/>
          </w:cols>
        </w:sectPr>
      </w:pPr>
    </w:p>
    <w:p>
      <w:pPr>
        <w:pStyle w:val="BodyText"/>
        <w:rPr>
          <w:sz w:val="18"/>
        </w:rPr>
      </w:pPr>
    </w:p>
    <w:p>
      <w:pPr>
        <w:pStyle w:val="BodyText"/>
        <w:rPr>
          <w:sz w:val="18"/>
        </w:rPr>
      </w:pPr>
    </w:p>
    <w:p>
      <w:pPr>
        <w:pStyle w:val="BodyText"/>
        <w:spacing w:before="1"/>
        <w:rPr>
          <w:sz w:val="18"/>
        </w:rPr>
      </w:pPr>
    </w:p>
    <w:p>
      <w:pPr>
        <w:spacing w:before="0"/>
        <w:ind w:left="145" w:right="-11" w:firstLine="0"/>
        <w:jc w:val="left"/>
        <w:rPr>
          <w:i/>
          <w:sz w:val="18"/>
        </w:rPr>
      </w:pPr>
      <w:r>
        <w:rPr>
          <w:i/>
          <w:w w:val="95"/>
          <w:sz w:val="18"/>
        </w:rPr>
        <w:t>Breed</w:t>
      </w:r>
    </w:p>
    <w:p>
      <w:pPr>
        <w:spacing w:before="69"/>
        <w:ind w:left="795" w:right="0" w:firstLine="0"/>
        <w:jc w:val="left"/>
        <w:rPr>
          <w:sz w:val="18"/>
        </w:rPr>
      </w:pPr>
      <w:r>
        <w:rPr/>
        <w:br w:type="column"/>
      </w:r>
      <w:r>
        <w:rPr>
          <w:sz w:val="18"/>
        </w:rPr>
        <w:t>Weaning</w:t>
      </w:r>
    </w:p>
    <w:p>
      <w:pPr>
        <w:tabs>
          <w:tab w:pos="691" w:val="left" w:leader="none"/>
        </w:tabs>
        <w:spacing w:before="12"/>
        <w:ind w:left="145" w:right="0" w:firstLine="0"/>
        <w:jc w:val="left"/>
        <w:rPr>
          <w:sz w:val="18"/>
        </w:rPr>
      </w:pPr>
      <w:r>
        <w:rPr/>
        <w:pict>
          <v:line style="position:absolute;mso-position-horizontal-relative:page;mso-position-vertical-relative:paragraph;z-index:1816" from="65.253998pt,15.266618pt" to="292.762998pt,15.266618pt" stroked="true" strokeweight=".51pt" strokecolor="#000000">
            <w10:wrap type="none"/>
          </v:line>
        </w:pict>
      </w:r>
      <w:r>
        <w:rPr>
          <w:i/>
          <w:sz w:val="18"/>
        </w:rPr>
        <w:t>n</w:t>
        <w:tab/>
      </w:r>
      <w:r>
        <w:rPr>
          <w:sz w:val="18"/>
        </w:rPr>
        <w:t>weight</w:t>
      </w:r>
      <w:r>
        <w:rPr>
          <w:spacing w:val="2"/>
          <w:sz w:val="18"/>
        </w:rPr>
        <w:t> </w:t>
      </w:r>
      <w:r>
        <w:rPr>
          <w:sz w:val="18"/>
        </w:rPr>
        <w:t>(kg)</w:t>
      </w:r>
    </w:p>
    <w:p>
      <w:pPr>
        <w:spacing w:line="254" w:lineRule="auto" w:before="69"/>
        <w:ind w:left="258" w:right="-17" w:hanging="114"/>
        <w:jc w:val="left"/>
        <w:rPr>
          <w:sz w:val="18"/>
        </w:rPr>
      </w:pPr>
      <w:r>
        <w:rPr/>
        <w:br w:type="column"/>
      </w:r>
      <w:r>
        <w:rPr>
          <w:sz w:val="18"/>
        </w:rPr>
        <w:t>Daily weight</w:t>
      </w:r>
      <w:r>
        <w:rPr>
          <w:w w:val="98"/>
          <w:sz w:val="18"/>
        </w:rPr>
        <w:t> </w:t>
      </w:r>
      <w:r>
        <w:rPr>
          <w:sz w:val="18"/>
        </w:rPr>
        <w:t>gain (g/d)</w:t>
      </w:r>
    </w:p>
    <w:p>
      <w:pPr>
        <w:pStyle w:val="BodyText"/>
        <w:spacing w:before="1"/>
        <w:ind w:left="145"/>
      </w:pPr>
      <w:r>
        <w:rPr/>
        <w:br w:type="column"/>
      </w:r>
      <w:r>
        <w:rPr/>
        <w:t>with increasing milking frequency.</w:t>
      </w:r>
    </w:p>
    <w:p>
      <w:pPr>
        <w:pStyle w:val="BodyText"/>
        <w:spacing w:line="249" w:lineRule="auto" w:before="18"/>
        <w:ind w:left="145" w:firstLine="298"/>
      </w:pPr>
      <w:r>
        <w:rPr/>
        <w:t>Analysing the effect of kidding type (i.e., single or twins) on parameters of the lactation curve (i.e., </w:t>
      </w:r>
      <w:r>
        <w:rPr>
          <w:i/>
        </w:rPr>
        <w:t>a, b </w:t>
      </w:r>
      <w:r>
        <w:rPr/>
        <w:t>and</w:t>
      </w:r>
    </w:p>
    <w:p>
      <w:pPr>
        <w:pStyle w:val="BodyText"/>
        <w:spacing w:line="135" w:lineRule="exact" w:before="1"/>
        <w:ind w:left="145"/>
      </w:pPr>
      <w:r>
        <w:rPr>
          <w:i/>
        </w:rPr>
        <w:t>c</w:t>
      </w:r>
      <w:r>
        <w:rPr/>
        <w:t>); differences were observed for all three    coefficients.</w:t>
      </w:r>
    </w:p>
    <w:p>
      <w:pPr>
        <w:spacing w:after="0" w:line="135" w:lineRule="exact"/>
        <w:sectPr>
          <w:type w:val="continuous"/>
          <w:pgSz w:w="12190" w:h="15880"/>
          <w:pgMar w:top="380" w:bottom="0" w:left="1160" w:right="1200"/>
          <w:cols w:num="4" w:equalWidth="0">
            <w:col w:w="563" w:space="736"/>
            <w:col w:w="1530" w:space="525"/>
            <w:col w:w="1082" w:space="592"/>
            <w:col w:w="4802"/>
          </w:cols>
        </w:sectPr>
      </w:pPr>
    </w:p>
    <w:p>
      <w:pPr>
        <w:tabs>
          <w:tab w:pos="1400" w:val="left" w:leader="none"/>
          <w:tab w:pos="1909" w:val="left" w:leader="none"/>
          <w:tab w:pos="3421" w:val="left" w:leader="none"/>
        </w:tabs>
        <w:spacing w:line="184" w:lineRule="exact" w:before="0"/>
        <w:ind w:left="145" w:right="0" w:firstLine="0"/>
        <w:jc w:val="left"/>
        <w:rPr>
          <w:sz w:val="18"/>
        </w:rPr>
      </w:pPr>
      <w:r>
        <w:rPr/>
        <w:pict>
          <v:shape style="position:absolute;margin-left:.953263pt;margin-top:287.387146pt;width:12pt;height:221.45pt;mso-position-horizontal-relative:page;mso-position-vertical-relative:page;z-index:1840"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r>
        <w:rPr>
          <w:sz w:val="18"/>
        </w:rPr>
        <w:t>Alpine</w:t>
        <w:tab/>
        <w:t>20</w:t>
        <w:tab/>
        <w:t>18.87</w:t>
      </w:r>
      <w:r>
        <w:rPr>
          <w:spacing w:val="12"/>
          <w:sz w:val="18"/>
        </w:rPr>
        <w:t> </w:t>
      </w:r>
      <w:r>
        <w:rPr>
          <w:sz w:val="18"/>
        </w:rPr>
        <w:t>±</w:t>
      </w:r>
      <w:r>
        <w:rPr>
          <w:spacing w:val="13"/>
          <w:sz w:val="18"/>
        </w:rPr>
        <w:t> </w:t>
      </w:r>
      <w:r>
        <w:rPr>
          <w:sz w:val="18"/>
        </w:rPr>
        <w:t>0.396</w:t>
        <w:tab/>
        <w:t>148.64 ±</w:t>
      </w:r>
      <w:r>
        <w:rPr>
          <w:spacing w:val="24"/>
          <w:sz w:val="18"/>
        </w:rPr>
        <w:t> </w:t>
      </w:r>
      <w:r>
        <w:rPr>
          <w:sz w:val="18"/>
        </w:rPr>
        <w:t>5.15</w:t>
      </w:r>
    </w:p>
    <w:p>
      <w:pPr>
        <w:tabs>
          <w:tab w:pos="1400" w:val="left" w:leader="none"/>
          <w:tab w:pos="1909" w:val="left" w:leader="none"/>
          <w:tab w:pos="3421" w:val="left" w:leader="none"/>
        </w:tabs>
        <w:spacing w:before="12"/>
        <w:ind w:left="145" w:right="0" w:firstLine="0"/>
        <w:jc w:val="left"/>
        <w:rPr>
          <w:sz w:val="18"/>
        </w:rPr>
      </w:pPr>
      <w:r>
        <w:rPr>
          <w:sz w:val="18"/>
        </w:rPr>
        <w:t>Saanen</w:t>
        <w:tab/>
        <w:t>15</w:t>
        <w:tab/>
        <w:t>19.22</w:t>
      </w:r>
      <w:r>
        <w:rPr>
          <w:spacing w:val="12"/>
          <w:sz w:val="18"/>
        </w:rPr>
        <w:t> </w:t>
      </w:r>
      <w:r>
        <w:rPr>
          <w:sz w:val="18"/>
        </w:rPr>
        <w:t>±</w:t>
      </w:r>
      <w:r>
        <w:rPr>
          <w:spacing w:val="13"/>
          <w:sz w:val="18"/>
        </w:rPr>
        <w:t> </w:t>
      </w:r>
      <w:r>
        <w:rPr>
          <w:sz w:val="18"/>
        </w:rPr>
        <w:t>0.491</w:t>
        <w:tab/>
        <w:t>153.19 ±</w:t>
      </w:r>
      <w:r>
        <w:rPr>
          <w:spacing w:val="24"/>
          <w:sz w:val="18"/>
        </w:rPr>
        <w:t> </w:t>
      </w:r>
      <w:r>
        <w:rPr>
          <w:sz w:val="18"/>
        </w:rPr>
        <w:t>6.38</w:t>
      </w:r>
    </w:p>
    <w:p>
      <w:pPr>
        <w:tabs>
          <w:tab w:pos="1400" w:val="left" w:leader="none"/>
          <w:tab w:pos="1909" w:val="left" w:leader="none"/>
          <w:tab w:pos="3421" w:val="left" w:leader="none"/>
        </w:tabs>
        <w:spacing w:before="13"/>
        <w:ind w:left="145" w:right="0" w:firstLine="0"/>
        <w:jc w:val="left"/>
        <w:rPr>
          <w:sz w:val="18"/>
        </w:rPr>
      </w:pPr>
      <w:r>
        <w:rPr>
          <w:sz w:val="18"/>
        </w:rPr>
        <w:t>Anglo-Nubian</w:t>
        <w:tab/>
        <w:t>13</w:t>
        <w:tab/>
        <w:t>19.09</w:t>
      </w:r>
      <w:r>
        <w:rPr>
          <w:spacing w:val="10"/>
          <w:sz w:val="18"/>
        </w:rPr>
        <w:t> </w:t>
      </w:r>
      <w:r>
        <w:rPr>
          <w:sz w:val="18"/>
        </w:rPr>
        <w:t>±</w:t>
      </w:r>
      <w:r>
        <w:rPr>
          <w:spacing w:val="11"/>
          <w:sz w:val="18"/>
        </w:rPr>
        <w:t> </w:t>
      </w:r>
      <w:r>
        <w:rPr>
          <w:sz w:val="18"/>
        </w:rPr>
        <w:t>0.511</w:t>
        <w:tab/>
        <w:t>151.51 ±</w:t>
      </w:r>
      <w:r>
        <w:rPr>
          <w:spacing w:val="24"/>
          <w:sz w:val="18"/>
        </w:rPr>
        <w:t> </w:t>
      </w:r>
      <w:r>
        <w:rPr>
          <w:sz w:val="18"/>
        </w:rPr>
        <w:t>6.64</w:t>
      </w:r>
    </w:p>
    <w:p>
      <w:pPr>
        <w:spacing w:before="12"/>
        <w:ind w:left="145" w:right="0" w:firstLine="0"/>
        <w:jc w:val="left"/>
        <w:rPr>
          <w:i/>
          <w:sz w:val="18"/>
        </w:rPr>
      </w:pPr>
      <w:r>
        <w:rPr>
          <w:i/>
          <w:sz w:val="18"/>
        </w:rPr>
        <w:t>Type of kidding</w:t>
      </w:r>
    </w:p>
    <w:p>
      <w:pPr>
        <w:tabs>
          <w:tab w:pos="1400" w:val="left" w:leader="none"/>
          <w:tab w:pos="1819" w:val="left" w:leader="none"/>
          <w:tab w:pos="3421" w:val="left" w:leader="none"/>
        </w:tabs>
        <w:spacing w:before="12"/>
        <w:ind w:left="145" w:right="0" w:firstLine="0"/>
        <w:jc w:val="left"/>
        <w:rPr>
          <w:sz w:val="18"/>
        </w:rPr>
      </w:pPr>
      <w:r>
        <w:rPr>
          <w:sz w:val="18"/>
        </w:rPr>
        <w:t>Single</w:t>
        <w:tab/>
        <w:t>26</w:t>
        <w:tab/>
        <w:t>19.247</w:t>
      </w:r>
      <w:r>
        <w:rPr>
          <w:spacing w:val="12"/>
          <w:sz w:val="18"/>
        </w:rPr>
        <w:t> </w:t>
      </w:r>
      <w:r>
        <w:rPr>
          <w:sz w:val="18"/>
        </w:rPr>
        <w:t>±</w:t>
      </w:r>
      <w:r>
        <w:rPr>
          <w:spacing w:val="13"/>
          <w:sz w:val="18"/>
        </w:rPr>
        <w:t> </w:t>
      </w:r>
      <w:r>
        <w:rPr>
          <w:sz w:val="18"/>
        </w:rPr>
        <w:t>0.374</w:t>
        <w:tab/>
        <w:t>153.42 ±</w:t>
      </w:r>
      <w:r>
        <w:rPr>
          <w:spacing w:val="24"/>
          <w:sz w:val="18"/>
        </w:rPr>
        <w:t> </w:t>
      </w:r>
      <w:r>
        <w:rPr>
          <w:sz w:val="18"/>
        </w:rPr>
        <w:t>4.86</w:t>
      </w:r>
    </w:p>
    <w:p>
      <w:pPr>
        <w:tabs>
          <w:tab w:pos="1400" w:val="left" w:leader="none"/>
          <w:tab w:pos="1819" w:val="left" w:leader="none"/>
          <w:tab w:pos="3421" w:val="left" w:leader="none"/>
        </w:tabs>
        <w:spacing w:before="12"/>
        <w:ind w:left="145" w:right="0" w:firstLine="0"/>
        <w:jc w:val="left"/>
        <w:rPr>
          <w:sz w:val="18"/>
        </w:rPr>
      </w:pPr>
      <w:r>
        <w:rPr>
          <w:spacing w:val="-3"/>
          <w:sz w:val="18"/>
        </w:rPr>
        <w:t>Twin</w:t>
        <w:tab/>
      </w:r>
      <w:r>
        <w:rPr>
          <w:sz w:val="18"/>
        </w:rPr>
        <w:t>22</w:t>
        <w:tab/>
        <w:t>18.891</w:t>
      </w:r>
      <w:r>
        <w:rPr>
          <w:spacing w:val="12"/>
          <w:sz w:val="18"/>
        </w:rPr>
        <w:t> </w:t>
      </w:r>
      <w:r>
        <w:rPr>
          <w:sz w:val="18"/>
        </w:rPr>
        <w:t>±</w:t>
      </w:r>
      <w:r>
        <w:rPr>
          <w:spacing w:val="13"/>
          <w:sz w:val="18"/>
        </w:rPr>
        <w:t> </w:t>
      </w:r>
      <w:r>
        <w:rPr>
          <w:sz w:val="18"/>
        </w:rPr>
        <w:t>0.410</w:t>
        <w:tab/>
        <w:t>148.80 ±</w:t>
      </w:r>
      <w:r>
        <w:rPr>
          <w:spacing w:val="24"/>
          <w:sz w:val="18"/>
        </w:rPr>
        <w:t> </w:t>
      </w:r>
      <w:r>
        <w:rPr>
          <w:sz w:val="18"/>
        </w:rPr>
        <w:t>5.32</w:t>
      </w:r>
    </w:p>
    <w:p>
      <w:pPr>
        <w:pStyle w:val="BodyText"/>
        <w:spacing w:before="1"/>
        <w:rPr>
          <w:sz w:val="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3"/>
        <w:gridCol w:w="667"/>
        <w:gridCol w:w="1511"/>
        <w:gridCol w:w="1485"/>
      </w:tblGrid>
      <w:tr>
        <w:trPr>
          <w:trHeight w:val="184" w:hRule="exact"/>
        </w:trPr>
        <w:tc>
          <w:tcPr>
            <w:tcW w:w="923" w:type="dxa"/>
          </w:tcPr>
          <w:p>
            <w:pPr>
              <w:pStyle w:val="TableParagraph"/>
              <w:spacing w:line="184" w:lineRule="exact"/>
              <w:ind w:left="35"/>
              <w:rPr>
                <w:i/>
                <w:sz w:val="18"/>
              </w:rPr>
            </w:pPr>
            <w:r>
              <w:rPr>
                <w:i/>
                <w:sz w:val="18"/>
              </w:rPr>
              <w:t>Sex</w:t>
            </w:r>
          </w:p>
        </w:tc>
        <w:tc>
          <w:tcPr>
            <w:tcW w:w="3662" w:type="dxa"/>
            <w:gridSpan w:val="3"/>
          </w:tcPr>
          <w:p>
            <w:pPr/>
          </w:p>
        </w:tc>
      </w:tr>
      <w:tr>
        <w:trPr>
          <w:trHeight w:val="219" w:hRule="exact"/>
        </w:trPr>
        <w:tc>
          <w:tcPr>
            <w:tcW w:w="923" w:type="dxa"/>
          </w:tcPr>
          <w:p>
            <w:pPr>
              <w:pStyle w:val="TableParagraph"/>
              <w:spacing w:before="12"/>
              <w:ind w:left="35"/>
              <w:rPr>
                <w:sz w:val="18"/>
              </w:rPr>
            </w:pPr>
            <w:r>
              <w:rPr>
                <w:sz w:val="18"/>
              </w:rPr>
              <w:t>Male</w:t>
            </w:r>
          </w:p>
        </w:tc>
        <w:tc>
          <w:tcPr>
            <w:tcW w:w="667" w:type="dxa"/>
          </w:tcPr>
          <w:p>
            <w:pPr>
              <w:pStyle w:val="TableParagraph"/>
              <w:spacing w:before="12"/>
              <w:ind w:right="118"/>
              <w:jc w:val="right"/>
              <w:rPr>
                <w:sz w:val="18"/>
              </w:rPr>
            </w:pPr>
            <w:r>
              <w:rPr>
                <w:sz w:val="18"/>
              </w:rPr>
              <w:t>22</w:t>
            </w:r>
          </w:p>
        </w:tc>
        <w:tc>
          <w:tcPr>
            <w:tcW w:w="1511" w:type="dxa"/>
          </w:tcPr>
          <w:p>
            <w:pPr>
              <w:pStyle w:val="TableParagraph"/>
              <w:spacing w:line="219" w:lineRule="exact"/>
              <w:ind w:left="120"/>
              <w:rPr>
                <w:sz w:val="12"/>
              </w:rPr>
            </w:pPr>
            <w:r>
              <w:rPr>
                <w:sz w:val="18"/>
              </w:rPr>
              <w:t>20.000 ± 0.389</w:t>
            </w:r>
            <w:r>
              <w:rPr>
                <w:position w:val="8"/>
                <w:sz w:val="12"/>
              </w:rPr>
              <w:t>a</w:t>
            </w:r>
          </w:p>
        </w:tc>
        <w:tc>
          <w:tcPr>
            <w:tcW w:w="1485" w:type="dxa"/>
          </w:tcPr>
          <w:p>
            <w:pPr>
              <w:pStyle w:val="TableParagraph"/>
              <w:spacing w:line="219" w:lineRule="exact"/>
              <w:ind w:left="211"/>
              <w:rPr>
                <w:sz w:val="12"/>
              </w:rPr>
            </w:pPr>
            <w:r>
              <w:rPr>
                <w:sz w:val="18"/>
              </w:rPr>
              <w:t>163.20 ± 5.06</w:t>
            </w:r>
            <w:r>
              <w:rPr>
                <w:position w:val="8"/>
                <w:sz w:val="12"/>
              </w:rPr>
              <w:t>a</w:t>
            </w:r>
          </w:p>
        </w:tc>
      </w:tr>
      <w:tr>
        <w:trPr>
          <w:trHeight w:val="300" w:hRule="exact"/>
        </w:trPr>
        <w:tc>
          <w:tcPr>
            <w:tcW w:w="923" w:type="dxa"/>
            <w:tcBorders>
              <w:bottom w:val="single" w:sz="4" w:space="0" w:color="000000"/>
            </w:tcBorders>
          </w:tcPr>
          <w:p>
            <w:pPr>
              <w:pStyle w:val="TableParagraph"/>
              <w:spacing w:before="12"/>
              <w:ind w:left="35"/>
              <w:rPr>
                <w:sz w:val="18"/>
              </w:rPr>
            </w:pPr>
            <w:r>
              <w:rPr>
                <w:sz w:val="18"/>
              </w:rPr>
              <w:t>Female</w:t>
            </w:r>
          </w:p>
        </w:tc>
        <w:tc>
          <w:tcPr>
            <w:tcW w:w="667" w:type="dxa"/>
            <w:tcBorders>
              <w:bottom w:val="single" w:sz="4" w:space="0" w:color="000000"/>
            </w:tcBorders>
          </w:tcPr>
          <w:p>
            <w:pPr>
              <w:pStyle w:val="TableParagraph"/>
              <w:spacing w:before="12"/>
              <w:ind w:right="118"/>
              <w:jc w:val="right"/>
              <w:rPr>
                <w:sz w:val="18"/>
              </w:rPr>
            </w:pPr>
            <w:r>
              <w:rPr>
                <w:sz w:val="18"/>
              </w:rPr>
              <w:t>26</w:t>
            </w:r>
          </w:p>
        </w:tc>
        <w:tc>
          <w:tcPr>
            <w:tcW w:w="1511" w:type="dxa"/>
            <w:tcBorders>
              <w:bottom w:val="single" w:sz="4" w:space="0" w:color="000000"/>
            </w:tcBorders>
          </w:tcPr>
          <w:p>
            <w:pPr>
              <w:pStyle w:val="TableParagraph"/>
              <w:spacing w:line="219" w:lineRule="exact"/>
              <w:ind w:left="120"/>
              <w:rPr>
                <w:sz w:val="12"/>
              </w:rPr>
            </w:pPr>
            <w:r>
              <w:rPr>
                <w:sz w:val="18"/>
              </w:rPr>
              <w:t>18.138 ± 0.361</w:t>
            </w:r>
            <w:r>
              <w:rPr>
                <w:position w:val="8"/>
                <w:sz w:val="12"/>
              </w:rPr>
              <w:t>b</w:t>
            </w:r>
          </w:p>
        </w:tc>
        <w:tc>
          <w:tcPr>
            <w:tcW w:w="1485" w:type="dxa"/>
            <w:tcBorders>
              <w:bottom w:val="single" w:sz="4" w:space="0" w:color="000000"/>
            </w:tcBorders>
          </w:tcPr>
          <w:p>
            <w:pPr>
              <w:pStyle w:val="TableParagraph"/>
              <w:spacing w:line="219" w:lineRule="exact"/>
              <w:ind w:left="211"/>
              <w:rPr>
                <w:sz w:val="12"/>
              </w:rPr>
            </w:pPr>
            <w:r>
              <w:rPr>
                <w:sz w:val="18"/>
              </w:rPr>
              <w:t>139.02 ± 4.68</w:t>
            </w:r>
            <w:r>
              <w:rPr>
                <w:position w:val="8"/>
                <w:sz w:val="12"/>
              </w:rPr>
              <w:t>b</w:t>
            </w:r>
          </w:p>
        </w:tc>
      </w:tr>
    </w:tbl>
    <w:p>
      <w:pPr>
        <w:spacing w:before="27"/>
        <w:ind w:left="145" w:right="0" w:firstLine="0"/>
        <w:jc w:val="left"/>
        <w:rPr>
          <w:sz w:val="16"/>
        </w:rPr>
      </w:pPr>
      <w:r>
        <w:rPr>
          <w:position w:val="7"/>
          <w:sz w:val="10"/>
        </w:rPr>
        <w:t>a,b</w:t>
      </w:r>
      <w:r>
        <w:rPr>
          <w:sz w:val="16"/>
        </w:rPr>
        <w:t>Means within a column with different letters differ (</w:t>
      </w:r>
      <w:r>
        <w:rPr>
          <w:i/>
          <w:sz w:val="16"/>
        </w:rPr>
        <w:t>P </w:t>
      </w:r>
      <w:r>
        <w:rPr>
          <w:sz w:val="16"/>
        </w:rPr>
        <w:t>&lt;  0.05).</w:t>
      </w:r>
    </w:p>
    <w:p>
      <w:pPr>
        <w:pStyle w:val="BodyText"/>
        <w:spacing w:line="249" w:lineRule="auto" w:before="104"/>
        <w:ind w:left="145" w:right="103"/>
        <w:jc w:val="both"/>
      </w:pPr>
      <w:r>
        <w:rPr/>
        <w:br w:type="column"/>
      </w:r>
      <w:r>
        <w:rPr/>
        <w:t>Salvador and Martínez (</w:t>
      </w:r>
      <w:hyperlink w:history="true" w:anchor="_bookmark5">
        <w:r>
          <w:rPr>
            <w:color w:val="000084"/>
          </w:rPr>
          <w:t>2007</w:t>
        </w:r>
      </w:hyperlink>
      <w:r>
        <w:rPr/>
        <w:t>) attributed this effect to</w:t>
      </w:r>
      <w:r>
        <w:rPr>
          <w:spacing w:val="-22"/>
        </w:rPr>
        <w:t> </w:t>
      </w:r>
      <w:r>
        <w:rPr/>
        <w:t>the greater stimulation exerted by more than a kid goat suckling on the udder; causing an increase in milk production, in addition to the hormonal effect during pregnancy (Pulina et al.</w:t>
      </w:r>
      <w:r>
        <w:rPr>
          <w:spacing w:val="36"/>
        </w:rPr>
        <w:t> </w:t>
      </w:r>
      <w:hyperlink w:history="true" w:anchor="_bookmark5">
        <w:r>
          <w:rPr>
            <w:color w:val="000084"/>
          </w:rPr>
          <w:t>2007</w:t>
        </w:r>
      </w:hyperlink>
      <w:r>
        <w:rPr/>
        <w:t>).</w:t>
      </w:r>
    </w:p>
    <w:p>
      <w:pPr>
        <w:pStyle w:val="BodyText"/>
        <w:spacing w:line="249" w:lineRule="auto" w:before="10"/>
        <w:ind w:left="145" w:right="103" w:firstLine="298"/>
        <w:jc w:val="both"/>
      </w:pPr>
      <w:r>
        <w:rPr/>
        <w:t>Moderate and lower values of TPY were observed between the fourth and sixth week of lactation for AG and SG, respectively, while for ANG value was greater. This observation may coincides with the observations of</w:t>
      </w:r>
    </w:p>
    <w:p>
      <w:pPr>
        <w:spacing w:after="0" w:line="249" w:lineRule="auto"/>
        <w:jc w:val="both"/>
        <w:sectPr>
          <w:type w:val="continuous"/>
          <w:pgSz w:w="12190" w:h="15880"/>
          <w:pgMar w:top="380" w:bottom="0" w:left="1160" w:right="1200"/>
          <w:cols w:num="2" w:equalWidth="0">
            <w:col w:w="4446" w:space="583"/>
            <w:col w:w="4801"/>
          </w:cols>
        </w:sectPr>
      </w:pPr>
    </w:p>
    <w:p>
      <w:pPr>
        <w:pStyle w:val="BodyText"/>
        <w:spacing w:before="7"/>
        <w:rPr>
          <w:sz w:val="15"/>
        </w:rPr>
      </w:pPr>
    </w:p>
    <w:p>
      <w:pPr>
        <w:spacing w:after="0"/>
        <w:rPr>
          <w:sz w:val="15"/>
        </w:rPr>
        <w:sectPr>
          <w:pgSz w:w="12190" w:h="15880"/>
          <w:pgMar w:header="1017" w:footer="0" w:top="1200" w:bottom="280" w:left="1200" w:right="1180"/>
        </w:sectPr>
      </w:pPr>
    </w:p>
    <w:p>
      <w:pPr>
        <w:pStyle w:val="BodyText"/>
        <w:spacing w:line="249" w:lineRule="auto" w:before="75"/>
        <w:ind w:left="105"/>
        <w:jc w:val="both"/>
      </w:pPr>
      <w:r>
        <w:rPr/>
        <w:pict>
          <v:shape style="position:absolute;margin-left:.953263pt;margin-top:287.387146pt;width:12pt;height:221.45pt;mso-position-horizontal-relative:page;mso-position-vertical-relative:page;z-index:1864"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bookmarkStart w:name="4.2. Dry matter intake" w:id="19"/>
      <w:bookmarkEnd w:id="19"/>
      <w:r>
        <w:rPr/>
      </w:r>
      <w:bookmarkStart w:name="4.3. Body weight changes" w:id="20"/>
      <w:bookmarkEnd w:id="20"/>
      <w:r>
        <w:rPr/>
      </w:r>
      <w:bookmarkStart w:name="4.4. Weaning weight" w:id="21"/>
      <w:bookmarkEnd w:id="21"/>
      <w:r>
        <w:rPr/>
      </w:r>
      <w:r>
        <w:rPr/>
        <w:t>Cardellino and Benson (</w:t>
      </w:r>
      <w:hyperlink w:history="true" w:anchor="_bookmark4">
        <w:r>
          <w:rPr>
            <w:color w:val="000084"/>
          </w:rPr>
          <w:t>2002</w:t>
        </w:r>
      </w:hyperlink>
      <w:r>
        <w:rPr/>
        <w:t>) who observed that TPY occur at the fifth week of lactation period for one- and two-year-old</w:t>
      </w:r>
      <w:r>
        <w:rPr>
          <w:spacing w:val="-22"/>
        </w:rPr>
        <w:t> </w:t>
      </w:r>
      <w:r>
        <w:rPr/>
        <w:t>ewes</w:t>
      </w:r>
      <w:r>
        <w:rPr>
          <w:spacing w:val="-23"/>
        </w:rPr>
        <w:t> </w:t>
      </w:r>
      <w:r>
        <w:rPr/>
        <w:t>rearing</w:t>
      </w:r>
      <w:r>
        <w:rPr>
          <w:spacing w:val="-23"/>
        </w:rPr>
        <w:t> </w:t>
      </w:r>
      <w:r>
        <w:rPr/>
        <w:t>single</w:t>
      </w:r>
      <w:r>
        <w:rPr>
          <w:spacing w:val="-22"/>
        </w:rPr>
        <w:t> </w:t>
      </w:r>
      <w:r>
        <w:rPr/>
        <w:t>and</w:t>
      </w:r>
      <w:r>
        <w:rPr>
          <w:spacing w:val="-23"/>
        </w:rPr>
        <w:t> </w:t>
      </w:r>
      <w:r>
        <w:rPr/>
        <w:t>twin</w:t>
      </w:r>
      <w:r>
        <w:rPr>
          <w:spacing w:val="-22"/>
        </w:rPr>
        <w:t> </w:t>
      </w:r>
      <w:r>
        <w:rPr/>
        <w:t>lambs.</w:t>
      </w:r>
      <w:r>
        <w:rPr>
          <w:spacing w:val="-22"/>
        </w:rPr>
        <w:t> </w:t>
      </w:r>
      <w:r>
        <w:rPr/>
        <w:t>Gaddour et</w:t>
      </w:r>
      <w:r>
        <w:rPr>
          <w:spacing w:val="-22"/>
        </w:rPr>
        <w:t> </w:t>
      </w:r>
      <w:r>
        <w:rPr/>
        <w:t>al.</w:t>
      </w:r>
      <w:r>
        <w:rPr>
          <w:spacing w:val="-22"/>
        </w:rPr>
        <w:t> </w:t>
      </w:r>
      <w:r>
        <w:rPr/>
        <w:t>(</w:t>
      </w:r>
      <w:hyperlink w:history="true" w:anchor="_bookmark4">
        <w:r>
          <w:rPr>
            <w:color w:val="000084"/>
          </w:rPr>
          <w:t>2007</w:t>
        </w:r>
      </w:hyperlink>
      <w:r>
        <w:rPr/>
        <w:t>)</w:t>
      </w:r>
      <w:r>
        <w:rPr>
          <w:spacing w:val="-23"/>
        </w:rPr>
        <w:t> </w:t>
      </w:r>
      <w:r>
        <w:rPr/>
        <w:t>mentioned</w:t>
      </w:r>
      <w:r>
        <w:rPr>
          <w:spacing w:val="-21"/>
        </w:rPr>
        <w:t> </w:t>
      </w:r>
      <w:r>
        <w:rPr/>
        <w:t>that</w:t>
      </w:r>
      <w:r>
        <w:rPr>
          <w:spacing w:val="-22"/>
        </w:rPr>
        <w:t> </w:t>
      </w:r>
      <w:r>
        <w:rPr/>
        <w:t>there</w:t>
      </w:r>
      <w:r>
        <w:rPr>
          <w:spacing w:val="-22"/>
        </w:rPr>
        <w:t> </w:t>
      </w:r>
      <w:r>
        <w:rPr/>
        <w:t>are</w:t>
      </w:r>
      <w:r>
        <w:rPr>
          <w:spacing w:val="-22"/>
        </w:rPr>
        <w:t> </w:t>
      </w:r>
      <w:r>
        <w:rPr/>
        <w:t>evident</w:t>
      </w:r>
      <w:r>
        <w:rPr>
          <w:spacing w:val="-24"/>
        </w:rPr>
        <w:t> </w:t>
      </w:r>
      <w:r>
        <w:rPr/>
        <w:t>differences</w:t>
      </w:r>
      <w:r>
        <w:rPr>
          <w:spacing w:val="-23"/>
        </w:rPr>
        <w:t> </w:t>
      </w:r>
      <w:r>
        <w:rPr/>
        <w:t>in the</w:t>
      </w:r>
      <w:r>
        <w:rPr>
          <w:spacing w:val="-9"/>
        </w:rPr>
        <w:t> </w:t>
      </w:r>
      <w:r>
        <w:rPr/>
        <w:t>dairy</w:t>
      </w:r>
      <w:r>
        <w:rPr>
          <w:spacing w:val="-8"/>
        </w:rPr>
        <w:t> </w:t>
      </w:r>
      <w:r>
        <w:rPr/>
        <w:t>ability</w:t>
      </w:r>
      <w:r>
        <w:rPr>
          <w:spacing w:val="-8"/>
        </w:rPr>
        <w:t> </w:t>
      </w:r>
      <w:r>
        <w:rPr/>
        <w:t>of</w:t>
      </w:r>
      <w:r>
        <w:rPr>
          <w:spacing w:val="-9"/>
        </w:rPr>
        <w:t> </w:t>
      </w:r>
      <w:r>
        <w:rPr/>
        <w:t>different</w:t>
      </w:r>
      <w:r>
        <w:rPr>
          <w:spacing w:val="-9"/>
        </w:rPr>
        <w:t> </w:t>
      </w:r>
      <w:r>
        <w:rPr/>
        <w:t>racial</w:t>
      </w:r>
      <w:r>
        <w:rPr>
          <w:spacing w:val="-9"/>
        </w:rPr>
        <w:t> </w:t>
      </w:r>
      <w:r>
        <w:rPr/>
        <w:t>groups</w:t>
      </w:r>
      <w:r>
        <w:rPr>
          <w:spacing w:val="-7"/>
        </w:rPr>
        <w:t> </w:t>
      </w:r>
      <w:r>
        <w:rPr/>
        <w:t>subjected</w:t>
      </w:r>
      <w:r>
        <w:rPr>
          <w:spacing w:val="-7"/>
        </w:rPr>
        <w:t> </w:t>
      </w:r>
      <w:r>
        <w:rPr/>
        <w:t>to</w:t>
      </w:r>
      <w:r>
        <w:rPr>
          <w:spacing w:val="-9"/>
        </w:rPr>
        <w:t> </w:t>
      </w:r>
      <w:r>
        <w:rPr/>
        <w:t>the same</w:t>
      </w:r>
      <w:r>
        <w:rPr>
          <w:spacing w:val="-11"/>
        </w:rPr>
        <w:t> </w:t>
      </w:r>
      <w:r>
        <w:rPr/>
        <w:t>environmental</w:t>
      </w:r>
      <w:r>
        <w:rPr>
          <w:spacing w:val="-11"/>
        </w:rPr>
        <w:t> </w:t>
      </w:r>
      <w:r>
        <w:rPr/>
        <w:t>and</w:t>
      </w:r>
      <w:r>
        <w:rPr>
          <w:spacing w:val="-11"/>
        </w:rPr>
        <w:t> </w:t>
      </w:r>
      <w:r>
        <w:rPr/>
        <w:t>feeding</w:t>
      </w:r>
      <w:r>
        <w:rPr>
          <w:spacing w:val="-11"/>
        </w:rPr>
        <w:t> </w:t>
      </w:r>
      <w:r>
        <w:rPr/>
        <w:t>conditions.</w:t>
      </w:r>
    </w:p>
    <w:p>
      <w:pPr>
        <w:pStyle w:val="BodyText"/>
        <w:spacing w:line="249" w:lineRule="auto" w:before="9"/>
        <w:ind w:left="105" w:firstLine="298"/>
        <w:jc w:val="both"/>
      </w:pPr>
      <w:r>
        <w:rPr/>
        <w:t>In many reports, the correlation between PTP and OTP was highly positive (~0.97); which indicates that at maximum observed milk production per day, the predic- tion of maximum milk production may be obtained from milk lactation curve (Salvador et al. </w:t>
      </w:r>
      <w:hyperlink w:history="true" w:anchor="_bookmark5">
        <w:r>
          <w:rPr>
            <w:color w:val="000084"/>
          </w:rPr>
          <w:t>2006</w:t>
        </w:r>
      </w:hyperlink>
      <w:r>
        <w:rPr/>
        <w:t>; Salvador &amp; Martínez </w:t>
      </w:r>
      <w:hyperlink w:history="true" w:anchor="_bookmark5">
        <w:r>
          <w:rPr>
            <w:color w:val="000084"/>
          </w:rPr>
          <w:t>2007</w:t>
        </w:r>
      </w:hyperlink>
      <w:r>
        <w:rPr/>
        <w:t>).</w:t>
      </w:r>
    </w:p>
    <w:p>
      <w:pPr>
        <w:pStyle w:val="BodyText"/>
        <w:spacing w:line="249" w:lineRule="auto" w:before="9"/>
        <w:ind w:left="105" w:firstLine="298"/>
        <w:jc w:val="both"/>
      </w:pPr>
      <w:r>
        <w:rPr/>
        <w:t>In goats with twin births, the time elapses was less TPY, showing higher production per day and thus a higher total lactation than those with a single type of births. Sánchez et al. (</w:t>
      </w:r>
      <w:hyperlink w:history="true" w:anchor="_bookmark5">
        <w:r>
          <w:rPr>
            <w:color w:val="000084"/>
          </w:rPr>
          <w:t>2006</w:t>
        </w:r>
      </w:hyperlink>
      <w:r>
        <w:rPr/>
        <w:t>) found that litter size can directly influence the total production and daily produc- tion, which were coinciding with the results obtained in this study. Zygoyiannis (</w:t>
      </w:r>
      <w:hyperlink w:history="true" w:anchor="_bookmark5">
        <w:r>
          <w:rPr>
            <w:color w:val="000084"/>
          </w:rPr>
          <w:t>1987</w:t>
        </w:r>
      </w:hyperlink>
      <w:r>
        <w:rPr/>
        <w:t>) compared 2 groups of goats with different periods of suckling and noted that when the kids were weaned at 6 weeks, peak milk production was reached before the group which was weaned at 12 weeks, but milk production declines more rapidly in the first group, hence the importance of kid suckling on the persistence and total milk  production.</w:t>
      </w:r>
    </w:p>
    <w:p>
      <w:pPr>
        <w:pStyle w:val="BodyText"/>
        <w:spacing w:line="249" w:lineRule="auto" w:before="9"/>
        <w:ind w:left="60" w:firstLine="298"/>
        <w:jc w:val="right"/>
      </w:pPr>
      <w:r>
        <w:rPr/>
        <w:t>The obtained results of persistence may match the</w:t>
      </w:r>
      <w:r>
        <w:rPr>
          <w:w w:val="98"/>
        </w:rPr>
        <w:t> </w:t>
      </w:r>
      <w:r>
        <w:rPr/>
        <w:t>natural process of gradual involution of the mammary</w:t>
      </w:r>
      <w:r>
        <w:rPr>
          <w:w w:val="99"/>
        </w:rPr>
        <w:t> </w:t>
      </w:r>
      <w:r>
        <w:rPr/>
        <w:t>gland. This process, in goats, characterised by a decrease</w:t>
      </w:r>
      <w:r>
        <w:rPr>
          <w:w w:val="98"/>
        </w:rPr>
        <w:t> </w:t>
      </w:r>
      <w:r>
        <w:rPr/>
        <w:t>in the number of secretory cells in the mammary gland,</w:t>
      </w:r>
      <w:r>
        <w:rPr>
          <w:w w:val="99"/>
        </w:rPr>
        <w:t> </w:t>
      </w:r>
      <w:r>
        <w:rPr/>
        <w:t>thereby producing the drop decreases over and during</w:t>
      </w:r>
      <w:r>
        <w:rPr>
          <w:w w:val="99"/>
        </w:rPr>
        <w:t> </w:t>
      </w:r>
      <w:r>
        <w:rPr/>
        <w:t>lactation is strongly influenced by the apoptosis rate in</w:t>
      </w:r>
      <w:r>
        <w:rPr>
          <w:w w:val="98"/>
        </w:rPr>
        <w:t> </w:t>
      </w:r>
      <w:r>
        <w:rPr/>
        <w:t>the lactating gland (Stefanon et al. </w:t>
      </w:r>
      <w:hyperlink w:history="true" w:anchor="_bookmark5">
        <w:r>
          <w:rPr>
            <w:color w:val="000084"/>
          </w:rPr>
          <w:t>2002</w:t>
        </w:r>
      </w:hyperlink>
      <w:r>
        <w:rPr/>
        <w:t>; Millier </w:t>
      </w:r>
      <w:hyperlink w:history="true" w:anchor="_bookmark5">
        <w:r>
          <w:rPr>
            <w:color w:val="000084"/>
          </w:rPr>
          <w:t>2013</w:t>
        </w:r>
      </w:hyperlink>
      <w:r>
        <w:rPr/>
        <w:t>).</w:t>
      </w:r>
      <w:r>
        <w:rPr>
          <w:w w:val="97"/>
        </w:rPr>
        <w:t> </w:t>
      </w:r>
      <w:r>
        <w:rPr/>
        <w:t>When comparing the PTP with the OTP quantified</w:t>
      </w:r>
      <w:r>
        <w:rPr>
          <w:w w:val="99"/>
        </w:rPr>
        <w:t> </w:t>
      </w:r>
      <w:r>
        <w:rPr/>
        <w:t>throughout the experimental period, it was observed that</w:t>
      </w:r>
      <w:r>
        <w:rPr>
          <w:w w:val="98"/>
        </w:rPr>
        <w:t> </w:t>
      </w:r>
      <w:r>
        <w:rPr/>
        <w:t>both fit perfectly, which coincides with that described by</w:t>
      </w:r>
      <w:r>
        <w:rPr>
          <w:w w:val="99"/>
        </w:rPr>
        <w:t> </w:t>
      </w:r>
      <w:r>
        <w:rPr/>
        <w:t>Gipson and Grossman (</w:t>
      </w:r>
      <w:hyperlink w:history="true" w:anchor="_bookmark4">
        <w:r>
          <w:rPr>
            <w:color w:val="000084"/>
          </w:rPr>
          <w:t>1990</w:t>
        </w:r>
      </w:hyperlink>
      <w:r>
        <w:rPr/>
        <w:t>) who obtained values of</w:t>
      </w:r>
    </w:p>
    <w:p>
      <w:pPr>
        <w:pStyle w:val="BodyText"/>
        <w:spacing w:line="230" w:lineRule="exact"/>
        <w:ind w:left="105"/>
        <w:jc w:val="both"/>
      </w:pPr>
      <w:r>
        <w:rPr>
          <w:i/>
        </w:rPr>
        <w:t>R</w:t>
      </w:r>
      <w:r>
        <w:rPr>
          <w:position w:val="9"/>
          <w:sz w:val="13"/>
        </w:rPr>
        <w:t>2  </w:t>
      </w:r>
      <w:r>
        <w:rPr/>
        <w:t>&gt; 0.9, using the incomplete gamma function of Wood</w:t>
      </w:r>
    </w:p>
    <w:p>
      <w:pPr>
        <w:pStyle w:val="BodyText"/>
        <w:spacing w:line="249" w:lineRule="auto" w:before="9"/>
        <w:ind w:left="105" w:hanging="1"/>
        <w:jc w:val="both"/>
      </w:pPr>
      <w:r>
        <w:rPr/>
        <w:t>(</w:t>
      </w:r>
      <w:hyperlink w:history="true" w:anchor="_bookmark5">
        <w:r>
          <w:rPr>
            <w:color w:val="000084"/>
          </w:rPr>
          <w:t>1967</w:t>
        </w:r>
      </w:hyperlink>
      <w:r>
        <w:rPr/>
        <w:t>). Therefore, it is confirmed that the model of </w:t>
      </w:r>
      <w:r>
        <w:rPr>
          <w:spacing w:val="-4"/>
        </w:rPr>
        <w:t>Wood </w:t>
      </w:r>
      <w:r>
        <w:rPr/>
        <w:t>(</w:t>
      </w:r>
      <w:hyperlink w:history="true" w:anchor="_bookmark5">
        <w:r>
          <w:rPr>
            <w:color w:val="000084"/>
          </w:rPr>
          <w:t>1967</w:t>
        </w:r>
      </w:hyperlink>
      <w:r>
        <w:rPr/>
        <w:t>) is suitable for describing the lactation curve in goats. In the model of incomplete gamma function, a rapid increase occurs in milk production afterbirth to a peak was subsequently adapted to a gradual decline until suckling ends (Gipson &amp;</w:t>
      </w:r>
      <w:r>
        <w:rPr>
          <w:spacing w:val="-4"/>
        </w:rPr>
        <w:t> </w:t>
      </w:r>
      <w:r>
        <w:rPr/>
        <w:t>Grossman </w:t>
      </w:r>
      <w:hyperlink w:history="true" w:anchor="_bookmark4">
        <w:r>
          <w:rPr>
            <w:color w:val="000084"/>
          </w:rPr>
          <w:t>1990</w:t>
        </w:r>
      </w:hyperlink>
      <w:r>
        <w:rPr/>
        <w:t>; Capuco et al.</w:t>
      </w:r>
      <w:r>
        <w:rPr>
          <w:spacing w:val="46"/>
        </w:rPr>
        <w:t> </w:t>
      </w:r>
      <w:hyperlink w:history="true" w:anchor="_bookmark4">
        <w:r>
          <w:rPr>
            <w:color w:val="000084"/>
          </w:rPr>
          <w:t>2003</w:t>
        </w:r>
      </w:hyperlink>
      <w:r>
        <w:rPr/>
        <w:t>).</w:t>
      </w:r>
    </w:p>
    <w:p>
      <w:pPr>
        <w:pStyle w:val="BodyText"/>
      </w:pPr>
    </w:p>
    <w:p>
      <w:pPr>
        <w:pStyle w:val="BodyText"/>
        <w:spacing w:before="3"/>
        <w:rPr>
          <w:sz w:val="17"/>
        </w:rPr>
      </w:pPr>
    </w:p>
    <w:p>
      <w:pPr>
        <w:pStyle w:val="ListParagraph"/>
        <w:numPr>
          <w:ilvl w:val="1"/>
          <w:numId w:val="1"/>
        </w:numPr>
        <w:tabs>
          <w:tab w:pos="471" w:val="left" w:leader="none"/>
        </w:tabs>
        <w:spacing w:line="240" w:lineRule="auto" w:before="0" w:after="0"/>
        <w:ind w:left="470" w:right="0" w:hanging="365"/>
        <w:jc w:val="both"/>
        <w:rPr>
          <w:i/>
          <w:sz w:val="20"/>
        </w:rPr>
      </w:pPr>
      <w:r>
        <w:rPr>
          <w:i/>
          <w:sz w:val="20"/>
        </w:rPr>
        <w:t>Dry matter</w:t>
      </w:r>
      <w:r>
        <w:rPr>
          <w:i/>
          <w:spacing w:val="49"/>
          <w:sz w:val="20"/>
        </w:rPr>
        <w:t> </w:t>
      </w:r>
      <w:r>
        <w:rPr>
          <w:i/>
          <w:sz w:val="20"/>
        </w:rPr>
        <w:t>intake</w:t>
      </w:r>
    </w:p>
    <w:p>
      <w:pPr>
        <w:pStyle w:val="BodyText"/>
        <w:spacing w:line="249" w:lineRule="auto" w:before="68"/>
        <w:ind w:left="105"/>
        <w:jc w:val="both"/>
      </w:pPr>
      <w:r>
        <w:rPr/>
        <w:t>During lactating period, feed consumption depends on several factors highlighting its importance feed palatab- ility and characteristics, body weight (BW), milk pro- duction level, temperature and availability of drinking water (Goetsch et al. </w:t>
      </w:r>
      <w:hyperlink w:history="true" w:anchor="_bookmark4">
        <w:r>
          <w:rPr>
            <w:color w:val="000084"/>
          </w:rPr>
          <w:t>2001</w:t>
        </w:r>
      </w:hyperlink>
      <w:r>
        <w:rPr/>
        <w:t>; Kholif et al. </w:t>
      </w:r>
      <w:hyperlink w:history="true" w:anchor="_bookmark4">
        <w:r>
          <w:rPr>
            <w:color w:val="000084"/>
          </w:rPr>
          <w:t>2014</w:t>
        </w:r>
      </w:hyperlink>
      <w:r>
        <w:rPr/>
        <w:t>). Feed intake obtained in this study represents a 5</w:t>
      </w:r>
      <w:r>
        <w:rPr>
          <w:rFonts w:ascii="Arial" w:hAnsi="Arial"/>
        </w:rPr>
        <w:t>–</w:t>
      </w:r>
      <w:r>
        <w:rPr/>
        <w:t>7% of the LW of the goat. Differences observed between the three breeds for DMI are directly reflected on the   production</w:t>
      </w:r>
    </w:p>
    <w:p>
      <w:pPr>
        <w:pStyle w:val="BodyText"/>
        <w:spacing w:line="249" w:lineRule="auto" w:before="75"/>
        <w:ind w:left="105" w:right="123"/>
        <w:jc w:val="both"/>
      </w:pPr>
      <w:r>
        <w:rPr/>
        <w:br w:type="column"/>
      </w:r>
      <w:r>
        <w:rPr/>
        <w:t>of milk. Salvador and Martínez (</w:t>
      </w:r>
      <w:hyperlink w:history="true" w:anchor="_bookmark5">
        <w:r>
          <w:rPr>
            <w:color w:val="000084"/>
          </w:rPr>
          <w:t>2007</w:t>
        </w:r>
      </w:hyperlink>
      <w:r>
        <w:rPr/>
        <w:t>) mentioned a maximum DMI in high producing lactating goats with about 5</w:t>
      </w:r>
      <w:r>
        <w:rPr>
          <w:rFonts w:ascii="Arial" w:hAnsi="Arial"/>
        </w:rPr>
        <w:t>–</w:t>
      </w:r>
      <w:r>
        <w:rPr/>
        <w:t>7% of their BW, matching results obtained in the current study. Moreover, Cantú (</w:t>
      </w:r>
      <w:hyperlink w:history="true" w:anchor="_bookmark4">
        <w:r>
          <w:rPr>
            <w:color w:val="000084"/>
          </w:rPr>
          <w:t>2008</w:t>
        </w:r>
      </w:hyperlink>
      <w:r>
        <w:rPr/>
        <w:t>) presented similar results to those reported in the current study, reporting a DMI of 5</w:t>
      </w:r>
      <w:r>
        <w:rPr>
          <w:rFonts w:ascii="Arial" w:hAnsi="Arial"/>
        </w:rPr>
        <w:t>–</w:t>
      </w:r>
      <w:r>
        <w:rPr/>
        <w:t>8% of BW for lactating goats in temperate climate. However, Salvador and Martínez (</w:t>
      </w:r>
      <w:hyperlink w:history="true" w:anchor="_bookmark5">
        <w:r>
          <w:rPr>
            <w:color w:val="000084"/>
          </w:rPr>
          <w:t>2007</w:t>
        </w:r>
      </w:hyperlink>
      <w:r>
        <w:rPr/>
        <w:t>) generalise DMI for most goats at 3%. Also, Khattab et al. (</w:t>
      </w:r>
      <w:hyperlink w:history="true" w:anchor="_bookmark4">
        <w:r>
          <w:rPr>
            <w:color w:val="000084"/>
          </w:rPr>
          <w:t>2011</w:t>
        </w:r>
      </w:hyperlink>
      <w:r>
        <w:rPr/>
        <w:t>) and Kholif et al. (</w:t>
      </w:r>
      <w:hyperlink w:history="true" w:anchor="_bookmark4">
        <w:r>
          <w:rPr>
            <w:color w:val="000084"/>
          </w:rPr>
          <w:t>2014</w:t>
        </w:r>
      </w:hyperlink>
      <w:r>
        <w:rPr/>
        <w:t>) noted that DMI for Baladi lactating goats was about 3% of the LW.</w:t>
      </w:r>
    </w:p>
    <w:p>
      <w:pPr>
        <w:pStyle w:val="BodyText"/>
      </w:pPr>
    </w:p>
    <w:p>
      <w:pPr>
        <w:pStyle w:val="BodyText"/>
        <w:spacing w:before="2"/>
        <w:rPr>
          <w:sz w:val="18"/>
        </w:rPr>
      </w:pPr>
    </w:p>
    <w:p>
      <w:pPr>
        <w:pStyle w:val="ListParagraph"/>
        <w:numPr>
          <w:ilvl w:val="1"/>
          <w:numId w:val="1"/>
        </w:numPr>
        <w:tabs>
          <w:tab w:pos="471" w:val="left" w:leader="none"/>
        </w:tabs>
        <w:spacing w:line="240" w:lineRule="auto" w:before="0" w:after="0"/>
        <w:ind w:left="470" w:right="0" w:hanging="365"/>
        <w:jc w:val="both"/>
        <w:rPr>
          <w:i/>
          <w:sz w:val="20"/>
        </w:rPr>
      </w:pPr>
      <w:r>
        <w:rPr>
          <w:i/>
          <w:sz w:val="20"/>
        </w:rPr>
        <w:t>Body  weight</w:t>
      </w:r>
      <w:r>
        <w:rPr>
          <w:i/>
          <w:spacing w:val="11"/>
          <w:sz w:val="20"/>
        </w:rPr>
        <w:t> </w:t>
      </w:r>
      <w:r>
        <w:rPr>
          <w:i/>
          <w:sz w:val="20"/>
        </w:rPr>
        <w:t>changes</w:t>
      </w:r>
    </w:p>
    <w:p>
      <w:pPr>
        <w:pStyle w:val="BodyText"/>
        <w:spacing w:line="249" w:lineRule="auto" w:before="68"/>
        <w:ind w:left="105" w:right="123"/>
        <w:jc w:val="both"/>
      </w:pPr>
      <w:r>
        <w:rPr/>
        <w:t>Dunshea and Bell (</w:t>
      </w:r>
      <w:hyperlink w:history="true" w:anchor="_bookmark4">
        <w:r>
          <w:rPr>
            <w:color w:val="000084"/>
          </w:rPr>
          <w:t>1990</w:t>
        </w:r>
      </w:hyperlink>
      <w:r>
        <w:rPr/>
        <w:t>) with SG breed, and Lu et al. (</w:t>
      </w:r>
      <w:hyperlink w:history="true" w:anchor="_bookmark5">
        <w:r>
          <w:rPr>
            <w:color w:val="000084"/>
          </w:rPr>
          <w:t>1990</w:t>
        </w:r>
      </w:hyperlink>
      <w:r>
        <w:rPr/>
        <w:t>) with AG observed that changes in BW always positive for a period of </w:t>
      </w:r>
      <w:r>
        <w:rPr>
          <w:spacing w:val="-4"/>
        </w:rPr>
        <w:t>11 </w:t>
      </w:r>
      <w:r>
        <w:rPr/>
        <w:t>weeks of lactation. Positive relationships were found between DMI and production level or </w:t>
      </w:r>
      <w:r>
        <w:rPr>
          <w:spacing w:val="-7"/>
        </w:rPr>
        <w:t>LW </w:t>
      </w:r>
      <w:r>
        <w:rPr/>
        <w:t>which probably due to the animal capacity to adjust feed intake to nutritive requirements and rumen volume (Avondo et al. </w:t>
      </w:r>
      <w:hyperlink w:history="true" w:anchor="_bookmark4">
        <w:r>
          <w:rPr>
            <w:color w:val="000084"/>
          </w:rPr>
          <w:t>2008</w:t>
        </w:r>
      </w:hyperlink>
      <w:r>
        <w:rPr/>
        <w:t>). Similarly, most reported equations estimating the intake for cattle, sheep and goats include BW and/or milk production among the independent variables (Avondo et al. </w:t>
      </w:r>
      <w:hyperlink w:history="true" w:anchor="_bookmark4">
        <w:r>
          <w:rPr>
            <w:color w:val="000084"/>
          </w:rPr>
          <w:t>2002</w:t>
        </w:r>
      </w:hyperlink>
      <w:r>
        <w:rPr/>
        <w:t>; Luo et al. </w:t>
      </w:r>
      <w:hyperlink w:history="true" w:anchor="_bookmark5">
        <w:r>
          <w:rPr>
            <w:color w:val="000084"/>
          </w:rPr>
          <w:t>2004</w:t>
        </w:r>
      </w:hyperlink>
      <w:r>
        <w:rPr/>
        <w:t>; Manafiazar et al.</w:t>
      </w:r>
      <w:r>
        <w:rPr>
          <w:spacing w:val="35"/>
        </w:rPr>
        <w:t> </w:t>
      </w:r>
      <w:hyperlink w:history="true" w:anchor="_bookmark5">
        <w:r>
          <w:rPr>
            <w:color w:val="000084"/>
          </w:rPr>
          <w:t>2013</w:t>
        </w:r>
      </w:hyperlink>
      <w:r>
        <w:rPr/>
        <w:t>).</w:t>
      </w:r>
    </w:p>
    <w:p>
      <w:pPr>
        <w:pStyle w:val="BodyText"/>
      </w:pPr>
    </w:p>
    <w:p>
      <w:pPr>
        <w:pStyle w:val="BodyText"/>
        <w:spacing w:before="2"/>
        <w:rPr>
          <w:sz w:val="18"/>
        </w:rPr>
      </w:pPr>
    </w:p>
    <w:p>
      <w:pPr>
        <w:pStyle w:val="ListParagraph"/>
        <w:numPr>
          <w:ilvl w:val="1"/>
          <w:numId w:val="1"/>
        </w:numPr>
        <w:tabs>
          <w:tab w:pos="471" w:val="left" w:leader="none"/>
        </w:tabs>
        <w:spacing w:line="240" w:lineRule="auto" w:before="0" w:after="0"/>
        <w:ind w:left="470" w:right="0" w:hanging="365"/>
        <w:jc w:val="both"/>
        <w:rPr>
          <w:i/>
          <w:sz w:val="20"/>
        </w:rPr>
      </w:pPr>
      <w:r>
        <w:rPr>
          <w:i/>
          <w:sz w:val="20"/>
        </w:rPr>
        <w:t>Weaning</w:t>
      </w:r>
      <w:r>
        <w:rPr>
          <w:i/>
          <w:spacing w:val="31"/>
          <w:sz w:val="20"/>
        </w:rPr>
        <w:t> </w:t>
      </w:r>
      <w:r>
        <w:rPr>
          <w:i/>
          <w:sz w:val="20"/>
        </w:rPr>
        <w:t>weight</w:t>
      </w:r>
    </w:p>
    <w:p>
      <w:pPr>
        <w:pStyle w:val="BodyText"/>
        <w:spacing w:line="249" w:lineRule="auto" w:before="67"/>
        <w:ind w:left="105" w:right="123" w:hanging="1"/>
        <w:jc w:val="both"/>
      </w:pPr>
      <w:r>
        <w:rPr/>
        <w:t>The majority goat </w:t>
      </w:r>
      <w:r>
        <w:rPr>
          <w:spacing w:val="-3"/>
        </w:rPr>
        <w:t>kid</w:t>
      </w:r>
      <w:r>
        <w:rPr>
          <w:rFonts w:ascii="Arial" w:hAnsi="Arial"/>
          <w:spacing w:val="-3"/>
        </w:rPr>
        <w:t>’</w:t>
      </w:r>
      <w:r>
        <w:rPr>
          <w:spacing w:val="-3"/>
        </w:rPr>
        <w:t>s </w:t>
      </w:r>
      <w:r>
        <w:rPr/>
        <w:t>mortality occurs in the period from birth to puberty; the weaning in this period represents the most critical stress (Otuma &amp; Osakwe </w:t>
      </w:r>
      <w:hyperlink w:history="true" w:anchor="_bookmark5">
        <w:r>
          <w:rPr>
            <w:color w:val="000084"/>
          </w:rPr>
          <w:t>2008</w:t>
        </w:r>
      </w:hyperlink>
      <w:r>
        <w:rPr/>
        <w:t>), hence the importance of mentioning some factors that affect prenatal and postnatal growth. The prenatal growth is affected by parents genetic and nutrition, and postnatal growth is affected by birth weight, birth type, sex, litter size, age and milk production of mothers (Sebei et al. </w:t>
      </w:r>
      <w:hyperlink w:history="true" w:anchor="_bookmark5">
        <w:r>
          <w:rPr>
            <w:color w:val="000084"/>
          </w:rPr>
          <w:t>2004</w:t>
        </w:r>
      </w:hyperlink>
      <w:r>
        <w:rPr/>
        <w:t>; Otoikhian et al. </w:t>
      </w:r>
      <w:hyperlink w:history="true" w:anchor="_bookmark5">
        <w:r>
          <w:rPr>
            <w:color w:val="000084"/>
          </w:rPr>
          <w:t>2013</w:t>
        </w:r>
      </w:hyperlink>
      <w:r>
        <w:rPr/>
        <w:t>). The nutrition of the doe is certainly the most influential factor in</w:t>
      </w:r>
      <w:r>
        <w:rPr>
          <w:spacing w:val="-21"/>
        </w:rPr>
        <w:t> </w:t>
      </w:r>
      <w:r>
        <w:rPr/>
        <w:t>foetal growth, particularly in the last third of gestation (Wu     et</w:t>
      </w:r>
      <w:r>
        <w:rPr>
          <w:spacing w:val="-6"/>
        </w:rPr>
        <w:t> </w:t>
      </w:r>
      <w:r>
        <w:rPr/>
        <w:t>al.</w:t>
      </w:r>
      <w:r>
        <w:rPr>
          <w:spacing w:val="-5"/>
        </w:rPr>
        <w:t> </w:t>
      </w:r>
      <w:hyperlink w:history="true" w:anchor="_bookmark5">
        <w:r>
          <w:rPr>
            <w:color w:val="000084"/>
          </w:rPr>
          <w:t>2013</w:t>
        </w:r>
      </w:hyperlink>
      <w:r>
        <w:rPr/>
        <w:t>).</w:t>
      </w:r>
      <w:r>
        <w:rPr>
          <w:spacing w:val="-6"/>
        </w:rPr>
        <w:t> </w:t>
      </w:r>
      <w:r>
        <w:rPr/>
        <w:t>In</w:t>
      </w:r>
      <w:r>
        <w:rPr>
          <w:spacing w:val="-5"/>
        </w:rPr>
        <w:t> </w:t>
      </w:r>
      <w:r>
        <w:rPr/>
        <w:t>the</w:t>
      </w:r>
      <w:r>
        <w:rPr>
          <w:spacing w:val="-4"/>
        </w:rPr>
        <w:t> </w:t>
      </w:r>
      <w:r>
        <w:rPr/>
        <w:t>current</w:t>
      </w:r>
      <w:r>
        <w:rPr>
          <w:spacing w:val="-4"/>
        </w:rPr>
        <w:t> </w:t>
      </w:r>
      <w:r>
        <w:rPr>
          <w:spacing w:val="-3"/>
        </w:rPr>
        <w:t>study,</w:t>
      </w:r>
      <w:r>
        <w:rPr>
          <w:spacing w:val="-5"/>
        </w:rPr>
        <w:t> </w:t>
      </w:r>
      <w:r>
        <w:rPr/>
        <w:t>kid</w:t>
      </w:r>
      <w:r>
        <w:rPr>
          <w:spacing w:val="-5"/>
        </w:rPr>
        <w:t> </w:t>
      </w:r>
      <w:r>
        <w:rPr/>
        <w:t>WW</w:t>
      </w:r>
      <w:r>
        <w:rPr>
          <w:spacing w:val="-5"/>
        </w:rPr>
        <w:t> </w:t>
      </w:r>
      <w:r>
        <w:rPr/>
        <w:t>was</w:t>
      </w:r>
      <w:r>
        <w:rPr>
          <w:spacing w:val="-5"/>
        </w:rPr>
        <w:t> </w:t>
      </w:r>
      <w:r>
        <w:rPr/>
        <w:t>unaffected with the breed and the type of birth. Birth weight of kids has been reported in negative correlation with survival and positively correlated with subsequent weight gain (Sebei et al. </w:t>
      </w:r>
      <w:hyperlink w:history="true" w:anchor="_bookmark5">
        <w:r>
          <w:rPr>
            <w:color w:val="000084"/>
          </w:rPr>
          <w:t>2004</w:t>
        </w:r>
      </w:hyperlink>
      <w:r>
        <w:rPr/>
        <w:t>). However, Merlos-Brito et al. (</w:t>
      </w:r>
      <w:hyperlink w:history="true" w:anchor="_bookmark5">
        <w:r>
          <w:rPr>
            <w:color w:val="000084"/>
          </w:rPr>
          <w:t>2008</w:t>
        </w:r>
      </w:hyperlink>
      <w:r>
        <w:rPr/>
        <w:t>) found that the offspring born from single births had higher WW (15.1 kg) than those born from twin births (13.4 kg). They explained this phenomenon by competi- tion with two pups through breast milk, compared with those of one</w:t>
      </w:r>
      <w:r>
        <w:rPr>
          <w:spacing w:val="27"/>
        </w:rPr>
        <w:t> </w:t>
      </w:r>
      <w:r>
        <w:rPr/>
        <w:t>offspring.</w:t>
      </w:r>
    </w:p>
    <w:p>
      <w:pPr>
        <w:pStyle w:val="BodyText"/>
        <w:spacing w:line="249" w:lineRule="auto" w:before="9"/>
        <w:ind w:left="105" w:right="123" w:firstLine="298"/>
        <w:jc w:val="both"/>
      </w:pPr>
      <w:r>
        <w:rPr/>
        <w:t>The</w:t>
      </w:r>
      <w:r>
        <w:rPr>
          <w:spacing w:val="-9"/>
        </w:rPr>
        <w:t> </w:t>
      </w:r>
      <w:r>
        <w:rPr/>
        <w:t>sex</w:t>
      </w:r>
      <w:r>
        <w:rPr>
          <w:spacing w:val="-8"/>
        </w:rPr>
        <w:t> </w:t>
      </w:r>
      <w:r>
        <w:rPr/>
        <w:t>of</w:t>
      </w:r>
      <w:r>
        <w:rPr>
          <w:spacing w:val="-8"/>
        </w:rPr>
        <w:t> </w:t>
      </w:r>
      <w:r>
        <w:rPr/>
        <w:t>kid</w:t>
      </w:r>
      <w:r>
        <w:rPr>
          <w:spacing w:val="-8"/>
        </w:rPr>
        <w:t> </w:t>
      </w:r>
      <w:r>
        <w:rPr/>
        <w:t>affects</w:t>
      </w:r>
      <w:r>
        <w:rPr>
          <w:spacing w:val="-10"/>
        </w:rPr>
        <w:t> </w:t>
      </w:r>
      <w:r>
        <w:rPr/>
        <w:t>birth</w:t>
      </w:r>
      <w:r>
        <w:rPr>
          <w:spacing w:val="-8"/>
        </w:rPr>
        <w:t> </w:t>
      </w:r>
      <w:r>
        <w:rPr/>
        <w:t>weight,</w:t>
      </w:r>
      <w:r>
        <w:rPr>
          <w:spacing w:val="-8"/>
        </w:rPr>
        <w:t> </w:t>
      </w:r>
      <w:r>
        <w:rPr/>
        <w:t>weaning</w:t>
      </w:r>
      <w:r>
        <w:rPr>
          <w:spacing w:val="-9"/>
        </w:rPr>
        <w:t> </w:t>
      </w:r>
      <w:r>
        <w:rPr/>
        <w:t>and</w:t>
      </w:r>
      <w:r>
        <w:rPr>
          <w:spacing w:val="-8"/>
        </w:rPr>
        <w:t> </w:t>
      </w:r>
      <w:r>
        <w:rPr/>
        <w:t>post- weaning gains (Lu &amp; Potchoiba </w:t>
      </w:r>
      <w:hyperlink w:history="true" w:anchor="_bookmark5">
        <w:r>
          <w:rPr>
            <w:color w:val="000084"/>
          </w:rPr>
          <w:t>1988</w:t>
        </w:r>
      </w:hyperlink>
      <w:r>
        <w:rPr/>
        <w:t>; Andries </w:t>
      </w:r>
      <w:hyperlink w:history="true" w:anchor="_bookmark4">
        <w:r>
          <w:rPr>
            <w:color w:val="000084"/>
          </w:rPr>
          <w:t>2013</w:t>
        </w:r>
      </w:hyperlink>
      <w:r>
        <w:rPr/>
        <w:t>). Likewise, weight gain pre-and post-weaning is greater</w:t>
      </w:r>
      <w:r>
        <w:rPr>
          <w:spacing w:val="-10"/>
        </w:rPr>
        <w:t> </w:t>
      </w:r>
      <w:r>
        <w:rPr/>
        <w:t>in kids born in single births than those from multiple births (Merlos-Brito</w:t>
      </w:r>
      <w:r>
        <w:rPr>
          <w:spacing w:val="-18"/>
        </w:rPr>
        <w:t> </w:t>
      </w:r>
      <w:r>
        <w:rPr/>
        <w:t>et</w:t>
      </w:r>
      <w:r>
        <w:rPr>
          <w:spacing w:val="-19"/>
        </w:rPr>
        <w:t> </w:t>
      </w:r>
      <w:r>
        <w:rPr/>
        <w:t>al.</w:t>
      </w:r>
      <w:r>
        <w:rPr>
          <w:spacing w:val="-19"/>
        </w:rPr>
        <w:t> </w:t>
      </w:r>
      <w:hyperlink w:history="true" w:anchor="_bookmark5">
        <w:r>
          <w:rPr>
            <w:color w:val="000084"/>
          </w:rPr>
          <w:t>2008</w:t>
        </w:r>
      </w:hyperlink>
      <w:r>
        <w:rPr/>
        <w:t>).</w:t>
      </w:r>
      <w:r>
        <w:rPr>
          <w:spacing w:val="-19"/>
        </w:rPr>
        <w:t> </w:t>
      </w:r>
      <w:r>
        <w:rPr/>
        <w:t>However,</w:t>
      </w:r>
      <w:r>
        <w:rPr>
          <w:spacing w:val="-20"/>
        </w:rPr>
        <w:t> </w:t>
      </w:r>
      <w:r>
        <w:rPr/>
        <w:t>no</w:t>
      </w:r>
      <w:r>
        <w:rPr>
          <w:spacing w:val="-19"/>
        </w:rPr>
        <w:t> </w:t>
      </w:r>
      <w:r>
        <w:rPr/>
        <w:t>difference</w:t>
      </w:r>
      <w:r>
        <w:rPr>
          <w:spacing w:val="-19"/>
        </w:rPr>
        <w:t> </w:t>
      </w:r>
      <w:r>
        <w:rPr/>
        <w:t>in</w:t>
      </w:r>
      <w:r>
        <w:rPr>
          <w:spacing w:val="-19"/>
        </w:rPr>
        <w:t> </w:t>
      </w:r>
      <w:r>
        <w:rPr/>
        <w:t>birth weight and weaning and post-WW was observed in kids of goats with different ages (Merlos-Brito et al.   </w:t>
      </w:r>
      <w:r>
        <w:rPr>
          <w:spacing w:val="38"/>
        </w:rPr>
        <w:t> </w:t>
      </w:r>
      <w:hyperlink w:history="true" w:anchor="_bookmark5">
        <w:r>
          <w:rPr>
            <w:color w:val="000084"/>
          </w:rPr>
          <w:t>2008</w:t>
        </w:r>
      </w:hyperlink>
      <w:r>
        <w:rPr/>
        <w:t>).</w:t>
      </w:r>
    </w:p>
    <w:p>
      <w:pPr>
        <w:spacing w:after="0" w:line="249" w:lineRule="auto"/>
        <w:jc w:val="both"/>
        <w:sectPr>
          <w:type w:val="continuous"/>
          <w:pgSz w:w="12190" w:h="15880"/>
          <w:pgMar w:top="380" w:bottom="0" w:left="1200" w:right="1180"/>
          <w:cols w:num="2" w:equalWidth="0">
            <w:col w:w="4656" w:space="373"/>
            <w:col w:w="4781"/>
          </w:cols>
        </w:sectPr>
      </w:pPr>
    </w:p>
    <w:p>
      <w:pPr>
        <w:pStyle w:val="BodyText"/>
        <w:rPr>
          <w:sz w:val="15"/>
        </w:rPr>
      </w:pPr>
    </w:p>
    <w:p>
      <w:pPr>
        <w:spacing w:after="0"/>
        <w:rPr>
          <w:sz w:val="15"/>
        </w:rPr>
        <w:sectPr>
          <w:pgSz w:w="12190" w:h="15880"/>
          <w:pgMar w:header="1017" w:footer="0" w:top="1200" w:bottom="280" w:left="1200" w:right="1200"/>
        </w:sectPr>
      </w:pPr>
    </w:p>
    <w:p>
      <w:pPr>
        <w:pStyle w:val="BodyText"/>
        <w:spacing w:line="249" w:lineRule="auto" w:before="82"/>
        <w:ind w:left="105"/>
        <w:jc w:val="both"/>
      </w:pPr>
      <w:r>
        <w:rPr/>
        <w:pict>
          <v:shape style="position:absolute;margin-left:.953263pt;margin-top:287.387146pt;width:12pt;height:221.45pt;mso-position-horizontal-relative:page;mso-position-vertical-relative:page;z-index:1888"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bookmarkStart w:name="4.5. Daily gain weight" w:id="22"/>
      <w:bookmarkEnd w:id="22"/>
      <w:r>
        <w:rPr/>
      </w:r>
      <w:bookmarkStart w:name="5. Conclusions" w:id="23"/>
      <w:bookmarkEnd w:id="23"/>
      <w:r>
        <w:rPr/>
      </w:r>
      <w:bookmarkStart w:name="Disclosure statement" w:id="24"/>
      <w:bookmarkEnd w:id="24"/>
      <w:r>
        <w:rPr/>
      </w:r>
      <w:bookmarkStart w:name="References" w:id="25"/>
      <w:bookmarkEnd w:id="25"/>
      <w:r>
        <w:rPr/>
      </w:r>
      <w:bookmarkStart w:name="_bookmark4" w:id="26"/>
      <w:bookmarkEnd w:id="26"/>
      <w:r>
        <w:rPr/>
      </w:r>
      <w:r>
        <w:rPr/>
        <w:t>Male kids reached a heavier WW than female kids with about</w:t>
      </w:r>
      <w:r>
        <w:rPr>
          <w:spacing w:val="-9"/>
        </w:rPr>
        <w:t> </w:t>
      </w:r>
      <w:r>
        <w:rPr/>
        <w:t>8.1%</w:t>
      </w:r>
      <w:r>
        <w:rPr>
          <w:spacing w:val="-9"/>
        </w:rPr>
        <w:t> </w:t>
      </w:r>
      <w:r>
        <w:rPr/>
        <w:t>(20</w:t>
      </w:r>
      <w:r>
        <w:rPr>
          <w:spacing w:val="-8"/>
        </w:rPr>
        <w:t> </w:t>
      </w:r>
      <w:r>
        <w:rPr/>
        <w:t>versus</w:t>
      </w:r>
      <w:r>
        <w:rPr>
          <w:spacing w:val="-7"/>
        </w:rPr>
        <w:t> </w:t>
      </w:r>
      <w:r>
        <w:rPr/>
        <w:t>18.13</w:t>
      </w:r>
      <w:r>
        <w:rPr>
          <w:spacing w:val="-8"/>
        </w:rPr>
        <w:t> </w:t>
      </w:r>
      <w:r>
        <w:rPr/>
        <w:t>kg</w:t>
      </w:r>
      <w:r>
        <w:rPr>
          <w:spacing w:val="-9"/>
        </w:rPr>
        <w:t> </w:t>
      </w:r>
      <w:r>
        <w:rPr/>
        <w:t>for</w:t>
      </w:r>
      <w:r>
        <w:rPr>
          <w:spacing w:val="-8"/>
        </w:rPr>
        <w:t> </w:t>
      </w:r>
      <w:r>
        <w:rPr/>
        <w:t>male</w:t>
      </w:r>
      <w:r>
        <w:rPr>
          <w:spacing w:val="-8"/>
        </w:rPr>
        <w:t> </w:t>
      </w:r>
      <w:r>
        <w:rPr/>
        <w:t>and</w:t>
      </w:r>
      <w:r>
        <w:rPr>
          <w:spacing w:val="-8"/>
        </w:rPr>
        <w:t> </w:t>
      </w:r>
      <w:r>
        <w:rPr/>
        <w:t>female</w:t>
      </w:r>
      <w:r>
        <w:rPr>
          <w:spacing w:val="-9"/>
        </w:rPr>
        <w:t> </w:t>
      </w:r>
      <w:r>
        <w:rPr/>
        <w:t>kids, respectively). Similar results were reported by Merlos- Brito et al. (</w:t>
      </w:r>
      <w:hyperlink w:history="true" w:anchor="_bookmark5">
        <w:r>
          <w:rPr>
            <w:color w:val="000084"/>
          </w:rPr>
          <w:t>2008</w:t>
        </w:r>
      </w:hyperlink>
      <w:r>
        <w:rPr/>
        <w:t>) who found significant differences due to sex of kids, where male kids were higher (16.5 kg) than female kids (12.4 kg). It is noteworthy that these results</w:t>
      </w:r>
      <w:r>
        <w:rPr>
          <w:spacing w:val="-18"/>
        </w:rPr>
        <w:t> </w:t>
      </w:r>
      <w:r>
        <w:rPr/>
        <w:t>are</w:t>
      </w:r>
      <w:r>
        <w:rPr>
          <w:spacing w:val="-18"/>
        </w:rPr>
        <w:t> </w:t>
      </w:r>
      <w:r>
        <w:rPr/>
        <w:t>common</w:t>
      </w:r>
      <w:r>
        <w:rPr>
          <w:spacing w:val="-18"/>
        </w:rPr>
        <w:t> </w:t>
      </w:r>
      <w:r>
        <w:rPr/>
        <w:t>when</w:t>
      </w:r>
      <w:r>
        <w:rPr>
          <w:spacing w:val="-19"/>
        </w:rPr>
        <w:t> </w:t>
      </w:r>
      <w:r>
        <w:rPr/>
        <w:t>working</w:t>
      </w:r>
      <w:r>
        <w:rPr>
          <w:spacing w:val="-19"/>
        </w:rPr>
        <w:t> </w:t>
      </w:r>
      <w:r>
        <w:rPr/>
        <w:t>with</w:t>
      </w:r>
      <w:r>
        <w:rPr>
          <w:spacing w:val="-19"/>
        </w:rPr>
        <w:t> </w:t>
      </w:r>
      <w:r>
        <w:rPr/>
        <w:t>kids</w:t>
      </w:r>
      <w:r>
        <w:rPr>
          <w:spacing w:val="-19"/>
        </w:rPr>
        <w:t> </w:t>
      </w:r>
      <w:r>
        <w:rPr/>
        <w:t>weaned</w:t>
      </w:r>
      <w:r>
        <w:rPr>
          <w:spacing w:val="-18"/>
        </w:rPr>
        <w:t> </w:t>
      </w:r>
      <w:r>
        <w:rPr/>
        <w:t>at</w:t>
      </w:r>
      <w:r>
        <w:rPr>
          <w:spacing w:val="-19"/>
        </w:rPr>
        <w:t> </w:t>
      </w:r>
      <w:r>
        <w:rPr/>
        <w:t>the same age (Otuma &amp; Osakwe </w:t>
      </w:r>
      <w:hyperlink w:history="true" w:anchor="_bookmark5">
        <w:r>
          <w:rPr>
            <w:color w:val="000084"/>
          </w:rPr>
          <w:t>2008</w:t>
        </w:r>
      </w:hyperlink>
      <w:r>
        <w:rPr/>
        <w:t>) which could be explained by hormonal differences between males and females, which directly affect their growth patterns (Hossner</w:t>
      </w:r>
      <w:r>
        <w:rPr>
          <w:spacing w:val="-11"/>
        </w:rPr>
        <w:t> </w:t>
      </w:r>
      <w:hyperlink w:history="true" w:anchor="_bookmark4">
        <w:r>
          <w:rPr>
            <w:color w:val="000084"/>
          </w:rPr>
          <w:t>2005</w:t>
        </w:r>
      </w:hyperlink>
      <w:r>
        <w:rPr/>
        <w:t>).</w:t>
      </w:r>
    </w:p>
    <w:p>
      <w:pPr>
        <w:pStyle w:val="BodyText"/>
      </w:pPr>
    </w:p>
    <w:p>
      <w:pPr>
        <w:pStyle w:val="BodyText"/>
        <w:spacing w:before="7"/>
        <w:rPr>
          <w:sz w:val="21"/>
        </w:rPr>
      </w:pPr>
    </w:p>
    <w:p>
      <w:pPr>
        <w:pStyle w:val="ListParagraph"/>
        <w:numPr>
          <w:ilvl w:val="1"/>
          <w:numId w:val="1"/>
        </w:numPr>
        <w:tabs>
          <w:tab w:pos="471" w:val="left" w:leader="none"/>
        </w:tabs>
        <w:spacing w:line="240" w:lineRule="auto" w:before="0" w:after="0"/>
        <w:ind w:left="470" w:right="0" w:hanging="365"/>
        <w:jc w:val="both"/>
        <w:rPr>
          <w:i/>
          <w:sz w:val="20"/>
        </w:rPr>
      </w:pPr>
      <w:r>
        <w:rPr>
          <w:i/>
          <w:sz w:val="20"/>
        </w:rPr>
        <w:t>Daily gain</w:t>
      </w:r>
      <w:r>
        <w:rPr>
          <w:i/>
          <w:spacing w:val="38"/>
          <w:sz w:val="20"/>
        </w:rPr>
        <w:t> </w:t>
      </w:r>
      <w:r>
        <w:rPr>
          <w:i/>
          <w:sz w:val="20"/>
        </w:rPr>
        <w:t>weight</w:t>
      </w:r>
    </w:p>
    <w:p>
      <w:pPr>
        <w:pStyle w:val="BodyText"/>
        <w:spacing w:line="249" w:lineRule="auto" w:before="68"/>
        <w:ind w:left="105"/>
        <w:jc w:val="both"/>
      </w:pPr>
      <w:r>
        <w:rPr/>
        <w:t>DWG presented a mean of 151.1 g/kid/d, which lies within it range of values reported by Lu and Potchoiba (</w:t>
      </w:r>
      <w:hyperlink w:history="true" w:anchor="_bookmark5">
        <w:r>
          <w:rPr>
            <w:color w:val="000084"/>
          </w:rPr>
          <w:t>1988</w:t>
        </w:r>
      </w:hyperlink>
      <w:r>
        <w:rPr/>
        <w:t>). The sex of the offspring showed that males compared to females showed higher DWG. Ortiz and Bermúdez (</w:t>
      </w:r>
      <w:hyperlink w:history="true" w:anchor="_bookmark5">
        <w:r>
          <w:rPr>
            <w:color w:val="000084"/>
          </w:rPr>
          <w:t>1988</w:t>
        </w:r>
      </w:hyperlink>
      <w:r>
        <w:rPr/>
        <w:t>) noted that DWG of kids from single births was heavier by about 9 g/kid/d more than those of twin births. The same observation was observed by Andries (</w:t>
      </w:r>
      <w:hyperlink w:history="true" w:anchor="_bookmark4">
        <w:r>
          <w:rPr>
            <w:color w:val="000084"/>
          </w:rPr>
          <w:t>2013</w:t>
        </w:r>
      </w:hyperlink>
      <w:r>
        <w:rPr/>
        <w:t>). The higher DWG as WW for males</w:t>
      </w:r>
      <w:r>
        <w:rPr>
          <w:spacing w:val="-11"/>
        </w:rPr>
        <w:t> </w:t>
      </w:r>
      <w:r>
        <w:rPr/>
        <w:t>than females probably because of the male hormonal pattern which favours the growth of muscle tissue  hypertrophy.</w:t>
      </w:r>
    </w:p>
    <w:p>
      <w:pPr>
        <w:pStyle w:val="BodyText"/>
      </w:pPr>
    </w:p>
    <w:p>
      <w:pPr>
        <w:pStyle w:val="BodyText"/>
        <w:spacing w:before="6"/>
        <w:rPr>
          <w:sz w:val="22"/>
        </w:rPr>
      </w:pPr>
    </w:p>
    <w:p>
      <w:pPr>
        <w:pStyle w:val="ListParagraph"/>
        <w:numPr>
          <w:ilvl w:val="0"/>
          <w:numId w:val="1"/>
        </w:numPr>
        <w:tabs>
          <w:tab w:pos="321" w:val="left" w:leader="none"/>
        </w:tabs>
        <w:spacing w:line="240" w:lineRule="auto" w:before="0" w:after="0"/>
        <w:ind w:left="320" w:right="0" w:hanging="215"/>
        <w:jc w:val="both"/>
        <w:rPr>
          <w:sz w:val="20"/>
        </w:rPr>
      </w:pPr>
      <w:r>
        <w:rPr>
          <w:w w:val="105"/>
          <w:sz w:val="20"/>
        </w:rPr>
        <w:t>Conclusions</w:t>
      </w:r>
    </w:p>
    <w:p>
      <w:pPr>
        <w:pStyle w:val="BodyText"/>
        <w:spacing w:line="249" w:lineRule="auto" w:before="68"/>
        <w:ind w:left="105"/>
        <w:jc w:val="both"/>
      </w:pPr>
      <w:r>
        <w:rPr/>
        <w:t>The prediction equation given by Wood is adequate to describe the lactation curve in goats in the first 90 days of lactation. The persistence for milk production was higher for ANG and AG breeds versus SG, indicating increased milk production when considering a complete lactation season. The persistence was higher for the does with single type of birth with respect to does with twin births. Moreover, WW and DWG of kids were greater in males versus females.</w:t>
      </w:r>
    </w:p>
    <w:p>
      <w:pPr>
        <w:pStyle w:val="BodyText"/>
        <w:spacing w:before="8"/>
        <w:rPr>
          <w:sz w:val="21"/>
        </w:rPr>
      </w:pPr>
    </w:p>
    <w:p>
      <w:pPr>
        <w:pStyle w:val="BodyText"/>
        <w:ind w:left="105"/>
        <w:jc w:val="both"/>
      </w:pPr>
      <w:r>
        <w:rPr>
          <w:w w:val="105"/>
        </w:rPr>
        <w:t>Disclosure statement</w:t>
      </w:r>
    </w:p>
    <w:p>
      <w:pPr>
        <w:spacing w:before="47"/>
        <w:ind w:left="105" w:right="0" w:firstLine="0"/>
        <w:jc w:val="both"/>
        <w:rPr>
          <w:sz w:val="18"/>
        </w:rPr>
      </w:pPr>
      <w:r>
        <w:rPr>
          <w:sz w:val="18"/>
        </w:rPr>
        <w:t>No potential conflict of interest was reported by the  authors.</w:t>
      </w:r>
    </w:p>
    <w:p>
      <w:pPr>
        <w:pStyle w:val="BodyText"/>
        <w:spacing w:before="10"/>
        <w:rPr>
          <w:sz w:val="21"/>
        </w:rPr>
      </w:pPr>
    </w:p>
    <w:p>
      <w:pPr>
        <w:spacing w:before="0"/>
        <w:ind w:left="105" w:right="0" w:firstLine="0"/>
        <w:jc w:val="both"/>
        <w:rPr>
          <w:sz w:val="19"/>
        </w:rPr>
      </w:pPr>
      <w:r>
        <w:rPr>
          <w:w w:val="105"/>
          <w:sz w:val="19"/>
        </w:rPr>
        <w:t>References</w:t>
      </w:r>
    </w:p>
    <w:p>
      <w:pPr>
        <w:spacing w:line="230" w:lineRule="auto" w:before="57"/>
        <w:ind w:left="388" w:right="0" w:hanging="284"/>
        <w:jc w:val="both"/>
        <w:rPr>
          <w:sz w:val="18"/>
        </w:rPr>
      </w:pPr>
      <w:r>
        <w:rPr>
          <w:sz w:val="18"/>
        </w:rPr>
        <w:t>Amin AA. 2003. Test-day model of daily milk yield prediction across stages of lactation in Egyptian buffaloes. Arch Tierzucht. 46:35</w:t>
      </w:r>
      <w:r>
        <w:rPr>
          <w:rFonts w:ascii="Arial" w:hAnsi="Arial"/>
          <w:sz w:val="18"/>
        </w:rPr>
        <w:t>–</w:t>
      </w:r>
      <w:r>
        <w:rPr>
          <w:sz w:val="18"/>
        </w:rPr>
        <w:t>45.</w:t>
      </w:r>
    </w:p>
    <w:p>
      <w:pPr>
        <w:spacing w:line="230" w:lineRule="auto" w:before="1"/>
        <w:ind w:left="388" w:right="0" w:hanging="284"/>
        <w:jc w:val="both"/>
        <w:rPr>
          <w:sz w:val="18"/>
        </w:rPr>
      </w:pPr>
      <w:r>
        <w:rPr>
          <w:sz w:val="18"/>
        </w:rPr>
        <w:t>Andries KM. 2013. Growth and performance of meat goat kids from two seasons of birth in Kentucky. Sheep Goat Res J. 28:16</w:t>
      </w:r>
      <w:r>
        <w:rPr>
          <w:rFonts w:ascii="Arial" w:hAnsi="Arial"/>
          <w:sz w:val="18"/>
        </w:rPr>
        <w:t>–</w:t>
      </w:r>
      <w:r>
        <w:rPr>
          <w:sz w:val="18"/>
        </w:rPr>
        <w:t>20.</w:t>
      </w:r>
    </w:p>
    <w:p>
      <w:pPr>
        <w:spacing w:line="200" w:lineRule="exact" w:before="2"/>
        <w:ind w:left="388" w:right="1" w:hanging="284"/>
        <w:jc w:val="both"/>
        <w:rPr>
          <w:sz w:val="18"/>
        </w:rPr>
      </w:pPr>
      <w:r>
        <w:rPr>
          <w:sz w:val="18"/>
        </w:rPr>
        <w:t>AOAC. 1997. Official methods of analysis. 16th ed. Arlington (VA): Association of Official Analytical Chemists.</w:t>
      </w:r>
    </w:p>
    <w:p>
      <w:pPr>
        <w:spacing w:line="230" w:lineRule="auto" w:before="0"/>
        <w:ind w:left="388" w:right="0" w:hanging="284"/>
        <w:jc w:val="both"/>
        <w:rPr>
          <w:sz w:val="18"/>
        </w:rPr>
      </w:pPr>
      <w:r>
        <w:rPr>
          <w:sz w:val="18"/>
        </w:rPr>
        <w:t>Arbiza ASI. 1987. Producción de caprinos [Production of goats]. México: AGT Editor.</w:t>
      </w:r>
    </w:p>
    <w:p>
      <w:pPr>
        <w:spacing w:line="230" w:lineRule="auto" w:before="1"/>
        <w:ind w:left="388" w:right="0" w:hanging="284"/>
        <w:jc w:val="both"/>
        <w:rPr>
          <w:sz w:val="18"/>
        </w:rPr>
      </w:pPr>
      <w:r>
        <w:rPr>
          <w:spacing w:val="-3"/>
          <w:sz w:val="18"/>
        </w:rPr>
        <w:t>Avondo </w:t>
      </w:r>
      <w:r>
        <w:rPr>
          <w:sz w:val="18"/>
        </w:rPr>
        <w:t>M, Biondi L, Pagano RI, Bonanno A, Lutri L. 2008. Feed intake. In: Cannas A, Pulina G, editors. Dairy goats feeding</w:t>
      </w:r>
      <w:r>
        <w:rPr>
          <w:spacing w:val="-7"/>
          <w:sz w:val="18"/>
        </w:rPr>
        <w:t> </w:t>
      </w:r>
      <w:r>
        <w:rPr>
          <w:sz w:val="18"/>
        </w:rPr>
        <w:t>and</w:t>
      </w:r>
      <w:r>
        <w:rPr>
          <w:spacing w:val="-8"/>
          <w:sz w:val="18"/>
        </w:rPr>
        <w:t> </w:t>
      </w:r>
      <w:r>
        <w:rPr>
          <w:sz w:val="18"/>
        </w:rPr>
        <w:t>nutrition.</w:t>
      </w:r>
      <w:r>
        <w:rPr>
          <w:spacing w:val="-6"/>
          <w:sz w:val="18"/>
        </w:rPr>
        <w:t> </w:t>
      </w:r>
      <w:r>
        <w:rPr>
          <w:sz w:val="18"/>
        </w:rPr>
        <w:t>Cambridge</w:t>
      </w:r>
      <w:r>
        <w:rPr>
          <w:spacing w:val="-7"/>
          <w:sz w:val="18"/>
        </w:rPr>
        <w:t> </w:t>
      </w:r>
      <w:r>
        <w:rPr>
          <w:sz w:val="18"/>
        </w:rPr>
        <w:t>(UK):</w:t>
      </w:r>
      <w:r>
        <w:rPr>
          <w:spacing w:val="-6"/>
          <w:sz w:val="18"/>
        </w:rPr>
        <w:t> </w:t>
      </w:r>
      <w:r>
        <w:rPr>
          <w:sz w:val="18"/>
        </w:rPr>
        <w:t>CAB</w:t>
      </w:r>
      <w:r>
        <w:rPr>
          <w:spacing w:val="-7"/>
          <w:sz w:val="18"/>
        </w:rPr>
        <w:t> </w:t>
      </w:r>
      <w:r>
        <w:rPr>
          <w:sz w:val="18"/>
        </w:rPr>
        <w:t>International; p.</w:t>
      </w:r>
      <w:r>
        <w:rPr>
          <w:spacing w:val="-2"/>
          <w:sz w:val="18"/>
        </w:rPr>
        <w:t> </w:t>
      </w:r>
      <w:r>
        <w:rPr>
          <w:sz w:val="18"/>
        </w:rPr>
        <w:t>147</w:t>
      </w:r>
      <w:r>
        <w:rPr>
          <w:rFonts w:ascii="Arial" w:hAnsi="Arial"/>
          <w:sz w:val="18"/>
        </w:rPr>
        <w:t>–</w:t>
      </w:r>
      <w:r>
        <w:rPr>
          <w:sz w:val="18"/>
        </w:rPr>
        <w:t>160.</w:t>
      </w:r>
    </w:p>
    <w:p>
      <w:pPr>
        <w:spacing w:line="197" w:lineRule="exact" w:before="0"/>
        <w:ind w:left="105" w:right="0" w:firstLine="0"/>
        <w:jc w:val="both"/>
        <w:rPr>
          <w:sz w:val="18"/>
        </w:rPr>
      </w:pPr>
      <w:r>
        <w:rPr>
          <w:sz w:val="18"/>
        </w:rPr>
        <w:t>Avondo M, Bordonaro S, Marletta D, Guastella AM, D</w:t>
      </w:r>
      <w:r>
        <w:rPr>
          <w:rFonts w:ascii="Arial" w:hAnsi="Arial"/>
          <w:sz w:val="18"/>
        </w:rPr>
        <w:t>’</w:t>
      </w:r>
      <w:r>
        <w:rPr>
          <w:sz w:val="18"/>
        </w:rPr>
        <w:t>Urso</w:t>
      </w:r>
    </w:p>
    <w:p>
      <w:pPr>
        <w:spacing w:line="203" w:lineRule="exact" w:before="0"/>
        <w:ind w:left="388" w:right="0" w:firstLine="0"/>
        <w:jc w:val="left"/>
        <w:rPr>
          <w:sz w:val="18"/>
        </w:rPr>
      </w:pPr>
      <w:r>
        <w:rPr>
          <w:sz w:val="18"/>
        </w:rPr>
        <w:t>G. 2002. A simple model to predict the herbage intake    of</w:t>
      </w:r>
    </w:p>
    <w:p>
      <w:pPr>
        <w:spacing w:line="200" w:lineRule="exact" w:before="85"/>
        <w:ind w:left="388" w:right="103" w:firstLine="0"/>
        <w:jc w:val="both"/>
        <w:rPr>
          <w:sz w:val="18"/>
        </w:rPr>
      </w:pPr>
      <w:r>
        <w:rPr/>
        <w:br w:type="column"/>
      </w:r>
      <w:r>
        <w:rPr>
          <w:sz w:val="18"/>
        </w:rPr>
        <w:t>grazing dairy ewes in semi-extensive Mediterranean sys- tems. Livest Sci. 73:275</w:t>
      </w:r>
      <w:r>
        <w:rPr>
          <w:rFonts w:ascii="Arial" w:hAnsi="Arial"/>
          <w:sz w:val="18"/>
        </w:rPr>
        <w:t>–</w:t>
      </w:r>
      <w:r>
        <w:rPr>
          <w:sz w:val="18"/>
        </w:rPr>
        <w:t>283.</w:t>
      </w:r>
    </w:p>
    <w:p>
      <w:pPr>
        <w:spacing w:line="230" w:lineRule="auto" w:before="0"/>
        <w:ind w:left="388" w:right="103" w:hanging="284"/>
        <w:jc w:val="both"/>
        <w:rPr>
          <w:sz w:val="18"/>
        </w:rPr>
      </w:pPr>
      <w:r>
        <w:rPr>
          <w:sz w:val="18"/>
        </w:rPr>
        <w:t>Bilgin OC, Esenbuga N, Davis ME. 2010. Comparison of models for describing the lactation curve of Awassi, Morkaraman and Tushin sheep. Arch Tierzucht. 53: 447</w:t>
      </w:r>
      <w:r>
        <w:rPr>
          <w:rFonts w:ascii="Arial" w:hAnsi="Arial"/>
          <w:sz w:val="18"/>
        </w:rPr>
        <w:t>–</w:t>
      </w:r>
      <w:r>
        <w:rPr>
          <w:sz w:val="18"/>
        </w:rPr>
        <w:t>456.</w:t>
      </w:r>
    </w:p>
    <w:p>
      <w:pPr>
        <w:spacing w:line="198" w:lineRule="exact" w:before="3"/>
        <w:ind w:left="388" w:right="104" w:hanging="284"/>
        <w:jc w:val="both"/>
        <w:rPr>
          <w:sz w:val="18"/>
        </w:rPr>
      </w:pPr>
      <w:r>
        <w:rPr>
          <w:sz w:val="18"/>
        </w:rPr>
        <w:t>Cantú JE. 2008. Zootecnia de ganado caprino [Animal science of goats]. México: Editorial Trillas, S.A. de  C.V.</w:t>
      </w:r>
    </w:p>
    <w:p>
      <w:pPr>
        <w:spacing w:line="230" w:lineRule="auto" w:before="0"/>
        <w:ind w:left="388" w:right="103" w:hanging="284"/>
        <w:jc w:val="both"/>
        <w:rPr>
          <w:sz w:val="18"/>
        </w:rPr>
      </w:pPr>
      <w:r>
        <w:rPr>
          <w:sz w:val="18"/>
        </w:rPr>
        <w:t>Capote J, Lopez JL, Caja G, Peris S, Arguello A, Darmanin N. 1999.</w:t>
      </w:r>
      <w:r>
        <w:rPr>
          <w:spacing w:val="-7"/>
          <w:sz w:val="18"/>
        </w:rPr>
        <w:t> </w:t>
      </w:r>
      <w:r>
        <w:rPr>
          <w:sz w:val="18"/>
        </w:rPr>
        <w:t>The</w:t>
      </w:r>
      <w:r>
        <w:rPr>
          <w:spacing w:val="-6"/>
          <w:sz w:val="18"/>
        </w:rPr>
        <w:t> </w:t>
      </w:r>
      <w:r>
        <w:rPr>
          <w:sz w:val="18"/>
        </w:rPr>
        <w:t>effects</w:t>
      </w:r>
      <w:r>
        <w:rPr>
          <w:spacing w:val="-6"/>
          <w:sz w:val="18"/>
        </w:rPr>
        <w:t> </w:t>
      </w:r>
      <w:r>
        <w:rPr>
          <w:sz w:val="18"/>
        </w:rPr>
        <w:t>of</w:t>
      </w:r>
      <w:r>
        <w:rPr>
          <w:spacing w:val="-6"/>
          <w:sz w:val="18"/>
        </w:rPr>
        <w:t> </w:t>
      </w:r>
      <w:r>
        <w:rPr>
          <w:sz w:val="18"/>
        </w:rPr>
        <w:t>milking</w:t>
      </w:r>
      <w:r>
        <w:rPr>
          <w:spacing w:val="-6"/>
          <w:sz w:val="18"/>
        </w:rPr>
        <w:t> </w:t>
      </w:r>
      <w:r>
        <w:rPr>
          <w:sz w:val="18"/>
        </w:rPr>
        <w:t>once</w:t>
      </w:r>
      <w:r>
        <w:rPr>
          <w:spacing w:val="-5"/>
          <w:sz w:val="18"/>
        </w:rPr>
        <w:t> </w:t>
      </w:r>
      <w:r>
        <w:rPr>
          <w:sz w:val="18"/>
        </w:rPr>
        <w:t>or</w:t>
      </w:r>
      <w:r>
        <w:rPr>
          <w:spacing w:val="-7"/>
          <w:sz w:val="18"/>
        </w:rPr>
        <w:t> </w:t>
      </w:r>
      <w:r>
        <w:rPr>
          <w:sz w:val="18"/>
        </w:rPr>
        <w:t>twice</w:t>
      </w:r>
      <w:r>
        <w:rPr>
          <w:spacing w:val="-5"/>
          <w:sz w:val="18"/>
        </w:rPr>
        <w:t> </w:t>
      </w:r>
      <w:r>
        <w:rPr>
          <w:sz w:val="18"/>
        </w:rPr>
        <w:t>daily</w:t>
      </w:r>
      <w:r>
        <w:rPr>
          <w:spacing w:val="-6"/>
          <w:sz w:val="18"/>
        </w:rPr>
        <w:t> </w:t>
      </w:r>
      <w:r>
        <w:rPr>
          <w:sz w:val="18"/>
        </w:rPr>
        <w:t>throughout lactation on milk production of Canarian dairy goats. In: Barillet </w:t>
      </w:r>
      <w:r>
        <w:rPr>
          <w:spacing w:val="-7"/>
          <w:sz w:val="18"/>
        </w:rPr>
        <w:t>F,</w:t>
      </w:r>
      <w:r>
        <w:rPr>
          <w:spacing w:val="31"/>
          <w:sz w:val="18"/>
        </w:rPr>
        <w:t> </w:t>
      </w:r>
      <w:r>
        <w:rPr>
          <w:sz w:val="18"/>
        </w:rPr>
        <w:t>Deligeorgis S, Zervas </w:t>
      </w:r>
      <w:r>
        <w:rPr>
          <w:spacing w:val="-6"/>
          <w:sz w:val="18"/>
        </w:rPr>
        <w:t>NP, </w:t>
      </w:r>
      <w:r>
        <w:rPr>
          <w:sz w:val="18"/>
        </w:rPr>
        <w:t>Boyazoglu JG, </w:t>
      </w:r>
      <w:r>
        <w:rPr>
          <w:spacing w:val="-3"/>
          <w:sz w:val="18"/>
        </w:rPr>
        <w:t>Vallerand </w:t>
      </w:r>
      <w:r>
        <w:rPr>
          <w:spacing w:val="-7"/>
          <w:sz w:val="18"/>
        </w:rPr>
        <w:t>F, </w:t>
      </w:r>
      <w:r>
        <w:rPr>
          <w:sz w:val="18"/>
        </w:rPr>
        <w:t>editors. Milking and milk production of dairy sheep and goats. Wageningen, The Netherlands: Wagenin- gen Pers; p.</w:t>
      </w:r>
      <w:r>
        <w:rPr>
          <w:spacing w:val="18"/>
          <w:sz w:val="18"/>
        </w:rPr>
        <w:t> </w:t>
      </w:r>
      <w:r>
        <w:rPr>
          <w:sz w:val="18"/>
        </w:rPr>
        <w:t>267</w:t>
      </w:r>
      <w:r>
        <w:rPr>
          <w:rFonts w:ascii="Arial" w:hAnsi="Arial"/>
          <w:sz w:val="18"/>
        </w:rPr>
        <w:t>–</w:t>
      </w:r>
      <w:r>
        <w:rPr>
          <w:sz w:val="18"/>
        </w:rPr>
        <w:t>273.</w:t>
      </w:r>
    </w:p>
    <w:p>
      <w:pPr>
        <w:spacing w:line="230" w:lineRule="auto" w:before="1"/>
        <w:ind w:left="129" w:right="103" w:firstLine="0"/>
        <w:jc w:val="right"/>
        <w:rPr>
          <w:sz w:val="18"/>
        </w:rPr>
      </w:pPr>
      <w:r>
        <w:rPr>
          <w:sz w:val="18"/>
        </w:rPr>
        <w:t>Capuco AV, Ellis SE, Hale SA, Long E, Erdman RA, Zhao X,</w:t>
      </w:r>
      <w:r>
        <w:rPr>
          <w:w w:val="99"/>
          <w:sz w:val="18"/>
        </w:rPr>
        <w:t> </w:t>
      </w:r>
      <w:r>
        <w:rPr>
          <w:sz w:val="18"/>
        </w:rPr>
        <w:t>Paape MJ. 2003. Lactation persistency: insights from</w:t>
      </w:r>
      <w:r>
        <w:rPr>
          <w:w w:val="98"/>
          <w:sz w:val="18"/>
        </w:rPr>
        <w:t> </w:t>
      </w:r>
      <w:r>
        <w:rPr>
          <w:sz w:val="18"/>
        </w:rPr>
        <w:t>mammary cell proliferation studies. J Anim Sci. 81:18</w:t>
      </w:r>
      <w:r>
        <w:rPr>
          <w:rFonts w:ascii="Arial" w:hAnsi="Arial"/>
          <w:sz w:val="18"/>
        </w:rPr>
        <w:t>–</w:t>
      </w:r>
      <w:r>
        <w:rPr>
          <w:sz w:val="18"/>
        </w:rPr>
        <w:t>31.</w:t>
      </w:r>
      <w:r>
        <w:rPr>
          <w:w w:val="99"/>
          <w:sz w:val="18"/>
        </w:rPr>
        <w:t> </w:t>
      </w:r>
      <w:r>
        <w:rPr>
          <w:sz w:val="18"/>
        </w:rPr>
        <w:t>Cardellino RA, Benson ME. 2002. Lactation curves of com-</w:t>
      </w:r>
    </w:p>
    <w:p>
      <w:pPr>
        <w:spacing w:line="197" w:lineRule="exact" w:before="0"/>
        <w:ind w:left="388" w:right="0" w:firstLine="0"/>
        <w:jc w:val="both"/>
        <w:rPr>
          <w:sz w:val="18"/>
        </w:rPr>
      </w:pPr>
      <w:r>
        <w:rPr>
          <w:sz w:val="18"/>
        </w:rPr>
        <w:t>mercial ewes rearing lambs. J Anim Sci. 80:23</w:t>
      </w:r>
      <w:r>
        <w:rPr>
          <w:rFonts w:ascii="Arial" w:hAnsi="Arial"/>
          <w:sz w:val="18"/>
        </w:rPr>
        <w:t>–</w:t>
      </w:r>
      <w:r>
        <w:rPr>
          <w:sz w:val="18"/>
        </w:rPr>
        <w:t>27.</w:t>
      </w:r>
    </w:p>
    <w:p>
      <w:pPr>
        <w:spacing w:line="230" w:lineRule="auto" w:before="3"/>
        <w:ind w:left="388" w:right="104" w:hanging="284"/>
        <w:jc w:val="both"/>
        <w:rPr>
          <w:sz w:val="18"/>
        </w:rPr>
      </w:pPr>
      <w:r>
        <w:rPr>
          <w:sz w:val="18"/>
        </w:rPr>
        <w:t>Coombe JB, Wardrop ID, Tribe DE. 1960. A study of milk production</w:t>
      </w:r>
      <w:r>
        <w:rPr>
          <w:spacing w:val="-8"/>
          <w:sz w:val="18"/>
        </w:rPr>
        <w:t> </w:t>
      </w:r>
      <w:r>
        <w:rPr>
          <w:sz w:val="18"/>
        </w:rPr>
        <w:t>of</w:t>
      </w:r>
      <w:r>
        <w:rPr>
          <w:spacing w:val="-8"/>
          <w:sz w:val="18"/>
        </w:rPr>
        <w:t> </w:t>
      </w:r>
      <w:r>
        <w:rPr>
          <w:sz w:val="18"/>
        </w:rPr>
        <w:t>the</w:t>
      </w:r>
      <w:r>
        <w:rPr>
          <w:spacing w:val="-8"/>
          <w:sz w:val="18"/>
        </w:rPr>
        <w:t> </w:t>
      </w:r>
      <w:r>
        <w:rPr>
          <w:sz w:val="18"/>
        </w:rPr>
        <w:t>grazing</w:t>
      </w:r>
      <w:r>
        <w:rPr>
          <w:spacing w:val="-8"/>
          <w:sz w:val="18"/>
        </w:rPr>
        <w:t> </w:t>
      </w:r>
      <w:r>
        <w:rPr>
          <w:sz w:val="18"/>
        </w:rPr>
        <w:t>ewe,</w:t>
      </w:r>
      <w:r>
        <w:rPr>
          <w:spacing w:val="-8"/>
          <w:sz w:val="18"/>
        </w:rPr>
        <w:t> </w:t>
      </w:r>
      <w:r>
        <w:rPr>
          <w:sz w:val="18"/>
        </w:rPr>
        <w:t>with</w:t>
      </w:r>
      <w:r>
        <w:rPr>
          <w:spacing w:val="-8"/>
          <w:sz w:val="18"/>
        </w:rPr>
        <w:t> </w:t>
      </w:r>
      <w:r>
        <w:rPr>
          <w:sz w:val="18"/>
        </w:rPr>
        <w:t>emphasis</w:t>
      </w:r>
      <w:r>
        <w:rPr>
          <w:spacing w:val="-8"/>
          <w:sz w:val="18"/>
        </w:rPr>
        <w:t> </w:t>
      </w:r>
      <w:r>
        <w:rPr>
          <w:sz w:val="18"/>
        </w:rPr>
        <w:t>on</w:t>
      </w:r>
      <w:r>
        <w:rPr>
          <w:spacing w:val="-8"/>
          <w:sz w:val="18"/>
        </w:rPr>
        <w:t> </w:t>
      </w:r>
      <w:r>
        <w:rPr>
          <w:sz w:val="18"/>
        </w:rPr>
        <w:t>the</w:t>
      </w:r>
      <w:r>
        <w:rPr>
          <w:spacing w:val="-8"/>
          <w:sz w:val="18"/>
        </w:rPr>
        <w:t> </w:t>
      </w:r>
      <w:r>
        <w:rPr>
          <w:sz w:val="18"/>
        </w:rPr>
        <w:t>experi- mental technique employed. J Agric Sci.</w:t>
      </w:r>
      <w:r>
        <w:rPr>
          <w:spacing w:val="34"/>
          <w:sz w:val="18"/>
        </w:rPr>
        <w:t> </w:t>
      </w:r>
      <w:r>
        <w:rPr>
          <w:sz w:val="18"/>
        </w:rPr>
        <w:t>54:353</w:t>
      </w:r>
      <w:r>
        <w:rPr>
          <w:rFonts w:ascii="Arial" w:hAnsi="Arial"/>
          <w:sz w:val="18"/>
        </w:rPr>
        <w:t>–</w:t>
      </w:r>
      <w:r>
        <w:rPr>
          <w:sz w:val="18"/>
        </w:rPr>
        <w:t>359.</w:t>
      </w:r>
    </w:p>
    <w:p>
      <w:pPr>
        <w:spacing w:line="230" w:lineRule="auto" w:before="1"/>
        <w:ind w:left="388" w:right="103" w:hanging="284"/>
        <w:jc w:val="both"/>
        <w:rPr>
          <w:sz w:val="18"/>
        </w:rPr>
      </w:pPr>
      <w:r>
        <w:rPr>
          <w:sz w:val="18"/>
        </w:rPr>
        <w:t>Dag B, Keskin I, Mikailsoy F. 2005. Application of different models to the lactation curves of unimproved Awassi ewes in Turkey. S Afr J Anim Sci.  35:238</w:t>
      </w:r>
      <w:r>
        <w:rPr>
          <w:rFonts w:ascii="Arial" w:hAnsi="Arial"/>
          <w:sz w:val="18"/>
        </w:rPr>
        <w:t>–</w:t>
      </w:r>
      <w:r>
        <w:rPr>
          <w:sz w:val="18"/>
        </w:rPr>
        <w:t>243.</w:t>
      </w:r>
    </w:p>
    <w:p>
      <w:pPr>
        <w:spacing w:line="200" w:lineRule="exact" w:before="2"/>
        <w:ind w:left="388" w:right="103" w:hanging="284"/>
        <w:jc w:val="both"/>
        <w:rPr>
          <w:sz w:val="18"/>
        </w:rPr>
      </w:pPr>
      <w:r>
        <w:rPr>
          <w:sz w:val="18"/>
        </w:rPr>
        <w:t>Dunshea FR, Bell AW. 1990. Body composition changes in goats during early lactation estimated using a two-pool model of tritiated water kinetics. Br J Nutr. 64:121</w:t>
      </w:r>
      <w:r>
        <w:rPr>
          <w:rFonts w:ascii="Arial" w:hAnsi="Arial"/>
          <w:sz w:val="18"/>
        </w:rPr>
        <w:t>–</w:t>
      </w:r>
      <w:r>
        <w:rPr>
          <w:sz w:val="18"/>
        </w:rPr>
        <w:t>131.</w:t>
      </w:r>
    </w:p>
    <w:p>
      <w:pPr>
        <w:spacing w:line="230" w:lineRule="auto" w:before="0"/>
        <w:ind w:left="388" w:right="104" w:hanging="284"/>
        <w:jc w:val="both"/>
        <w:rPr>
          <w:sz w:val="18"/>
        </w:rPr>
      </w:pPr>
      <w:r>
        <w:rPr>
          <w:sz w:val="18"/>
        </w:rPr>
        <w:t>[FAO] Food and Agriculture Organization. 2014. [cited 2014 September 5]. Available from: </w:t>
      </w:r>
      <w:hyperlink r:id="rId30">
        <w:r>
          <w:rPr>
            <w:sz w:val="18"/>
          </w:rPr>
          <w:t>http://faostat3.fao.org/fao-</w:t>
        </w:r>
      </w:hyperlink>
      <w:r>
        <w:rPr>
          <w:sz w:val="18"/>
        </w:rPr>
        <w:t> stat-gateway/go/to/download/Q/QL/E</w:t>
      </w:r>
    </w:p>
    <w:p>
      <w:pPr>
        <w:spacing w:line="230" w:lineRule="auto" w:before="1"/>
        <w:ind w:left="388" w:right="103" w:hanging="284"/>
        <w:jc w:val="both"/>
        <w:rPr>
          <w:sz w:val="18"/>
        </w:rPr>
      </w:pPr>
      <w:r>
        <w:rPr>
          <w:sz w:val="18"/>
        </w:rPr>
        <w:t>Gaddour</w:t>
      </w:r>
      <w:r>
        <w:rPr>
          <w:spacing w:val="-5"/>
          <w:sz w:val="18"/>
        </w:rPr>
        <w:t> </w:t>
      </w:r>
      <w:r>
        <w:rPr>
          <w:sz w:val="18"/>
        </w:rPr>
        <w:t>A,</w:t>
      </w:r>
      <w:r>
        <w:rPr>
          <w:spacing w:val="-4"/>
          <w:sz w:val="18"/>
        </w:rPr>
        <w:t> </w:t>
      </w:r>
      <w:r>
        <w:rPr>
          <w:sz w:val="18"/>
        </w:rPr>
        <w:t>Najari</w:t>
      </w:r>
      <w:r>
        <w:rPr>
          <w:spacing w:val="-3"/>
          <w:sz w:val="18"/>
        </w:rPr>
        <w:t> </w:t>
      </w:r>
      <w:r>
        <w:rPr>
          <w:sz w:val="18"/>
        </w:rPr>
        <w:t>S,</w:t>
      </w:r>
      <w:r>
        <w:rPr>
          <w:spacing w:val="-5"/>
          <w:sz w:val="18"/>
        </w:rPr>
        <w:t> </w:t>
      </w:r>
      <w:r>
        <w:rPr>
          <w:sz w:val="18"/>
        </w:rPr>
        <w:t>Ouni</w:t>
      </w:r>
      <w:r>
        <w:rPr>
          <w:spacing w:val="-3"/>
          <w:sz w:val="18"/>
        </w:rPr>
        <w:t> </w:t>
      </w:r>
      <w:r>
        <w:rPr>
          <w:sz w:val="18"/>
        </w:rPr>
        <w:t>M.</w:t>
      </w:r>
      <w:r>
        <w:rPr>
          <w:spacing w:val="-4"/>
          <w:sz w:val="18"/>
        </w:rPr>
        <w:t> </w:t>
      </w:r>
      <w:r>
        <w:rPr>
          <w:sz w:val="18"/>
        </w:rPr>
        <w:t>2007.</w:t>
      </w:r>
      <w:r>
        <w:rPr>
          <w:spacing w:val="-4"/>
          <w:sz w:val="18"/>
        </w:rPr>
        <w:t> </w:t>
      </w:r>
      <w:r>
        <w:rPr>
          <w:sz w:val="18"/>
        </w:rPr>
        <w:t>Dairy</w:t>
      </w:r>
      <w:r>
        <w:rPr>
          <w:spacing w:val="-4"/>
          <w:sz w:val="18"/>
        </w:rPr>
        <w:t> </w:t>
      </w:r>
      <w:r>
        <w:rPr>
          <w:sz w:val="18"/>
        </w:rPr>
        <w:t>performances</w:t>
      </w:r>
      <w:r>
        <w:rPr>
          <w:spacing w:val="-3"/>
          <w:sz w:val="18"/>
        </w:rPr>
        <w:t> </w:t>
      </w:r>
      <w:r>
        <w:rPr>
          <w:sz w:val="18"/>
        </w:rPr>
        <w:t>of</w:t>
      </w:r>
      <w:r>
        <w:rPr>
          <w:spacing w:val="-4"/>
          <w:sz w:val="18"/>
        </w:rPr>
        <w:t> </w:t>
      </w:r>
      <w:r>
        <w:rPr>
          <w:sz w:val="18"/>
        </w:rPr>
        <w:t>the goat genetic groups in the Southern Tunisian. Agric J. 2:248</w:t>
      </w:r>
      <w:r>
        <w:rPr>
          <w:rFonts w:ascii="Arial" w:hAnsi="Arial"/>
          <w:sz w:val="18"/>
        </w:rPr>
        <w:t>–</w:t>
      </w:r>
      <w:r>
        <w:rPr>
          <w:sz w:val="18"/>
        </w:rPr>
        <w:t>253.</w:t>
      </w:r>
    </w:p>
    <w:p>
      <w:pPr>
        <w:spacing w:line="198" w:lineRule="exact" w:before="3"/>
        <w:ind w:left="388" w:right="104" w:hanging="284"/>
        <w:jc w:val="both"/>
        <w:rPr>
          <w:sz w:val="18"/>
        </w:rPr>
      </w:pPr>
      <w:r>
        <w:rPr>
          <w:sz w:val="18"/>
        </w:rPr>
        <w:t>Gipson TA, Grossman M. 1990. Lactation curves in dairy goats: a review. Small Ruminant Res. 3:383</w:t>
      </w:r>
      <w:r>
        <w:rPr>
          <w:rFonts w:ascii="Arial" w:hAnsi="Arial"/>
          <w:sz w:val="18"/>
        </w:rPr>
        <w:t>–</w:t>
      </w:r>
      <w:r>
        <w:rPr>
          <w:sz w:val="18"/>
        </w:rPr>
        <w:t>396.</w:t>
      </w:r>
    </w:p>
    <w:p>
      <w:pPr>
        <w:spacing w:line="230" w:lineRule="auto" w:before="0"/>
        <w:ind w:left="388" w:right="103" w:hanging="284"/>
        <w:jc w:val="both"/>
        <w:rPr>
          <w:sz w:val="18"/>
        </w:rPr>
      </w:pPr>
      <w:r>
        <w:rPr>
          <w:sz w:val="18"/>
        </w:rPr>
        <w:t>Goetsch AL, Detweiler G, Sahlu T, Puchala R, Dawson LJ. 2001. Dairy goat performance with different dietary con- centrate levels in late lactation. Small Ruminant Res. 41:117</w:t>
      </w:r>
      <w:r>
        <w:rPr>
          <w:rFonts w:ascii="Arial" w:hAnsi="Arial"/>
          <w:sz w:val="18"/>
        </w:rPr>
        <w:t>–</w:t>
      </w:r>
      <w:r>
        <w:rPr>
          <w:sz w:val="18"/>
        </w:rPr>
        <w:t>125.</w:t>
      </w:r>
    </w:p>
    <w:p>
      <w:pPr>
        <w:spacing w:line="200" w:lineRule="exact" w:before="2"/>
        <w:ind w:left="388" w:right="104" w:hanging="284"/>
        <w:jc w:val="both"/>
        <w:rPr>
          <w:sz w:val="18"/>
        </w:rPr>
      </w:pPr>
      <w:r>
        <w:rPr>
          <w:sz w:val="18"/>
        </w:rPr>
        <w:t>Grzesiak </w:t>
      </w:r>
      <w:r>
        <w:rPr>
          <w:spacing w:val="-8"/>
          <w:sz w:val="18"/>
        </w:rPr>
        <w:t>W, </w:t>
      </w:r>
      <w:r>
        <w:rPr>
          <w:spacing w:val="-3"/>
          <w:sz w:val="18"/>
        </w:rPr>
        <w:t>Wojcik </w:t>
      </w:r>
      <w:r>
        <w:rPr>
          <w:sz w:val="18"/>
        </w:rPr>
        <w:t>J, Binerowska B. 2003. Prediction of 305- day first lactation milk yield in cows with selected regression models. Arch Tierzucht. 46:215</w:t>
      </w:r>
      <w:r>
        <w:rPr>
          <w:rFonts w:ascii="Arial" w:hAnsi="Arial"/>
          <w:sz w:val="18"/>
        </w:rPr>
        <w:t>–</w:t>
      </w:r>
      <w:r>
        <w:rPr>
          <w:sz w:val="18"/>
        </w:rPr>
        <w:t>226.</w:t>
      </w:r>
    </w:p>
    <w:p>
      <w:pPr>
        <w:spacing w:line="230" w:lineRule="auto" w:before="0"/>
        <w:ind w:left="129" w:right="103" w:firstLine="0"/>
        <w:jc w:val="right"/>
        <w:rPr>
          <w:sz w:val="18"/>
        </w:rPr>
      </w:pPr>
      <w:r>
        <w:rPr>
          <w:sz w:val="18"/>
        </w:rPr>
        <w:t>Haenlein </w:t>
      </w:r>
      <w:r>
        <w:rPr>
          <w:spacing w:val="-4"/>
          <w:sz w:val="18"/>
        </w:rPr>
        <w:t>GFW, </w:t>
      </w:r>
      <w:r>
        <w:rPr>
          <w:sz w:val="18"/>
        </w:rPr>
        <w:t>Caccese R. 1984. Goat milk versus</w:t>
      </w:r>
      <w:r>
        <w:rPr>
          <w:spacing w:val="35"/>
          <w:sz w:val="18"/>
        </w:rPr>
        <w:t> </w:t>
      </w:r>
      <w:r>
        <w:rPr>
          <w:sz w:val="18"/>
        </w:rPr>
        <w:t>cow</w:t>
      </w:r>
      <w:r>
        <w:rPr>
          <w:spacing w:val="10"/>
          <w:sz w:val="18"/>
        </w:rPr>
        <w:t> </w:t>
      </w:r>
      <w:r>
        <w:rPr>
          <w:sz w:val="18"/>
        </w:rPr>
        <w:t>milk.</w:t>
      </w:r>
      <w:r>
        <w:rPr>
          <w:w w:val="98"/>
          <w:sz w:val="18"/>
        </w:rPr>
        <w:t> </w:t>
      </w:r>
      <w:r>
        <w:rPr>
          <w:sz w:val="18"/>
        </w:rPr>
        <w:t>In: Haenlein </w:t>
      </w:r>
      <w:r>
        <w:rPr>
          <w:spacing w:val="-4"/>
          <w:sz w:val="18"/>
        </w:rPr>
        <w:t>GFW, </w:t>
      </w:r>
      <w:r>
        <w:rPr>
          <w:sz w:val="18"/>
        </w:rPr>
        <w:t>Ace DL, editors.</w:t>
      </w:r>
      <w:r>
        <w:rPr>
          <w:spacing w:val="16"/>
          <w:sz w:val="18"/>
        </w:rPr>
        <w:t> </w:t>
      </w:r>
      <w:r>
        <w:rPr>
          <w:sz w:val="18"/>
        </w:rPr>
        <w:t>Extension</w:t>
      </w:r>
      <w:r>
        <w:rPr>
          <w:spacing w:val="29"/>
          <w:sz w:val="18"/>
        </w:rPr>
        <w:t> </w:t>
      </w:r>
      <w:r>
        <w:rPr>
          <w:sz w:val="18"/>
        </w:rPr>
        <w:t>goat</w:t>
      </w:r>
      <w:r>
        <w:rPr>
          <w:w w:val="98"/>
          <w:sz w:val="18"/>
        </w:rPr>
        <w:t> </w:t>
      </w:r>
      <w:r>
        <w:rPr>
          <w:sz w:val="18"/>
        </w:rPr>
        <w:t>handbook. Washington (DC): USDA Publications; p.</w:t>
      </w:r>
      <w:r>
        <w:rPr>
          <w:spacing w:val="20"/>
          <w:sz w:val="18"/>
        </w:rPr>
        <w:t> </w:t>
      </w:r>
      <w:r>
        <w:rPr>
          <w:sz w:val="18"/>
        </w:rPr>
        <w:t>1</w:t>
      </w:r>
      <w:r>
        <w:rPr>
          <w:rFonts w:ascii="Arial" w:hAnsi="Arial"/>
          <w:sz w:val="18"/>
        </w:rPr>
        <w:t>–</w:t>
      </w:r>
      <w:r>
        <w:rPr>
          <w:sz w:val="18"/>
        </w:rPr>
        <w:t>7.</w:t>
      </w:r>
    </w:p>
    <w:p>
      <w:pPr>
        <w:spacing w:line="200" w:lineRule="exact" w:before="1"/>
        <w:ind w:left="388" w:right="105" w:hanging="284"/>
        <w:jc w:val="both"/>
        <w:rPr>
          <w:sz w:val="18"/>
        </w:rPr>
      </w:pPr>
      <w:r>
        <w:rPr>
          <w:sz w:val="18"/>
        </w:rPr>
        <w:t>Hossner KL. 2005. Hormonal regulation of farm animal growth. Wallingford (UK): CABI Publishing.</w:t>
      </w:r>
    </w:p>
    <w:p>
      <w:pPr>
        <w:spacing w:line="230" w:lineRule="auto" w:before="0"/>
        <w:ind w:left="129" w:right="104" w:firstLine="0"/>
        <w:jc w:val="right"/>
        <w:rPr>
          <w:sz w:val="18"/>
        </w:rPr>
      </w:pPr>
      <w:r>
        <w:rPr>
          <w:sz w:val="18"/>
        </w:rPr>
        <w:t>INEGI. 2009. Anuario estadístico del Estado de México</w:t>
      </w:r>
      <w:r>
        <w:rPr>
          <w:w w:val="98"/>
          <w:sz w:val="18"/>
        </w:rPr>
        <w:t> </w:t>
      </w:r>
      <w:r>
        <w:rPr>
          <w:sz w:val="18"/>
        </w:rPr>
        <w:t>[Statistical yearbook of the state of Mexico]. México:</w:t>
      </w:r>
      <w:r>
        <w:rPr>
          <w:w w:val="98"/>
          <w:sz w:val="18"/>
        </w:rPr>
        <w:t> </w:t>
      </w:r>
      <w:r>
        <w:rPr>
          <w:sz w:val="18"/>
        </w:rPr>
        <w:t>Instituto Nacional de Estadística, Geografía e Informática.</w:t>
      </w:r>
      <w:r>
        <w:rPr>
          <w:w w:val="98"/>
          <w:sz w:val="18"/>
        </w:rPr>
        <w:t> </w:t>
      </w:r>
      <w:r>
        <w:rPr>
          <w:sz w:val="18"/>
        </w:rPr>
        <w:t>Keskin I, Dag B. 2006. Comparison of different mathematical</w:t>
      </w:r>
      <w:r>
        <w:rPr>
          <w:w w:val="98"/>
          <w:sz w:val="18"/>
        </w:rPr>
        <w:t> </w:t>
      </w:r>
      <w:r>
        <w:rPr>
          <w:sz w:val="18"/>
        </w:rPr>
        <w:t>models for describing the complete lactation of Akkaraman</w:t>
      </w:r>
    </w:p>
    <w:p>
      <w:pPr>
        <w:spacing w:line="198" w:lineRule="exact" w:before="3"/>
        <w:ind w:left="105" w:right="0" w:firstLine="283"/>
        <w:jc w:val="left"/>
        <w:rPr>
          <w:sz w:val="18"/>
        </w:rPr>
      </w:pPr>
      <w:r>
        <w:rPr>
          <w:sz w:val="18"/>
        </w:rPr>
        <w:t>ewes in Turkey. Asian Aust J Anim Sci. 19:1551</w:t>
      </w:r>
      <w:r>
        <w:rPr>
          <w:rFonts w:ascii="Arial" w:hAnsi="Arial"/>
          <w:sz w:val="18"/>
        </w:rPr>
        <w:t>–</w:t>
      </w:r>
      <w:r>
        <w:rPr>
          <w:sz w:val="18"/>
        </w:rPr>
        <w:t>1555. Khattab HM, Gado HM, Kholif AE, Mansour AM, Kholif AM.</w:t>
      </w:r>
    </w:p>
    <w:p>
      <w:pPr>
        <w:spacing w:line="230" w:lineRule="auto" w:before="0"/>
        <w:ind w:left="388" w:right="104" w:firstLine="0"/>
        <w:jc w:val="both"/>
        <w:rPr>
          <w:sz w:val="18"/>
        </w:rPr>
      </w:pPr>
      <w:r>
        <w:rPr>
          <w:sz w:val="18"/>
        </w:rPr>
        <w:t>2011. The potential of feeding goats sun dried rumen contents with or without bacterial inoculums as replace- ment for berseem clover and the effects on milk</w:t>
      </w:r>
      <w:r>
        <w:rPr>
          <w:spacing w:val="-11"/>
          <w:sz w:val="18"/>
        </w:rPr>
        <w:t> </w:t>
      </w:r>
      <w:r>
        <w:rPr>
          <w:sz w:val="18"/>
        </w:rPr>
        <w:t>production and animal health. Inter J Dairy Sci. </w:t>
      </w:r>
      <w:r>
        <w:rPr>
          <w:spacing w:val="3"/>
          <w:sz w:val="18"/>
        </w:rPr>
        <w:t> </w:t>
      </w:r>
      <w:r>
        <w:rPr>
          <w:sz w:val="18"/>
        </w:rPr>
        <w:t>6:267</w:t>
      </w:r>
      <w:r>
        <w:rPr>
          <w:rFonts w:ascii="Arial" w:hAnsi="Arial"/>
          <w:sz w:val="18"/>
        </w:rPr>
        <w:t>–</w:t>
      </w:r>
      <w:r>
        <w:rPr>
          <w:sz w:val="18"/>
        </w:rPr>
        <w:t>277.</w:t>
      </w:r>
    </w:p>
    <w:p>
      <w:pPr>
        <w:spacing w:line="230" w:lineRule="auto" w:before="1"/>
        <w:ind w:left="388" w:right="103" w:hanging="284"/>
        <w:jc w:val="both"/>
        <w:rPr>
          <w:sz w:val="18"/>
        </w:rPr>
      </w:pPr>
      <w:r>
        <w:rPr>
          <w:sz w:val="18"/>
        </w:rPr>
        <w:t>Kholif AE, Khattab HM, El-Shewy AA, Salem AZM, Kholif AM, El-Sayed MM, Gado HM, Mariezcurrena MD. 2014. Nutrient digestibility, ruminal fermentation activities, serum parameters  and milk production and composition  of</w:t>
      </w:r>
      <w:r>
        <w:rPr>
          <w:spacing w:val="34"/>
          <w:sz w:val="18"/>
        </w:rPr>
        <w:t> </w:t>
      </w:r>
      <w:r>
        <w:rPr>
          <w:sz w:val="18"/>
        </w:rPr>
        <w:t>lactating</w:t>
      </w:r>
      <w:r>
        <w:rPr>
          <w:spacing w:val="35"/>
          <w:sz w:val="18"/>
        </w:rPr>
        <w:t> </w:t>
      </w:r>
      <w:r>
        <w:rPr>
          <w:sz w:val="18"/>
        </w:rPr>
        <w:t>goats</w:t>
      </w:r>
      <w:r>
        <w:rPr>
          <w:spacing w:val="34"/>
          <w:sz w:val="18"/>
        </w:rPr>
        <w:t> </w:t>
      </w:r>
      <w:r>
        <w:rPr>
          <w:sz w:val="18"/>
        </w:rPr>
        <w:t>fed</w:t>
      </w:r>
      <w:r>
        <w:rPr>
          <w:spacing w:val="34"/>
          <w:sz w:val="18"/>
        </w:rPr>
        <w:t> </w:t>
      </w:r>
      <w:r>
        <w:rPr>
          <w:sz w:val="18"/>
        </w:rPr>
        <w:t>diets</w:t>
      </w:r>
      <w:r>
        <w:rPr>
          <w:spacing w:val="34"/>
          <w:sz w:val="18"/>
        </w:rPr>
        <w:t> </w:t>
      </w:r>
      <w:r>
        <w:rPr>
          <w:sz w:val="18"/>
        </w:rPr>
        <w:t>containing</w:t>
      </w:r>
      <w:r>
        <w:rPr>
          <w:spacing w:val="34"/>
          <w:sz w:val="18"/>
        </w:rPr>
        <w:t> </w:t>
      </w:r>
      <w:r>
        <w:rPr>
          <w:sz w:val="18"/>
        </w:rPr>
        <w:t>rice</w:t>
      </w:r>
      <w:r>
        <w:rPr>
          <w:spacing w:val="34"/>
          <w:sz w:val="18"/>
        </w:rPr>
        <w:t> </w:t>
      </w:r>
      <w:r>
        <w:rPr>
          <w:sz w:val="18"/>
        </w:rPr>
        <w:t>straw</w:t>
      </w:r>
      <w:r>
        <w:rPr>
          <w:spacing w:val="34"/>
          <w:sz w:val="18"/>
        </w:rPr>
        <w:t> </w:t>
      </w:r>
      <w:r>
        <w:rPr>
          <w:sz w:val="18"/>
        </w:rPr>
        <w:t>treated</w:t>
      </w:r>
    </w:p>
    <w:p>
      <w:pPr>
        <w:spacing w:after="0" w:line="230" w:lineRule="auto"/>
        <w:jc w:val="both"/>
        <w:rPr>
          <w:sz w:val="18"/>
        </w:rPr>
        <w:sectPr>
          <w:type w:val="continuous"/>
          <w:pgSz w:w="12190" w:h="15880"/>
          <w:pgMar w:top="380" w:bottom="0" w:left="1200" w:right="1200"/>
          <w:cols w:num="2" w:equalWidth="0">
            <w:col w:w="4656" w:space="373"/>
            <w:col w:w="4761"/>
          </w:cols>
        </w:sectPr>
      </w:pPr>
    </w:p>
    <w:p>
      <w:pPr>
        <w:pStyle w:val="BodyText"/>
        <w:spacing w:before="11"/>
        <w:rPr>
          <w:sz w:val="14"/>
        </w:rPr>
      </w:pPr>
    </w:p>
    <w:p>
      <w:pPr>
        <w:spacing w:after="0"/>
        <w:rPr>
          <w:sz w:val="14"/>
        </w:rPr>
        <w:sectPr>
          <w:pgSz w:w="12190" w:h="15880"/>
          <w:pgMar w:header="1017" w:footer="0" w:top="1200" w:bottom="280" w:left="1200" w:right="1200"/>
        </w:sectPr>
      </w:pPr>
    </w:p>
    <w:p>
      <w:pPr>
        <w:spacing w:line="200" w:lineRule="exact" w:before="85"/>
        <w:ind w:left="388" w:right="0" w:firstLine="0"/>
        <w:jc w:val="left"/>
        <w:rPr>
          <w:sz w:val="18"/>
        </w:rPr>
      </w:pPr>
      <w:r>
        <w:rPr/>
        <w:pict>
          <v:shape style="position:absolute;margin-left:.953263pt;margin-top:287.387146pt;width:12pt;height:221.45pt;mso-position-horizontal-relative:page;mso-position-vertical-relative:page;z-index:1912" type="#_x0000_t202" filled="false" stroked="false">
            <v:textbox inset="0,0,0,0" style="layout-flow:vertical;mso-layout-flow-alt:bottom-to-top">
              <w:txbxContent>
                <w:p>
                  <w:pPr>
                    <w:pStyle w:val="BodyText"/>
                    <w:spacing w:line="224" w:lineRule="exact"/>
                    <w:ind w:left="20"/>
                  </w:pPr>
                  <w:r>
                    <w:rPr/>
                    <w:t>Downloaded by [201.116.72.50] at 11:20 08 July 2016</w:t>
                  </w:r>
                </w:p>
              </w:txbxContent>
            </v:textbox>
            <w10:wrap type="none"/>
          </v:shape>
        </w:pict>
      </w:r>
      <w:bookmarkStart w:name="_bookmark5" w:id="27"/>
      <w:bookmarkEnd w:id="27"/>
      <w:r>
        <w:rPr/>
      </w:r>
      <w:r>
        <w:rPr>
          <w:sz w:val="18"/>
        </w:rPr>
        <w:t>with </w:t>
      </w:r>
      <w:r>
        <w:rPr>
          <w:i/>
          <w:sz w:val="18"/>
        </w:rPr>
        <w:t>Pleurotus ostreatus</w:t>
      </w:r>
      <w:r>
        <w:rPr>
          <w:sz w:val="18"/>
        </w:rPr>
        <w:t>. Asian Austral J Anim Sci. 27:357</w:t>
      </w:r>
      <w:r>
        <w:rPr>
          <w:rFonts w:ascii="Arial" w:hAnsi="Arial"/>
          <w:sz w:val="18"/>
        </w:rPr>
        <w:t>–</w:t>
      </w:r>
      <w:r>
        <w:rPr>
          <w:sz w:val="18"/>
        </w:rPr>
        <w:t>364.</w:t>
      </w:r>
    </w:p>
    <w:p>
      <w:pPr>
        <w:spacing w:line="198" w:lineRule="exact" w:before="1"/>
        <w:ind w:left="388" w:right="0" w:hanging="284"/>
        <w:jc w:val="both"/>
        <w:rPr>
          <w:sz w:val="18"/>
        </w:rPr>
      </w:pPr>
      <w:r>
        <w:rPr>
          <w:sz w:val="18"/>
        </w:rPr>
        <w:t>Lu CD, Potchoiba MJ. 1988. Milk feeding and weaning of goats kids. Small Ruminant Res. 1:105</w:t>
      </w:r>
      <w:r>
        <w:rPr>
          <w:rFonts w:ascii="Arial" w:hAnsi="Arial"/>
          <w:sz w:val="18"/>
        </w:rPr>
        <w:t>–</w:t>
      </w:r>
      <w:r>
        <w:rPr>
          <w:sz w:val="18"/>
        </w:rPr>
        <w:t>112.</w:t>
      </w:r>
    </w:p>
    <w:p>
      <w:pPr>
        <w:spacing w:line="230" w:lineRule="auto" w:before="0"/>
        <w:ind w:left="388" w:right="0" w:hanging="284"/>
        <w:jc w:val="both"/>
        <w:rPr>
          <w:sz w:val="18"/>
        </w:rPr>
      </w:pPr>
      <w:r>
        <w:rPr>
          <w:sz w:val="18"/>
        </w:rPr>
        <w:t>Lu CD, Potchoiba NJ, Sahlu T, Kawas JR. 1990. Performance of dairy goats fed soybean meal or meat and bone meal with or without urea during early lactation. J Dairy Sci. 73:726</w:t>
      </w:r>
      <w:r>
        <w:rPr>
          <w:rFonts w:ascii="Arial" w:hAnsi="Arial"/>
          <w:sz w:val="18"/>
        </w:rPr>
        <w:t>–</w:t>
      </w:r>
      <w:r>
        <w:rPr>
          <w:sz w:val="18"/>
        </w:rPr>
        <w:t>734.</w:t>
      </w:r>
    </w:p>
    <w:p>
      <w:pPr>
        <w:spacing w:line="230" w:lineRule="auto" w:before="1"/>
        <w:ind w:left="388" w:right="0" w:hanging="284"/>
        <w:jc w:val="both"/>
        <w:rPr>
          <w:sz w:val="18"/>
        </w:rPr>
      </w:pPr>
      <w:r>
        <w:rPr>
          <w:sz w:val="18"/>
        </w:rPr>
        <w:t>Luo J, Goetsch AL, Nsahlai IV, Moore JE, Galyean ML, Johnson ZB, Sahlu T, Ferrell CL, Owens FN. 2004. Voluntary feed intake by lactating, Angora, growing and mature goats. Small Ruminant Res. 53:357</w:t>
      </w:r>
      <w:r>
        <w:rPr>
          <w:rFonts w:ascii="Arial" w:hAnsi="Arial"/>
          <w:sz w:val="18"/>
        </w:rPr>
        <w:t>–</w:t>
      </w:r>
      <w:r>
        <w:rPr>
          <w:sz w:val="18"/>
        </w:rPr>
        <w:t>378.</w:t>
      </w:r>
    </w:p>
    <w:p>
      <w:pPr>
        <w:spacing w:line="230" w:lineRule="auto" w:before="1"/>
        <w:ind w:left="105" w:right="0" w:firstLine="0"/>
        <w:jc w:val="right"/>
        <w:rPr>
          <w:sz w:val="18"/>
        </w:rPr>
      </w:pPr>
      <w:r>
        <w:rPr>
          <w:sz w:val="18"/>
        </w:rPr>
        <w:t>Manafiazar G, McFadden T, Goonewardene L, Okine E,</w:t>
      </w:r>
      <w:r>
        <w:rPr>
          <w:w w:val="98"/>
          <w:sz w:val="18"/>
        </w:rPr>
        <w:t> </w:t>
      </w:r>
      <w:r>
        <w:rPr>
          <w:sz w:val="18"/>
        </w:rPr>
        <w:t>Basarab J, Li P, Wang Z. 2013.  Prediction  of  residual</w:t>
      </w:r>
      <w:r>
        <w:rPr>
          <w:w w:val="98"/>
          <w:sz w:val="18"/>
        </w:rPr>
        <w:t> </w:t>
      </w:r>
      <w:r>
        <w:rPr>
          <w:sz w:val="18"/>
        </w:rPr>
        <w:t>feed intake for first-lactation dairy cows using orthogonal</w:t>
      </w:r>
      <w:r>
        <w:rPr>
          <w:w w:val="98"/>
          <w:sz w:val="18"/>
        </w:rPr>
        <w:t> </w:t>
      </w:r>
      <w:r>
        <w:rPr>
          <w:sz w:val="18"/>
        </w:rPr>
        <w:t>polynomial random regression. J Dairy Sci. 96:7991</w:t>
      </w:r>
      <w:r>
        <w:rPr>
          <w:rFonts w:ascii="Arial" w:hAnsi="Arial"/>
          <w:sz w:val="18"/>
        </w:rPr>
        <w:t>–</w:t>
      </w:r>
      <w:r>
        <w:rPr>
          <w:sz w:val="18"/>
        </w:rPr>
        <w:t>8001.</w:t>
      </w:r>
      <w:r>
        <w:rPr>
          <w:w w:val="99"/>
          <w:sz w:val="18"/>
        </w:rPr>
        <w:t> </w:t>
      </w:r>
      <w:r>
        <w:rPr>
          <w:sz w:val="18"/>
        </w:rPr>
        <w:t>Merlos-Brito MI, Martínez-Rojero RD, Torres-Hernández G,</w:t>
      </w:r>
      <w:r>
        <w:rPr>
          <w:w w:val="99"/>
          <w:sz w:val="18"/>
        </w:rPr>
        <w:t> </w:t>
      </w:r>
      <w:r>
        <w:rPr>
          <w:sz w:val="18"/>
        </w:rPr>
        <w:t>Mastache-Lagunas AA, Gallegos-Sánchez J. 2008. Evalua-</w:t>
      </w:r>
      <w:r>
        <w:rPr>
          <w:w w:val="98"/>
          <w:sz w:val="18"/>
        </w:rPr>
        <w:t> </w:t>
      </w:r>
      <w:r>
        <w:rPr>
          <w:sz w:val="18"/>
        </w:rPr>
        <w:t>ción de características productivas en cabritos Boer × local,</w:t>
      </w:r>
      <w:r>
        <w:rPr>
          <w:w w:val="98"/>
          <w:sz w:val="18"/>
        </w:rPr>
        <w:t> </w:t>
      </w:r>
      <w:r>
        <w:rPr>
          <w:sz w:val="18"/>
        </w:rPr>
        <w:t>Nubia × local y locales en el trópico seco de Guerrero,</w:t>
      </w:r>
      <w:r>
        <w:rPr>
          <w:w w:val="98"/>
          <w:sz w:val="18"/>
        </w:rPr>
        <w:t> </w:t>
      </w:r>
      <w:r>
        <w:rPr>
          <w:sz w:val="18"/>
        </w:rPr>
        <w:t>México [Evaluation of productive traits in Boer × local,</w:t>
      </w:r>
      <w:r>
        <w:rPr>
          <w:w w:val="98"/>
          <w:sz w:val="18"/>
        </w:rPr>
        <w:t> </w:t>
      </w:r>
      <w:r>
        <w:rPr>
          <w:sz w:val="18"/>
        </w:rPr>
        <w:t>Nubia  ×  local  and  local  in  the  dry  tropic  of Guerrero,</w:t>
      </w:r>
    </w:p>
    <w:p>
      <w:pPr>
        <w:spacing w:line="196" w:lineRule="exact" w:before="0"/>
        <w:ind w:left="388" w:right="0" w:firstLine="0"/>
        <w:jc w:val="left"/>
        <w:rPr>
          <w:sz w:val="18"/>
        </w:rPr>
      </w:pPr>
      <w:r>
        <w:rPr>
          <w:sz w:val="18"/>
        </w:rPr>
        <w:t>Mexico]. Vet Méx. 39:323</w:t>
      </w:r>
      <w:r>
        <w:rPr>
          <w:rFonts w:ascii="Arial" w:hAnsi="Arial"/>
          <w:sz w:val="18"/>
        </w:rPr>
        <w:t>–</w:t>
      </w:r>
      <w:r>
        <w:rPr>
          <w:sz w:val="18"/>
        </w:rPr>
        <w:t>333.</w:t>
      </w:r>
    </w:p>
    <w:p>
      <w:pPr>
        <w:spacing w:line="230" w:lineRule="auto" w:before="3"/>
        <w:ind w:left="388" w:right="0" w:hanging="284"/>
        <w:jc w:val="both"/>
        <w:rPr>
          <w:sz w:val="18"/>
        </w:rPr>
      </w:pPr>
      <w:r>
        <w:rPr>
          <w:sz w:val="18"/>
        </w:rPr>
        <w:t>Millier MJ. 2013. Primary cilia in the bovine mammary gland: characterising ciliary distribution and morphology during lactation and involution [unpublished MSc thesis]. Dune- din: University of Otago.</w:t>
      </w:r>
    </w:p>
    <w:p>
      <w:pPr>
        <w:spacing w:line="197" w:lineRule="exact" w:before="0"/>
        <w:ind w:left="105" w:right="0" w:firstLine="0"/>
        <w:jc w:val="right"/>
        <w:rPr>
          <w:sz w:val="18"/>
        </w:rPr>
      </w:pPr>
      <w:r>
        <w:rPr>
          <w:sz w:val="18"/>
        </w:rPr>
        <w:t>NRC.  2001.  Nutrient  requirements  of  dairy  cattle.  7th   ed.</w:t>
      </w:r>
    </w:p>
    <w:p>
      <w:pPr>
        <w:spacing w:line="199" w:lineRule="exact" w:before="0"/>
        <w:ind w:left="388" w:right="0" w:firstLine="0"/>
        <w:jc w:val="left"/>
        <w:rPr>
          <w:sz w:val="18"/>
        </w:rPr>
      </w:pPr>
      <w:r>
        <w:rPr>
          <w:sz w:val="18"/>
        </w:rPr>
        <w:t>Washington (DC): National Academy Press.</w:t>
      </w:r>
    </w:p>
    <w:p>
      <w:pPr>
        <w:spacing w:line="230" w:lineRule="auto" w:before="2"/>
        <w:ind w:left="388" w:right="0" w:hanging="284"/>
        <w:jc w:val="both"/>
        <w:rPr>
          <w:sz w:val="18"/>
        </w:rPr>
      </w:pPr>
      <w:r>
        <w:rPr>
          <w:sz w:val="18"/>
        </w:rPr>
        <w:t>Ortiz FA, Bermúdez E. 1988. Factores que afectan el creci- miento de cabritos nacidos en julio en agostaderos de Villa Hidalgo Zacatecas [Factors affecting the growth of kids born in July in rangelands of Villa Hidalgo Zacatecas]. In: Proceeding Congreso Interamericano de Producción Caprina; Saltillo, Coahuila, México; p. A64</w:t>
      </w:r>
      <w:r>
        <w:rPr>
          <w:rFonts w:ascii="Arial" w:hAnsi="Arial"/>
          <w:sz w:val="18"/>
        </w:rPr>
        <w:t>–</w:t>
      </w:r>
      <w:r>
        <w:rPr>
          <w:sz w:val="18"/>
        </w:rPr>
        <w:t>A65.</w:t>
      </w:r>
    </w:p>
    <w:p>
      <w:pPr>
        <w:spacing w:line="230" w:lineRule="auto" w:before="1"/>
        <w:ind w:left="388" w:right="0" w:hanging="284"/>
        <w:jc w:val="both"/>
        <w:rPr>
          <w:sz w:val="18"/>
        </w:rPr>
      </w:pPr>
      <w:r>
        <w:rPr>
          <w:sz w:val="18"/>
        </w:rPr>
        <w:t>Ortiz FA, Bermúdez E, González P. 1988. Cambios de peso vivo de las hembras de crías en dos épocas de empadre en el altiplano zacatecano [Changes in body weight of female offspring of two breeding seasons in Zacatecas highlands]. In: Proceeding Congreso Interamericano de Producción Caprina, Saltillo, Coahuila, México; p. A66</w:t>
      </w:r>
      <w:r>
        <w:rPr>
          <w:rFonts w:ascii="Arial" w:hAnsi="Arial"/>
          <w:sz w:val="18"/>
        </w:rPr>
        <w:t>–</w:t>
      </w:r>
      <w:r>
        <w:rPr>
          <w:sz w:val="18"/>
        </w:rPr>
        <w:t>A67.</w:t>
      </w:r>
    </w:p>
    <w:p>
      <w:pPr>
        <w:spacing w:line="200" w:lineRule="exact" w:before="2"/>
        <w:ind w:left="388" w:right="0" w:hanging="284"/>
        <w:jc w:val="both"/>
        <w:rPr>
          <w:sz w:val="18"/>
        </w:rPr>
      </w:pPr>
      <w:r>
        <w:rPr>
          <w:sz w:val="18"/>
        </w:rPr>
        <w:t>Otoikhian CSO, Orheruata AM, Utulu G. 2013. Influence of birth-weight on weight-gain and milk-intake of wad goat kids within first 25 days of life. IJSID.  3:555</w:t>
      </w:r>
      <w:r>
        <w:rPr>
          <w:rFonts w:ascii="Arial" w:hAnsi="Arial"/>
          <w:sz w:val="18"/>
        </w:rPr>
        <w:t>–</w:t>
      </w:r>
      <w:r>
        <w:rPr>
          <w:sz w:val="18"/>
        </w:rPr>
        <w:t>557.</w:t>
      </w:r>
    </w:p>
    <w:p>
      <w:pPr>
        <w:spacing w:line="230" w:lineRule="auto" w:before="0"/>
        <w:ind w:left="0" w:right="0" w:firstLine="0"/>
        <w:jc w:val="right"/>
        <w:rPr>
          <w:sz w:val="18"/>
        </w:rPr>
      </w:pPr>
      <w:r>
        <w:rPr>
          <w:sz w:val="18"/>
        </w:rPr>
        <w:t>Otuma MO, Osakwe II. 2008. Assessment of the reproductive</w:t>
      </w:r>
      <w:r>
        <w:rPr>
          <w:w w:val="98"/>
          <w:sz w:val="18"/>
        </w:rPr>
        <w:t> </w:t>
      </w:r>
      <w:r>
        <w:rPr>
          <w:sz w:val="18"/>
        </w:rPr>
        <w:t>performance and post weaning growth of crossbred goat in</w:t>
      </w:r>
      <w:r>
        <w:rPr>
          <w:w w:val="98"/>
          <w:sz w:val="18"/>
        </w:rPr>
        <w:t> </w:t>
      </w:r>
      <w:r>
        <w:rPr>
          <w:sz w:val="18"/>
        </w:rPr>
        <w:t>Derived Guinea Savanna Zone. Res J Anim Sci. 2:87</w:t>
      </w:r>
      <w:r>
        <w:rPr>
          <w:rFonts w:ascii="Arial" w:hAnsi="Arial"/>
          <w:sz w:val="18"/>
        </w:rPr>
        <w:t>–</w:t>
      </w:r>
      <w:r>
        <w:rPr>
          <w:sz w:val="18"/>
        </w:rPr>
        <w:t>91.</w:t>
      </w:r>
      <w:r>
        <w:rPr>
          <w:w w:val="99"/>
          <w:sz w:val="18"/>
        </w:rPr>
        <w:t> </w:t>
      </w:r>
      <w:r>
        <w:rPr>
          <w:sz w:val="18"/>
        </w:rPr>
        <w:t>Park YW, Haenlein GFW. 2010. Milk production. In: Solaiman</w:t>
      </w:r>
      <w:r>
        <w:rPr>
          <w:w w:val="98"/>
          <w:sz w:val="18"/>
        </w:rPr>
        <w:t> </w:t>
      </w:r>
      <w:r>
        <w:rPr>
          <w:sz w:val="18"/>
        </w:rPr>
        <w:t>SG,  editor.  Goat  science  and  production.  Ames: Wiley;</w:t>
      </w:r>
    </w:p>
    <w:p>
      <w:pPr>
        <w:spacing w:line="201" w:lineRule="exact" w:before="0"/>
        <w:ind w:left="388" w:right="0" w:firstLine="0"/>
        <w:jc w:val="left"/>
        <w:rPr>
          <w:sz w:val="18"/>
        </w:rPr>
      </w:pPr>
      <w:r>
        <w:rPr>
          <w:sz w:val="18"/>
        </w:rPr>
        <w:t>p. 275.</w:t>
      </w:r>
    </w:p>
    <w:p>
      <w:pPr>
        <w:spacing w:line="230" w:lineRule="auto" w:before="84"/>
        <w:ind w:left="388" w:right="103" w:hanging="284"/>
        <w:jc w:val="both"/>
        <w:rPr>
          <w:sz w:val="18"/>
        </w:rPr>
      </w:pPr>
      <w:r>
        <w:rPr/>
        <w:br w:type="column"/>
      </w:r>
      <w:r>
        <w:rPr>
          <w:sz w:val="18"/>
        </w:rPr>
        <w:t>Pulina G, Nudda A, Pietro N, Macciotta </w:t>
      </w:r>
      <w:r>
        <w:rPr>
          <w:spacing w:val="-10"/>
          <w:sz w:val="18"/>
        </w:rPr>
        <w:t>P, </w:t>
      </w:r>
      <w:r>
        <w:rPr>
          <w:sz w:val="18"/>
        </w:rPr>
        <w:t>Battacone G, Pier</w:t>
      </w:r>
      <w:r>
        <w:rPr>
          <w:spacing w:val="-11"/>
          <w:sz w:val="18"/>
        </w:rPr>
        <w:t> </w:t>
      </w:r>
      <w:r>
        <w:rPr>
          <w:sz w:val="18"/>
        </w:rPr>
        <w:t>S, Rassu G, Cannas A. 2007. Non-nutritional factors</w:t>
      </w:r>
      <w:r>
        <w:rPr>
          <w:spacing w:val="-18"/>
          <w:sz w:val="18"/>
        </w:rPr>
        <w:t> </w:t>
      </w:r>
      <w:r>
        <w:rPr>
          <w:sz w:val="18"/>
        </w:rPr>
        <w:t>affecting lactation persistency in dairy ewes: a review. Ital J Anim Sci.</w:t>
      </w:r>
      <w:r>
        <w:rPr>
          <w:spacing w:val="-13"/>
          <w:sz w:val="18"/>
        </w:rPr>
        <w:t> </w:t>
      </w:r>
      <w:r>
        <w:rPr>
          <w:sz w:val="18"/>
        </w:rPr>
        <w:t>6:115</w:t>
      </w:r>
      <w:r>
        <w:rPr>
          <w:rFonts w:ascii="Arial" w:hAnsi="Arial"/>
          <w:sz w:val="18"/>
        </w:rPr>
        <w:t>–</w:t>
      </w:r>
      <w:r>
        <w:rPr>
          <w:sz w:val="18"/>
        </w:rPr>
        <w:t>141.</w:t>
      </w:r>
    </w:p>
    <w:p>
      <w:pPr>
        <w:spacing w:line="197" w:lineRule="exact" w:before="0"/>
        <w:ind w:left="105" w:right="0" w:firstLine="0"/>
        <w:jc w:val="left"/>
        <w:rPr>
          <w:sz w:val="18"/>
        </w:rPr>
      </w:pPr>
      <w:r>
        <w:rPr>
          <w:sz w:val="18"/>
        </w:rPr>
        <w:t>Ruth  OA.  2012.  EAAPP  dairy  goat  stakeholders workshop.</w:t>
      </w:r>
    </w:p>
    <w:p>
      <w:pPr>
        <w:spacing w:line="200" w:lineRule="exact" w:before="0"/>
        <w:ind w:left="388" w:right="0" w:firstLine="0"/>
        <w:jc w:val="left"/>
        <w:rPr>
          <w:sz w:val="18"/>
        </w:rPr>
      </w:pPr>
      <w:r>
        <w:rPr>
          <w:sz w:val="18"/>
        </w:rPr>
        <w:t>Kenya: Wambugu.</w:t>
      </w:r>
    </w:p>
    <w:p>
      <w:pPr>
        <w:spacing w:line="230" w:lineRule="auto" w:before="3"/>
        <w:ind w:left="388" w:right="103" w:hanging="284"/>
        <w:jc w:val="both"/>
        <w:rPr>
          <w:sz w:val="18"/>
        </w:rPr>
      </w:pPr>
      <w:r>
        <w:rPr>
          <w:sz w:val="18"/>
        </w:rPr>
        <w:t>Salvador A, Martínez G. 2007. Factores que afectan la produc- ción y composición de la leche de cabra: revisión biblio- gráfica</w:t>
      </w:r>
      <w:r>
        <w:rPr>
          <w:spacing w:val="-11"/>
          <w:sz w:val="18"/>
        </w:rPr>
        <w:t> </w:t>
      </w:r>
      <w:r>
        <w:rPr>
          <w:sz w:val="18"/>
        </w:rPr>
        <w:t>[Factors</w:t>
      </w:r>
      <w:r>
        <w:rPr>
          <w:spacing w:val="-11"/>
          <w:sz w:val="18"/>
        </w:rPr>
        <w:t> </w:t>
      </w:r>
      <w:r>
        <w:rPr>
          <w:sz w:val="18"/>
        </w:rPr>
        <w:t>affecting</w:t>
      </w:r>
      <w:r>
        <w:rPr>
          <w:spacing w:val="-12"/>
          <w:sz w:val="18"/>
        </w:rPr>
        <w:t> </w:t>
      </w:r>
      <w:r>
        <w:rPr>
          <w:sz w:val="18"/>
        </w:rPr>
        <w:t>the</w:t>
      </w:r>
      <w:r>
        <w:rPr>
          <w:spacing w:val="-11"/>
          <w:sz w:val="18"/>
        </w:rPr>
        <w:t> </w:t>
      </w:r>
      <w:r>
        <w:rPr>
          <w:sz w:val="18"/>
        </w:rPr>
        <w:t>production</w:t>
      </w:r>
      <w:r>
        <w:rPr>
          <w:spacing w:val="-11"/>
          <w:sz w:val="18"/>
        </w:rPr>
        <w:t> </w:t>
      </w:r>
      <w:r>
        <w:rPr>
          <w:sz w:val="18"/>
        </w:rPr>
        <w:t>and</w:t>
      </w:r>
      <w:r>
        <w:rPr>
          <w:spacing w:val="-12"/>
          <w:sz w:val="18"/>
        </w:rPr>
        <w:t> </w:t>
      </w:r>
      <w:r>
        <w:rPr>
          <w:sz w:val="18"/>
        </w:rPr>
        <w:t>composition</w:t>
      </w:r>
      <w:r>
        <w:rPr>
          <w:spacing w:val="-11"/>
          <w:sz w:val="18"/>
        </w:rPr>
        <w:t> </w:t>
      </w:r>
      <w:r>
        <w:rPr>
          <w:sz w:val="18"/>
        </w:rPr>
        <w:t>of goat</w:t>
      </w:r>
      <w:r>
        <w:rPr>
          <w:spacing w:val="-7"/>
          <w:sz w:val="18"/>
        </w:rPr>
        <w:t> </w:t>
      </w:r>
      <w:r>
        <w:rPr>
          <w:sz w:val="18"/>
        </w:rPr>
        <w:t>milk:</w:t>
      </w:r>
      <w:r>
        <w:rPr>
          <w:spacing w:val="-6"/>
          <w:sz w:val="18"/>
        </w:rPr>
        <w:t> </w:t>
      </w:r>
      <w:r>
        <w:rPr>
          <w:sz w:val="18"/>
        </w:rPr>
        <w:t>a</w:t>
      </w:r>
      <w:r>
        <w:rPr>
          <w:spacing w:val="-6"/>
          <w:sz w:val="18"/>
        </w:rPr>
        <w:t> </w:t>
      </w:r>
      <w:r>
        <w:rPr>
          <w:sz w:val="18"/>
        </w:rPr>
        <w:t>review].</w:t>
      </w:r>
      <w:r>
        <w:rPr>
          <w:spacing w:val="-6"/>
          <w:sz w:val="18"/>
        </w:rPr>
        <w:t> </w:t>
      </w:r>
      <w:r>
        <w:rPr>
          <w:sz w:val="18"/>
        </w:rPr>
        <w:t>Rev</w:t>
      </w:r>
      <w:r>
        <w:rPr>
          <w:spacing w:val="-7"/>
          <w:sz w:val="18"/>
        </w:rPr>
        <w:t> </w:t>
      </w:r>
      <w:r>
        <w:rPr>
          <w:sz w:val="18"/>
        </w:rPr>
        <w:t>Fac</w:t>
      </w:r>
      <w:r>
        <w:rPr>
          <w:spacing w:val="-7"/>
          <w:sz w:val="18"/>
        </w:rPr>
        <w:t> </w:t>
      </w:r>
      <w:r>
        <w:rPr>
          <w:sz w:val="18"/>
        </w:rPr>
        <w:t>Cs</w:t>
      </w:r>
      <w:r>
        <w:rPr>
          <w:spacing w:val="-6"/>
          <w:sz w:val="18"/>
        </w:rPr>
        <w:t> </w:t>
      </w:r>
      <w:r>
        <w:rPr>
          <w:spacing w:val="-5"/>
          <w:sz w:val="18"/>
        </w:rPr>
        <w:t>Vets</w:t>
      </w:r>
      <w:r>
        <w:rPr>
          <w:spacing w:val="-6"/>
          <w:sz w:val="18"/>
        </w:rPr>
        <w:t> UCV.</w:t>
      </w:r>
      <w:r>
        <w:rPr>
          <w:spacing w:val="-7"/>
          <w:sz w:val="18"/>
        </w:rPr>
        <w:t> </w:t>
      </w:r>
      <w:r>
        <w:rPr>
          <w:sz w:val="18"/>
        </w:rPr>
        <w:t>48:61</w:t>
      </w:r>
      <w:r>
        <w:rPr>
          <w:rFonts w:ascii="Arial" w:hAnsi="Arial"/>
          <w:sz w:val="18"/>
        </w:rPr>
        <w:t>–</w:t>
      </w:r>
      <w:r>
        <w:rPr>
          <w:sz w:val="18"/>
        </w:rPr>
        <w:t>76.</w:t>
      </w:r>
    </w:p>
    <w:p>
      <w:pPr>
        <w:spacing w:line="230" w:lineRule="auto" w:before="0"/>
        <w:ind w:left="388" w:right="103" w:hanging="284"/>
        <w:jc w:val="both"/>
        <w:rPr>
          <w:sz w:val="18"/>
        </w:rPr>
      </w:pPr>
      <w:r>
        <w:rPr>
          <w:sz w:val="18"/>
        </w:rPr>
        <w:t>Salvador A, Martinez G, Alvarado C, Hahn M. 2006. Composición de leche de cabras mestizas Canarias en condiciones tropicales [Composition of milk of Canary crossbred goats under tropical conditions]. Zootecnia Trop. 24:307</w:t>
      </w:r>
      <w:r>
        <w:rPr>
          <w:rFonts w:ascii="Arial" w:hAnsi="Arial"/>
          <w:sz w:val="18"/>
        </w:rPr>
        <w:t>–</w:t>
      </w:r>
      <w:r>
        <w:rPr>
          <w:sz w:val="18"/>
        </w:rPr>
        <w:t>320.</w:t>
      </w:r>
    </w:p>
    <w:p>
      <w:pPr>
        <w:spacing w:line="230" w:lineRule="auto" w:before="1"/>
        <w:ind w:left="388" w:right="103" w:hanging="284"/>
        <w:jc w:val="both"/>
        <w:rPr>
          <w:sz w:val="18"/>
        </w:rPr>
      </w:pPr>
      <w:r>
        <w:rPr>
          <w:sz w:val="18"/>
        </w:rPr>
        <w:t>Sánchez</w:t>
      </w:r>
      <w:r>
        <w:rPr>
          <w:spacing w:val="-6"/>
          <w:sz w:val="18"/>
        </w:rPr>
        <w:t> </w:t>
      </w:r>
      <w:r>
        <w:rPr>
          <w:sz w:val="18"/>
        </w:rPr>
        <w:t>I,</w:t>
      </w:r>
      <w:r>
        <w:rPr>
          <w:spacing w:val="-6"/>
          <w:sz w:val="18"/>
        </w:rPr>
        <w:t> </w:t>
      </w:r>
      <w:r>
        <w:rPr>
          <w:sz w:val="18"/>
        </w:rPr>
        <w:t>Martínez</w:t>
      </w:r>
      <w:r>
        <w:rPr>
          <w:spacing w:val="-6"/>
          <w:sz w:val="18"/>
        </w:rPr>
        <w:t> </w:t>
      </w:r>
      <w:r>
        <w:rPr>
          <w:sz w:val="18"/>
        </w:rPr>
        <w:t>RD,</w:t>
      </w:r>
      <w:r>
        <w:rPr>
          <w:spacing w:val="-6"/>
          <w:sz w:val="18"/>
        </w:rPr>
        <w:t> </w:t>
      </w:r>
      <w:r>
        <w:rPr>
          <w:sz w:val="18"/>
        </w:rPr>
        <w:t>Torres</w:t>
      </w:r>
      <w:r>
        <w:rPr>
          <w:spacing w:val="-6"/>
          <w:sz w:val="18"/>
        </w:rPr>
        <w:t> </w:t>
      </w:r>
      <w:r>
        <w:rPr>
          <w:sz w:val="18"/>
        </w:rPr>
        <w:t>G,</w:t>
      </w:r>
      <w:r>
        <w:rPr>
          <w:spacing w:val="-6"/>
          <w:sz w:val="18"/>
        </w:rPr>
        <w:t> </w:t>
      </w:r>
      <w:r>
        <w:rPr>
          <w:sz w:val="18"/>
        </w:rPr>
        <w:t>Becerril</w:t>
      </w:r>
      <w:r>
        <w:rPr>
          <w:spacing w:val="-6"/>
          <w:sz w:val="18"/>
        </w:rPr>
        <w:t> </w:t>
      </w:r>
      <w:r>
        <w:rPr>
          <w:sz w:val="18"/>
        </w:rPr>
        <w:t>CM,</w:t>
      </w:r>
      <w:r>
        <w:rPr>
          <w:spacing w:val="-7"/>
          <w:sz w:val="18"/>
        </w:rPr>
        <w:t> </w:t>
      </w:r>
      <w:r>
        <w:rPr>
          <w:sz w:val="18"/>
        </w:rPr>
        <w:t>Mastache</w:t>
      </w:r>
      <w:r>
        <w:rPr>
          <w:spacing w:val="-6"/>
          <w:sz w:val="18"/>
        </w:rPr>
        <w:t> </w:t>
      </w:r>
      <w:r>
        <w:rPr>
          <w:sz w:val="18"/>
        </w:rPr>
        <w:t>AA, Suárez J, Rubio M. 2006. Producción de leche y curvas de lactancia en tres razas de cabras en el trópico seco de México [Milk production and lactation curves in three breeds of goats in the dry tropics of Mexico]. </w:t>
      </w:r>
      <w:r>
        <w:rPr>
          <w:spacing w:val="-7"/>
          <w:sz w:val="18"/>
        </w:rPr>
        <w:t>Vet </w:t>
      </w:r>
      <w:r>
        <w:rPr>
          <w:sz w:val="18"/>
        </w:rPr>
        <w:t>Méx. 37:493</w:t>
      </w:r>
      <w:r>
        <w:rPr>
          <w:rFonts w:ascii="Arial" w:hAnsi="Arial"/>
          <w:sz w:val="18"/>
        </w:rPr>
        <w:t>–</w:t>
      </w:r>
      <w:r>
        <w:rPr>
          <w:sz w:val="18"/>
        </w:rPr>
        <w:t>502.</w:t>
      </w:r>
    </w:p>
    <w:p>
      <w:pPr>
        <w:spacing w:line="198" w:lineRule="exact" w:before="3"/>
        <w:ind w:left="388" w:right="103" w:hanging="284"/>
        <w:jc w:val="both"/>
        <w:rPr>
          <w:sz w:val="18"/>
        </w:rPr>
      </w:pPr>
      <w:r>
        <w:rPr>
          <w:sz w:val="18"/>
        </w:rPr>
        <w:t>Schaeffer LR. 2004. Applications of random regression</w:t>
      </w:r>
      <w:r>
        <w:rPr>
          <w:spacing w:val="-16"/>
          <w:sz w:val="18"/>
        </w:rPr>
        <w:t> </w:t>
      </w:r>
      <w:r>
        <w:rPr>
          <w:sz w:val="18"/>
        </w:rPr>
        <w:t>models in animal breeding. Livest Sci.</w:t>
      </w:r>
      <w:r>
        <w:rPr>
          <w:spacing w:val="26"/>
          <w:sz w:val="18"/>
        </w:rPr>
        <w:t> </w:t>
      </w:r>
      <w:r>
        <w:rPr>
          <w:sz w:val="18"/>
        </w:rPr>
        <w:t>86:35</w:t>
      </w:r>
      <w:r>
        <w:rPr>
          <w:rFonts w:ascii="Arial" w:hAnsi="Arial"/>
          <w:sz w:val="18"/>
        </w:rPr>
        <w:t>–</w:t>
      </w:r>
      <w:r>
        <w:rPr>
          <w:sz w:val="18"/>
        </w:rPr>
        <w:t>45.</w:t>
      </w:r>
    </w:p>
    <w:p>
      <w:pPr>
        <w:spacing w:line="230" w:lineRule="auto" w:before="0"/>
        <w:ind w:left="388" w:right="103" w:hanging="284"/>
        <w:jc w:val="both"/>
        <w:rPr>
          <w:sz w:val="18"/>
        </w:rPr>
      </w:pPr>
      <w:r>
        <w:rPr>
          <w:sz w:val="18"/>
        </w:rPr>
        <w:t>Sebei PJ, McCrindle CME, Webb EC. 2004. Factors influen- cing weaning percentages of indigenous goats on com- munal grazing. S Afr J Anim Sci.  34:130</w:t>
      </w:r>
      <w:r>
        <w:rPr>
          <w:rFonts w:ascii="Arial" w:hAnsi="Arial"/>
          <w:sz w:val="18"/>
        </w:rPr>
        <w:t>–</w:t>
      </w:r>
      <w:r>
        <w:rPr>
          <w:sz w:val="18"/>
        </w:rPr>
        <w:t>133.</w:t>
      </w:r>
    </w:p>
    <w:p>
      <w:pPr>
        <w:spacing w:line="200" w:lineRule="exact" w:before="2"/>
        <w:ind w:left="388" w:right="103" w:hanging="284"/>
        <w:jc w:val="both"/>
        <w:rPr>
          <w:sz w:val="18"/>
        </w:rPr>
      </w:pPr>
      <w:r>
        <w:rPr>
          <w:sz w:val="18"/>
        </w:rPr>
        <w:t>Shrestha JNB. 2012. Genetics and breeding of meat goats. In: Mahgoub O, Kadim IT, Webb E, editors. Goat meat production and quality. Croydon: CABI; p. 76.</w:t>
      </w:r>
    </w:p>
    <w:p>
      <w:pPr>
        <w:spacing w:line="230" w:lineRule="auto" w:before="0"/>
        <w:ind w:left="388" w:right="103" w:hanging="284"/>
        <w:jc w:val="both"/>
        <w:rPr>
          <w:sz w:val="18"/>
        </w:rPr>
      </w:pPr>
      <w:r>
        <w:rPr>
          <w:sz w:val="18"/>
        </w:rPr>
        <w:t>Stefanon B, Colitti M, Gabai G, Knight CH, Wilde CJ. 2002. Mammary apoptosis and lactation persistency in dairy animals. J Dairy Res. 69:37</w:t>
      </w:r>
      <w:r>
        <w:rPr>
          <w:rFonts w:ascii="Arial" w:hAnsi="Arial"/>
          <w:sz w:val="18"/>
        </w:rPr>
        <w:t>–</w:t>
      </w:r>
      <w:r>
        <w:rPr>
          <w:sz w:val="18"/>
        </w:rPr>
        <w:t>52.</w:t>
      </w:r>
    </w:p>
    <w:p>
      <w:pPr>
        <w:spacing w:line="230" w:lineRule="auto" w:before="1"/>
        <w:ind w:left="388" w:right="103" w:hanging="284"/>
        <w:jc w:val="both"/>
        <w:rPr>
          <w:sz w:val="18"/>
        </w:rPr>
      </w:pPr>
      <w:r>
        <w:rPr>
          <w:sz w:val="18"/>
        </w:rPr>
        <w:t>Swalve HH, Guo Z. 1999. An illustration of lactation curves stratified by lactation yields within herd. Arch Tierzucht. 42:515</w:t>
      </w:r>
      <w:r>
        <w:rPr>
          <w:rFonts w:ascii="Arial" w:hAnsi="Arial"/>
          <w:sz w:val="18"/>
        </w:rPr>
        <w:t>–</w:t>
      </w:r>
      <w:r>
        <w:rPr>
          <w:sz w:val="18"/>
        </w:rPr>
        <w:t>525.</w:t>
      </w:r>
    </w:p>
    <w:p>
      <w:pPr>
        <w:spacing w:line="230" w:lineRule="auto" w:before="1"/>
        <w:ind w:left="388" w:right="103" w:hanging="284"/>
        <w:jc w:val="both"/>
        <w:rPr>
          <w:sz w:val="18"/>
        </w:rPr>
      </w:pPr>
      <w:r>
        <w:rPr>
          <w:sz w:val="18"/>
        </w:rPr>
        <w:t>Van Soest PJ, Robertson JB, Lewis BA. 1991. Methods for dietary fibre, neutral detergent fibre, and non-starch carbohydrates in relation to animal nutrition. J Dairy Sci. 74:3583</w:t>
      </w:r>
      <w:r>
        <w:rPr>
          <w:rFonts w:ascii="Arial" w:hAnsi="Arial"/>
          <w:sz w:val="18"/>
        </w:rPr>
        <w:t>–</w:t>
      </w:r>
      <w:r>
        <w:rPr>
          <w:sz w:val="18"/>
        </w:rPr>
        <w:t>3597.</w:t>
      </w:r>
    </w:p>
    <w:p>
      <w:pPr>
        <w:spacing w:line="198" w:lineRule="exact" w:before="3"/>
        <w:ind w:left="388" w:right="103" w:hanging="284"/>
        <w:jc w:val="both"/>
        <w:rPr>
          <w:sz w:val="18"/>
        </w:rPr>
      </w:pPr>
      <w:r>
        <w:rPr>
          <w:sz w:val="18"/>
        </w:rPr>
        <w:t>Wood PDP. 1967. Algebraic model of the lactation curve in cattle. Nature. 216:164</w:t>
      </w:r>
      <w:r>
        <w:rPr>
          <w:rFonts w:ascii="Arial" w:hAnsi="Arial"/>
          <w:sz w:val="18"/>
        </w:rPr>
        <w:t>–</w:t>
      </w:r>
      <w:r>
        <w:rPr>
          <w:sz w:val="18"/>
        </w:rPr>
        <w:t>165.</w:t>
      </w:r>
    </w:p>
    <w:p>
      <w:pPr>
        <w:spacing w:line="230" w:lineRule="auto" w:before="0"/>
        <w:ind w:left="388" w:right="103" w:hanging="284"/>
        <w:jc w:val="both"/>
        <w:rPr>
          <w:sz w:val="18"/>
        </w:rPr>
      </w:pPr>
      <w:r>
        <w:rPr>
          <w:spacing w:val="-3"/>
          <w:sz w:val="18"/>
        </w:rPr>
        <w:t>Wu </w:t>
      </w:r>
      <w:r>
        <w:rPr>
          <w:sz w:val="18"/>
        </w:rPr>
        <w:t>G, Bazer </w:t>
      </w:r>
      <w:r>
        <w:rPr>
          <w:spacing w:val="-6"/>
          <w:sz w:val="18"/>
        </w:rPr>
        <w:t>FW, </w:t>
      </w:r>
      <w:r>
        <w:rPr>
          <w:sz w:val="18"/>
        </w:rPr>
        <w:t>Satterfield MC, Li X, </w:t>
      </w:r>
      <w:r>
        <w:rPr>
          <w:spacing w:val="-4"/>
          <w:sz w:val="18"/>
        </w:rPr>
        <w:t>Wang </w:t>
      </w:r>
      <w:r>
        <w:rPr>
          <w:sz w:val="18"/>
        </w:rPr>
        <w:t>X, Johnson GA, Burghardt RC, Dai Z, </w:t>
      </w:r>
      <w:r>
        <w:rPr>
          <w:spacing w:val="-4"/>
          <w:sz w:val="18"/>
        </w:rPr>
        <w:t>Wang </w:t>
      </w:r>
      <w:r>
        <w:rPr>
          <w:sz w:val="18"/>
        </w:rPr>
        <w:t>J, </w:t>
      </w:r>
      <w:r>
        <w:rPr>
          <w:spacing w:val="-3"/>
          <w:sz w:val="18"/>
        </w:rPr>
        <w:t>Wu </w:t>
      </w:r>
      <w:r>
        <w:rPr>
          <w:sz w:val="18"/>
        </w:rPr>
        <w:t>Z. 2013. Impacts of arginine nutrition on embryonic and fetal development in mammals. Amino Acids. 45:241</w:t>
      </w:r>
      <w:r>
        <w:rPr>
          <w:rFonts w:ascii="Arial" w:hAnsi="Arial"/>
          <w:sz w:val="18"/>
        </w:rPr>
        <w:t>–</w:t>
      </w:r>
      <w:r>
        <w:rPr>
          <w:sz w:val="18"/>
        </w:rPr>
        <w:t>256.</w:t>
      </w:r>
    </w:p>
    <w:p>
      <w:pPr>
        <w:spacing w:line="230" w:lineRule="auto" w:before="1"/>
        <w:ind w:left="388" w:right="102" w:hanging="284"/>
        <w:jc w:val="both"/>
        <w:rPr>
          <w:sz w:val="18"/>
        </w:rPr>
      </w:pPr>
      <w:r>
        <w:rPr>
          <w:sz w:val="18"/>
        </w:rPr>
        <w:t>Zygoyiannis D. 1987. The milk yield and milk composition of the Greek indigenous goat (</w:t>
      </w:r>
      <w:r>
        <w:rPr>
          <w:i/>
          <w:sz w:val="18"/>
        </w:rPr>
        <w:t>Capra prisca</w:t>
      </w:r>
      <w:r>
        <w:rPr>
          <w:sz w:val="18"/>
        </w:rPr>
        <w:t>) as influenced by duration of suckling period. Anim Prod. 44:107</w:t>
      </w:r>
      <w:r>
        <w:rPr>
          <w:rFonts w:ascii="Arial" w:hAnsi="Arial"/>
          <w:sz w:val="18"/>
        </w:rPr>
        <w:t>–</w:t>
      </w:r>
      <w:r>
        <w:rPr>
          <w:sz w:val="18"/>
        </w:rPr>
        <w:t>116.</w:t>
      </w:r>
    </w:p>
    <w:sectPr>
      <w:type w:val="continuous"/>
      <w:pgSz w:w="12190" w:h="15880"/>
      <w:pgMar w:top="380" w:bottom="0" w:left="1200" w:right="1200"/>
      <w:cols w:num="2" w:equalWidth="0">
        <w:col w:w="4656" w:space="373"/>
        <w:col w:w="4761"/>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Black">
    <w:altName w:val="Arial Black"/>
    <w:charset w:val="0"/>
    <w:family w:val="swiss"/>
    <w:pitch w:val="variable"/>
  </w:font>
  <w:font w:name="Calibri">
    <w:altName w:val="Calibri"/>
    <w:charset w:val="0"/>
    <w:family w:val="swiss"/>
    <w:pitch w:val="variable"/>
  </w:font>
  <w:font w:name="Arial">
    <w:altName w:val="Arial"/>
    <w:charset w:val="0"/>
    <w:family w:val="swiss"/>
    <w:pitch w:val="variable"/>
  </w:font>
  <w:font w:name="Verdana">
    <w:altName w:val="Verdana"/>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3.253502pt;margin-top:49.911797pt;width:18.95pt;height:12pt;mso-position-horizontal-relative:page;mso-position-vertical-relative:page;z-index:-20584" type="#_x0000_t202" filled="false" stroked="false">
          <v:textbox inset="0,0,0,0">
            <w:txbxContent>
              <w:p>
                <w:pPr>
                  <w:pStyle w:val="BodyText"/>
                  <w:spacing w:line="224" w:lineRule="exact"/>
                  <w:ind w:left="40"/>
                </w:pPr>
                <w:r>
                  <w:rPr/>
                  <w:fldChar w:fldCharType="begin"/>
                </w:r>
                <w:r>
                  <w:rPr/>
                  <w:instrText> PAGE </w:instrText>
                </w:r>
                <w:r>
                  <w:rPr/>
                  <w:fldChar w:fldCharType="separate"/>
                </w:r>
                <w:r>
                  <w:rPr/>
                  <w:t>332</w:t>
                </w:r>
                <w:r>
                  <w:rPr/>
                  <w:fldChar w:fldCharType="end"/>
                </w:r>
              </w:p>
            </w:txbxContent>
          </v:textbox>
          <w10:wrap type="none"/>
        </v:shape>
      </w:pict>
    </w:r>
    <w:r>
      <w:rPr/>
      <w:pict>
        <v:shape style="position:absolute;margin-left:265.795898pt;margin-top:49.911797pt;width:82.8pt;height:12pt;mso-position-horizontal-relative:page;mso-position-vertical-relative:page;z-index:-20560" type="#_x0000_t202" filled="false" stroked="false">
          <v:textbox inset="0,0,0,0">
            <w:txbxContent>
              <w:p>
                <w:pPr>
                  <w:spacing w:line="224" w:lineRule="exact" w:before="0"/>
                  <w:ind w:left="20" w:right="0" w:firstLine="0"/>
                  <w:jc w:val="left"/>
                  <w:rPr>
                    <w:i/>
                    <w:sz w:val="20"/>
                  </w:rPr>
                </w:pPr>
                <w:r>
                  <w:rPr>
                    <w:i/>
                    <w:sz w:val="20"/>
                  </w:rPr>
                  <w:t>R. Rojo-Rubio </w:t>
                </w:r>
                <w:r>
                  <w:rPr>
                    <w:sz w:val="20"/>
                  </w:rPr>
                  <w:t>et al</w:t>
                </w:r>
                <w:r>
                  <w:rPr>
                    <w:i/>
                    <w:sz w:val="20"/>
                  </w:rPr>
                  <w:t>.</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7.358994pt;margin-top:49.911797pt;width:149.75pt;height:12pt;mso-position-horizontal-relative:page;mso-position-vertical-relative:page;z-index:-20536" type="#_x0000_t202" filled="false" stroked="false">
          <v:textbox inset="0,0,0,0">
            <w:txbxContent>
              <w:p>
                <w:pPr>
                  <w:spacing w:line="224" w:lineRule="exact" w:before="0"/>
                  <w:ind w:left="20" w:right="0" w:firstLine="0"/>
                  <w:jc w:val="left"/>
                  <w:rPr>
                    <w:i/>
                    <w:sz w:val="20"/>
                  </w:rPr>
                </w:pPr>
                <w:r>
                  <w:rPr>
                    <w:i/>
                    <w:sz w:val="20"/>
                  </w:rPr>
                  <w:t>Journal of Applied Animal Research</w:t>
                </w:r>
              </w:p>
            </w:txbxContent>
          </v:textbox>
          <w10:wrap type="none"/>
        </v:shape>
      </w:pict>
    </w:r>
    <w:r>
      <w:rPr/>
      <w:pict>
        <v:shape style="position:absolute;margin-left:526.819397pt;margin-top:49.911797pt;width:20.4pt;height:12pt;mso-position-horizontal-relative:page;mso-position-vertical-relative:page;z-index:-20512" type="#_x0000_t202" filled="false" stroked="false">
          <v:textbox inset="0,0,0,0">
            <w:txbxContent>
              <w:p>
                <w:pPr>
                  <w:pStyle w:val="BodyText"/>
                  <w:spacing w:line="224" w:lineRule="exact"/>
                  <w:ind w:left="58"/>
                </w:pPr>
                <w:r>
                  <w:rPr/>
                  <w:fldChar w:fldCharType="begin"/>
                </w:r>
                <w:r>
                  <w:rPr/>
                  <w:instrText> PAGE </w:instrText>
                </w:r>
                <w:r>
                  <w:rPr/>
                  <w:fldChar w:fldCharType="separate"/>
                </w:r>
                <w:r>
                  <w:rPr/>
                  <w:t>333</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40" w:hanging="216"/>
        <w:jc w:val="left"/>
      </w:pPr>
      <w:rPr>
        <w:rFonts w:hint="default" w:ascii="Times New Roman" w:hAnsi="Times New Roman" w:eastAsia="Times New Roman" w:cs="Times New Roman"/>
        <w:w w:val="99"/>
        <w:sz w:val="20"/>
        <w:szCs w:val="20"/>
      </w:rPr>
    </w:lvl>
    <w:lvl w:ilvl="1">
      <w:start w:val="1"/>
      <w:numFmt w:val="decimal"/>
      <w:lvlText w:val="%1.%2."/>
      <w:lvlJc w:val="left"/>
      <w:pPr>
        <w:ind w:left="490" w:hanging="366"/>
        <w:jc w:val="left"/>
      </w:pPr>
      <w:rPr>
        <w:rFonts w:hint="default" w:ascii="Times New Roman" w:hAnsi="Times New Roman" w:eastAsia="Times New Roman" w:cs="Times New Roman"/>
        <w:i/>
        <w:w w:val="99"/>
        <w:sz w:val="20"/>
        <w:szCs w:val="20"/>
      </w:rPr>
    </w:lvl>
    <w:lvl w:ilvl="2">
      <w:start w:val="1"/>
      <w:numFmt w:val="bullet"/>
      <w:lvlText w:val="•"/>
      <w:lvlJc w:val="left"/>
      <w:pPr>
        <w:ind w:left="500" w:hanging="366"/>
      </w:pPr>
      <w:rPr>
        <w:rFonts w:hint="default"/>
      </w:rPr>
    </w:lvl>
    <w:lvl w:ilvl="3">
      <w:start w:val="1"/>
      <w:numFmt w:val="bullet"/>
      <w:lvlText w:val="•"/>
      <w:lvlJc w:val="left"/>
      <w:pPr>
        <w:ind w:left="520" w:hanging="366"/>
      </w:pPr>
      <w:rPr>
        <w:rFonts w:hint="default"/>
      </w:rPr>
    </w:lvl>
    <w:lvl w:ilvl="4">
      <w:start w:val="1"/>
      <w:numFmt w:val="bullet"/>
      <w:lvlText w:val="•"/>
      <w:lvlJc w:val="left"/>
      <w:pPr>
        <w:ind w:left="398" w:hanging="366"/>
      </w:pPr>
      <w:rPr>
        <w:rFonts w:hint="default"/>
      </w:rPr>
    </w:lvl>
    <w:lvl w:ilvl="5">
      <w:start w:val="1"/>
      <w:numFmt w:val="bullet"/>
      <w:lvlText w:val="•"/>
      <w:lvlJc w:val="left"/>
      <w:pPr>
        <w:ind w:left="276" w:hanging="366"/>
      </w:pPr>
      <w:rPr>
        <w:rFonts w:hint="default"/>
      </w:rPr>
    </w:lvl>
    <w:lvl w:ilvl="6">
      <w:start w:val="1"/>
      <w:numFmt w:val="bullet"/>
      <w:lvlText w:val="•"/>
      <w:lvlJc w:val="left"/>
      <w:pPr>
        <w:ind w:left="154" w:hanging="366"/>
      </w:pPr>
      <w:rPr>
        <w:rFonts w:hint="default"/>
      </w:rPr>
    </w:lvl>
    <w:lvl w:ilvl="7">
      <w:start w:val="1"/>
      <w:numFmt w:val="bullet"/>
      <w:lvlText w:val="•"/>
      <w:lvlJc w:val="left"/>
      <w:pPr>
        <w:ind w:left="32" w:hanging="366"/>
      </w:pPr>
      <w:rPr>
        <w:rFonts w:hint="default"/>
      </w:rPr>
    </w:lvl>
    <w:lvl w:ilvl="8">
      <w:start w:val="1"/>
      <w:numFmt w:val="bullet"/>
      <w:lvlText w:val="•"/>
      <w:lvlJc w:val="left"/>
      <w:pPr>
        <w:ind w:left="-90" w:hanging="36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line="309" w:lineRule="exact"/>
      <w:ind w:left="1762"/>
      <w:outlineLvl w:val="1"/>
    </w:pPr>
    <w:rPr>
      <w:rFonts w:ascii="Arial Black" w:hAnsi="Arial Black" w:eastAsia="Arial Black" w:cs="Arial Black"/>
      <w:b/>
      <w:bCs/>
      <w:sz w:val="24"/>
      <w:szCs w:val="24"/>
    </w:rPr>
  </w:style>
  <w:style w:styleId="ListParagraph" w:type="paragraph">
    <w:name w:val="List Paragraph"/>
    <w:basedOn w:val="Normal"/>
    <w:uiPriority w:val="1"/>
    <w:qFormat/>
    <w:pPr>
      <w:ind w:left="470" w:hanging="365"/>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yperlink" Target="http://www.tandfonline.com/loi/taar20" TargetMode="External"/><Relationship Id="rId8" Type="http://schemas.openxmlformats.org/officeDocument/2006/relationships/hyperlink" Target="http://dx.doi.org/10.1080/09712119.2015.1031790" TargetMode="External"/><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hyperlink" Target="http://www.tandfonline.com/action/authorSubmission?journalCode=taar20&amp;amp;page=instructions" TargetMode="External"/><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hyperlink" Target="http://www.tandfonline.com/doi/mlt/10.1080/09712119.2015.1031790" TargetMode="External"/><Relationship Id="rId18" Type="http://schemas.openxmlformats.org/officeDocument/2006/relationships/image" Target="media/image10.png"/><Relationship Id="rId19" Type="http://schemas.openxmlformats.org/officeDocument/2006/relationships/hyperlink" Target="http://www.tandfonline.com/doi/citedby/10.1080/09712119.2015.1031790#tabModule" TargetMode="External"/><Relationship Id="rId20" Type="http://schemas.openxmlformats.org/officeDocument/2006/relationships/hyperlink" Target="http://www.tandfonline.com/action/journalInformation?journalCode=taar20" TargetMode="External"/><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hyperlink" Target="mailto:asalem70@yahoo.com" TargetMode="External"/><Relationship Id="rId26" Type="http://schemas.openxmlformats.org/officeDocument/2006/relationships/header" Target="header1.xml"/><Relationship Id="rId27" Type="http://schemas.openxmlformats.org/officeDocument/2006/relationships/header" Target="header2.xml"/><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hyperlink" Target="http://faostat3.fao.org/fao-" TargetMode="External"/><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 Rojo-Rubio</dc:creator>
  <cp:keywords>goats; lactation curves; live weight; Wood’s model</cp:keywords>
  <dc:subject>Journal of Applied Animal Research, 2015. doi:10.1080/09712119.2015.1031790</dc:subject>
  <dc:title>Lactation curves and body weight changes of Alpine, Saanen and Anglo-Nubian goats as well as pre-weaning growth of their kids</dc:title>
  <dcterms:created xsi:type="dcterms:W3CDTF">2017-06-30T19:26:54Z</dcterms:created>
  <dcterms:modified xsi:type="dcterms:W3CDTF">2017-06-30T19:26:54Z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2015-04-21T00:00:00Z</vt:filetime>
  </property>
  <property fmtid="{D5CDD505-2E9C-101B-9397-08002B2CF9AE}" pid="3" name="Creator">
    <vt:lpwstr>taylor &amp; francis</vt:lpwstr>
  </property>
  <property fmtid="{D5CDD505-2E9C-101B-9397-08002B2CF9AE}" pid="4" name="LastSaved">
    <vt:filetime>2017-06-30T00:00:00Z</vt:filetime>
  </property>
</Properties>
</file>