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Default Extension="png" ContentType="image/png"/>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footer25.xml" ContentType="application/vnd.openxmlformats-officedocument.wordprocessingml.footer+xml"/>
  <Override PartName="/word/header26.xml" ContentType="application/vnd.openxmlformats-officedocument.wordprocessingml.header+xml"/>
  <Override PartName="/word/footer26.xml" ContentType="application/vnd.openxmlformats-officedocument.wordprocessingml.footer+xml"/>
  <Override PartName="/word/header27.xml" ContentType="application/vnd.openxmlformats-officedocument.wordprocessingml.header+xml"/>
  <Override PartName="/word/footer27.xml" ContentType="application/vnd.openxmlformats-officedocument.wordprocessingml.footer+xml"/>
  <Override PartName="/word/header28.xml" ContentType="application/vnd.openxmlformats-officedocument.wordprocessingml.header+xml"/>
  <Override PartName="/word/footer28.xml" ContentType="application/vnd.openxmlformats-officedocument.wordprocessingml.footer+xml"/>
  <Override PartName="/word/header29.xml" ContentType="application/vnd.openxmlformats-officedocument.wordprocessingml.header+xml"/>
  <Override PartName="/word/footer29.xml" ContentType="application/vnd.openxmlformats-officedocument.wordprocessingml.footer+xml"/>
  <Override PartName="/word/header30.xml" ContentType="application/vnd.openxmlformats-officedocument.wordprocessingml.header+xml"/>
  <Override PartName="/word/footer30.xml" ContentType="application/vnd.openxmlformats-officedocument.wordprocessingml.footer+xml"/>
  <Override PartName="/word/header31.xml" ContentType="application/vnd.openxmlformats-officedocument.wordprocessingml.header+xml"/>
  <Override PartName="/word/footer31.xml" ContentType="application/vnd.openxmlformats-officedocument.wordprocessingml.footer+xml"/>
  <Override PartName="/word/header32.xml" ContentType="application/vnd.openxmlformats-officedocument.wordprocessingml.header+xml"/>
  <Override PartName="/word/footer32.xml" ContentType="application/vnd.openxmlformats-officedocument.wordprocessingml.footer+xml"/>
  <Override PartName="/word/header33.xml" ContentType="application/vnd.openxmlformats-officedocument.wordprocessingml.header+xml"/>
  <Override PartName="/word/footer33.xml" ContentType="application/vnd.openxmlformats-officedocument.wordprocessingml.footer+xml"/>
  <Override PartName="/word/header34.xml" ContentType="application/vnd.openxmlformats-officedocument.wordprocessingml.header+xml"/>
  <Override PartName="/word/footer34.xml" ContentType="application/vnd.openxmlformats-officedocument.wordprocessingml.footer+xml"/>
  <Override PartName="/word/header35.xml" ContentType="application/vnd.openxmlformats-officedocument.wordprocessingml.header+xml"/>
  <Override PartName="/word/footer35.xml" ContentType="application/vnd.openxmlformats-officedocument.wordprocessingml.footer+xml"/>
  <Override PartName="/word/header36.xml" ContentType="application/vnd.openxmlformats-officedocument.wordprocessingml.header+xml"/>
  <Override PartName="/word/footer36.xml" ContentType="application/vnd.openxmlformats-officedocument.wordprocessingml.footer+xml"/>
  <Override PartName="/word/header37.xml" ContentType="application/vnd.openxmlformats-officedocument.wordprocessingml.header+xml"/>
  <Override PartName="/word/footer37.xml" ContentType="application/vnd.openxmlformats-officedocument.wordprocessingml.footer+xml"/>
  <Override PartName="/word/header38.xml" ContentType="application/vnd.openxmlformats-officedocument.wordprocessingml.header+xml"/>
  <Override PartName="/word/footer38.xml" ContentType="application/vnd.openxmlformats-officedocument.wordprocessingml.footer+xml"/>
  <Override PartName="/word/header39.xml" ContentType="application/vnd.openxmlformats-officedocument.wordprocessingml.header+xml"/>
  <Override PartName="/word/footer39.xml" ContentType="application/vnd.openxmlformats-officedocument.wordprocessingml.footer+xml"/>
  <Override PartName="/word/header40.xml" ContentType="application/vnd.openxmlformats-officedocument.wordprocessingml.header+xml"/>
  <Override PartName="/word/footer40.xml" ContentType="application/vnd.openxmlformats-officedocument.wordprocessingml.footer+xml"/>
  <Override PartName="/word/header41.xml" ContentType="application/vnd.openxmlformats-officedocument.wordprocessingml.header+xml"/>
  <Override PartName="/word/footer41.xml" ContentType="application/vnd.openxmlformats-officedocument.wordprocessingml.footer+xml"/>
  <Override PartName="/word/header42.xml" ContentType="application/vnd.openxmlformats-officedocument.wordprocessingml.header+xml"/>
  <Override PartName="/word/footer42.xml" ContentType="application/vnd.openxmlformats-officedocument.wordprocessingml.footer+xml"/>
  <Override PartName="/word/header43.xml" ContentType="application/vnd.openxmlformats-officedocument.wordprocessingml.header+xml"/>
  <Override PartName="/word/footer43.xml" ContentType="application/vnd.openxmlformats-officedocument.wordprocessingml.footer+xml"/>
  <Override PartName="/word/header44.xml" ContentType="application/vnd.openxmlformats-officedocument.wordprocessingml.header+xml"/>
  <Override PartName="/word/footer44.xml" ContentType="application/vnd.openxmlformats-officedocument.wordprocessingml.footer+xml"/>
  <Override PartName="/word/header45.xml" ContentType="application/vnd.openxmlformats-officedocument.wordprocessingml.header+xml"/>
  <Override PartName="/word/footer45.xml" ContentType="application/vnd.openxmlformats-officedocument.wordprocessingml.footer+xml"/>
  <Override PartName="/word/header46.xml" ContentType="application/vnd.openxmlformats-officedocument.wordprocessingml.header+xml"/>
  <Override PartName="/word/footer46.xml" ContentType="application/vnd.openxmlformats-officedocument.wordprocessingml.footer+xml"/>
  <Override PartName="/word/header47.xml" ContentType="application/vnd.openxmlformats-officedocument.wordprocessingml.header+xml"/>
  <Override PartName="/word/footer47.xml" ContentType="application/vnd.openxmlformats-officedocument.wordprocessingml.footer+xml"/>
  <Override PartName="/word/header48.xml" ContentType="application/vnd.openxmlformats-officedocument.wordprocessingml.header+xml"/>
  <Override PartName="/word/footer48.xml" ContentType="application/vnd.openxmlformats-officedocument.wordprocessingml.footer+xml"/>
  <Override PartName="/word/header49.xml" ContentType="application/vnd.openxmlformats-officedocument.wordprocessingml.header+xml"/>
  <Override PartName="/word/footer49.xml" ContentType="application/vnd.openxmlformats-officedocument.wordprocessingml.footer+xml"/>
  <Override PartName="/word/header50.xml" ContentType="application/vnd.openxmlformats-officedocument.wordprocessingml.header+xml"/>
  <Override PartName="/word/footer50.xml" ContentType="application/vnd.openxmlformats-officedocument.wordprocessingml.footer+xml"/>
  <Override PartName="/word/header51.xml" ContentType="application/vnd.openxmlformats-officedocument.wordprocessingml.header+xml"/>
  <Override PartName="/word/footer51.xml" ContentType="application/vnd.openxmlformats-officedocument.wordprocessingml.footer+xml"/>
  <Override PartName="/word/header52.xml" ContentType="application/vnd.openxmlformats-officedocument.wordprocessingml.header+xml"/>
  <Override PartName="/word/footer52.xml" ContentType="application/vnd.openxmlformats-officedocument.wordprocessingml.footer+xml"/>
  <Override PartName="/word/header53.xml" ContentType="application/vnd.openxmlformats-officedocument.wordprocessingml.header+xml"/>
  <Override PartName="/word/footer53.xml" ContentType="application/vnd.openxmlformats-officedocument.wordprocessingml.footer+xml"/>
  <Override PartName="/word/header54.xml" ContentType="application/vnd.openxmlformats-officedocument.wordprocessingml.header+xml"/>
  <Override PartName="/word/footer54.xml" ContentType="application/vnd.openxmlformats-officedocument.wordprocessingml.footer+xml"/>
  <Override PartName="/word/header55.xml" ContentType="application/vnd.openxmlformats-officedocument.wordprocessingml.header+xml"/>
  <Override PartName="/word/footer55.xml" ContentType="application/vnd.openxmlformats-officedocument.wordprocessingml.footer+xml"/>
  <Override PartName="/word/footer56.xml" ContentType="application/vnd.openxmlformats-officedocument.wordprocessingml.footer+xml"/>
  <Override PartName="/word/header56.xml" ContentType="application/vnd.openxmlformats-officedocument.wordprocessingml.header+xml"/>
  <Override PartName="/word/footer57.xml" ContentType="application/vnd.openxmlformats-officedocument.wordprocessingml.footer+xml"/>
  <Override PartName="/word/header57.xml" ContentType="application/vnd.openxmlformats-officedocument.wordprocessingml.header+xml"/>
  <Override PartName="/word/footer58.xml" ContentType="application/vnd.openxmlformats-officedocument.wordprocessingml.footer+xml"/>
  <Override PartName="/word/header58.xml" ContentType="application/vnd.openxmlformats-officedocument.wordprocessingml.header+xml"/>
  <Override PartName="/word/footer59.xml" ContentType="application/vnd.openxmlformats-officedocument.wordprocessingml.footer+xml"/>
  <Override PartName="/word/header59.xml" ContentType="application/vnd.openxmlformats-officedocument.wordprocessingml.header+xml"/>
  <Override PartName="/word/footer60.xml" ContentType="application/vnd.openxmlformats-officedocument.wordprocessingml.footer+xml"/>
  <Override PartName="/word/header60.xml" ContentType="application/vnd.openxmlformats-officedocument.wordprocessingml.header+xml"/>
  <Override PartName="/word/footer61.xml" ContentType="application/vnd.openxmlformats-officedocument.wordprocessingml.footer+xml"/>
  <Override PartName="/word/header61.xml" ContentType="application/vnd.openxmlformats-officedocument.wordprocessingml.header+xml"/>
  <Override PartName="/word/footer62.xml" ContentType="application/vnd.openxmlformats-officedocument.wordprocessingml.footer+xml"/>
  <Override PartName="/word/header62.xml" ContentType="application/vnd.openxmlformats-officedocument.wordprocessingml.header+xml"/>
  <Override PartName="/word/footer63.xml" ContentType="application/vnd.openxmlformats-officedocument.wordprocessingml.footer+xml"/>
  <Override PartName="/word/header63.xml" ContentType="application/vnd.openxmlformats-officedocument.wordprocessingml.header+xml"/>
  <Override PartName="/word/footer64.xml" ContentType="application/vnd.openxmlformats-officedocument.wordprocessingml.footer+xml"/>
  <Override PartName="/word/footer65.xml" ContentType="application/vnd.openxmlformats-officedocument.wordprocessingml.footer+xml"/>
  <Override PartName="/word/header64.xml" ContentType="application/vnd.openxmlformats-officedocument.wordprocessingml.head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header65.xml" ContentType="application/vnd.openxmlformats-officedocument.wordprocessingml.header+xml"/>
  <Override PartName="/word/header66.xml" ContentType="application/vnd.openxmlformats-officedocument.wordprocessingml.header+xml"/>
  <Override PartName="/word/footer69.xml" ContentType="application/vnd.openxmlformats-officedocument.wordprocessingml.footer+xml"/>
  <Override PartName="/word/header67.xml" ContentType="application/vnd.openxmlformats-officedocument.wordprocessingml.header+xml"/>
  <Override PartName="/word/footer70.xml" ContentType="application/vnd.openxmlformats-officedocument.wordprocessingml.footer+xml"/>
  <Override PartName="/word/header68.xml" ContentType="application/vnd.openxmlformats-officedocument.wordprocessingml.header+xml"/>
  <Override PartName="/word/footer71.xml" ContentType="application/vnd.openxmlformats-officedocument.wordprocessingml.footer+xml"/>
  <Override PartName="/word/header69.xml" ContentType="application/vnd.openxmlformats-officedocument.wordprocessingml.header+xml"/>
  <Override PartName="/word/header70.xml" ContentType="application/vnd.openxmlformats-officedocument.wordprocessingml.header+xml"/>
  <Override PartName="/word/footer72.xml" ContentType="application/vnd.openxmlformats-officedocument.wordprocessingml.footer+xml"/>
  <Override PartName="/word/header71.xml" ContentType="application/vnd.openxmlformats-officedocument.wordprocessingml.header+xml"/>
  <Override PartName="/word/footer73.xml" ContentType="application/vnd.openxmlformats-officedocument.wordprocessingml.footer+xml"/>
  <Override PartName="/word/header72.xml" ContentType="application/vnd.openxmlformats-officedocument.wordprocessingml.header+xml"/>
  <Override PartName="/word/footer74.xml" ContentType="application/vnd.openxmlformats-officedocument.wordprocessingml.footer+xml"/>
  <Override PartName="/word/footer75.xml" ContentType="application/vnd.openxmlformats-officedocument.wordprocessingml.foot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footer76.xml" ContentType="application/vnd.openxmlformats-officedocument.wordprocessingml.footer+xml"/>
  <Override PartName="/word/footer77.xml" ContentType="application/vnd.openxmlformats-officedocument.wordprocessingml.footer+xml"/>
  <Override PartName="/word/header76.xml" ContentType="application/vnd.openxmlformats-officedocument.wordprocessingml.header+xml"/>
  <Override PartName="/word/header77.xml" ContentType="application/vnd.openxmlformats-officedocument.wordprocessingml.header+xml"/>
  <Override PartName="/word/footer78.xml" ContentType="application/vnd.openxmlformats-officedocument.wordprocessingml.footer+xml"/>
  <Override PartName="/word/header78.xml" ContentType="application/vnd.openxmlformats-officedocument.wordprocessingml.header+xml"/>
  <Override PartName="/word/footer79.xml" ContentType="application/vnd.openxmlformats-officedocument.wordprocessingml.footer+xml"/>
  <Override PartName="/word/footer80.xml" ContentType="application/vnd.openxmlformats-officedocument.wordprocessingml.footer+xml"/>
  <Override PartName="/word/header79.xml" ContentType="application/vnd.openxmlformats-officedocument.wordprocessingml.header+xml"/>
  <Override PartName="/word/header80.xml" ContentType="application/vnd.openxmlformats-officedocument.wordprocessingml.header+xml"/>
  <Override PartName="/word/footer8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8"/>
        </w:rPr>
      </w:pPr>
    </w:p>
    <w:p>
      <w:pPr>
        <w:spacing w:before="58"/>
        <w:ind w:left="974" w:right="172" w:hanging="7"/>
        <w:jc w:val="center"/>
        <w:rPr>
          <w:b/>
          <w:sz w:val="32"/>
        </w:rPr>
      </w:pPr>
      <w:r>
        <w:rPr>
          <w:b/>
          <w:sz w:val="32"/>
        </w:rPr>
        <w:t>ESTIMACIÓN DE UNA FUNCIÓN DE PRODUCCIÓN DE BOVINOS CARNE EN SISTEMA EXTENSIVO EN EL</w:t>
      </w:r>
      <w:r>
        <w:rPr>
          <w:b/>
          <w:spacing w:val="-15"/>
          <w:sz w:val="32"/>
        </w:rPr>
        <w:t> </w:t>
      </w:r>
      <w:r>
        <w:rPr>
          <w:b/>
          <w:sz w:val="32"/>
        </w:rPr>
        <w:t>SUR DEL ESTADO DE</w:t>
      </w:r>
      <w:r>
        <w:rPr>
          <w:b/>
          <w:spacing w:val="-9"/>
          <w:sz w:val="32"/>
        </w:rPr>
        <w:t> </w:t>
      </w:r>
      <w:r>
        <w:rPr>
          <w:b/>
          <w:sz w:val="32"/>
        </w:rPr>
        <w:t>MÉXICO</w:t>
      </w:r>
    </w:p>
    <w:p>
      <w:pPr>
        <w:pStyle w:val="BodyText"/>
        <w:rPr>
          <w:b/>
          <w:sz w:val="32"/>
        </w:rPr>
      </w:pPr>
    </w:p>
    <w:p>
      <w:pPr>
        <w:pStyle w:val="BodyText"/>
        <w:spacing w:before="10"/>
        <w:rPr>
          <w:b/>
          <w:sz w:val="29"/>
        </w:rPr>
      </w:pPr>
    </w:p>
    <w:p>
      <w:pPr>
        <w:spacing w:before="0"/>
        <w:ind w:left="1292" w:right="421" w:firstLine="0"/>
        <w:jc w:val="center"/>
        <w:rPr>
          <w:rFonts w:ascii="Arial"/>
          <w:b/>
          <w:sz w:val="100"/>
        </w:rPr>
      </w:pPr>
      <w:r>
        <w:rPr>
          <w:rFonts w:ascii="Arial"/>
          <w:b/>
          <w:sz w:val="100"/>
        </w:rPr>
        <w:t>TESIS</w:t>
      </w:r>
    </w:p>
    <w:p>
      <w:pPr>
        <w:pStyle w:val="BodyText"/>
        <w:spacing w:before="10"/>
        <w:rPr>
          <w:rFonts w:ascii="Arial"/>
          <w:b/>
          <w:sz w:val="109"/>
        </w:rPr>
      </w:pPr>
    </w:p>
    <w:p>
      <w:pPr>
        <w:pStyle w:val="BodyText"/>
        <w:spacing w:line="264" w:lineRule="exact" w:before="1"/>
        <w:ind w:left="1292" w:right="492"/>
        <w:jc w:val="center"/>
        <w:rPr>
          <w:rFonts w:ascii="Arial"/>
        </w:rPr>
      </w:pPr>
      <w:r>
        <w:rPr>
          <w:rFonts w:ascii="Arial"/>
        </w:rPr>
        <w:t>QUE PARA OBTENER EL GRADO DE</w:t>
      </w:r>
    </w:p>
    <w:p>
      <w:pPr>
        <w:pStyle w:val="BodyText"/>
        <w:spacing w:line="264" w:lineRule="exact"/>
        <w:ind w:left="1292" w:right="496"/>
        <w:jc w:val="center"/>
        <w:rPr>
          <w:rFonts w:ascii="Arial"/>
        </w:rPr>
      </w:pPr>
      <w:r>
        <w:rPr>
          <w:rFonts w:ascii="Arial"/>
        </w:rPr>
        <w:t>MAESTRO EN CIENCIAS AGROPECUARIAS Y RECURSOS NATURALES</w:t>
      </w:r>
    </w:p>
    <w:p>
      <w:pPr>
        <w:pStyle w:val="BodyText"/>
        <w:rPr>
          <w:rFonts w:ascii="Arial"/>
          <w:sz w:val="22"/>
        </w:rPr>
      </w:pPr>
    </w:p>
    <w:p>
      <w:pPr>
        <w:pStyle w:val="BodyText"/>
        <w:rPr>
          <w:rFonts w:ascii="Arial"/>
          <w:sz w:val="22"/>
        </w:rPr>
      </w:pPr>
    </w:p>
    <w:p>
      <w:pPr>
        <w:pStyle w:val="BodyText"/>
        <w:rPr>
          <w:rFonts w:ascii="Arial"/>
          <w:sz w:val="22"/>
        </w:rPr>
      </w:pPr>
    </w:p>
    <w:p>
      <w:pPr>
        <w:pStyle w:val="BodyText"/>
        <w:rPr>
          <w:rFonts w:ascii="Arial"/>
          <w:sz w:val="22"/>
        </w:rPr>
      </w:pPr>
    </w:p>
    <w:p>
      <w:pPr>
        <w:pStyle w:val="BodyText"/>
        <w:spacing w:before="9"/>
        <w:rPr>
          <w:rFonts w:ascii="Arial"/>
          <w:sz w:val="26"/>
        </w:rPr>
      </w:pPr>
    </w:p>
    <w:p>
      <w:pPr>
        <w:pStyle w:val="Heading5"/>
        <w:ind w:left="4312"/>
        <w:rPr>
          <w:rFonts w:ascii="Arial"/>
        </w:rPr>
      </w:pPr>
      <w:r>
        <w:rPr>
          <w:rFonts w:ascii="Arial"/>
        </w:rPr>
        <w:t>P R E S E N T A:</w:t>
      </w:r>
    </w:p>
    <w:p>
      <w:pPr>
        <w:pStyle w:val="BodyText"/>
        <w:rPr>
          <w:rFonts w:ascii="Arial"/>
          <w:b/>
          <w:sz w:val="22"/>
        </w:rPr>
      </w:pPr>
    </w:p>
    <w:p>
      <w:pPr>
        <w:pStyle w:val="BodyText"/>
        <w:rPr>
          <w:rFonts w:ascii="Arial"/>
          <w:b/>
          <w:sz w:val="22"/>
        </w:rPr>
      </w:pPr>
    </w:p>
    <w:p>
      <w:pPr>
        <w:pStyle w:val="BodyText"/>
        <w:rPr>
          <w:rFonts w:ascii="Arial"/>
          <w:b/>
          <w:sz w:val="25"/>
        </w:rPr>
      </w:pPr>
    </w:p>
    <w:p>
      <w:pPr>
        <w:spacing w:before="0"/>
        <w:ind w:left="1292" w:right="494" w:firstLine="0"/>
        <w:jc w:val="center"/>
        <w:rPr>
          <w:rFonts w:ascii="Arial" w:hAnsi="Arial"/>
          <w:b/>
          <w:sz w:val="23"/>
        </w:rPr>
      </w:pPr>
      <w:r>
        <w:rPr>
          <w:rFonts w:ascii="Arial" w:hAnsi="Arial"/>
          <w:b/>
          <w:sz w:val="23"/>
        </w:rPr>
        <w:t>PEDRO HERNÁNDEZ AGUIRRE</w:t>
      </w: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22"/>
        </w:rPr>
      </w:pPr>
    </w:p>
    <w:p>
      <w:pPr>
        <w:pStyle w:val="BodyText"/>
        <w:spacing w:before="8"/>
        <w:rPr>
          <w:rFonts w:ascii="Arial"/>
          <w:b/>
          <w:sz w:val="30"/>
        </w:rPr>
      </w:pPr>
    </w:p>
    <w:p>
      <w:pPr>
        <w:pStyle w:val="BodyText"/>
        <w:ind w:left="1292" w:right="494"/>
        <w:jc w:val="center"/>
        <w:rPr>
          <w:rFonts w:ascii="Arial" w:hAnsi="Arial"/>
        </w:rPr>
      </w:pPr>
      <w:r>
        <w:rPr>
          <w:rFonts w:ascii="Arial" w:hAnsi="Arial"/>
        </w:rPr>
        <w:t>Temascaltepec, Estado de México, México, Noviembre 2016.</w:t>
      </w:r>
    </w:p>
    <w:p>
      <w:pPr>
        <w:spacing w:after="0"/>
        <w:jc w:val="center"/>
        <w:rPr>
          <w:rFonts w:ascii="Arial" w:hAnsi="Arial"/>
        </w:rPr>
        <w:sectPr>
          <w:headerReference w:type="default" r:id="rId5"/>
          <w:type w:val="continuous"/>
          <w:pgSz w:w="12240" w:h="15840"/>
          <w:pgMar w:header="1417" w:top="2500" w:bottom="280" w:left="920" w:right="1720"/>
        </w:sectPr>
      </w:pPr>
    </w:p>
    <w:p>
      <w:pPr>
        <w:pStyle w:val="BodyText"/>
        <w:rPr>
          <w:rFonts w:ascii="Arial"/>
          <w:sz w:val="20"/>
        </w:rPr>
      </w:pPr>
    </w:p>
    <w:p>
      <w:pPr>
        <w:pStyle w:val="BodyText"/>
        <w:rPr>
          <w:rFonts w:ascii="Arial"/>
          <w:sz w:val="28"/>
        </w:rPr>
      </w:pPr>
    </w:p>
    <w:p>
      <w:pPr>
        <w:spacing w:before="58"/>
        <w:ind w:left="1094" w:right="175" w:hanging="4"/>
        <w:jc w:val="center"/>
        <w:rPr>
          <w:b/>
          <w:sz w:val="32"/>
        </w:rPr>
      </w:pPr>
      <w:r>
        <w:rPr>
          <w:b/>
          <w:sz w:val="32"/>
        </w:rPr>
        <w:t>ESTIMACIÓN DE UNA FUNCIÓN DE PRODUCCIÓN DE BOVINOS CARNE EN SISTEMA EXTENSIVO EN EL</w:t>
      </w:r>
      <w:r>
        <w:rPr>
          <w:b/>
          <w:spacing w:val="-17"/>
          <w:sz w:val="32"/>
        </w:rPr>
        <w:t> </w:t>
      </w:r>
      <w:r>
        <w:rPr>
          <w:b/>
          <w:sz w:val="32"/>
        </w:rPr>
        <w:t>SUR DEL ESTADO DE</w:t>
      </w:r>
      <w:r>
        <w:rPr>
          <w:b/>
          <w:spacing w:val="-9"/>
          <w:sz w:val="32"/>
        </w:rPr>
        <w:t> </w:t>
      </w:r>
      <w:r>
        <w:rPr>
          <w:b/>
          <w:sz w:val="32"/>
        </w:rPr>
        <w:t>MÉXICO</w:t>
      </w:r>
    </w:p>
    <w:p>
      <w:pPr>
        <w:pStyle w:val="BodyText"/>
        <w:rPr>
          <w:b/>
          <w:sz w:val="32"/>
        </w:rPr>
      </w:pPr>
    </w:p>
    <w:p>
      <w:pPr>
        <w:pStyle w:val="BodyText"/>
        <w:spacing w:before="10"/>
        <w:rPr>
          <w:b/>
          <w:sz w:val="29"/>
        </w:rPr>
      </w:pPr>
    </w:p>
    <w:p>
      <w:pPr>
        <w:spacing w:before="0"/>
        <w:ind w:left="1412" w:right="421" w:firstLine="0"/>
        <w:jc w:val="center"/>
        <w:rPr>
          <w:rFonts w:ascii="Arial"/>
          <w:b/>
          <w:sz w:val="100"/>
        </w:rPr>
      </w:pPr>
      <w:r>
        <w:rPr>
          <w:rFonts w:ascii="Arial"/>
          <w:b/>
          <w:sz w:val="100"/>
        </w:rPr>
        <w:t>TESIS</w:t>
      </w:r>
    </w:p>
    <w:p>
      <w:pPr>
        <w:pStyle w:val="BodyText"/>
        <w:spacing w:line="264" w:lineRule="exact" w:before="712"/>
        <w:ind w:left="1412" w:right="486"/>
        <w:jc w:val="center"/>
        <w:rPr>
          <w:rFonts w:ascii="Arial"/>
        </w:rPr>
      </w:pPr>
      <w:r>
        <w:rPr>
          <w:rFonts w:ascii="Arial"/>
        </w:rPr>
        <w:t>QUE PARA OBTENER EL GRADO DE</w:t>
      </w:r>
    </w:p>
    <w:p>
      <w:pPr>
        <w:pStyle w:val="BodyText"/>
        <w:spacing w:line="264" w:lineRule="exact"/>
        <w:ind w:left="1412" w:right="496"/>
        <w:jc w:val="center"/>
        <w:rPr>
          <w:rFonts w:ascii="Arial"/>
        </w:rPr>
      </w:pPr>
      <w:r>
        <w:rPr>
          <w:rFonts w:ascii="Arial"/>
        </w:rPr>
        <w:t>MAESTRO EN CIENCIAS AGROPECUARIAS Y RECURSOS NATURALES</w:t>
      </w:r>
    </w:p>
    <w:p>
      <w:pPr>
        <w:pStyle w:val="BodyText"/>
        <w:rPr>
          <w:rFonts w:ascii="Arial"/>
          <w:sz w:val="22"/>
        </w:rPr>
      </w:pPr>
    </w:p>
    <w:p>
      <w:pPr>
        <w:pStyle w:val="BodyText"/>
        <w:rPr>
          <w:rFonts w:ascii="Arial"/>
          <w:sz w:val="22"/>
        </w:rPr>
      </w:pPr>
    </w:p>
    <w:p>
      <w:pPr>
        <w:pStyle w:val="BodyText"/>
        <w:rPr>
          <w:rFonts w:ascii="Arial"/>
          <w:sz w:val="22"/>
        </w:rPr>
      </w:pPr>
    </w:p>
    <w:p>
      <w:pPr>
        <w:pStyle w:val="BodyText"/>
        <w:spacing w:before="9"/>
        <w:rPr>
          <w:rFonts w:ascii="Arial"/>
          <w:sz w:val="25"/>
        </w:rPr>
      </w:pPr>
    </w:p>
    <w:p>
      <w:pPr>
        <w:pStyle w:val="Heading5"/>
        <w:ind w:left="4432" w:right="1129"/>
        <w:rPr>
          <w:rFonts w:ascii="Arial"/>
        </w:rPr>
      </w:pPr>
      <w:r>
        <w:rPr>
          <w:rFonts w:ascii="Arial"/>
        </w:rPr>
        <w:t>P R E S E N T A:</w:t>
      </w:r>
    </w:p>
    <w:p>
      <w:pPr>
        <w:pStyle w:val="BodyText"/>
        <w:rPr>
          <w:rFonts w:ascii="Arial"/>
          <w:b/>
          <w:sz w:val="22"/>
        </w:rPr>
      </w:pPr>
    </w:p>
    <w:p>
      <w:pPr>
        <w:pStyle w:val="BodyText"/>
        <w:rPr>
          <w:rFonts w:ascii="Arial"/>
          <w:b/>
          <w:sz w:val="22"/>
        </w:rPr>
      </w:pPr>
    </w:p>
    <w:p>
      <w:pPr>
        <w:pStyle w:val="BodyText"/>
        <w:rPr>
          <w:rFonts w:ascii="Arial"/>
          <w:b/>
          <w:sz w:val="25"/>
        </w:rPr>
      </w:pPr>
    </w:p>
    <w:p>
      <w:pPr>
        <w:spacing w:before="0"/>
        <w:ind w:left="1412" w:right="494" w:firstLine="0"/>
        <w:jc w:val="center"/>
        <w:rPr>
          <w:rFonts w:ascii="Arial" w:hAnsi="Arial"/>
          <w:b/>
          <w:sz w:val="23"/>
        </w:rPr>
      </w:pPr>
      <w:r>
        <w:rPr>
          <w:rFonts w:ascii="Arial" w:hAnsi="Arial"/>
          <w:b/>
          <w:sz w:val="23"/>
        </w:rPr>
        <w:t>PEDRO HERNÁNDEZ AGUIRRE</w:t>
      </w:r>
    </w:p>
    <w:p>
      <w:pPr>
        <w:pStyle w:val="BodyText"/>
        <w:rPr>
          <w:rFonts w:ascii="Arial"/>
          <w:b/>
          <w:sz w:val="22"/>
        </w:rPr>
      </w:pPr>
    </w:p>
    <w:p>
      <w:pPr>
        <w:pStyle w:val="BodyText"/>
        <w:rPr>
          <w:rFonts w:ascii="Arial"/>
          <w:b/>
          <w:sz w:val="22"/>
        </w:rPr>
      </w:pPr>
    </w:p>
    <w:p>
      <w:pPr>
        <w:pStyle w:val="BodyText"/>
        <w:rPr>
          <w:rFonts w:ascii="Arial"/>
          <w:b/>
          <w:sz w:val="22"/>
        </w:rPr>
      </w:pPr>
    </w:p>
    <w:p>
      <w:pPr>
        <w:pStyle w:val="BodyText"/>
        <w:rPr>
          <w:rFonts w:ascii="Arial"/>
          <w:b/>
          <w:sz w:val="31"/>
        </w:rPr>
      </w:pPr>
    </w:p>
    <w:p>
      <w:pPr>
        <w:spacing w:before="0"/>
        <w:ind w:left="1412" w:right="490" w:firstLine="0"/>
        <w:jc w:val="center"/>
        <w:rPr>
          <w:b/>
          <w:sz w:val="28"/>
        </w:rPr>
      </w:pPr>
      <w:r>
        <w:rPr>
          <w:b/>
          <w:sz w:val="28"/>
        </w:rPr>
        <w:t>COMITÉ DE TUTORES:</w:t>
      </w:r>
    </w:p>
    <w:p>
      <w:pPr>
        <w:pStyle w:val="BodyText"/>
        <w:spacing w:before="11"/>
        <w:rPr>
          <w:b/>
          <w:sz w:val="27"/>
        </w:rPr>
      </w:pPr>
    </w:p>
    <w:p>
      <w:pPr>
        <w:spacing w:before="0"/>
        <w:ind w:left="2318" w:right="1129" w:firstLine="0"/>
        <w:jc w:val="left"/>
        <w:rPr>
          <w:b/>
          <w:sz w:val="28"/>
        </w:rPr>
      </w:pPr>
      <w:r>
        <w:rPr>
          <w:b/>
          <w:sz w:val="28"/>
        </w:rPr>
        <w:t>Dr. José Luis Morales Hernández. Tutor Académico Dr. Samuel Rebollar Rebollar. Tutor Adjunto</w:t>
      </w:r>
    </w:p>
    <w:p>
      <w:pPr>
        <w:spacing w:before="2"/>
        <w:ind w:left="1410" w:right="496" w:firstLine="0"/>
        <w:jc w:val="center"/>
        <w:rPr>
          <w:b/>
          <w:sz w:val="28"/>
        </w:rPr>
      </w:pPr>
      <w:r>
        <w:rPr>
          <w:b/>
          <w:sz w:val="28"/>
        </w:rPr>
        <w:t>Dr. Juvencio Hernández Martínez. Tutor Adjunto</w:t>
      </w:r>
    </w:p>
    <w:p>
      <w:pPr>
        <w:pStyle w:val="BodyText"/>
        <w:rPr>
          <w:b/>
          <w:sz w:val="28"/>
        </w:rPr>
      </w:pPr>
    </w:p>
    <w:p>
      <w:pPr>
        <w:pStyle w:val="BodyText"/>
        <w:rPr>
          <w:b/>
          <w:sz w:val="28"/>
        </w:rPr>
      </w:pPr>
    </w:p>
    <w:p>
      <w:pPr>
        <w:pStyle w:val="BodyText"/>
        <w:rPr>
          <w:b/>
          <w:sz w:val="28"/>
        </w:rPr>
      </w:pPr>
    </w:p>
    <w:p>
      <w:pPr>
        <w:pStyle w:val="BodyText"/>
        <w:spacing w:before="4"/>
        <w:rPr>
          <w:b/>
          <w:sz w:val="26"/>
        </w:rPr>
      </w:pPr>
    </w:p>
    <w:p>
      <w:pPr>
        <w:pStyle w:val="BodyText"/>
        <w:ind w:left="1412" w:right="494"/>
        <w:jc w:val="center"/>
        <w:rPr>
          <w:rFonts w:ascii="Arial" w:hAnsi="Arial"/>
        </w:rPr>
      </w:pPr>
      <w:r>
        <w:rPr>
          <w:rFonts w:ascii="Arial" w:hAnsi="Arial"/>
        </w:rPr>
        <w:t>Temascaltepec, Estado de México, México, Noviembre 2016.</w:t>
      </w:r>
    </w:p>
    <w:p>
      <w:pPr>
        <w:spacing w:after="0"/>
        <w:jc w:val="center"/>
        <w:rPr>
          <w:rFonts w:ascii="Arial" w:hAnsi="Arial"/>
        </w:rPr>
        <w:sectPr>
          <w:pgSz w:w="12240" w:h="15840"/>
          <w:pgMar w:header="1417" w:footer="0" w:top="2500" w:bottom="280" w:left="800" w:right="1720"/>
        </w:sectPr>
      </w:pPr>
    </w:p>
    <w:p>
      <w:pPr>
        <w:spacing w:before="51"/>
        <w:ind w:left="122" w:right="121" w:firstLine="0"/>
        <w:jc w:val="center"/>
        <w:rPr>
          <w:sz w:val="18"/>
        </w:rPr>
      </w:pPr>
      <w:r>
        <w:rPr/>
        <w:pict>
          <v:line style="position:absolute;mso-position-horizontal-relative:page;mso-position-vertical-relative:paragraph;z-index:0;mso-wrap-distance-left:0;mso-wrap-distance-right:0" from="102pt,19.162321pt" to="508.5pt,19.162321pt" stroked="true" strokeweight=".5pt" strokecolor="#000000">
            <w10:wrap type="topAndBottom"/>
          </v:line>
        </w:pict>
      </w:r>
      <w:r>
        <w:rPr>
          <w:sz w:val="18"/>
        </w:rPr>
        <w:t>Estimación de una función de producción de bovinos carne en sistema extensivo en el sur del Estado de México</w:t>
      </w:r>
    </w:p>
    <w:p>
      <w:pPr>
        <w:pStyle w:val="BodyText"/>
        <w:rPr>
          <w:sz w:val="18"/>
        </w:rPr>
      </w:pPr>
    </w:p>
    <w:p>
      <w:pPr>
        <w:pStyle w:val="BodyText"/>
        <w:spacing w:before="7"/>
        <w:rPr>
          <w:sz w:val="25"/>
        </w:rPr>
      </w:pPr>
    </w:p>
    <w:p>
      <w:pPr>
        <w:spacing w:before="0"/>
        <w:ind w:left="122" w:right="121" w:firstLine="0"/>
        <w:jc w:val="center"/>
        <w:rPr>
          <w:b/>
          <w:i/>
          <w:sz w:val="24"/>
        </w:rPr>
      </w:pPr>
      <w:r>
        <w:rPr>
          <w:b/>
          <w:i/>
          <w:sz w:val="24"/>
        </w:rPr>
        <w:t>RESUMEN</w:t>
      </w:r>
    </w:p>
    <w:p>
      <w:pPr>
        <w:pStyle w:val="BodyText"/>
        <w:rPr>
          <w:b/>
          <w:i/>
          <w:sz w:val="24"/>
        </w:rPr>
      </w:pPr>
    </w:p>
    <w:p>
      <w:pPr>
        <w:pStyle w:val="BodyText"/>
        <w:rPr>
          <w:b/>
          <w:i/>
          <w:sz w:val="24"/>
        </w:rPr>
      </w:pPr>
    </w:p>
    <w:p>
      <w:pPr>
        <w:pStyle w:val="BodyText"/>
        <w:spacing w:line="357" w:lineRule="auto" w:before="153"/>
        <w:ind w:left="122" w:right="117"/>
        <w:jc w:val="both"/>
        <w:rPr>
          <w:sz w:val="15"/>
        </w:rPr>
      </w:pPr>
      <w:r>
        <w:rPr/>
        <w:pict>
          <v:shape style="position:absolute;margin-left:510.220001pt;margin-top:127.172966pt;width:16.9pt;height:7.6pt;mso-position-horizontal-relative:page;mso-position-vertical-relative:paragraph;z-index:-131464" type="#_x0000_t202" filled="false" stroked="false">
            <v:textbox inset="0,0,0,0">
              <w:txbxContent>
                <w:p>
                  <w:pPr>
                    <w:spacing w:line="151" w:lineRule="exact" w:before="0"/>
                    <w:ind w:left="0" w:right="-20" w:firstLine="0"/>
                    <w:jc w:val="left"/>
                    <w:rPr>
                      <w:sz w:val="15"/>
                    </w:rPr>
                  </w:pPr>
                  <w:r>
                    <w:rPr>
                      <w:sz w:val="15"/>
                    </w:rPr>
                    <w:t>1.067</w:t>
                  </w:r>
                </w:p>
              </w:txbxContent>
            </v:textbox>
            <w10:wrap type="none"/>
          </v:shape>
        </w:pict>
      </w:r>
      <w:r>
        <w:rPr/>
        <w:t>Esta investigación se realizó en cuatro municipios del sur del Estado de México durante el periodo de Febrero a Julio de 2015 y la información se obtuvo de 200 productores de ganado de carne, los cuales pertenecen a diferentes asociaciones ganaderas locales y </w:t>
      </w:r>
      <w:r>
        <w:rPr>
          <w:spacing w:val="3"/>
        </w:rPr>
        <w:t>que </w:t>
      </w:r>
      <w:r>
        <w:rPr/>
        <w:t>a su vez integran la</w:t>
      </w:r>
      <w:r>
        <w:rPr>
          <w:spacing w:val="-9"/>
        </w:rPr>
        <w:t> </w:t>
      </w:r>
      <w:r>
        <w:rPr/>
        <w:t>unión</w:t>
      </w:r>
      <w:r>
        <w:rPr>
          <w:spacing w:val="-10"/>
        </w:rPr>
        <w:t> </w:t>
      </w:r>
      <w:r>
        <w:rPr/>
        <w:t>ganadera</w:t>
      </w:r>
      <w:r>
        <w:rPr>
          <w:spacing w:val="-11"/>
        </w:rPr>
        <w:t> </w:t>
      </w:r>
      <w:r>
        <w:rPr/>
        <w:t>regional</w:t>
      </w:r>
      <w:r>
        <w:rPr>
          <w:spacing w:val="-11"/>
        </w:rPr>
        <w:t> </w:t>
      </w:r>
      <w:r>
        <w:rPr/>
        <w:t>del</w:t>
      </w:r>
      <w:r>
        <w:rPr>
          <w:spacing w:val="-9"/>
        </w:rPr>
        <w:t> </w:t>
      </w:r>
      <w:r>
        <w:rPr/>
        <w:t>sur</w:t>
      </w:r>
      <w:r>
        <w:rPr>
          <w:spacing w:val="-12"/>
        </w:rPr>
        <w:t> </w:t>
      </w:r>
      <w:r>
        <w:rPr/>
        <w:t>del</w:t>
      </w:r>
      <w:r>
        <w:rPr>
          <w:spacing w:val="-11"/>
        </w:rPr>
        <w:t> </w:t>
      </w:r>
      <w:r>
        <w:rPr/>
        <w:t>Estado</w:t>
      </w:r>
      <w:r>
        <w:rPr>
          <w:spacing w:val="-10"/>
        </w:rPr>
        <w:t> </w:t>
      </w:r>
      <w:r>
        <w:rPr/>
        <w:t>de</w:t>
      </w:r>
      <w:r>
        <w:rPr>
          <w:spacing w:val="-9"/>
        </w:rPr>
        <w:t> </w:t>
      </w:r>
      <w:r>
        <w:rPr/>
        <w:t>México.</w:t>
      </w:r>
      <w:r>
        <w:rPr>
          <w:spacing w:val="-6"/>
        </w:rPr>
        <w:t> </w:t>
      </w:r>
      <w:r>
        <w:rPr/>
        <w:t>Se</w:t>
      </w:r>
      <w:r>
        <w:rPr>
          <w:spacing w:val="-11"/>
        </w:rPr>
        <w:t> </w:t>
      </w:r>
      <w:r>
        <w:rPr/>
        <w:t>estimó</w:t>
      </w:r>
      <w:r>
        <w:rPr>
          <w:spacing w:val="-12"/>
        </w:rPr>
        <w:t> </w:t>
      </w:r>
      <w:r>
        <w:rPr/>
        <w:t>la</w:t>
      </w:r>
      <w:r>
        <w:rPr>
          <w:spacing w:val="-9"/>
        </w:rPr>
        <w:t> </w:t>
      </w:r>
      <w:r>
        <w:rPr/>
        <w:t>función</w:t>
      </w:r>
      <w:r>
        <w:rPr>
          <w:spacing w:val="-10"/>
        </w:rPr>
        <w:t> </w:t>
      </w:r>
      <w:r>
        <w:rPr/>
        <w:t>de</w:t>
      </w:r>
      <w:r>
        <w:rPr>
          <w:spacing w:val="-9"/>
        </w:rPr>
        <w:t> </w:t>
      </w:r>
      <w:r>
        <w:rPr/>
        <w:t>producción</w:t>
      </w:r>
      <w:r>
        <w:rPr>
          <w:spacing w:val="-10"/>
        </w:rPr>
        <w:t> </w:t>
      </w:r>
      <w:r>
        <w:rPr/>
        <w:t>tipo Cobb-Douglas que relaciona la cantidad total de carne (Y), a partir del número de hectáreas de pastizal</w:t>
      </w:r>
      <w:r>
        <w:rPr>
          <w:spacing w:val="-14"/>
        </w:rPr>
        <w:t> </w:t>
      </w:r>
      <w:r>
        <w:rPr/>
        <w:t>natural</w:t>
      </w:r>
      <w:r>
        <w:rPr>
          <w:spacing w:val="-14"/>
        </w:rPr>
        <w:t> </w:t>
      </w:r>
      <w:r>
        <w:rPr/>
        <w:t>(X</w:t>
      </w:r>
      <w:r>
        <w:rPr>
          <w:rFonts w:ascii="Cambria Math" w:hAnsi="Cambria Math"/>
        </w:rPr>
        <w:t>₁</w:t>
      </w:r>
      <w:r>
        <w:rPr/>
        <w:t>),</w:t>
      </w:r>
      <w:r>
        <w:rPr>
          <w:spacing w:val="-17"/>
        </w:rPr>
        <w:t> </w:t>
      </w:r>
      <w:r>
        <w:rPr/>
        <w:t>total</w:t>
      </w:r>
      <w:r>
        <w:rPr>
          <w:spacing w:val="-16"/>
        </w:rPr>
        <w:t> </w:t>
      </w:r>
      <w:r>
        <w:rPr/>
        <w:t>de</w:t>
      </w:r>
      <w:r>
        <w:rPr>
          <w:spacing w:val="-14"/>
        </w:rPr>
        <w:t> </w:t>
      </w:r>
      <w:r>
        <w:rPr/>
        <w:t>animales</w:t>
      </w:r>
      <w:r>
        <w:rPr>
          <w:spacing w:val="-15"/>
        </w:rPr>
        <w:t> </w:t>
      </w:r>
      <w:r>
        <w:rPr/>
        <w:t>(X</w:t>
      </w:r>
      <w:r>
        <w:rPr>
          <w:rFonts w:ascii="Cambria Math" w:hAnsi="Cambria Math"/>
        </w:rPr>
        <w:t>₂</w:t>
      </w:r>
      <w:r>
        <w:rPr/>
        <w:t>)</w:t>
      </w:r>
      <w:r>
        <w:rPr>
          <w:spacing w:val="-14"/>
        </w:rPr>
        <w:t> </w:t>
      </w:r>
      <w:r>
        <w:rPr/>
        <w:t>y</w:t>
      </w:r>
      <w:r>
        <w:rPr>
          <w:spacing w:val="-17"/>
        </w:rPr>
        <w:t> </w:t>
      </w:r>
      <w:r>
        <w:rPr/>
        <w:t>gasto</w:t>
      </w:r>
      <w:r>
        <w:rPr>
          <w:spacing w:val="-14"/>
        </w:rPr>
        <w:t> </w:t>
      </w:r>
      <w:r>
        <w:rPr/>
        <w:t>de</w:t>
      </w:r>
      <w:r>
        <w:rPr>
          <w:spacing w:val="-14"/>
        </w:rPr>
        <w:t> </w:t>
      </w:r>
      <w:r>
        <w:rPr/>
        <w:t>alimento</w:t>
      </w:r>
      <w:r>
        <w:rPr>
          <w:spacing w:val="-14"/>
        </w:rPr>
        <w:t> </w:t>
      </w:r>
      <w:r>
        <w:rPr/>
        <w:t>(X</w:t>
      </w:r>
      <w:r>
        <w:rPr>
          <w:rFonts w:ascii="Cambria Math" w:hAnsi="Cambria Math"/>
        </w:rPr>
        <w:t>₃</w:t>
      </w:r>
      <w:r>
        <w:rPr/>
        <w:t>).</w:t>
      </w:r>
      <w:r>
        <w:rPr>
          <w:spacing w:val="-17"/>
        </w:rPr>
        <w:t> </w:t>
      </w:r>
      <w:r>
        <w:rPr/>
        <w:t>El</w:t>
      </w:r>
      <w:r>
        <w:rPr>
          <w:spacing w:val="-16"/>
        </w:rPr>
        <w:t> </w:t>
      </w:r>
      <w:r>
        <w:rPr/>
        <w:t>modelo</w:t>
      </w:r>
      <w:r>
        <w:rPr>
          <w:spacing w:val="-17"/>
        </w:rPr>
        <w:t> </w:t>
      </w:r>
      <w:r>
        <w:rPr/>
        <w:t>para</w:t>
      </w:r>
      <w:r>
        <w:rPr>
          <w:spacing w:val="-16"/>
        </w:rPr>
        <w:t> </w:t>
      </w:r>
      <w:r>
        <w:rPr/>
        <w:t>la</w:t>
      </w:r>
      <w:r>
        <w:rPr>
          <w:spacing w:val="-14"/>
        </w:rPr>
        <w:t> </w:t>
      </w:r>
      <w:r>
        <w:rPr/>
        <w:t>ganadería </w:t>
      </w:r>
      <w:r>
        <w:rPr>
          <w:position w:val="2"/>
        </w:rPr>
        <w:t>de carne del sur del Estado de México quedó de la siguiente manera: Y = 455.5 X</w:t>
      </w:r>
      <w:r>
        <w:rPr>
          <w:sz w:val="15"/>
        </w:rPr>
        <w:t>1</w:t>
      </w:r>
      <w:r>
        <w:rPr>
          <w:position w:val="11"/>
          <w:sz w:val="15"/>
        </w:rPr>
        <w:t>-0.041     </w:t>
      </w:r>
      <w:r>
        <w:rPr>
          <w:spacing w:val="25"/>
          <w:position w:val="11"/>
          <w:sz w:val="15"/>
        </w:rPr>
        <w:t> </w:t>
      </w:r>
      <w:r>
        <w:rPr>
          <w:position w:val="2"/>
        </w:rPr>
        <w:t>X</w:t>
      </w:r>
      <w:r>
        <w:rPr>
          <w:sz w:val="15"/>
        </w:rPr>
        <w:t>2</w:t>
      </w:r>
    </w:p>
    <w:p>
      <w:pPr>
        <w:pStyle w:val="BodyText"/>
        <w:spacing w:line="263" w:lineRule="exact"/>
        <w:ind w:left="122"/>
        <w:jc w:val="both"/>
      </w:pPr>
      <w:r>
        <w:rPr>
          <w:position w:val="2"/>
        </w:rPr>
        <w:t>X</w:t>
      </w:r>
      <w:r>
        <w:rPr>
          <w:sz w:val="15"/>
        </w:rPr>
        <w:t>3</w:t>
      </w:r>
      <w:r>
        <w:rPr>
          <w:position w:val="11"/>
          <w:sz w:val="15"/>
        </w:rPr>
        <w:t>-0.019</w:t>
      </w:r>
      <w:r>
        <w:rPr>
          <w:position w:val="2"/>
        </w:rPr>
        <w:t>, lo cual significa que a un incremento del 1% en la variable de Pastizal Natural (PN)</w:t>
      </w:r>
    </w:p>
    <w:p>
      <w:pPr>
        <w:pStyle w:val="BodyText"/>
        <w:spacing w:line="360" w:lineRule="auto" w:before="129"/>
        <w:ind w:left="122" w:right="116"/>
        <w:jc w:val="both"/>
      </w:pPr>
      <w:r>
        <w:rPr/>
        <w:t>provoca una disminución del 0.04% en la Producción Total de Carne (PTC), manteniendo constante el Total de Animales (TA) y los gastos de alimentación. Si se incrementa </w:t>
      </w:r>
      <w:r>
        <w:rPr>
          <w:spacing w:val="6"/>
        </w:rPr>
        <w:t>el </w:t>
      </w:r>
      <w:r>
        <w:rPr/>
        <w:t>Total de Animales (TA) en 1% y se mantiene constante la variable Pastizal natural (PN) y Gastos de Alimentación</w:t>
      </w:r>
      <w:r>
        <w:rPr>
          <w:spacing w:val="-10"/>
        </w:rPr>
        <w:t> </w:t>
      </w:r>
      <w:r>
        <w:rPr/>
        <w:t>(GA),</w:t>
      </w:r>
      <w:r>
        <w:rPr>
          <w:spacing w:val="-7"/>
        </w:rPr>
        <w:t> </w:t>
      </w:r>
      <w:r>
        <w:rPr/>
        <w:t>la</w:t>
      </w:r>
      <w:r>
        <w:rPr>
          <w:spacing w:val="-9"/>
        </w:rPr>
        <w:t> </w:t>
      </w:r>
      <w:r>
        <w:rPr/>
        <w:t>Producción</w:t>
      </w:r>
      <w:r>
        <w:rPr>
          <w:spacing w:val="-7"/>
        </w:rPr>
        <w:t> </w:t>
      </w:r>
      <w:r>
        <w:rPr/>
        <w:t>Total</w:t>
      </w:r>
      <w:r>
        <w:rPr>
          <w:spacing w:val="-7"/>
        </w:rPr>
        <w:t> </w:t>
      </w:r>
      <w:r>
        <w:rPr/>
        <w:t>de</w:t>
      </w:r>
      <w:r>
        <w:rPr>
          <w:spacing w:val="-9"/>
        </w:rPr>
        <w:t> </w:t>
      </w:r>
      <w:r>
        <w:rPr/>
        <w:t>Carne</w:t>
      </w:r>
      <w:r>
        <w:rPr>
          <w:spacing w:val="-6"/>
        </w:rPr>
        <w:t> </w:t>
      </w:r>
      <w:r>
        <w:rPr/>
        <w:t>aumenta</w:t>
      </w:r>
      <w:r>
        <w:rPr>
          <w:spacing w:val="-9"/>
        </w:rPr>
        <w:t> </w:t>
      </w:r>
      <w:r>
        <w:rPr/>
        <w:t>en</w:t>
      </w:r>
      <w:r>
        <w:rPr>
          <w:spacing w:val="-7"/>
        </w:rPr>
        <w:t> </w:t>
      </w:r>
      <w:r>
        <w:rPr/>
        <w:t>1.06%.</w:t>
      </w:r>
      <w:r>
        <w:rPr>
          <w:spacing w:val="42"/>
        </w:rPr>
        <w:t> </w:t>
      </w:r>
      <w:r>
        <w:rPr/>
        <w:t>Para</w:t>
      </w:r>
      <w:r>
        <w:rPr>
          <w:spacing w:val="-6"/>
        </w:rPr>
        <w:t> </w:t>
      </w:r>
      <w:r>
        <w:rPr/>
        <w:t>el</w:t>
      </w:r>
      <w:r>
        <w:rPr>
          <w:spacing w:val="-7"/>
        </w:rPr>
        <w:t> </w:t>
      </w:r>
      <w:r>
        <w:rPr/>
        <w:t>caso</w:t>
      </w:r>
      <w:r>
        <w:rPr>
          <w:spacing w:val="-7"/>
        </w:rPr>
        <w:t> </w:t>
      </w:r>
      <w:r>
        <w:rPr/>
        <w:t>de</w:t>
      </w:r>
      <w:r>
        <w:rPr>
          <w:spacing w:val="-9"/>
        </w:rPr>
        <w:t> </w:t>
      </w:r>
      <w:r>
        <w:rPr/>
        <w:t>los</w:t>
      </w:r>
      <w:r>
        <w:rPr>
          <w:spacing w:val="-8"/>
        </w:rPr>
        <w:t> </w:t>
      </w:r>
      <w:r>
        <w:rPr/>
        <w:t>Gastos de Alimentación (GA), si se incrementan en 1%, la Producción Total de Carne disminuye en 0.02%, manteniendo constantes los otros insumos, y al sumar las elasticidades parciales de cada una de las variables nos indican que en los cuatro municipios de estudio se tienen rendimientos a escala crecientes de la producción, lo cual significa que al incrementar los insumos en cierta proporción la producción de carne se incrementará a una mayor proporción. No es necesario incrementar la superficie de pastizal natural y los gastos en alimentación para incrementar la producción de carne, pero si se requiere aumentar la cantidad de</w:t>
      </w:r>
      <w:r>
        <w:rPr>
          <w:spacing w:val="-29"/>
        </w:rPr>
        <w:t> </w:t>
      </w:r>
      <w:r>
        <w:rPr/>
        <w:t>animales.</w:t>
      </w:r>
    </w:p>
    <w:p>
      <w:pPr>
        <w:pStyle w:val="BodyText"/>
        <w:rPr>
          <w:sz w:val="22"/>
        </w:rPr>
      </w:pPr>
    </w:p>
    <w:p>
      <w:pPr>
        <w:spacing w:before="149"/>
        <w:ind w:left="122" w:right="0" w:firstLine="0"/>
        <w:jc w:val="both"/>
        <w:rPr>
          <w:sz w:val="20"/>
        </w:rPr>
      </w:pPr>
      <w:r>
        <w:rPr>
          <w:b/>
          <w:sz w:val="23"/>
        </w:rPr>
        <w:t>Palabras clave</w:t>
      </w:r>
      <w:r>
        <w:rPr>
          <w:sz w:val="23"/>
        </w:rPr>
        <w:t>: </w:t>
      </w:r>
      <w:r>
        <w:rPr>
          <w:sz w:val="20"/>
        </w:rPr>
        <w:t>Economia escala, rendimiento marginal, elasticidad, Producto marginal.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9"/>
        </w:rPr>
      </w:pPr>
      <w:r>
        <w:rPr/>
        <w:pict>
          <v:line style="position:absolute;mso-position-horizontal-relative:page;mso-position-vertical-relative:paragraph;z-index:1048;mso-wrap-distance-left:0;mso-wrap-distance-right:0" from="85.103996pt,13.133286pt" to="525.960017pt,13.133286pt" stroked="true" strokeweight=".36pt" strokecolor="#000000">
            <w10:wrap type="topAndBottom"/>
          </v:line>
        </w:pict>
      </w:r>
    </w:p>
    <w:p>
      <w:pPr>
        <w:tabs>
          <w:tab w:pos="4003" w:val="left" w:leader="none"/>
          <w:tab w:pos="8283" w:val="left" w:leader="none"/>
        </w:tabs>
        <w:spacing w:before="73"/>
        <w:ind w:left="122" w:right="0"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3"/>
          <w:sz w:val="18"/>
        </w:rPr>
        <w:t> </w:t>
      </w:r>
      <w:r>
        <w:rPr>
          <w:sz w:val="18"/>
        </w:rPr>
        <w:t>vi</w:t>
      </w:r>
    </w:p>
    <w:p>
      <w:pPr>
        <w:spacing w:after="0"/>
        <w:jc w:val="left"/>
        <w:rPr>
          <w:sz w:val="18"/>
        </w:rPr>
        <w:sectPr>
          <w:headerReference w:type="default" r:id="rId6"/>
          <w:footerReference w:type="default" r:id="rId7"/>
          <w:pgSz w:w="12240" w:h="15840"/>
          <w:pgMar w:header="0" w:footer="1501" w:top="1360" w:bottom="1700" w:left="1580" w:right="1580"/>
        </w:sectPr>
      </w:pPr>
    </w:p>
    <w:p>
      <w:pPr>
        <w:pStyle w:val="BodyText"/>
        <w:rPr>
          <w:sz w:val="20"/>
        </w:rPr>
      </w:pPr>
    </w:p>
    <w:p>
      <w:pPr>
        <w:pStyle w:val="BodyText"/>
        <w:rPr>
          <w:sz w:val="20"/>
        </w:rPr>
      </w:pPr>
    </w:p>
    <w:p>
      <w:pPr>
        <w:pStyle w:val="Heading3"/>
        <w:spacing w:before="69"/>
        <w:ind w:right="123"/>
      </w:pPr>
      <w:r>
        <w:rPr/>
        <w:t>ABSTRACT</w:t>
      </w:r>
    </w:p>
    <w:p>
      <w:pPr>
        <w:pStyle w:val="BodyText"/>
        <w:rPr>
          <w:b/>
          <w:sz w:val="24"/>
        </w:rPr>
      </w:pPr>
    </w:p>
    <w:p>
      <w:pPr>
        <w:pStyle w:val="BodyText"/>
        <w:rPr>
          <w:b/>
          <w:sz w:val="24"/>
        </w:rPr>
      </w:pPr>
    </w:p>
    <w:p>
      <w:pPr>
        <w:pStyle w:val="BodyText"/>
        <w:spacing w:before="6"/>
        <w:rPr>
          <w:b/>
          <w:sz w:val="27"/>
        </w:rPr>
      </w:pPr>
    </w:p>
    <w:p>
      <w:pPr>
        <w:pStyle w:val="BodyText"/>
        <w:spacing w:line="355" w:lineRule="auto"/>
        <w:ind w:left="122" w:right="122"/>
        <w:jc w:val="both"/>
        <w:rPr>
          <w:sz w:val="15"/>
        </w:rPr>
      </w:pPr>
      <w:r>
        <w:rPr/>
        <w:pict>
          <v:shape style="position:absolute;margin-left:510.100006pt;margin-top:79.412971pt;width:17pt;height:7.6pt;mso-position-horizontal-relative:page;mso-position-vertical-relative:paragraph;z-index:-131416" type="#_x0000_t202" filled="false" stroked="false">
            <v:textbox inset="0,0,0,0">
              <w:txbxContent>
                <w:p>
                  <w:pPr>
                    <w:spacing w:line="151" w:lineRule="exact" w:before="0"/>
                    <w:ind w:left="0" w:right="-18" w:firstLine="0"/>
                    <w:jc w:val="left"/>
                    <w:rPr>
                      <w:sz w:val="15"/>
                    </w:rPr>
                  </w:pPr>
                  <w:r>
                    <w:rPr>
                      <w:sz w:val="15"/>
                    </w:rPr>
                    <w:t>1.067</w:t>
                  </w:r>
                </w:p>
              </w:txbxContent>
            </v:textbox>
            <w10:wrap type="none"/>
          </v:shape>
        </w:pict>
      </w:r>
      <w:r>
        <w:rPr/>
        <w:t>This investigation was carried out in four municipalities of the Southern zone of the State of Mexico during the period of February to July of 2015; the information provided by 200 beef cattle</w:t>
      </w:r>
      <w:r>
        <w:rPr>
          <w:spacing w:val="-7"/>
        </w:rPr>
        <w:t> </w:t>
      </w:r>
      <w:r>
        <w:rPr/>
        <w:t>producers.</w:t>
      </w:r>
      <w:r>
        <w:rPr>
          <w:spacing w:val="-7"/>
        </w:rPr>
        <w:t> </w:t>
      </w:r>
      <w:r>
        <w:rPr/>
        <w:t>The</w:t>
      </w:r>
      <w:r>
        <w:rPr>
          <w:spacing w:val="-7"/>
        </w:rPr>
        <w:t> </w:t>
      </w:r>
      <w:r>
        <w:rPr/>
        <w:t>production</w:t>
      </w:r>
      <w:r>
        <w:rPr>
          <w:spacing w:val="-7"/>
        </w:rPr>
        <w:t> </w:t>
      </w:r>
      <w:r>
        <w:rPr/>
        <w:t>function</w:t>
      </w:r>
      <w:r>
        <w:rPr>
          <w:spacing w:val="-7"/>
        </w:rPr>
        <w:t> </w:t>
      </w:r>
      <w:r>
        <w:rPr/>
        <w:t>was</w:t>
      </w:r>
      <w:r>
        <w:rPr>
          <w:spacing w:val="-8"/>
        </w:rPr>
        <w:t> </w:t>
      </w:r>
      <w:r>
        <w:rPr/>
        <w:t>estimated</w:t>
      </w:r>
      <w:r>
        <w:rPr>
          <w:spacing w:val="-10"/>
        </w:rPr>
        <w:t> </w:t>
      </w:r>
      <w:r>
        <w:rPr/>
        <w:t>that</w:t>
      </w:r>
      <w:r>
        <w:rPr>
          <w:spacing w:val="-7"/>
        </w:rPr>
        <w:t> </w:t>
      </w:r>
      <w:r>
        <w:rPr/>
        <w:t>relates</w:t>
      </w:r>
      <w:r>
        <w:rPr>
          <w:spacing w:val="-8"/>
        </w:rPr>
        <w:t> </w:t>
      </w:r>
      <w:r>
        <w:rPr/>
        <w:t>the</w:t>
      </w:r>
      <w:r>
        <w:rPr>
          <w:spacing w:val="-9"/>
        </w:rPr>
        <w:t> </w:t>
      </w:r>
      <w:r>
        <w:rPr/>
        <w:t>total</w:t>
      </w:r>
      <w:r>
        <w:rPr>
          <w:spacing w:val="-7"/>
        </w:rPr>
        <w:t> </w:t>
      </w:r>
      <w:r>
        <w:rPr/>
        <w:t>amount</w:t>
      </w:r>
      <w:r>
        <w:rPr>
          <w:spacing w:val="-7"/>
        </w:rPr>
        <w:t> </w:t>
      </w:r>
      <w:r>
        <w:rPr/>
        <w:t>of</w:t>
      </w:r>
      <w:r>
        <w:rPr>
          <w:spacing w:val="-10"/>
        </w:rPr>
        <w:t> </w:t>
      </w:r>
      <w:r>
        <w:rPr/>
        <w:t>meat</w:t>
      </w:r>
      <w:r>
        <w:rPr>
          <w:spacing w:val="-9"/>
        </w:rPr>
        <w:t> </w:t>
      </w:r>
      <w:r>
        <w:rPr/>
        <w:t>(Y) from natural pasture (X1), total number of animals (X2) and food expenditure (X3). The model </w:t>
      </w:r>
      <w:r>
        <w:rPr>
          <w:position w:val="2"/>
        </w:rPr>
        <w:t>for</w:t>
      </w:r>
      <w:r>
        <w:rPr>
          <w:spacing w:val="-10"/>
          <w:position w:val="2"/>
        </w:rPr>
        <w:t> </w:t>
      </w:r>
      <w:r>
        <w:rPr>
          <w:position w:val="2"/>
        </w:rPr>
        <w:t>the</w:t>
      </w:r>
      <w:r>
        <w:rPr>
          <w:spacing w:val="-9"/>
          <w:position w:val="2"/>
        </w:rPr>
        <w:t> </w:t>
      </w:r>
      <w:r>
        <w:rPr>
          <w:position w:val="2"/>
        </w:rPr>
        <w:t>beef</w:t>
      </w:r>
      <w:r>
        <w:rPr>
          <w:spacing w:val="-12"/>
          <w:position w:val="2"/>
        </w:rPr>
        <w:t> </w:t>
      </w:r>
      <w:r>
        <w:rPr>
          <w:position w:val="2"/>
        </w:rPr>
        <w:t>livestock</w:t>
      </w:r>
      <w:r>
        <w:rPr>
          <w:spacing w:val="-10"/>
          <w:position w:val="2"/>
        </w:rPr>
        <w:t> </w:t>
      </w:r>
      <w:r>
        <w:rPr>
          <w:position w:val="2"/>
        </w:rPr>
        <w:t>of</w:t>
      </w:r>
      <w:r>
        <w:rPr>
          <w:spacing w:val="-12"/>
          <w:position w:val="2"/>
        </w:rPr>
        <w:t> </w:t>
      </w:r>
      <w:r>
        <w:rPr>
          <w:position w:val="2"/>
        </w:rPr>
        <w:t>the</w:t>
      </w:r>
      <w:r>
        <w:rPr>
          <w:spacing w:val="-9"/>
          <w:position w:val="2"/>
        </w:rPr>
        <w:t> </w:t>
      </w:r>
      <w:r>
        <w:rPr>
          <w:position w:val="2"/>
        </w:rPr>
        <w:t>south</w:t>
      </w:r>
      <w:r>
        <w:rPr>
          <w:spacing w:val="-10"/>
          <w:position w:val="2"/>
        </w:rPr>
        <w:t> </w:t>
      </w:r>
      <w:r>
        <w:rPr>
          <w:position w:val="2"/>
        </w:rPr>
        <w:t>of</w:t>
      </w:r>
      <w:r>
        <w:rPr>
          <w:spacing w:val="-12"/>
          <w:position w:val="2"/>
        </w:rPr>
        <w:t> </w:t>
      </w:r>
      <w:r>
        <w:rPr>
          <w:position w:val="2"/>
        </w:rPr>
        <w:t>the</w:t>
      </w:r>
      <w:r>
        <w:rPr>
          <w:spacing w:val="-9"/>
          <w:position w:val="2"/>
        </w:rPr>
        <w:t> </w:t>
      </w:r>
      <w:r>
        <w:rPr>
          <w:position w:val="2"/>
        </w:rPr>
        <w:t>Mexico</w:t>
      </w:r>
      <w:r>
        <w:rPr>
          <w:spacing w:val="-10"/>
          <w:position w:val="2"/>
        </w:rPr>
        <w:t> </w:t>
      </w:r>
      <w:r>
        <w:rPr>
          <w:position w:val="2"/>
        </w:rPr>
        <w:t>State</w:t>
      </w:r>
      <w:r>
        <w:rPr>
          <w:spacing w:val="-4"/>
          <w:position w:val="2"/>
        </w:rPr>
        <w:t> </w:t>
      </w:r>
      <w:r>
        <w:rPr>
          <w:position w:val="2"/>
        </w:rPr>
        <w:t>was</w:t>
      </w:r>
      <w:r>
        <w:rPr>
          <w:spacing w:val="-10"/>
          <w:position w:val="2"/>
        </w:rPr>
        <w:t> </w:t>
      </w:r>
      <w:r>
        <w:rPr>
          <w:position w:val="2"/>
        </w:rPr>
        <w:t>expressed</w:t>
      </w:r>
      <w:r>
        <w:rPr>
          <w:spacing w:val="-10"/>
          <w:position w:val="2"/>
        </w:rPr>
        <w:t> </w:t>
      </w:r>
      <w:r>
        <w:rPr>
          <w:position w:val="2"/>
        </w:rPr>
        <w:t>as:</w:t>
      </w:r>
      <w:r>
        <w:rPr>
          <w:spacing w:val="-11"/>
          <w:position w:val="2"/>
        </w:rPr>
        <w:t> </w:t>
      </w:r>
      <w:r>
        <w:rPr>
          <w:position w:val="2"/>
        </w:rPr>
        <w:t>Y</w:t>
      </w:r>
      <w:r>
        <w:rPr>
          <w:spacing w:val="-10"/>
          <w:position w:val="2"/>
        </w:rPr>
        <w:t> </w:t>
      </w:r>
      <w:r>
        <w:rPr>
          <w:position w:val="2"/>
        </w:rPr>
        <w:t>=</w:t>
      </w:r>
      <w:r>
        <w:rPr>
          <w:spacing w:val="-10"/>
          <w:position w:val="2"/>
        </w:rPr>
        <w:t> </w:t>
      </w:r>
      <w:r>
        <w:rPr>
          <w:position w:val="2"/>
        </w:rPr>
        <w:t>455.5</w:t>
      </w:r>
      <w:r>
        <w:rPr>
          <w:spacing w:val="-10"/>
          <w:position w:val="2"/>
        </w:rPr>
        <w:t> </w:t>
      </w:r>
      <w:r>
        <w:rPr>
          <w:position w:val="2"/>
        </w:rPr>
        <w:t>X</w:t>
      </w:r>
      <w:r>
        <w:rPr>
          <w:sz w:val="15"/>
        </w:rPr>
        <w:t>1</w:t>
      </w:r>
      <w:r>
        <w:rPr>
          <w:position w:val="11"/>
          <w:sz w:val="15"/>
        </w:rPr>
        <w:t>-0.041</w:t>
      </w:r>
      <w:r>
        <w:rPr>
          <w:spacing w:val="26"/>
          <w:position w:val="11"/>
          <w:sz w:val="15"/>
        </w:rPr>
        <w:t> </w:t>
      </w:r>
      <w:r>
        <w:rPr>
          <w:position w:val="2"/>
        </w:rPr>
        <w:t>X</w:t>
      </w:r>
      <w:r>
        <w:rPr>
          <w:sz w:val="15"/>
        </w:rPr>
        <w:t>2</w:t>
      </w:r>
    </w:p>
    <w:p>
      <w:pPr>
        <w:pStyle w:val="BodyText"/>
        <w:spacing w:line="264" w:lineRule="exact"/>
        <w:ind w:left="122"/>
        <w:jc w:val="both"/>
      </w:pPr>
      <w:r>
        <w:rPr>
          <w:position w:val="2"/>
        </w:rPr>
        <w:t>X</w:t>
      </w:r>
      <w:r>
        <w:rPr>
          <w:sz w:val="15"/>
        </w:rPr>
        <w:t>3</w:t>
      </w:r>
      <w:r>
        <w:rPr>
          <w:position w:val="11"/>
          <w:sz w:val="15"/>
        </w:rPr>
        <w:t>-0.019</w:t>
      </w:r>
      <w:r>
        <w:rPr>
          <w:position w:val="2"/>
        </w:rPr>
        <w:t>,</w:t>
      </w:r>
      <w:r>
        <w:rPr>
          <w:spacing w:val="-11"/>
          <w:position w:val="2"/>
        </w:rPr>
        <w:t> </w:t>
      </w:r>
      <w:r>
        <w:rPr>
          <w:position w:val="2"/>
        </w:rPr>
        <w:t>this</w:t>
      </w:r>
      <w:r>
        <w:rPr>
          <w:spacing w:val="-9"/>
          <w:position w:val="2"/>
        </w:rPr>
        <w:t> </w:t>
      </w:r>
      <w:r>
        <w:rPr>
          <w:position w:val="2"/>
        </w:rPr>
        <w:t>means</w:t>
      </w:r>
      <w:r>
        <w:rPr>
          <w:spacing w:val="-12"/>
          <w:position w:val="2"/>
        </w:rPr>
        <w:t> </w:t>
      </w:r>
      <w:r>
        <w:rPr>
          <w:position w:val="2"/>
        </w:rPr>
        <w:t>that</w:t>
      </w:r>
      <w:r>
        <w:rPr>
          <w:spacing w:val="-10"/>
          <w:position w:val="2"/>
        </w:rPr>
        <w:t> </w:t>
      </w:r>
      <w:r>
        <w:rPr>
          <w:position w:val="2"/>
        </w:rPr>
        <w:t>an</w:t>
      </w:r>
      <w:r>
        <w:rPr>
          <w:spacing w:val="-11"/>
          <w:position w:val="2"/>
        </w:rPr>
        <w:t> </w:t>
      </w:r>
      <w:r>
        <w:rPr>
          <w:position w:val="2"/>
        </w:rPr>
        <w:t>increase</w:t>
      </w:r>
      <w:r>
        <w:rPr>
          <w:spacing w:val="-8"/>
          <w:position w:val="2"/>
        </w:rPr>
        <w:t> </w:t>
      </w:r>
      <w:r>
        <w:rPr>
          <w:position w:val="2"/>
        </w:rPr>
        <w:t>of</w:t>
      </w:r>
      <w:r>
        <w:rPr>
          <w:spacing w:val="-11"/>
          <w:position w:val="2"/>
        </w:rPr>
        <w:t> </w:t>
      </w:r>
      <w:r>
        <w:rPr>
          <w:position w:val="2"/>
        </w:rPr>
        <w:t>1%</w:t>
      </w:r>
      <w:r>
        <w:rPr>
          <w:spacing w:val="-9"/>
          <w:position w:val="2"/>
        </w:rPr>
        <w:t> </w:t>
      </w:r>
      <w:r>
        <w:rPr>
          <w:position w:val="2"/>
        </w:rPr>
        <w:t>in</w:t>
      </w:r>
      <w:r>
        <w:rPr>
          <w:spacing w:val="-11"/>
          <w:position w:val="2"/>
        </w:rPr>
        <w:t> </w:t>
      </w:r>
      <w:r>
        <w:rPr>
          <w:position w:val="2"/>
        </w:rPr>
        <w:t>the</w:t>
      </w:r>
      <w:r>
        <w:rPr>
          <w:spacing w:val="-8"/>
          <w:position w:val="2"/>
        </w:rPr>
        <w:t> </w:t>
      </w:r>
      <w:r>
        <w:rPr>
          <w:position w:val="2"/>
        </w:rPr>
        <w:t>natural</w:t>
      </w:r>
      <w:r>
        <w:rPr>
          <w:spacing w:val="-8"/>
          <w:position w:val="2"/>
        </w:rPr>
        <w:t> </w:t>
      </w:r>
      <w:r>
        <w:rPr>
          <w:position w:val="2"/>
        </w:rPr>
        <w:t>pasture</w:t>
      </w:r>
      <w:r>
        <w:rPr>
          <w:spacing w:val="-8"/>
          <w:position w:val="2"/>
        </w:rPr>
        <w:t> </w:t>
      </w:r>
      <w:r>
        <w:rPr>
          <w:position w:val="2"/>
        </w:rPr>
        <w:t>(NP)</w:t>
      </w:r>
      <w:r>
        <w:rPr>
          <w:spacing w:val="-11"/>
          <w:position w:val="2"/>
        </w:rPr>
        <w:t> </w:t>
      </w:r>
      <w:r>
        <w:rPr>
          <w:position w:val="2"/>
        </w:rPr>
        <w:t>causes</w:t>
      </w:r>
      <w:r>
        <w:rPr>
          <w:spacing w:val="-12"/>
          <w:position w:val="2"/>
        </w:rPr>
        <w:t> </w:t>
      </w:r>
      <w:r>
        <w:rPr>
          <w:position w:val="2"/>
        </w:rPr>
        <w:t>a</w:t>
      </w:r>
      <w:r>
        <w:rPr>
          <w:spacing w:val="-8"/>
          <w:position w:val="2"/>
        </w:rPr>
        <w:t> </w:t>
      </w:r>
      <w:r>
        <w:rPr>
          <w:position w:val="2"/>
        </w:rPr>
        <w:t>reduction</w:t>
      </w:r>
      <w:r>
        <w:rPr>
          <w:spacing w:val="-9"/>
          <w:position w:val="2"/>
        </w:rPr>
        <w:t> </w:t>
      </w:r>
      <w:r>
        <w:rPr>
          <w:position w:val="2"/>
        </w:rPr>
        <w:t>of</w:t>
      </w:r>
      <w:r>
        <w:rPr>
          <w:spacing w:val="-4"/>
          <w:position w:val="2"/>
        </w:rPr>
        <w:t> </w:t>
      </w:r>
      <w:r>
        <w:rPr>
          <w:position w:val="2"/>
        </w:rPr>
        <w:t>0.04%</w:t>
      </w:r>
    </w:p>
    <w:p>
      <w:pPr>
        <w:pStyle w:val="BodyText"/>
        <w:spacing w:line="360" w:lineRule="auto" w:before="129"/>
        <w:ind w:left="122" w:right="116"/>
        <w:jc w:val="both"/>
      </w:pPr>
      <w:r>
        <w:rPr/>
        <w:t>in</w:t>
      </w:r>
      <w:r>
        <w:rPr>
          <w:spacing w:val="-5"/>
        </w:rPr>
        <w:t> </w:t>
      </w:r>
      <w:r>
        <w:rPr/>
        <w:t>the</w:t>
      </w:r>
      <w:r>
        <w:rPr>
          <w:spacing w:val="-5"/>
        </w:rPr>
        <w:t> </w:t>
      </w:r>
      <w:r>
        <w:rPr/>
        <w:t>total</w:t>
      </w:r>
      <w:r>
        <w:rPr>
          <w:spacing w:val="-4"/>
        </w:rPr>
        <w:t> </w:t>
      </w:r>
      <w:r>
        <w:rPr/>
        <w:t>amount</w:t>
      </w:r>
      <w:r>
        <w:rPr>
          <w:spacing w:val="-4"/>
        </w:rPr>
        <w:t> </w:t>
      </w:r>
      <w:r>
        <w:rPr/>
        <w:t>of</w:t>
      </w:r>
      <w:r>
        <w:rPr>
          <w:spacing w:val="-6"/>
        </w:rPr>
        <w:t> </w:t>
      </w:r>
      <w:r>
        <w:rPr/>
        <w:t>meat</w:t>
      </w:r>
      <w:r>
        <w:rPr>
          <w:spacing w:val="-4"/>
        </w:rPr>
        <w:t> </w:t>
      </w:r>
      <w:r>
        <w:rPr/>
        <w:t>(TAM),</w:t>
      </w:r>
      <w:r>
        <w:rPr>
          <w:spacing w:val="-5"/>
        </w:rPr>
        <w:t> </w:t>
      </w:r>
      <w:r>
        <w:rPr/>
        <w:t>keeping</w:t>
      </w:r>
      <w:r>
        <w:rPr>
          <w:spacing w:val="-6"/>
        </w:rPr>
        <w:t> </w:t>
      </w:r>
      <w:r>
        <w:rPr/>
        <w:t>constant</w:t>
      </w:r>
      <w:r>
        <w:rPr>
          <w:spacing w:val="-5"/>
        </w:rPr>
        <w:t> </w:t>
      </w:r>
      <w:r>
        <w:rPr/>
        <w:t>the</w:t>
      </w:r>
      <w:r>
        <w:rPr>
          <w:spacing w:val="-4"/>
        </w:rPr>
        <w:t> </w:t>
      </w:r>
      <w:r>
        <w:rPr/>
        <w:t>total</w:t>
      </w:r>
      <w:r>
        <w:rPr>
          <w:spacing w:val="-4"/>
        </w:rPr>
        <w:t> </w:t>
      </w:r>
      <w:r>
        <w:rPr/>
        <w:t>number</w:t>
      </w:r>
      <w:r>
        <w:rPr>
          <w:spacing w:val="-5"/>
        </w:rPr>
        <w:t> </w:t>
      </w:r>
      <w:r>
        <w:rPr/>
        <w:t>of</w:t>
      </w:r>
      <w:r>
        <w:rPr>
          <w:spacing w:val="-6"/>
        </w:rPr>
        <w:t> </w:t>
      </w:r>
      <w:r>
        <w:rPr/>
        <w:t>animals</w:t>
      </w:r>
      <w:r>
        <w:rPr>
          <w:spacing w:val="-5"/>
        </w:rPr>
        <w:t> </w:t>
      </w:r>
      <w:r>
        <w:rPr/>
        <w:t>(TNA)</w:t>
      </w:r>
      <w:r>
        <w:rPr>
          <w:spacing w:val="-5"/>
        </w:rPr>
        <w:t> </w:t>
      </w:r>
      <w:r>
        <w:rPr/>
        <w:t>and</w:t>
      </w:r>
      <w:r>
        <w:rPr>
          <w:spacing w:val="-5"/>
        </w:rPr>
        <w:t> </w:t>
      </w:r>
      <w:r>
        <w:rPr/>
        <w:t>the food expenditure (FE). If we increase the total number of animals (TNA) in 1% and we keep constant</w:t>
      </w:r>
      <w:r>
        <w:rPr>
          <w:spacing w:val="-9"/>
        </w:rPr>
        <w:t> </w:t>
      </w:r>
      <w:r>
        <w:rPr/>
        <w:t>the</w:t>
      </w:r>
      <w:r>
        <w:rPr>
          <w:spacing w:val="-9"/>
        </w:rPr>
        <w:t> </w:t>
      </w:r>
      <w:r>
        <w:rPr/>
        <w:t>natural</w:t>
      </w:r>
      <w:r>
        <w:rPr>
          <w:spacing w:val="-9"/>
        </w:rPr>
        <w:t> </w:t>
      </w:r>
      <w:r>
        <w:rPr/>
        <w:t>pasture</w:t>
      </w:r>
      <w:r>
        <w:rPr>
          <w:spacing w:val="-9"/>
        </w:rPr>
        <w:t> </w:t>
      </w:r>
      <w:r>
        <w:rPr/>
        <w:t>(NP)</w:t>
      </w:r>
      <w:r>
        <w:rPr>
          <w:spacing w:val="-10"/>
        </w:rPr>
        <w:t> </w:t>
      </w:r>
      <w:r>
        <w:rPr/>
        <w:t>and</w:t>
      </w:r>
      <w:r>
        <w:rPr>
          <w:spacing w:val="-10"/>
        </w:rPr>
        <w:t> </w:t>
      </w:r>
      <w:r>
        <w:rPr/>
        <w:t>the</w:t>
      </w:r>
      <w:r>
        <w:rPr>
          <w:spacing w:val="-9"/>
        </w:rPr>
        <w:t> </w:t>
      </w:r>
      <w:r>
        <w:rPr/>
        <w:t>food</w:t>
      </w:r>
      <w:r>
        <w:rPr>
          <w:spacing w:val="-10"/>
        </w:rPr>
        <w:t> </w:t>
      </w:r>
      <w:r>
        <w:rPr/>
        <w:t>expenditure</w:t>
      </w:r>
      <w:r>
        <w:rPr>
          <w:spacing w:val="-9"/>
        </w:rPr>
        <w:t> </w:t>
      </w:r>
      <w:r>
        <w:rPr/>
        <w:t>(FE),</w:t>
      </w:r>
      <w:r>
        <w:rPr>
          <w:spacing w:val="-10"/>
        </w:rPr>
        <w:t> </w:t>
      </w:r>
      <w:r>
        <w:rPr/>
        <w:t>the</w:t>
      </w:r>
      <w:r>
        <w:rPr>
          <w:spacing w:val="-9"/>
        </w:rPr>
        <w:t> </w:t>
      </w:r>
      <w:r>
        <w:rPr/>
        <w:t>total</w:t>
      </w:r>
      <w:r>
        <w:rPr>
          <w:spacing w:val="-12"/>
        </w:rPr>
        <w:t> </w:t>
      </w:r>
      <w:r>
        <w:rPr/>
        <w:t>amount</w:t>
      </w:r>
      <w:r>
        <w:rPr>
          <w:spacing w:val="-9"/>
        </w:rPr>
        <w:t> </w:t>
      </w:r>
      <w:r>
        <w:rPr/>
        <w:t>of</w:t>
      </w:r>
      <w:r>
        <w:rPr>
          <w:spacing w:val="-12"/>
        </w:rPr>
        <w:t> </w:t>
      </w:r>
      <w:r>
        <w:rPr/>
        <w:t>meat</w:t>
      </w:r>
      <w:r>
        <w:rPr>
          <w:spacing w:val="-9"/>
        </w:rPr>
        <w:t> </w:t>
      </w:r>
      <w:r>
        <w:rPr/>
        <w:t>(TAM) increases in 1.06%. In the case of the food expenditure (FE), if we increase in 1%, the total amount of meat (TAM) reduces in 0.02%, keeping constant the other factors and adding the partial of each of the variables elasticities tell us that in the four municipalities of study have increasing returns to scale production, which normally means to increase input in certain proportion, meat production will increase to a greater proportion. It is not necessary to increase the</w:t>
      </w:r>
      <w:r>
        <w:rPr>
          <w:spacing w:val="-6"/>
        </w:rPr>
        <w:t> </w:t>
      </w:r>
      <w:r>
        <w:rPr/>
        <w:t>area</w:t>
      </w:r>
      <w:r>
        <w:rPr>
          <w:spacing w:val="-6"/>
        </w:rPr>
        <w:t> </w:t>
      </w:r>
      <w:r>
        <w:rPr/>
        <w:t>of</w:t>
      </w:r>
      <w:r>
        <w:rPr>
          <w:spacing w:val="-10"/>
        </w:rPr>
        <w:t> </w:t>
      </w:r>
      <w:r>
        <w:rPr/>
        <w:t>natural</w:t>
      </w:r>
      <w:r>
        <w:rPr>
          <w:spacing w:val="-7"/>
        </w:rPr>
        <w:t> </w:t>
      </w:r>
      <w:r>
        <w:rPr/>
        <w:t>grassland</w:t>
      </w:r>
      <w:r>
        <w:rPr>
          <w:spacing w:val="-7"/>
        </w:rPr>
        <w:t> </w:t>
      </w:r>
      <w:r>
        <w:rPr/>
        <w:t>and</w:t>
      </w:r>
      <w:r>
        <w:rPr>
          <w:spacing w:val="-7"/>
        </w:rPr>
        <w:t> </w:t>
      </w:r>
      <w:r>
        <w:rPr/>
        <w:t>food</w:t>
      </w:r>
      <w:r>
        <w:rPr>
          <w:spacing w:val="-7"/>
        </w:rPr>
        <w:t> </w:t>
      </w:r>
      <w:r>
        <w:rPr/>
        <w:t>expenses</w:t>
      </w:r>
      <w:r>
        <w:rPr>
          <w:spacing w:val="-8"/>
        </w:rPr>
        <w:t> </w:t>
      </w:r>
      <w:r>
        <w:rPr/>
        <w:t>to</w:t>
      </w:r>
      <w:r>
        <w:rPr>
          <w:spacing w:val="-7"/>
        </w:rPr>
        <w:t> </w:t>
      </w:r>
      <w:r>
        <w:rPr/>
        <w:t>increase</w:t>
      </w:r>
      <w:r>
        <w:rPr>
          <w:spacing w:val="-6"/>
        </w:rPr>
        <w:t> </w:t>
      </w:r>
      <w:r>
        <w:rPr/>
        <w:t>meat</w:t>
      </w:r>
      <w:r>
        <w:rPr>
          <w:spacing w:val="-7"/>
        </w:rPr>
        <w:t> </w:t>
      </w:r>
      <w:r>
        <w:rPr/>
        <w:t>production,</w:t>
      </w:r>
      <w:r>
        <w:rPr>
          <w:spacing w:val="-7"/>
        </w:rPr>
        <w:t> </w:t>
      </w:r>
      <w:r>
        <w:rPr/>
        <w:t>but</w:t>
      </w:r>
      <w:r>
        <w:rPr>
          <w:spacing w:val="-7"/>
        </w:rPr>
        <w:t> </w:t>
      </w:r>
      <w:r>
        <w:rPr/>
        <w:t>if</w:t>
      </w:r>
      <w:r>
        <w:rPr>
          <w:spacing w:val="-10"/>
        </w:rPr>
        <w:t> </w:t>
      </w:r>
      <w:r>
        <w:rPr/>
        <w:t>the</w:t>
      </w:r>
      <w:r>
        <w:rPr>
          <w:spacing w:val="-6"/>
        </w:rPr>
        <w:t> </w:t>
      </w:r>
      <w:r>
        <w:rPr/>
        <w:t>number</w:t>
      </w:r>
      <w:r>
        <w:rPr>
          <w:spacing w:val="-7"/>
        </w:rPr>
        <w:t> </w:t>
      </w:r>
      <w:r>
        <w:rPr/>
        <w:t>of animals.</w:t>
      </w:r>
    </w:p>
    <w:p>
      <w:pPr>
        <w:pStyle w:val="BodyText"/>
        <w:rPr>
          <w:sz w:val="22"/>
        </w:rPr>
      </w:pPr>
    </w:p>
    <w:p>
      <w:pPr>
        <w:pStyle w:val="BodyText"/>
        <w:rPr>
          <w:sz w:val="22"/>
        </w:rPr>
      </w:pPr>
    </w:p>
    <w:p>
      <w:pPr>
        <w:pStyle w:val="BodyText"/>
        <w:rPr>
          <w:sz w:val="22"/>
        </w:rPr>
      </w:pPr>
    </w:p>
    <w:p>
      <w:pPr>
        <w:pStyle w:val="BodyText"/>
        <w:spacing w:before="2"/>
        <w:rPr>
          <w:sz w:val="17"/>
        </w:rPr>
      </w:pPr>
    </w:p>
    <w:p>
      <w:pPr>
        <w:spacing w:before="0"/>
        <w:ind w:left="122" w:right="0" w:firstLine="0"/>
        <w:jc w:val="both"/>
        <w:rPr>
          <w:sz w:val="20"/>
        </w:rPr>
      </w:pPr>
      <w:r>
        <w:rPr>
          <w:b/>
          <w:sz w:val="23"/>
        </w:rPr>
        <w:t>Keywords</w:t>
      </w:r>
      <w:r>
        <w:rPr>
          <w:sz w:val="23"/>
        </w:rPr>
        <w:t>: </w:t>
      </w:r>
      <w:r>
        <w:rPr>
          <w:sz w:val="20"/>
        </w:rPr>
        <w:t>Economy scale, marginal performance, elasticity, marginal Product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r>
        <w:rPr/>
        <w:pict>
          <v:line style="position:absolute;mso-position-horizontal-relative:page;mso-position-vertical-relative:paragraph;z-index:1096;mso-wrap-distance-left:0;mso-wrap-distance-right:0" from="85.103996pt,13.238174pt" to="525.960017pt,13.238174pt" stroked="true" strokeweight=".36pt" strokecolor="#000000">
            <w10:wrap type="topAndBottom"/>
          </v:line>
        </w:pict>
      </w:r>
    </w:p>
    <w:p>
      <w:pPr>
        <w:tabs>
          <w:tab w:pos="4003" w:val="left" w:leader="none"/>
          <w:tab w:pos="8194" w:val="left" w:leader="none"/>
        </w:tabs>
        <w:spacing w:before="73"/>
        <w:ind w:left="122" w:right="0"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3"/>
          <w:sz w:val="18"/>
        </w:rPr>
        <w:t> </w:t>
      </w:r>
      <w:r>
        <w:rPr>
          <w:sz w:val="18"/>
        </w:rPr>
        <w:t>vii</w:t>
      </w:r>
    </w:p>
    <w:p>
      <w:pPr>
        <w:spacing w:after="0"/>
        <w:jc w:val="left"/>
        <w:rPr>
          <w:sz w:val="18"/>
        </w:rPr>
        <w:sectPr>
          <w:headerReference w:type="default" r:id="rId8"/>
          <w:pgSz w:w="12240" w:h="15840"/>
          <w:pgMar w:header="1238" w:footer="1501" w:top="1420" w:bottom="1700" w:left="1580" w:right="1580"/>
        </w:sectPr>
      </w:pPr>
    </w:p>
    <w:p>
      <w:pPr>
        <w:pStyle w:val="BodyText"/>
        <w:rPr>
          <w:sz w:val="20"/>
        </w:rPr>
      </w:pPr>
    </w:p>
    <w:p>
      <w:pPr>
        <w:pStyle w:val="BodyText"/>
        <w:spacing w:before="6"/>
        <w:rPr>
          <w:sz w:val="20"/>
        </w:rPr>
      </w:pPr>
    </w:p>
    <w:p>
      <w:pPr>
        <w:pStyle w:val="Heading2"/>
        <w:spacing w:before="64"/>
        <w:ind w:left="122" w:right="122"/>
        <w:rPr>
          <w:rFonts w:ascii="Times New Roman"/>
          <w:i/>
        </w:rPr>
      </w:pPr>
      <w:bookmarkStart w:name="_TOC_250010" w:id="1"/>
      <w:bookmarkEnd w:id="1"/>
      <w:r>
        <w:rPr>
          <w:rFonts w:ascii="Times New Roman"/>
          <w:i/>
        </w:rPr>
        <w:t>AGRADECIMIENTOS</w:t>
      </w:r>
    </w:p>
    <w:p>
      <w:pPr>
        <w:pStyle w:val="BodyText"/>
        <w:rPr>
          <w:b/>
          <w:i/>
          <w:sz w:val="28"/>
        </w:rPr>
      </w:pPr>
    </w:p>
    <w:p>
      <w:pPr>
        <w:pStyle w:val="BodyText"/>
        <w:rPr>
          <w:b/>
          <w:i/>
          <w:sz w:val="28"/>
        </w:rPr>
      </w:pPr>
    </w:p>
    <w:p>
      <w:pPr>
        <w:pStyle w:val="BodyText"/>
        <w:spacing w:before="6"/>
        <w:rPr>
          <w:b/>
          <w:i/>
          <w:sz w:val="41"/>
        </w:rPr>
      </w:pPr>
    </w:p>
    <w:p>
      <w:pPr>
        <w:pStyle w:val="BodyText"/>
        <w:spacing w:line="360" w:lineRule="auto"/>
        <w:ind w:left="122" w:right="115"/>
        <w:jc w:val="both"/>
      </w:pPr>
      <w:r>
        <w:rPr/>
        <w:t>En primer lugar agradezco la disposición de mis profesores para brindarme su tiempo, apoyándome con su valiosa experiencia y compartiéndome su conocimiento, con el cual fue posible concluir esta investigación.</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line="360" w:lineRule="auto" w:before="183"/>
        <w:ind w:left="122" w:right="139"/>
        <w:jc w:val="both"/>
      </w:pPr>
      <w:r>
        <w:rPr/>
        <w:t>También agradezco el apoyo económico brindado por el CONACYT, el cual fue una pieza</w:t>
      </w:r>
      <w:r>
        <w:rPr>
          <w:spacing w:val="-35"/>
        </w:rPr>
        <w:t> </w:t>
      </w:r>
      <w:r>
        <w:rPr/>
        <w:t>muy importante para poder concluir con mis</w:t>
      </w:r>
      <w:r>
        <w:rPr>
          <w:spacing w:val="-15"/>
        </w:rPr>
        <w:t> </w:t>
      </w:r>
      <w:r>
        <w:rPr/>
        <w:t>estudios.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9"/>
        </w:rPr>
      </w:pPr>
      <w:r>
        <w:rPr/>
        <w:pict>
          <v:line style="position:absolute;mso-position-horizontal-relative:page;mso-position-vertical-relative:paragraph;z-index:1144;mso-wrap-distance-left:0;mso-wrap-distance-right:0" from="85.103996pt,19.205147pt" to="525.960017pt,19.205147pt" stroked="true" strokeweight=".36pt" strokecolor="#000000">
            <w10:wrap type="topAndBottom"/>
          </v:line>
        </w:pict>
      </w:r>
    </w:p>
    <w:p>
      <w:pPr>
        <w:tabs>
          <w:tab w:pos="4003" w:val="left" w:leader="none"/>
          <w:tab w:pos="8149" w:val="left" w:leader="none"/>
        </w:tabs>
        <w:spacing w:before="73"/>
        <w:ind w:left="122" w:right="0"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3"/>
          <w:sz w:val="18"/>
        </w:rPr>
        <w:t> </w:t>
      </w:r>
      <w:r>
        <w:rPr>
          <w:sz w:val="18"/>
        </w:rPr>
        <w:t>viii</w:t>
      </w:r>
    </w:p>
    <w:p>
      <w:pPr>
        <w:spacing w:after="0"/>
        <w:jc w:val="left"/>
        <w:rPr>
          <w:sz w:val="18"/>
        </w:rPr>
        <w:sectPr>
          <w:headerReference w:type="default" r:id="rId9"/>
          <w:footerReference w:type="default" r:id="rId10"/>
          <w:pgSz w:w="12240" w:h="15840"/>
          <w:pgMar w:header="1238" w:footer="0" w:top="1420" w:bottom="280" w:left="1580" w:right="1580"/>
        </w:sectPr>
      </w:pPr>
    </w:p>
    <w:p>
      <w:pPr>
        <w:pStyle w:val="BodyText"/>
        <w:rPr>
          <w:sz w:val="20"/>
        </w:rPr>
      </w:pPr>
    </w:p>
    <w:p>
      <w:pPr>
        <w:pStyle w:val="BodyText"/>
        <w:spacing w:before="7"/>
        <w:rPr>
          <w:sz w:val="20"/>
        </w:rPr>
      </w:pPr>
    </w:p>
    <w:p>
      <w:pPr>
        <w:pStyle w:val="Heading2"/>
        <w:spacing w:before="65"/>
        <w:ind w:left="3708"/>
        <w:jc w:val="left"/>
        <w:rPr>
          <w:rFonts w:ascii="Times New Roman"/>
          <w:i/>
        </w:rPr>
      </w:pPr>
      <w:r>
        <w:rPr>
          <w:rFonts w:ascii="Times New Roman"/>
          <w:i/>
        </w:rPr>
        <w:t>CONTENIDO</w:t>
      </w:r>
    </w:p>
    <w:sdt>
      <w:sdtPr>
        <w:docPartObj>
          <w:docPartGallery w:val="Table of Contents"/>
          <w:docPartUnique/>
        </w:docPartObj>
      </w:sdtPr>
      <w:sdtEndPr/>
      <w:sdtContent>
        <w:p>
          <w:pPr>
            <w:pStyle w:val="TOC1"/>
            <w:tabs>
              <w:tab w:pos="8960" w:val="right" w:leader="dot"/>
            </w:tabs>
            <w:spacing w:before="554"/>
            <w:ind w:left="522"/>
          </w:pPr>
          <w:r>
            <w:rPr/>
            <w:t>DEDICATORIA</w:t>
            <w:tab/>
            <w:t>iii</w:t>
          </w:r>
        </w:p>
        <w:p>
          <w:pPr>
            <w:pStyle w:val="TOC1"/>
            <w:tabs>
              <w:tab w:pos="8962" w:val="right" w:leader="dot"/>
            </w:tabs>
            <w:spacing w:before="134"/>
            <w:ind w:left="525"/>
          </w:pPr>
          <w:r>
            <w:rPr/>
            <w:t>ARTICULO</w:t>
          </w:r>
          <w:r>
            <w:rPr>
              <w:spacing w:val="1"/>
            </w:rPr>
            <w:t> </w:t>
          </w:r>
          <w:r>
            <w:rPr/>
            <w:t>ENVIADO</w:t>
            <w:tab/>
            <w:t>iv</w:t>
          </w:r>
        </w:p>
        <w:p>
          <w:pPr>
            <w:pStyle w:val="TOC1"/>
            <w:tabs>
              <w:tab w:pos="8962" w:val="right" w:leader="dot"/>
            </w:tabs>
            <w:ind w:left="534"/>
          </w:pPr>
          <w:r>
            <w:rPr/>
            <w:t>RESÚMEN</w:t>
            <w:tab/>
            <w:t>v</w:t>
          </w:r>
        </w:p>
        <w:p>
          <w:pPr>
            <w:pStyle w:val="TOC1"/>
            <w:tabs>
              <w:tab w:pos="8961" w:val="right" w:leader="dot"/>
            </w:tabs>
            <w:ind w:left="537"/>
          </w:pPr>
          <w:hyperlink w:history="true" w:anchor="_TOC_250010">
            <w:r>
              <w:rPr/>
              <w:t>AGRADECIMIENTOS.</w:t>
              <w:tab/>
              <w:t>xi</w:t>
            </w:r>
          </w:hyperlink>
        </w:p>
        <w:p>
          <w:pPr>
            <w:pStyle w:val="TOC1"/>
            <w:numPr>
              <w:ilvl w:val="0"/>
              <w:numId w:val="1"/>
            </w:numPr>
            <w:tabs>
              <w:tab w:pos="702" w:val="left" w:leader="none"/>
              <w:tab w:pos="8842" w:val="right" w:leader="dot"/>
            </w:tabs>
            <w:spacing w:line="240" w:lineRule="auto" w:before="131" w:after="0"/>
            <w:ind w:left="701" w:right="0" w:hanging="193"/>
            <w:jc w:val="center"/>
          </w:pPr>
          <w:r>
            <w:rPr/>
            <w:t>INTRODUCCIÓN</w:t>
          </w:r>
          <w:r>
            <w:rPr>
              <w:spacing w:val="-1"/>
            </w:rPr>
            <w:t> </w:t>
          </w:r>
          <w:r>
            <w:rPr/>
            <w:t>GENERAL</w:t>
            <w:tab/>
            <w:t>1</w:t>
          </w:r>
        </w:p>
        <w:p>
          <w:pPr>
            <w:pStyle w:val="TOC2"/>
            <w:numPr>
              <w:ilvl w:val="0"/>
              <w:numId w:val="1"/>
            </w:numPr>
            <w:tabs>
              <w:tab w:pos="805" w:val="left" w:leader="none"/>
              <w:tab w:pos="8961" w:val="right" w:leader="dot"/>
            </w:tabs>
            <w:spacing w:line="240" w:lineRule="auto" w:before="134" w:after="0"/>
            <w:ind w:left="804" w:right="0" w:hanging="258"/>
            <w:jc w:val="left"/>
          </w:pPr>
          <w:hyperlink w:history="true" w:anchor="_TOC_250009">
            <w:r>
              <w:rPr/>
              <w:t>REVISIÓN</w:t>
            </w:r>
            <w:r>
              <w:rPr>
                <w:spacing w:val="-2"/>
              </w:rPr>
              <w:t> </w:t>
            </w:r>
            <w:r>
              <w:rPr/>
              <w:t>DE</w:t>
            </w:r>
            <w:r>
              <w:rPr>
                <w:spacing w:val="2"/>
              </w:rPr>
              <w:t> </w:t>
            </w:r>
            <w:r>
              <w:rPr/>
              <w:t>LITERATURA.</w:t>
              <w:tab/>
              <w:t>4</w:t>
            </w:r>
          </w:hyperlink>
        </w:p>
        <w:p>
          <w:pPr>
            <w:pStyle w:val="TOC1"/>
            <w:tabs>
              <w:tab w:pos="8961" w:val="right" w:leader="dot"/>
            </w:tabs>
            <w:spacing w:before="129"/>
          </w:pPr>
          <w:hyperlink w:history="true" w:anchor="_TOC_250008">
            <w:r>
              <w:rPr/>
              <w:t>2.1 Panorama de la producción de carne de bovino</w:t>
            </w:r>
            <w:r>
              <w:rPr>
                <w:spacing w:val="-7"/>
              </w:rPr>
              <w:t> </w:t>
            </w:r>
            <w:r>
              <w:rPr/>
              <w:t>en</w:t>
            </w:r>
            <w:r>
              <w:rPr>
                <w:spacing w:val="1"/>
              </w:rPr>
              <w:t> </w:t>
            </w:r>
            <w:r>
              <w:rPr/>
              <w:t>México</w:t>
              <w:tab/>
              <w:t>5</w:t>
            </w:r>
          </w:hyperlink>
        </w:p>
        <w:p>
          <w:pPr>
            <w:pStyle w:val="TOC1"/>
            <w:numPr>
              <w:ilvl w:val="1"/>
              <w:numId w:val="2"/>
            </w:numPr>
            <w:tabs>
              <w:tab w:pos="982" w:val="left" w:leader="none"/>
              <w:tab w:pos="8961" w:val="right" w:leader="dot"/>
            </w:tabs>
            <w:spacing w:line="240" w:lineRule="auto" w:before="134" w:after="0"/>
            <w:ind w:left="981" w:right="0" w:hanging="449"/>
            <w:jc w:val="left"/>
          </w:pPr>
          <w:hyperlink w:history="true" w:anchor="_TOC_250007">
            <w:r>
              <w:rPr/>
              <w:t>Consumo</w:t>
            </w:r>
            <w:r>
              <w:rPr>
                <w:spacing w:val="-1"/>
              </w:rPr>
              <w:t> </w:t>
            </w:r>
            <w:r>
              <w:rPr/>
              <w:t>nacional</w:t>
              <w:tab/>
              <w:t>7</w:t>
            </w:r>
          </w:hyperlink>
        </w:p>
        <w:p>
          <w:pPr>
            <w:pStyle w:val="TOC1"/>
            <w:numPr>
              <w:ilvl w:val="1"/>
              <w:numId w:val="2"/>
            </w:numPr>
            <w:tabs>
              <w:tab w:pos="981" w:val="left" w:leader="none"/>
              <w:tab w:pos="8961" w:val="right" w:leader="dot"/>
            </w:tabs>
            <w:spacing w:line="240" w:lineRule="auto" w:before="134" w:after="0"/>
            <w:ind w:left="980" w:right="0" w:hanging="448"/>
            <w:jc w:val="left"/>
          </w:pPr>
          <w:r>
            <w:rPr/>
            <w:t>Precios a</w:t>
          </w:r>
          <w:r>
            <w:rPr>
              <w:spacing w:val="-2"/>
            </w:rPr>
            <w:t> </w:t>
          </w:r>
          <w:r>
            <w:rPr/>
            <w:t>nivel</w:t>
          </w:r>
          <w:r>
            <w:rPr>
              <w:spacing w:val="-2"/>
            </w:rPr>
            <w:t> </w:t>
          </w:r>
          <w:r>
            <w:rPr/>
            <w:t>nacional</w:t>
            <w:tab/>
            <w:t>9</w:t>
          </w:r>
        </w:p>
        <w:p>
          <w:pPr>
            <w:pStyle w:val="TOC1"/>
            <w:numPr>
              <w:ilvl w:val="1"/>
              <w:numId w:val="2"/>
            </w:numPr>
            <w:tabs>
              <w:tab w:pos="943" w:val="left" w:leader="none"/>
              <w:tab w:pos="8840" w:val="right" w:leader="dot"/>
            </w:tabs>
            <w:spacing w:line="240" w:lineRule="auto" w:before="131" w:after="0"/>
            <w:ind w:left="942" w:right="0" w:hanging="448"/>
            <w:jc w:val="center"/>
          </w:pPr>
          <w:r>
            <w:rPr/>
            <w:t>Leche</w:t>
          </w:r>
          <w:r>
            <w:rPr>
              <w:spacing w:val="-2"/>
            </w:rPr>
            <w:t> </w:t>
          </w:r>
          <w:r>
            <w:rPr/>
            <w:t>de</w:t>
          </w:r>
          <w:r>
            <w:rPr>
              <w:spacing w:val="-2"/>
            </w:rPr>
            <w:t> </w:t>
          </w:r>
          <w:r>
            <w:rPr/>
            <w:t>bovino</w:t>
            <w:tab/>
            <w:t>13</w:t>
          </w:r>
        </w:p>
        <w:p>
          <w:pPr>
            <w:pStyle w:val="TOC1"/>
            <w:numPr>
              <w:ilvl w:val="1"/>
              <w:numId w:val="2"/>
            </w:numPr>
            <w:tabs>
              <w:tab w:pos="955" w:val="left" w:leader="none"/>
              <w:tab w:pos="8840" w:val="right" w:leader="dot"/>
            </w:tabs>
            <w:spacing w:line="240" w:lineRule="auto" w:before="131" w:after="0"/>
            <w:ind w:left="954" w:right="0" w:hanging="448"/>
            <w:jc w:val="center"/>
          </w:pPr>
          <w:hyperlink w:history="true" w:anchor="_TOC_250006">
            <w:r>
              <w:rPr/>
              <w:t>Sistemas de producción de bovinos</w:t>
            </w:r>
            <w:r>
              <w:rPr>
                <w:spacing w:val="-7"/>
              </w:rPr>
              <w:t> </w:t>
            </w:r>
            <w:r>
              <w:rPr/>
              <w:t>en</w:t>
            </w:r>
            <w:r>
              <w:rPr>
                <w:spacing w:val="1"/>
              </w:rPr>
              <w:t> </w:t>
            </w:r>
            <w:r>
              <w:rPr/>
              <w:t>México</w:t>
              <w:tab/>
              <w:t>15</w:t>
            </w:r>
          </w:hyperlink>
        </w:p>
        <w:p>
          <w:pPr>
            <w:pStyle w:val="TOC1"/>
            <w:numPr>
              <w:ilvl w:val="0"/>
              <w:numId w:val="1"/>
            </w:numPr>
            <w:tabs>
              <w:tab w:pos="830" w:val="left" w:leader="none"/>
              <w:tab w:pos="8840" w:val="right" w:leader="dot"/>
            </w:tabs>
            <w:spacing w:line="240" w:lineRule="auto" w:before="134" w:after="0"/>
            <w:ind w:left="830" w:right="0" w:hanging="322"/>
            <w:jc w:val="center"/>
          </w:pPr>
          <w:hyperlink w:history="true" w:anchor="_TOC_250005">
            <w:r>
              <w:rPr/>
              <w:t>JUSTIFICACIÓN</w:t>
              <w:tab/>
              <w:t>17</w:t>
            </w:r>
          </w:hyperlink>
        </w:p>
        <w:p>
          <w:pPr>
            <w:pStyle w:val="TOC2"/>
            <w:numPr>
              <w:ilvl w:val="0"/>
              <w:numId w:val="1"/>
            </w:numPr>
            <w:tabs>
              <w:tab w:pos="895" w:val="left" w:leader="none"/>
              <w:tab w:pos="8960" w:val="right" w:leader="dot"/>
            </w:tabs>
            <w:spacing w:line="240" w:lineRule="auto" w:before="131" w:after="0"/>
            <w:ind w:left="894" w:right="0" w:hanging="348"/>
            <w:jc w:val="left"/>
          </w:pPr>
          <w:hyperlink w:history="true" w:anchor="_TOC_250004">
            <w:r>
              <w:rPr/>
              <w:t>HIPÓTESIS.</w:t>
              <w:tab/>
              <w:t>20</w:t>
            </w:r>
          </w:hyperlink>
        </w:p>
        <w:p>
          <w:pPr>
            <w:pStyle w:val="TOC2"/>
            <w:numPr>
              <w:ilvl w:val="0"/>
              <w:numId w:val="1"/>
            </w:numPr>
            <w:tabs>
              <w:tab w:pos="830" w:val="left" w:leader="none"/>
              <w:tab w:pos="8960" w:val="right" w:leader="dot"/>
            </w:tabs>
            <w:spacing w:line="240" w:lineRule="auto" w:before="132" w:after="0"/>
            <w:ind w:left="830" w:right="0" w:hanging="284"/>
            <w:jc w:val="left"/>
          </w:pPr>
          <w:r>
            <w:rPr/>
            <w:t>OBJETIVOS.</w:t>
            <w:tab/>
            <w:t>22</w:t>
          </w:r>
        </w:p>
        <w:p>
          <w:pPr>
            <w:pStyle w:val="TOC2"/>
            <w:tabs>
              <w:tab w:pos="8960" w:val="right" w:leader="dot"/>
            </w:tabs>
            <w:spacing w:before="129"/>
            <w:ind w:left="570" w:firstLine="0"/>
          </w:pPr>
          <w:r>
            <w:rPr/>
            <w:t>5.1</w:t>
          </w:r>
          <w:r>
            <w:rPr>
              <w:spacing w:val="-2"/>
            </w:rPr>
            <w:t> </w:t>
          </w:r>
          <w:r>
            <w:rPr/>
            <w:t>Objetivo general</w:t>
            <w:tab/>
            <w:t>23</w:t>
          </w:r>
        </w:p>
        <w:p>
          <w:pPr>
            <w:pStyle w:val="TOC2"/>
            <w:numPr>
              <w:ilvl w:val="0"/>
              <w:numId w:val="1"/>
            </w:numPr>
            <w:tabs>
              <w:tab w:pos="960" w:val="left" w:leader="none"/>
              <w:tab w:pos="8960" w:val="right" w:leader="dot"/>
            </w:tabs>
            <w:spacing w:line="240" w:lineRule="auto" w:before="136" w:after="0"/>
            <w:ind w:left="959" w:right="0" w:hanging="348"/>
            <w:jc w:val="left"/>
          </w:pPr>
          <w:hyperlink w:history="true" w:anchor="_TOC_250003">
            <w:r>
              <w:rPr/>
              <w:t>MATERIAL</w:t>
            </w:r>
            <w:r>
              <w:rPr>
                <w:spacing w:val="-2"/>
              </w:rPr>
              <w:t> </w:t>
            </w:r>
            <w:r>
              <w:rPr/>
              <w:t>Y</w:t>
            </w:r>
            <w:r>
              <w:rPr>
                <w:spacing w:val="-1"/>
              </w:rPr>
              <w:t> </w:t>
            </w:r>
            <w:r>
              <w:rPr/>
              <w:t>MÉTODO</w:t>
              <w:tab/>
              <w:t>24</w:t>
            </w:r>
          </w:hyperlink>
        </w:p>
        <w:p>
          <w:pPr>
            <w:pStyle w:val="TOC2"/>
            <w:numPr>
              <w:ilvl w:val="0"/>
              <w:numId w:val="1"/>
            </w:numPr>
            <w:tabs>
              <w:tab w:pos="1008" w:val="left" w:leader="none"/>
              <w:tab w:pos="8960" w:val="right" w:leader="dot"/>
            </w:tabs>
            <w:spacing w:line="240" w:lineRule="auto" w:before="131" w:after="0"/>
            <w:ind w:left="1007" w:right="0" w:hanging="410"/>
            <w:jc w:val="left"/>
          </w:pPr>
          <w:hyperlink w:history="true" w:anchor="_TOC_250002">
            <w:r>
              <w:rPr/>
              <w:t>RESULTADOS.</w:t>
              <w:tab/>
              <w:t>38</w:t>
            </w:r>
          </w:hyperlink>
        </w:p>
        <w:p>
          <w:pPr>
            <w:pStyle w:val="TOC2"/>
            <w:tabs>
              <w:tab w:pos="8960" w:val="right" w:leader="dot"/>
            </w:tabs>
            <w:spacing w:before="129"/>
            <w:ind w:left="611" w:firstLine="0"/>
          </w:pPr>
          <w:r>
            <w:rPr/>
            <w:t>Articulo</w:t>
          </w:r>
          <w:r>
            <w:rPr>
              <w:spacing w:val="-1"/>
            </w:rPr>
            <w:t> </w:t>
          </w:r>
          <w:r>
            <w:rPr/>
            <w:t>enviado</w:t>
            <w:tab/>
            <w:t>39</w:t>
          </w:r>
        </w:p>
        <w:p>
          <w:pPr>
            <w:pStyle w:val="TOC2"/>
            <w:numPr>
              <w:ilvl w:val="0"/>
              <w:numId w:val="1"/>
            </w:numPr>
            <w:tabs>
              <w:tab w:pos="1084" w:val="left" w:leader="none"/>
              <w:tab w:pos="8960" w:val="right" w:leader="dot"/>
            </w:tabs>
            <w:spacing w:line="240" w:lineRule="auto" w:before="136" w:after="0"/>
            <w:ind w:left="1083" w:right="0" w:hanging="474"/>
            <w:jc w:val="left"/>
          </w:pPr>
          <w:r>
            <w:rPr/>
            <w:t>DISCUSIÓN</w:t>
          </w:r>
          <w:r>
            <w:rPr>
              <w:spacing w:val="1"/>
            </w:rPr>
            <w:t> </w:t>
          </w:r>
          <w:r>
            <w:rPr/>
            <w:t>GENERAL</w:t>
            <w:tab/>
            <w:t>96</w:t>
          </w:r>
        </w:p>
        <w:p>
          <w:pPr>
            <w:pStyle w:val="TOC2"/>
            <w:numPr>
              <w:ilvl w:val="0"/>
              <w:numId w:val="1"/>
            </w:numPr>
            <w:tabs>
              <w:tab w:pos="960" w:val="left" w:leader="none"/>
              <w:tab w:pos="8960" w:val="right" w:leader="dot"/>
            </w:tabs>
            <w:spacing w:line="240" w:lineRule="auto" w:before="131" w:after="0"/>
            <w:ind w:left="959" w:right="0" w:hanging="348"/>
            <w:jc w:val="left"/>
          </w:pPr>
          <w:hyperlink w:history="true" w:anchor="_TOC_250001">
            <w:r>
              <w:rPr/>
              <w:t>CONCLUSIÓN</w:t>
            </w:r>
            <w:r>
              <w:rPr>
                <w:spacing w:val="-2"/>
              </w:rPr>
              <w:t> </w:t>
            </w:r>
            <w:r>
              <w:rPr/>
              <w:t>GENERAL</w:t>
              <w:tab/>
              <w:t>101</w:t>
            </w:r>
          </w:hyperlink>
        </w:p>
        <w:p>
          <w:pPr>
            <w:pStyle w:val="TOC3"/>
            <w:numPr>
              <w:ilvl w:val="0"/>
              <w:numId w:val="1"/>
            </w:numPr>
            <w:tabs>
              <w:tab w:pos="933" w:val="left" w:leader="none"/>
              <w:tab w:pos="8840" w:val="right" w:leader="dot"/>
            </w:tabs>
            <w:spacing w:line="240" w:lineRule="auto" w:before="129" w:after="0"/>
            <w:ind w:left="932" w:right="0" w:hanging="282"/>
            <w:jc w:val="center"/>
          </w:pPr>
          <w:hyperlink w:history="true" w:anchor="_TOC_250000">
            <w:r>
              <w:rPr/>
              <w:t>REFERENCIAS</w:t>
            </w:r>
            <w:r>
              <w:rPr>
                <w:spacing w:val="-2"/>
              </w:rPr>
              <w:t> </w:t>
            </w:r>
            <w:r>
              <w:rPr/>
              <w:t>BIBLIOGRÁFICAS.</w:t>
              <w:tab/>
              <w:t>104</w:t>
            </w:r>
          </w:hyperlink>
        </w:p>
      </w:sdtContent>
    </w:sdt>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13"/>
        </w:rPr>
      </w:pPr>
      <w:r>
        <w:rPr/>
        <w:pict>
          <v:group style="position:absolute;margin-left:84.903999pt;margin-top:9.463727pt;width:441.85pt;height:.4pt;mso-position-horizontal-relative:page;mso-position-vertical-relative:paragraph;z-index:1168;mso-wrap-distance-left:0;mso-wrap-distance-right:0" coordorigin="1698,189" coordsize="8837,8">
            <v:line style="position:absolute" from="1702,193" to="10339,193" stroked="true" strokeweight=".36pt" strokecolor="#000000"/>
            <v:line style="position:absolute" from="10348,193" to="10531,193" stroked="true" strokeweight=".36pt" strokecolor="#000000"/>
            <w10:wrap type="topAndBottom"/>
          </v:group>
        </w:pict>
      </w:r>
    </w:p>
    <w:p>
      <w:pPr>
        <w:spacing w:after="0"/>
        <w:rPr>
          <w:rFonts w:ascii="Arial"/>
          <w:sz w:val="13"/>
        </w:rPr>
        <w:sectPr>
          <w:headerReference w:type="default" r:id="rId11"/>
          <w:footerReference w:type="default" r:id="rId12"/>
          <w:pgSz w:w="12240" w:h="15840"/>
          <w:pgMar w:header="1434" w:footer="1433" w:top="1740" w:bottom="1620" w:left="1580" w:right="1580"/>
        </w:sectPr>
      </w:pPr>
    </w:p>
    <w:p>
      <w:pPr>
        <w:pStyle w:val="BodyText"/>
        <w:rPr>
          <w:rFonts w:ascii="Arial"/>
          <w:sz w:val="20"/>
        </w:rPr>
      </w:pPr>
    </w:p>
    <w:p>
      <w:pPr>
        <w:pStyle w:val="BodyText"/>
        <w:spacing w:before="2"/>
        <w:rPr>
          <w:rFonts w:ascii="Arial"/>
          <w:sz w:val="20"/>
        </w:rPr>
      </w:pPr>
    </w:p>
    <w:p>
      <w:pPr>
        <w:pStyle w:val="Heading3"/>
        <w:spacing w:before="69"/>
        <w:ind w:right="64"/>
        <w:jc w:val="left"/>
      </w:pPr>
      <w:r>
        <w:rPr/>
        <w:t>Índice de Cuadros</w:t>
      </w:r>
    </w:p>
    <w:p>
      <w:pPr>
        <w:pStyle w:val="BodyText"/>
        <w:spacing w:before="7"/>
        <w:rPr>
          <w:b/>
          <w:sz w:val="35"/>
        </w:rPr>
      </w:pPr>
    </w:p>
    <w:p>
      <w:pPr>
        <w:pStyle w:val="BodyText"/>
        <w:ind w:left="122" w:right="64"/>
      </w:pPr>
      <w:r>
        <w:rPr/>
        <w:t>Cuadro 01. Resultados del SAS para los bovinos carne del sur</w:t>
      </w:r>
    </w:p>
    <w:p>
      <w:pPr>
        <w:pStyle w:val="BodyText"/>
        <w:tabs>
          <w:tab w:pos="8678" w:val="left" w:leader="dot"/>
        </w:tabs>
        <w:spacing w:before="412"/>
        <w:ind w:left="122" w:right="64"/>
      </w:pPr>
      <w:r>
        <w:rPr/>
        <w:t>del Estado</w:t>
      </w:r>
      <w:r>
        <w:rPr>
          <w:spacing w:val="-3"/>
        </w:rPr>
        <w:t> </w:t>
      </w:r>
      <w:r>
        <w:rPr/>
        <w:t>de</w:t>
      </w:r>
      <w:r>
        <w:rPr>
          <w:spacing w:val="-2"/>
        </w:rPr>
        <w:t> </w:t>
      </w:r>
      <w:r>
        <w:rPr/>
        <w:t>México</w:t>
        <w:tab/>
        <w:t>57</w:t>
      </w:r>
    </w:p>
    <w:p>
      <w:pPr>
        <w:pStyle w:val="BodyText"/>
        <w:tabs>
          <w:tab w:pos="8647" w:val="left" w:leader="dot"/>
        </w:tabs>
        <w:spacing w:before="412"/>
        <w:ind w:left="122" w:right="64"/>
      </w:pPr>
      <w:r>
        <w:rPr/>
        <w:t>Cuadro 02. Resumen de procesamiento</w:t>
      </w:r>
      <w:r>
        <w:rPr>
          <w:spacing w:val="-10"/>
        </w:rPr>
        <w:t> </w:t>
      </w:r>
      <w:r>
        <w:rPr/>
        <w:t>de</w:t>
      </w:r>
      <w:r>
        <w:rPr>
          <w:spacing w:val="-2"/>
        </w:rPr>
        <w:t> </w:t>
      </w:r>
      <w:r>
        <w:rPr/>
        <w:t>casos</w:t>
        <w:tab/>
        <w:t>73</w:t>
      </w:r>
    </w:p>
    <w:p>
      <w:pPr>
        <w:pStyle w:val="BodyText"/>
        <w:tabs>
          <w:tab w:pos="8633" w:val="left" w:leader="dot"/>
        </w:tabs>
        <w:spacing w:before="413"/>
        <w:ind w:left="122" w:right="64"/>
      </w:pPr>
      <w:r>
        <w:rPr/>
        <w:t>Cuadro</w:t>
      </w:r>
      <w:r>
        <w:rPr>
          <w:spacing w:val="-2"/>
        </w:rPr>
        <w:t> </w:t>
      </w:r>
      <w:r>
        <w:rPr/>
        <w:t>03.</w:t>
      </w:r>
      <w:r>
        <w:rPr>
          <w:spacing w:val="-2"/>
        </w:rPr>
        <w:t> </w:t>
      </w:r>
      <w:r>
        <w:rPr/>
        <w:t>Descriptivos</w:t>
        <w:tab/>
        <w:t>74</w:t>
      </w:r>
    </w:p>
    <w:p>
      <w:pPr>
        <w:pStyle w:val="BodyText"/>
        <w:tabs>
          <w:tab w:pos="8662" w:val="left" w:leader="dot"/>
        </w:tabs>
        <w:spacing w:before="412"/>
        <w:ind w:left="122" w:right="64"/>
      </w:pPr>
      <w:r>
        <w:rPr/>
        <w:t>Cuadro</w:t>
      </w:r>
      <w:r>
        <w:rPr>
          <w:spacing w:val="-1"/>
        </w:rPr>
        <w:t> </w:t>
      </w:r>
      <w:r>
        <w:rPr/>
        <w:t>04.</w:t>
      </w:r>
      <w:r>
        <w:rPr>
          <w:spacing w:val="-4"/>
        </w:rPr>
        <w:t> </w:t>
      </w:r>
      <w:r>
        <w:rPr/>
        <w:t>Estimadores-M</w:t>
        <w:tab/>
        <w:t>79</w:t>
      </w:r>
    </w:p>
    <w:p>
      <w:pPr>
        <w:pStyle w:val="BodyText"/>
        <w:tabs>
          <w:tab w:pos="8657" w:val="left" w:leader="dot"/>
        </w:tabs>
        <w:spacing w:before="412"/>
        <w:ind w:left="122" w:right="64"/>
      </w:pPr>
      <w:r>
        <w:rPr/>
        <w:t>Cuadro 05. Pruebas</w:t>
      </w:r>
      <w:r>
        <w:rPr>
          <w:spacing w:val="-4"/>
        </w:rPr>
        <w:t> </w:t>
      </w:r>
      <w:r>
        <w:rPr/>
        <w:t>de</w:t>
      </w:r>
      <w:r>
        <w:rPr>
          <w:spacing w:val="-1"/>
        </w:rPr>
        <w:t> </w:t>
      </w:r>
      <w:r>
        <w:rPr/>
        <w:t>normalidad…</w:t>
        <w:tab/>
        <w:t>79</w:t>
      </w:r>
    </w:p>
    <w:p>
      <w:pPr>
        <w:pStyle w:val="BodyText"/>
        <w:tabs>
          <w:tab w:pos="8631" w:val="left" w:leader="dot"/>
        </w:tabs>
        <w:spacing w:before="412"/>
        <w:ind w:left="122" w:right="64"/>
      </w:pPr>
      <w:r>
        <w:rPr/>
        <w:t>Cuadro</w:t>
      </w:r>
      <w:r>
        <w:rPr>
          <w:spacing w:val="-1"/>
        </w:rPr>
        <w:t> </w:t>
      </w:r>
      <w:r>
        <w:rPr/>
        <w:t>06.</w:t>
      </w:r>
      <w:r>
        <w:rPr>
          <w:spacing w:val="-1"/>
        </w:rPr>
        <w:t> </w:t>
      </w:r>
      <w:r>
        <w:rPr/>
        <w:t>Correlacines</w:t>
        <w:tab/>
        <w:t>88</w:t>
      </w:r>
    </w:p>
    <w:p>
      <w:pPr>
        <w:pStyle w:val="BodyText"/>
        <w:tabs>
          <w:tab w:pos="8625" w:val="left" w:leader="dot"/>
        </w:tabs>
        <w:spacing w:before="412"/>
        <w:ind w:left="122" w:right="64"/>
      </w:pPr>
      <w:r>
        <w:rPr/>
        <w:t>Cuadro 07. Correlaciones</w:t>
      </w:r>
      <w:r>
        <w:rPr>
          <w:spacing w:val="-8"/>
        </w:rPr>
        <w:t> </w:t>
      </w:r>
      <w:r>
        <w:rPr/>
        <w:t>no</w:t>
      </w:r>
      <w:r>
        <w:rPr>
          <w:spacing w:val="-1"/>
        </w:rPr>
        <w:t> </w:t>
      </w:r>
      <w:r>
        <w:rPr/>
        <w:t>paramètrica</w:t>
        <w:tab/>
        <w:t>89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9"/>
        </w:rPr>
      </w:pPr>
      <w:r>
        <w:rPr/>
        <w:pict>
          <v:line style="position:absolute;mso-position-horizontal-relative:page;mso-position-vertical-relative:paragraph;z-index:1192;mso-wrap-distance-left:0;mso-wrap-distance-right:0" from="85.103996pt,18.909897pt" to="525.960017pt,18.909897pt" stroked="true" strokeweight=".36pt" strokecolor="#000000">
            <w10:wrap type="topAndBottom"/>
          </v:line>
        </w:pict>
      </w:r>
    </w:p>
    <w:p>
      <w:pPr>
        <w:spacing w:after="0"/>
        <w:rPr>
          <w:sz w:val="29"/>
        </w:rPr>
        <w:sectPr>
          <w:footerReference w:type="default" r:id="rId13"/>
          <w:pgSz w:w="12240" w:h="15840"/>
          <w:pgMar w:footer="1645" w:header="1434" w:top="1740" w:bottom="1840" w:left="1580" w:right="1600"/>
        </w:sectPr>
      </w:pPr>
    </w:p>
    <w:p>
      <w:pPr>
        <w:pStyle w:val="BodyText"/>
        <w:spacing w:before="5"/>
      </w:pP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pStyle w:val="BodyText"/>
        <w:rPr>
          <w:sz w:val="20"/>
        </w:rPr>
      </w:pPr>
    </w:p>
    <w:p>
      <w:pPr>
        <w:pStyle w:val="BodyText"/>
        <w:spacing w:before="4"/>
        <w:rPr>
          <w:sz w:val="19"/>
        </w:rPr>
      </w:pPr>
    </w:p>
    <w:p>
      <w:pPr>
        <w:pStyle w:val="Heading3"/>
        <w:spacing w:before="69"/>
        <w:ind w:right="64"/>
        <w:jc w:val="left"/>
      </w:pPr>
      <w:r>
        <w:rPr/>
        <w:t>Índice de Gráficas</w:t>
      </w:r>
    </w:p>
    <w:p>
      <w:pPr>
        <w:pStyle w:val="BodyText"/>
        <w:tabs>
          <w:tab w:pos="8506" w:val="left" w:leader="dot"/>
        </w:tabs>
        <w:spacing w:before="410"/>
        <w:ind w:left="122" w:right="64"/>
      </w:pPr>
      <w:r>
        <w:rPr/>
        <w:t>Gráfica 01. Representación gráfica de la función de</w:t>
      </w:r>
      <w:r>
        <w:rPr>
          <w:spacing w:val="-19"/>
        </w:rPr>
        <w:t> </w:t>
      </w:r>
      <w:r>
        <w:rPr/>
        <w:t>producción</w:t>
      </w:r>
      <w:r>
        <w:rPr>
          <w:spacing w:val="1"/>
        </w:rPr>
        <w:t> </w:t>
      </w:r>
      <w:r>
        <w:rPr/>
        <w:t>Cobb-Douglas</w:t>
        <w:tab/>
        <w:t>26</w:t>
      </w:r>
    </w:p>
    <w:p>
      <w:pPr>
        <w:pStyle w:val="BodyText"/>
        <w:tabs>
          <w:tab w:pos="8530" w:val="left" w:leader="dot"/>
        </w:tabs>
        <w:spacing w:before="412"/>
        <w:ind w:left="122" w:right="64"/>
      </w:pPr>
      <w:r>
        <w:rPr/>
        <w:t>Gráfica. 02. Las tres etapas de</w:t>
      </w:r>
      <w:r>
        <w:rPr>
          <w:spacing w:val="-10"/>
        </w:rPr>
        <w:t> </w:t>
      </w:r>
      <w:r>
        <w:rPr/>
        <w:t>la</w:t>
      </w:r>
      <w:r>
        <w:rPr>
          <w:spacing w:val="-2"/>
        </w:rPr>
        <w:t> </w:t>
      </w:r>
      <w:r>
        <w:rPr/>
        <w:t>producción</w:t>
        <w:tab/>
        <w:t>35</w:t>
      </w:r>
    </w:p>
    <w:p>
      <w:pPr>
        <w:spacing w:after="0"/>
        <w:sectPr>
          <w:headerReference w:type="default" r:id="rId14"/>
          <w:footerReference w:type="default" r:id="rId15"/>
          <w:pgSz w:w="12240" w:h="15840"/>
          <w:pgMar w:header="1873" w:footer="1497" w:top="1920" w:bottom="1680" w:left="1580" w:right="1600"/>
        </w:sectPr>
      </w:pPr>
    </w:p>
    <w:p>
      <w:pPr>
        <w:pStyle w:val="BodyText"/>
        <w:spacing w:before="7"/>
        <w:rPr>
          <w:sz w:val="10"/>
        </w:rPr>
      </w:pP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pStyle w:val="BodyText"/>
        <w:rPr>
          <w:sz w:val="24"/>
        </w:rPr>
      </w:pPr>
    </w:p>
    <w:p>
      <w:pPr>
        <w:pStyle w:val="BodyText"/>
        <w:spacing w:before="2"/>
        <w:rPr>
          <w:sz w:val="21"/>
        </w:rPr>
      </w:pPr>
    </w:p>
    <w:p>
      <w:pPr>
        <w:pStyle w:val="Heading3"/>
        <w:ind w:right="64"/>
        <w:jc w:val="left"/>
      </w:pPr>
      <w:r>
        <w:rPr/>
        <w:t>Índice de Figuras</w:t>
      </w:r>
    </w:p>
    <w:p>
      <w:pPr>
        <w:pStyle w:val="BodyText"/>
        <w:spacing w:before="10"/>
        <w:rPr>
          <w:b/>
          <w:sz w:val="35"/>
        </w:rPr>
      </w:pPr>
    </w:p>
    <w:p>
      <w:pPr>
        <w:pStyle w:val="BodyText"/>
        <w:tabs>
          <w:tab w:pos="8417" w:val="left" w:leader="dot"/>
        </w:tabs>
        <w:ind w:left="122" w:right="64"/>
      </w:pPr>
      <w:r>
        <w:rPr/>
        <w:t>Figura 01. Representación gráfica de la función de</w:t>
      </w:r>
      <w:r>
        <w:rPr>
          <w:spacing w:val="-14"/>
        </w:rPr>
        <w:t> </w:t>
      </w:r>
      <w:r>
        <w:rPr/>
        <w:t>producción</w:t>
      </w:r>
      <w:r>
        <w:rPr>
          <w:spacing w:val="-2"/>
        </w:rPr>
        <w:t> </w:t>
      </w:r>
      <w:r>
        <w:rPr/>
        <w:t>Cobb-Douglas</w:t>
        <w:tab/>
        <w:t>10</w:t>
      </w:r>
    </w:p>
    <w:p>
      <w:pPr>
        <w:pStyle w:val="BodyText"/>
        <w:rPr>
          <w:sz w:val="22"/>
        </w:rPr>
      </w:pPr>
    </w:p>
    <w:p>
      <w:pPr>
        <w:pStyle w:val="BodyText"/>
        <w:spacing w:before="157"/>
        <w:ind w:left="122" w:right="64"/>
      </w:pPr>
      <w:r>
        <w:rPr/>
        <w:t>Figura. 02. Producción de carne de bovino por municipio en</w:t>
      </w:r>
    </w:p>
    <w:p>
      <w:pPr>
        <w:pStyle w:val="BodyText"/>
        <w:rPr>
          <w:sz w:val="22"/>
        </w:rPr>
      </w:pPr>
    </w:p>
    <w:p>
      <w:pPr>
        <w:pStyle w:val="BodyText"/>
        <w:tabs>
          <w:tab w:pos="8453" w:val="left" w:leader="dot"/>
        </w:tabs>
        <w:spacing w:before="159"/>
        <w:ind w:left="122" w:right="64"/>
      </w:pPr>
      <w:r>
        <w:rPr/>
        <w:t>México,</w:t>
      </w:r>
      <w:r>
        <w:rPr>
          <w:spacing w:val="-2"/>
        </w:rPr>
        <w:t> </w:t>
      </w:r>
      <w:r>
        <w:rPr/>
        <w:t>promedio</w:t>
      </w:r>
      <w:r>
        <w:rPr>
          <w:spacing w:val="-2"/>
        </w:rPr>
        <w:t> </w:t>
      </w:r>
      <w:r>
        <w:rPr/>
        <w:t>2010-2014</w:t>
        <w:tab/>
        <w:t>11</w:t>
      </w:r>
    </w:p>
    <w:p>
      <w:pPr>
        <w:pStyle w:val="BodyText"/>
        <w:rPr>
          <w:sz w:val="22"/>
        </w:rPr>
      </w:pPr>
    </w:p>
    <w:p>
      <w:pPr>
        <w:pStyle w:val="BodyText"/>
        <w:tabs>
          <w:tab w:pos="8453" w:val="left" w:leader="dot"/>
        </w:tabs>
        <w:spacing w:before="160"/>
        <w:ind w:left="122" w:right="64"/>
      </w:pPr>
      <w:r>
        <w:rPr/>
        <w:t>Figura. 03. Histograma</w:t>
      </w:r>
      <w:r>
        <w:rPr>
          <w:spacing w:val="-5"/>
        </w:rPr>
        <w:t> </w:t>
      </w:r>
      <w:r>
        <w:rPr/>
        <w:t>para</w:t>
      </w:r>
      <w:r>
        <w:rPr>
          <w:spacing w:val="-2"/>
        </w:rPr>
        <w:t> </w:t>
      </w:r>
      <w:r>
        <w:rPr/>
        <w:t>X1</w:t>
        <w:tab/>
        <w:t>80</w:t>
      </w:r>
    </w:p>
    <w:p>
      <w:pPr>
        <w:pStyle w:val="BodyText"/>
        <w:rPr>
          <w:sz w:val="22"/>
        </w:rPr>
      </w:pPr>
    </w:p>
    <w:p>
      <w:pPr>
        <w:pStyle w:val="BodyText"/>
        <w:tabs>
          <w:tab w:pos="8448" w:val="left" w:leader="dot"/>
        </w:tabs>
        <w:spacing w:before="159"/>
        <w:ind w:left="122" w:right="64"/>
      </w:pPr>
      <w:r>
        <w:rPr/>
        <w:t>Figura. 04. Gràfico Q-Q normal</w:t>
      </w:r>
      <w:r>
        <w:rPr>
          <w:spacing w:val="-6"/>
        </w:rPr>
        <w:t> </w:t>
      </w:r>
      <w:r>
        <w:rPr/>
        <w:t>de</w:t>
      </w:r>
      <w:r>
        <w:rPr>
          <w:spacing w:val="-1"/>
        </w:rPr>
        <w:t> </w:t>
      </w:r>
      <w:r>
        <w:rPr/>
        <w:t>X1.</w:t>
        <w:tab/>
        <w:t>81</w:t>
      </w:r>
    </w:p>
    <w:p>
      <w:pPr>
        <w:pStyle w:val="BodyText"/>
        <w:rPr>
          <w:sz w:val="22"/>
        </w:rPr>
      </w:pPr>
    </w:p>
    <w:p>
      <w:pPr>
        <w:pStyle w:val="BodyText"/>
        <w:tabs>
          <w:tab w:pos="8453" w:val="left" w:leader="dot"/>
        </w:tabs>
        <w:spacing w:before="159"/>
        <w:ind w:left="122" w:right="64"/>
      </w:pPr>
      <w:r>
        <w:rPr/>
        <w:t>Figura. 05. Histograma</w:t>
      </w:r>
      <w:r>
        <w:rPr>
          <w:spacing w:val="-5"/>
        </w:rPr>
        <w:t> </w:t>
      </w:r>
      <w:r>
        <w:rPr/>
        <w:t>para</w:t>
      </w:r>
      <w:r>
        <w:rPr>
          <w:spacing w:val="-2"/>
        </w:rPr>
        <w:t> </w:t>
      </w:r>
      <w:r>
        <w:rPr/>
        <w:t>X2</w:t>
        <w:tab/>
        <w:t>82</w:t>
      </w:r>
    </w:p>
    <w:p>
      <w:pPr>
        <w:pStyle w:val="BodyText"/>
        <w:rPr>
          <w:sz w:val="22"/>
        </w:rPr>
      </w:pPr>
    </w:p>
    <w:p>
      <w:pPr>
        <w:pStyle w:val="BodyText"/>
        <w:tabs>
          <w:tab w:pos="8449" w:val="left" w:leader="dot"/>
        </w:tabs>
        <w:spacing w:before="159"/>
        <w:ind w:left="122" w:right="64"/>
      </w:pPr>
      <w:r>
        <w:rPr/>
        <w:t>Figura 06. Gràfico Q-Q normal</w:t>
      </w:r>
      <w:r>
        <w:rPr>
          <w:spacing w:val="-6"/>
        </w:rPr>
        <w:t> </w:t>
      </w:r>
      <w:r>
        <w:rPr/>
        <w:t>de</w:t>
      </w:r>
      <w:r>
        <w:rPr>
          <w:spacing w:val="-1"/>
        </w:rPr>
        <w:t> </w:t>
      </w:r>
      <w:r>
        <w:rPr/>
        <w:t>X2…</w:t>
        <w:tab/>
        <w:t>83</w:t>
      </w:r>
    </w:p>
    <w:p>
      <w:pPr>
        <w:pStyle w:val="BodyText"/>
        <w:rPr>
          <w:sz w:val="22"/>
        </w:rPr>
      </w:pPr>
    </w:p>
    <w:p>
      <w:pPr>
        <w:pStyle w:val="BodyText"/>
        <w:tabs>
          <w:tab w:pos="8453" w:val="left" w:leader="dot"/>
        </w:tabs>
        <w:spacing w:before="159"/>
        <w:ind w:left="122" w:right="64"/>
      </w:pPr>
      <w:r>
        <w:rPr/>
        <w:t>Figura. 07. Histograma</w:t>
      </w:r>
      <w:r>
        <w:rPr>
          <w:spacing w:val="-5"/>
        </w:rPr>
        <w:t> </w:t>
      </w:r>
      <w:r>
        <w:rPr/>
        <w:t>para</w:t>
      </w:r>
      <w:r>
        <w:rPr>
          <w:spacing w:val="-2"/>
        </w:rPr>
        <w:t> </w:t>
      </w:r>
      <w:r>
        <w:rPr/>
        <w:t>X3</w:t>
        <w:tab/>
        <w:t>84</w:t>
      </w:r>
    </w:p>
    <w:p>
      <w:pPr>
        <w:pStyle w:val="BodyText"/>
        <w:rPr>
          <w:sz w:val="22"/>
        </w:rPr>
      </w:pPr>
    </w:p>
    <w:p>
      <w:pPr>
        <w:pStyle w:val="BodyText"/>
        <w:tabs>
          <w:tab w:pos="8449" w:val="left" w:leader="dot"/>
        </w:tabs>
        <w:spacing w:before="159"/>
        <w:ind w:left="122" w:right="64"/>
      </w:pPr>
      <w:r>
        <w:rPr/>
        <w:t>Figura. 08. Gràfico Q-Q normal</w:t>
      </w:r>
      <w:r>
        <w:rPr>
          <w:spacing w:val="-6"/>
        </w:rPr>
        <w:t> </w:t>
      </w:r>
      <w:r>
        <w:rPr/>
        <w:t>de</w:t>
      </w:r>
      <w:r>
        <w:rPr>
          <w:spacing w:val="-1"/>
        </w:rPr>
        <w:t> </w:t>
      </w:r>
      <w:r>
        <w:rPr/>
        <w:t>X3</w:t>
        <w:tab/>
        <w:t>85</w:t>
      </w:r>
    </w:p>
    <w:p>
      <w:pPr>
        <w:pStyle w:val="BodyText"/>
        <w:rPr>
          <w:sz w:val="22"/>
        </w:rPr>
      </w:pPr>
    </w:p>
    <w:p>
      <w:pPr>
        <w:pStyle w:val="BodyText"/>
        <w:tabs>
          <w:tab w:pos="8453" w:val="left" w:leader="dot"/>
        </w:tabs>
        <w:spacing w:before="159"/>
        <w:ind w:left="122" w:right="64"/>
      </w:pPr>
      <w:r>
        <w:rPr/>
        <w:t>Figura. 09. Histograma</w:t>
      </w:r>
      <w:r>
        <w:rPr>
          <w:spacing w:val="-5"/>
        </w:rPr>
        <w:t> </w:t>
      </w:r>
      <w:r>
        <w:rPr/>
        <w:t>para</w:t>
      </w:r>
      <w:r>
        <w:rPr>
          <w:spacing w:val="-2"/>
        </w:rPr>
        <w:t> </w:t>
      </w:r>
      <w:r>
        <w:rPr/>
        <w:t>X4</w:t>
        <w:tab/>
        <w:t>86</w:t>
      </w:r>
    </w:p>
    <w:p>
      <w:pPr>
        <w:pStyle w:val="BodyText"/>
        <w:rPr>
          <w:sz w:val="22"/>
        </w:rPr>
      </w:pPr>
    </w:p>
    <w:p>
      <w:pPr>
        <w:pStyle w:val="BodyText"/>
        <w:tabs>
          <w:tab w:pos="8449" w:val="left" w:leader="dot"/>
        </w:tabs>
        <w:spacing w:before="159"/>
        <w:ind w:left="122" w:right="64"/>
      </w:pPr>
      <w:r>
        <w:rPr/>
        <w:t>Figura. 10. Gràfico Q-Q normal</w:t>
      </w:r>
      <w:r>
        <w:rPr>
          <w:spacing w:val="-6"/>
        </w:rPr>
        <w:t> </w:t>
      </w:r>
      <w:r>
        <w:rPr/>
        <w:t>de</w:t>
      </w:r>
      <w:r>
        <w:rPr>
          <w:spacing w:val="-1"/>
        </w:rPr>
        <w:t> </w:t>
      </w:r>
      <w:r>
        <w:rPr/>
        <w:t>X4…</w:t>
        <w:tab/>
        <w:t>87</w:t>
      </w:r>
    </w:p>
    <w:p>
      <w:pPr>
        <w:spacing w:after="0"/>
        <w:sectPr>
          <w:pgSz w:w="12240" w:h="15840"/>
          <w:pgMar w:header="1873" w:footer="1497" w:top="1920" w:bottom="1760" w:left="1580" w:right="1600"/>
        </w:sectPr>
      </w:pPr>
    </w:p>
    <w:p>
      <w:pPr>
        <w:pStyle w:val="BodyText"/>
        <w:spacing w:before="11"/>
        <w:rPr>
          <w:sz w:val="22"/>
        </w:rPr>
      </w:pPr>
    </w:p>
    <w:p>
      <w:pPr>
        <w:pStyle w:val="BodyText"/>
        <w:ind w:left="189"/>
        <w:rPr>
          <w:sz w:val="20"/>
        </w:rPr>
      </w:pPr>
      <w:r>
        <w:rPr>
          <w:sz w:val="20"/>
        </w:rPr>
        <w:pict>
          <v:group style="width:438pt;height:550.1pt;mso-position-horizontal-relative:char;mso-position-vertical-relative:line" coordorigin="0,0" coordsize="8760,11002">
            <v:shape style="position:absolute;left:10;top:10;width:8740;height:10982" coordorigin="10,10" coordsize="8740,10982" path="m10,1467l12,1392,18,1318,27,1245,40,1173,56,1103,75,1034,98,966,124,900,154,835,186,772,221,711,259,652,299,595,343,540,388,487,437,437,487,388,540,343,595,299,652,259,711,221,772,186,835,154,900,124,966,98,1033,75,1103,56,1173,40,1245,27,1318,18,1392,12,1467,10,7293,10,7368,12,7442,18,7515,27,7587,40,7657,56,7726,75,7794,98,7860,124,7925,154,7988,186,8049,221,8108,259,8165,299,8220,343,8273,388,8323,437,8372,487,8417,540,8461,595,8501,652,8539,711,8574,772,8606,835,8636,900,8662,966,8685,1034,8704,1103,8720,1173,8733,1245,8742,1318,8748,1392,8750,1467,8750,9535,8748,9610,8742,9684,8733,9757,8720,9829,8704,9899,8685,9969,8662,10036,8636,10102,8606,10167,8574,10230,8539,10291,8501,10350,8461,10407,8417,10462,8372,10515,8323,10565,8273,10614,8220,10659,8165,10703,8108,10743,8049,10781,7988,10816,7925,10848,7860,10878,7794,10904,7726,10927,7657,10946,7587,10962,7515,10975,7442,10984,7368,10990,7293,10992,1467,10992,1392,10990,1318,10984,1245,10975,1173,10962,1103,10946,1033,10927,966,10904,900,10878,835,10848,772,10816,711,10781,652,10743,595,10703,540,10659,487,10614,437,10565,388,10515,343,10462,299,10407,259,10350,221,10291,186,10230,154,10167,124,10102,98,10036,75,9969,56,9899,40,9829,27,9757,18,9684,12,9610,10,9535,10,1467xe" filled="false" stroked="true" strokeweight="1pt" strokecolor="#000000">
              <v:path arrowok="t"/>
            </v:shape>
            <v:shape style="position:absolute;left:0;top:0;width:8760;height:11002" type="#_x0000_t202" filled="false" stroked="false">
              <v:textbox inset="0,0,0,0">
                <w:txbxContent>
                  <w:p>
                    <w:pPr>
                      <w:spacing w:line="240" w:lineRule="auto" w:before="0"/>
                      <w:rPr>
                        <w:sz w:val="72"/>
                      </w:rPr>
                    </w:pPr>
                  </w:p>
                  <w:p>
                    <w:pPr>
                      <w:spacing w:line="240" w:lineRule="auto" w:before="0"/>
                      <w:rPr>
                        <w:sz w:val="72"/>
                      </w:rPr>
                    </w:pPr>
                  </w:p>
                  <w:p>
                    <w:pPr>
                      <w:spacing w:line="240" w:lineRule="auto" w:before="0"/>
                      <w:rPr>
                        <w:sz w:val="72"/>
                      </w:rPr>
                    </w:pPr>
                  </w:p>
                  <w:p>
                    <w:pPr>
                      <w:spacing w:line="240" w:lineRule="auto" w:before="0"/>
                      <w:rPr>
                        <w:sz w:val="72"/>
                      </w:rPr>
                    </w:pPr>
                  </w:p>
                  <w:p>
                    <w:pPr>
                      <w:spacing w:line="240" w:lineRule="auto" w:before="10"/>
                      <w:rPr>
                        <w:sz w:val="84"/>
                      </w:rPr>
                    </w:pPr>
                  </w:p>
                  <w:p>
                    <w:pPr>
                      <w:spacing w:line="360" w:lineRule="auto" w:before="0"/>
                      <w:ind w:left="2571" w:right="1169" w:hanging="1441"/>
                      <w:jc w:val="left"/>
                      <w:rPr>
                        <w:b/>
                        <w:sz w:val="72"/>
                      </w:rPr>
                    </w:pPr>
                    <w:r>
                      <w:rPr>
                        <w:b/>
                        <w:sz w:val="72"/>
                      </w:rPr>
                      <w:t>I. INTRODUCCIÓN GENERAL</w:t>
                    </w:r>
                  </w:p>
                </w:txbxContent>
              </v:textbox>
              <w10:wrap type="none"/>
            </v:shape>
          </v:group>
        </w:pict>
      </w:r>
      <w:r>
        <w:rPr>
          <w:sz w:val="20"/>
        </w:rPr>
      </w:r>
    </w:p>
    <w:p>
      <w:pPr>
        <w:pStyle w:val="BodyText"/>
        <w:rPr>
          <w:sz w:val="20"/>
        </w:rPr>
      </w:pPr>
    </w:p>
    <w:p>
      <w:pPr>
        <w:pStyle w:val="BodyText"/>
        <w:spacing w:before="10"/>
        <w:rPr>
          <w:sz w:val="24"/>
        </w:rPr>
      </w:pPr>
      <w:r>
        <w:rPr/>
        <w:pict>
          <v:line style="position:absolute;mso-position-horizontal-relative:page;mso-position-vertical-relative:paragraph;z-index:1312;mso-wrap-distance-left:0;mso-wrap-distance-right:0" from="85.103996pt,16.494976pt" to="525.960017pt,16.494976pt" stroked="true" strokeweight=".36pt" strokecolor="#000000">
            <w10:wrap type="topAndBottom"/>
          </v:line>
        </w:pict>
      </w:r>
    </w:p>
    <w:p>
      <w:pPr>
        <w:spacing w:after="0"/>
        <w:rPr>
          <w:sz w:val="24"/>
        </w:rPr>
        <w:sectPr>
          <w:headerReference w:type="default" r:id="rId16"/>
          <w:footerReference w:type="default" r:id="rId17"/>
          <w:pgSz w:w="12240" w:h="15840"/>
          <w:pgMar w:header="1434" w:footer="1911" w:top="1740" w:bottom="2100" w:left="1580" w:right="1600"/>
          <w:pgNumType w:start="1"/>
        </w:sectPr>
      </w:pPr>
    </w:p>
    <w:p>
      <w:pPr>
        <w:pStyle w:val="BodyText"/>
        <w:rPr>
          <w:sz w:val="20"/>
        </w:rPr>
      </w:pPr>
    </w:p>
    <w:p>
      <w:pPr>
        <w:pStyle w:val="BodyText"/>
        <w:spacing w:before="6"/>
        <w:rPr>
          <w:sz w:val="19"/>
        </w:rPr>
      </w:pPr>
    </w:p>
    <w:p>
      <w:pPr>
        <w:pStyle w:val="BodyText"/>
        <w:spacing w:line="360" w:lineRule="auto" w:before="71"/>
        <w:ind w:left="122" w:right="115"/>
        <w:jc w:val="both"/>
      </w:pPr>
      <w:r>
        <w:rPr/>
        <w:t>La</w:t>
      </w:r>
      <w:r>
        <w:rPr>
          <w:spacing w:val="-11"/>
        </w:rPr>
        <w:t> </w:t>
      </w:r>
      <w:r>
        <w:rPr/>
        <w:t>carne</w:t>
      </w:r>
      <w:r>
        <w:rPr>
          <w:spacing w:val="-11"/>
        </w:rPr>
        <w:t> </w:t>
      </w:r>
      <w:r>
        <w:rPr/>
        <w:t>de</w:t>
      </w:r>
      <w:r>
        <w:rPr>
          <w:spacing w:val="-11"/>
        </w:rPr>
        <w:t> </w:t>
      </w:r>
      <w:r>
        <w:rPr/>
        <w:t>bovino</w:t>
      </w:r>
      <w:r>
        <w:rPr>
          <w:spacing w:val="-12"/>
        </w:rPr>
        <w:t> </w:t>
      </w:r>
      <w:r>
        <w:rPr/>
        <w:t>es</w:t>
      </w:r>
      <w:r>
        <w:rPr>
          <w:spacing w:val="-13"/>
        </w:rPr>
        <w:t> </w:t>
      </w:r>
      <w:r>
        <w:rPr/>
        <w:t>la</w:t>
      </w:r>
      <w:r>
        <w:rPr>
          <w:spacing w:val="-13"/>
        </w:rPr>
        <w:t> </w:t>
      </w:r>
      <w:r>
        <w:rPr/>
        <w:t>tercera</w:t>
      </w:r>
      <w:r>
        <w:rPr>
          <w:spacing w:val="-11"/>
        </w:rPr>
        <w:t> </w:t>
      </w:r>
      <w:r>
        <w:rPr/>
        <w:t>más</w:t>
      </w:r>
      <w:r>
        <w:rPr>
          <w:spacing w:val="-13"/>
        </w:rPr>
        <w:t> </w:t>
      </w:r>
      <w:r>
        <w:rPr/>
        <w:t>consumida</w:t>
      </w:r>
      <w:r>
        <w:rPr>
          <w:spacing w:val="-14"/>
        </w:rPr>
        <w:t> </w:t>
      </w:r>
      <w:r>
        <w:rPr/>
        <w:t>a</w:t>
      </w:r>
      <w:r>
        <w:rPr>
          <w:spacing w:val="-11"/>
        </w:rPr>
        <w:t> </w:t>
      </w:r>
      <w:r>
        <w:rPr/>
        <w:t>nivel</w:t>
      </w:r>
      <w:r>
        <w:rPr>
          <w:spacing w:val="-12"/>
        </w:rPr>
        <w:t> </w:t>
      </w:r>
      <w:r>
        <w:rPr/>
        <w:t>mundial,</w:t>
      </w:r>
      <w:r>
        <w:rPr>
          <w:spacing w:val="-12"/>
        </w:rPr>
        <w:t> </w:t>
      </w:r>
      <w:r>
        <w:rPr/>
        <w:t>siendo</w:t>
      </w:r>
      <w:r>
        <w:rPr>
          <w:spacing w:val="-12"/>
        </w:rPr>
        <w:t> </w:t>
      </w:r>
      <w:r>
        <w:rPr/>
        <w:t>las</w:t>
      </w:r>
      <w:r>
        <w:rPr>
          <w:spacing w:val="-13"/>
        </w:rPr>
        <w:t> </w:t>
      </w:r>
      <w:r>
        <w:rPr/>
        <w:t>primeras</w:t>
      </w:r>
      <w:r>
        <w:rPr>
          <w:spacing w:val="-13"/>
        </w:rPr>
        <w:t> </w:t>
      </w:r>
      <w:r>
        <w:rPr/>
        <w:t>dos</w:t>
      </w:r>
      <w:r>
        <w:rPr>
          <w:spacing w:val="-5"/>
        </w:rPr>
        <w:t> </w:t>
      </w:r>
      <w:r>
        <w:rPr/>
        <w:t>de</w:t>
      </w:r>
      <w:r>
        <w:rPr>
          <w:spacing w:val="-11"/>
        </w:rPr>
        <w:t> </w:t>
      </w:r>
      <w:r>
        <w:rPr/>
        <w:t>cerdo y pollo. Así, en 2014, el consumo de carne de cerdo y de pollo fue de 110 y 84.7 millones de toneladas,</w:t>
      </w:r>
      <w:r>
        <w:rPr>
          <w:spacing w:val="17"/>
        </w:rPr>
        <w:t> </w:t>
      </w:r>
      <w:r>
        <w:rPr/>
        <w:t>respectivamente,</w:t>
      </w:r>
      <w:r>
        <w:rPr>
          <w:spacing w:val="17"/>
        </w:rPr>
        <w:t> </w:t>
      </w:r>
      <w:r>
        <w:rPr/>
        <w:t>mientras</w:t>
      </w:r>
      <w:r>
        <w:rPr>
          <w:spacing w:val="16"/>
        </w:rPr>
        <w:t> </w:t>
      </w:r>
      <w:r>
        <w:rPr/>
        <w:t>que</w:t>
      </w:r>
      <w:r>
        <w:rPr>
          <w:spacing w:val="20"/>
        </w:rPr>
        <w:t> </w:t>
      </w:r>
      <w:r>
        <w:rPr/>
        <w:t>el</w:t>
      </w:r>
      <w:r>
        <w:rPr>
          <w:spacing w:val="15"/>
        </w:rPr>
        <w:t> </w:t>
      </w:r>
      <w:r>
        <w:rPr/>
        <w:t>consumo</w:t>
      </w:r>
      <w:r>
        <w:rPr>
          <w:spacing w:val="17"/>
        </w:rPr>
        <w:t> </w:t>
      </w:r>
      <w:r>
        <w:rPr/>
        <w:t>mundial</w:t>
      </w:r>
      <w:r>
        <w:rPr>
          <w:spacing w:val="17"/>
        </w:rPr>
        <w:t> </w:t>
      </w:r>
      <w:r>
        <w:rPr/>
        <w:t>de</w:t>
      </w:r>
      <w:r>
        <w:rPr>
          <w:spacing w:val="15"/>
        </w:rPr>
        <w:t> </w:t>
      </w:r>
      <w:r>
        <w:rPr/>
        <w:t>carne</w:t>
      </w:r>
      <w:r>
        <w:rPr>
          <w:spacing w:val="17"/>
        </w:rPr>
        <w:t> </w:t>
      </w:r>
      <w:r>
        <w:rPr/>
        <w:t>de</w:t>
      </w:r>
      <w:r>
        <w:rPr>
          <w:spacing w:val="17"/>
        </w:rPr>
        <w:t> </w:t>
      </w:r>
      <w:r>
        <w:rPr/>
        <w:t>bovino</w:t>
      </w:r>
      <w:r>
        <w:rPr>
          <w:spacing w:val="17"/>
        </w:rPr>
        <w:t> </w:t>
      </w:r>
      <w:r>
        <w:rPr/>
        <w:t>se</w:t>
      </w:r>
      <w:r>
        <w:rPr>
          <w:spacing w:val="17"/>
        </w:rPr>
        <w:t> </w:t>
      </w:r>
      <w:r>
        <w:rPr/>
        <w:t>ubicó</w:t>
      </w:r>
      <w:r>
        <w:rPr>
          <w:spacing w:val="14"/>
        </w:rPr>
        <w:t> </w:t>
      </w:r>
      <w:r>
        <w:rPr/>
        <w:t>en</w:t>
      </w:r>
    </w:p>
    <w:p>
      <w:pPr>
        <w:pStyle w:val="BodyText"/>
        <w:spacing w:line="360" w:lineRule="auto" w:before="6"/>
        <w:ind w:left="122" w:right="116"/>
        <w:jc w:val="both"/>
      </w:pPr>
      <w:r>
        <w:rPr/>
        <w:t>57.6</w:t>
      </w:r>
      <w:r>
        <w:rPr>
          <w:spacing w:val="-5"/>
        </w:rPr>
        <w:t> </w:t>
      </w:r>
      <w:r>
        <w:rPr/>
        <w:t>millones</w:t>
      </w:r>
      <w:r>
        <w:rPr>
          <w:spacing w:val="-6"/>
        </w:rPr>
        <w:t> </w:t>
      </w:r>
      <w:r>
        <w:rPr/>
        <w:t>de</w:t>
      </w:r>
      <w:r>
        <w:rPr>
          <w:spacing w:val="-6"/>
        </w:rPr>
        <w:t> </w:t>
      </w:r>
      <w:r>
        <w:rPr/>
        <w:t>toneladas.</w:t>
      </w:r>
      <w:r>
        <w:rPr>
          <w:spacing w:val="-5"/>
        </w:rPr>
        <w:t> </w:t>
      </w:r>
      <w:r>
        <w:rPr/>
        <w:t>Para</w:t>
      </w:r>
      <w:r>
        <w:rPr>
          <w:spacing w:val="-1"/>
        </w:rPr>
        <w:t> </w:t>
      </w:r>
      <w:r>
        <w:rPr/>
        <w:t>2015,</w:t>
      </w:r>
      <w:r>
        <w:rPr>
          <w:spacing w:val="-5"/>
        </w:rPr>
        <w:t> </w:t>
      </w:r>
      <w:r>
        <w:rPr/>
        <w:t>se</w:t>
      </w:r>
      <w:r>
        <w:rPr>
          <w:spacing w:val="-4"/>
        </w:rPr>
        <w:t> </w:t>
      </w:r>
      <w:r>
        <w:rPr/>
        <w:t>proyecta</w:t>
      </w:r>
      <w:r>
        <w:rPr>
          <w:spacing w:val="-4"/>
        </w:rPr>
        <w:t> </w:t>
      </w:r>
      <w:r>
        <w:rPr/>
        <w:t>que</w:t>
      </w:r>
      <w:r>
        <w:rPr>
          <w:spacing w:val="-4"/>
        </w:rPr>
        <w:t> </w:t>
      </w:r>
      <w:r>
        <w:rPr/>
        <w:t>tanto</w:t>
      </w:r>
      <w:r>
        <w:rPr>
          <w:spacing w:val="-7"/>
        </w:rPr>
        <w:t> </w:t>
      </w:r>
      <w:r>
        <w:rPr/>
        <w:t>el</w:t>
      </w:r>
      <w:r>
        <w:rPr>
          <w:spacing w:val="-4"/>
        </w:rPr>
        <w:t> </w:t>
      </w:r>
      <w:r>
        <w:rPr/>
        <w:t>consumo</w:t>
      </w:r>
      <w:r>
        <w:rPr>
          <w:spacing w:val="-7"/>
        </w:rPr>
        <w:t> </w:t>
      </w:r>
      <w:r>
        <w:rPr/>
        <w:t>de</w:t>
      </w:r>
      <w:r>
        <w:rPr>
          <w:spacing w:val="-6"/>
        </w:rPr>
        <w:t> </w:t>
      </w:r>
      <w:r>
        <w:rPr/>
        <w:t>cerdo</w:t>
      </w:r>
      <w:r>
        <w:rPr>
          <w:spacing w:val="-5"/>
        </w:rPr>
        <w:t> </w:t>
      </w:r>
      <w:r>
        <w:rPr/>
        <w:t>como</w:t>
      </w:r>
      <w:r>
        <w:rPr>
          <w:spacing w:val="-7"/>
        </w:rPr>
        <w:t> </w:t>
      </w:r>
      <w:r>
        <w:rPr/>
        <w:t>de</w:t>
      </w:r>
      <w:r>
        <w:rPr>
          <w:spacing w:val="-6"/>
        </w:rPr>
        <w:t> </w:t>
      </w:r>
      <w:r>
        <w:rPr/>
        <w:t>pollo sean</w:t>
      </w:r>
      <w:r>
        <w:rPr>
          <w:spacing w:val="-7"/>
        </w:rPr>
        <w:t> </w:t>
      </w:r>
      <w:r>
        <w:rPr/>
        <w:t>de</w:t>
      </w:r>
      <w:r>
        <w:rPr>
          <w:spacing w:val="-6"/>
        </w:rPr>
        <w:t> </w:t>
      </w:r>
      <w:r>
        <w:rPr/>
        <w:t>110.3</w:t>
      </w:r>
      <w:r>
        <w:rPr>
          <w:spacing w:val="-10"/>
        </w:rPr>
        <w:t> </w:t>
      </w:r>
      <w:r>
        <w:rPr/>
        <w:t>y</w:t>
      </w:r>
      <w:r>
        <w:rPr>
          <w:spacing w:val="-12"/>
        </w:rPr>
        <w:t> </w:t>
      </w:r>
      <w:r>
        <w:rPr/>
        <w:t>85.5</w:t>
      </w:r>
      <w:r>
        <w:rPr>
          <w:spacing w:val="-7"/>
        </w:rPr>
        <w:t> </w:t>
      </w:r>
      <w:r>
        <w:rPr/>
        <w:t>millones</w:t>
      </w:r>
      <w:r>
        <w:rPr>
          <w:spacing w:val="-8"/>
        </w:rPr>
        <w:t> </w:t>
      </w:r>
      <w:r>
        <w:rPr/>
        <w:t>de</w:t>
      </w:r>
      <w:r>
        <w:rPr>
          <w:spacing w:val="-9"/>
        </w:rPr>
        <w:t> </w:t>
      </w:r>
      <w:r>
        <w:rPr/>
        <w:t>toneladas,</w:t>
      </w:r>
      <w:r>
        <w:rPr>
          <w:spacing w:val="-4"/>
        </w:rPr>
        <w:t> </w:t>
      </w:r>
      <w:r>
        <w:rPr/>
        <w:t>respectivamente;</w:t>
      </w:r>
      <w:r>
        <w:rPr>
          <w:spacing w:val="-7"/>
        </w:rPr>
        <w:t> </w:t>
      </w:r>
      <w:r>
        <w:rPr/>
        <w:t>por</w:t>
      </w:r>
      <w:r>
        <w:rPr>
          <w:spacing w:val="-10"/>
        </w:rPr>
        <w:t> </w:t>
      </w:r>
      <w:r>
        <w:rPr/>
        <w:t>otro</w:t>
      </w:r>
      <w:r>
        <w:rPr>
          <w:spacing w:val="-10"/>
        </w:rPr>
        <w:t> </w:t>
      </w:r>
      <w:r>
        <w:rPr/>
        <w:t>lado,</w:t>
      </w:r>
      <w:r>
        <w:rPr>
          <w:spacing w:val="-7"/>
        </w:rPr>
        <w:t> </w:t>
      </w:r>
      <w:r>
        <w:rPr/>
        <w:t>se</w:t>
      </w:r>
      <w:r>
        <w:rPr>
          <w:spacing w:val="-9"/>
        </w:rPr>
        <w:t> </w:t>
      </w:r>
      <w:r>
        <w:rPr/>
        <w:t>espera</w:t>
      </w:r>
      <w:r>
        <w:rPr>
          <w:spacing w:val="-9"/>
        </w:rPr>
        <w:t> </w:t>
      </w:r>
      <w:r>
        <w:rPr/>
        <w:t>el</w:t>
      </w:r>
      <w:r>
        <w:rPr>
          <w:spacing w:val="-9"/>
        </w:rPr>
        <w:t> </w:t>
      </w:r>
      <w:r>
        <w:rPr/>
        <w:t>consumo de carne de bovino disminuya 1.5 por ciento anual para ubicarse en 56.7 millones de</w:t>
      </w:r>
      <w:r>
        <w:rPr>
          <w:spacing w:val="-33"/>
        </w:rPr>
        <w:t> </w:t>
      </w:r>
      <w:r>
        <w:rPr/>
        <w:t>toneladas.</w:t>
      </w:r>
    </w:p>
    <w:p>
      <w:pPr>
        <w:pStyle w:val="BodyText"/>
        <w:rPr>
          <w:sz w:val="22"/>
        </w:rPr>
      </w:pPr>
    </w:p>
    <w:p>
      <w:pPr>
        <w:pStyle w:val="BodyText"/>
        <w:spacing w:line="360" w:lineRule="auto" w:before="150"/>
        <w:ind w:left="122" w:right="115"/>
        <w:jc w:val="both"/>
      </w:pPr>
      <w:r>
        <w:rPr/>
        <w:t>En 2014, la producción mundial de carne bovina alcanzó una cifra récord de 59.7 millones de toneladas</w:t>
      </w:r>
      <w:r>
        <w:rPr>
          <w:spacing w:val="-6"/>
        </w:rPr>
        <w:t> </w:t>
      </w:r>
      <w:r>
        <w:rPr/>
        <w:t>(equivalente</w:t>
      </w:r>
      <w:r>
        <w:rPr>
          <w:spacing w:val="-6"/>
        </w:rPr>
        <w:t> </w:t>
      </w:r>
      <w:r>
        <w:rPr/>
        <w:t>en</w:t>
      </w:r>
      <w:r>
        <w:rPr>
          <w:spacing w:val="-7"/>
        </w:rPr>
        <w:t> </w:t>
      </w:r>
      <w:r>
        <w:rPr/>
        <w:t>canal).</w:t>
      </w:r>
      <w:r>
        <w:rPr>
          <w:spacing w:val="-5"/>
        </w:rPr>
        <w:t> </w:t>
      </w:r>
      <w:r>
        <w:rPr/>
        <w:t>Esto</w:t>
      </w:r>
      <w:r>
        <w:rPr>
          <w:spacing w:val="-7"/>
        </w:rPr>
        <w:t> </w:t>
      </w:r>
      <w:r>
        <w:rPr/>
        <w:t>confirma</w:t>
      </w:r>
      <w:r>
        <w:rPr>
          <w:spacing w:val="-6"/>
        </w:rPr>
        <w:t> </w:t>
      </w:r>
      <w:r>
        <w:rPr/>
        <w:t>la</w:t>
      </w:r>
      <w:r>
        <w:rPr>
          <w:spacing w:val="-4"/>
        </w:rPr>
        <w:t> </w:t>
      </w:r>
      <w:r>
        <w:rPr/>
        <w:t>tendencia</w:t>
      </w:r>
      <w:r>
        <w:rPr>
          <w:spacing w:val="-4"/>
        </w:rPr>
        <w:t> </w:t>
      </w:r>
      <w:r>
        <w:rPr/>
        <w:t>de</w:t>
      </w:r>
      <w:r>
        <w:rPr>
          <w:spacing w:val="-6"/>
        </w:rPr>
        <w:t> </w:t>
      </w:r>
      <w:r>
        <w:rPr/>
        <w:t>la</w:t>
      </w:r>
      <w:r>
        <w:rPr>
          <w:spacing w:val="-4"/>
        </w:rPr>
        <w:t> </w:t>
      </w:r>
      <w:r>
        <w:rPr/>
        <w:t>recuperación</w:t>
      </w:r>
      <w:r>
        <w:rPr>
          <w:spacing w:val="-7"/>
        </w:rPr>
        <w:t> </w:t>
      </w:r>
      <w:r>
        <w:rPr/>
        <w:t>de</w:t>
      </w:r>
      <w:r>
        <w:rPr>
          <w:spacing w:val="-4"/>
        </w:rPr>
        <w:t> </w:t>
      </w:r>
      <w:r>
        <w:rPr/>
        <w:t>la</w:t>
      </w:r>
      <w:r>
        <w:rPr>
          <w:spacing w:val="-1"/>
        </w:rPr>
        <w:t> </w:t>
      </w:r>
      <w:r>
        <w:rPr/>
        <w:t>producción mundial, la cual se vio estancada entre 2007 y 2011. Dicho estancamiento se debió, en parte, a los altos precios de los forrajes y a las condiciones meteorológicas adversas (severa sequía en 2011). No obstante, para 2015 se proyecta una disminución de la producción de 1.1 por ciento anual; esto se debe a que existe un incentivo para engordar por más tiempo el ganado, debido a los accesibles precios de granos forrajeros, sobre todo en Norteamérica. Además, varios de los principales países productores están en un proceso de repoblamiento del hato bovino, lo que implica un menor número de</w:t>
      </w:r>
      <w:r>
        <w:rPr>
          <w:spacing w:val="-15"/>
        </w:rPr>
        <w:t> </w:t>
      </w:r>
      <w:r>
        <w:rPr/>
        <w:t>sacrificios.</w:t>
      </w:r>
    </w:p>
    <w:p>
      <w:pPr>
        <w:pStyle w:val="BodyText"/>
        <w:rPr>
          <w:sz w:val="22"/>
        </w:rPr>
      </w:pPr>
    </w:p>
    <w:p>
      <w:pPr>
        <w:pStyle w:val="BodyText"/>
        <w:spacing w:line="360" w:lineRule="auto" w:before="149"/>
        <w:ind w:left="122" w:right="115"/>
        <w:jc w:val="both"/>
      </w:pPr>
      <w:r>
        <w:rPr/>
        <w:t>La apreciación del dólar estadounidense frente a monedas de países exportadores de ganado bovino y carne de bovino ha incentivado el flujo comercial hacia Estados Unidos, sobre todo el proveniente de países como Canadá y México.</w:t>
      </w:r>
    </w:p>
    <w:p>
      <w:pPr>
        <w:pStyle w:val="BodyText"/>
        <w:rPr>
          <w:sz w:val="22"/>
        </w:rPr>
      </w:pPr>
    </w:p>
    <w:p>
      <w:pPr>
        <w:pStyle w:val="BodyText"/>
        <w:spacing w:line="360" w:lineRule="auto" w:before="149"/>
        <w:ind w:left="122" w:right="116"/>
        <w:jc w:val="both"/>
      </w:pPr>
      <w:r>
        <w:rPr/>
        <w:t>Los precios de la carne de bovino en Estados Unidos presentaron una marcada tendencia alcista desde mediados de 2009 hasta finales de 2014. Esto se debe, principalmente, a la disminución del</w:t>
      </w:r>
      <w:r>
        <w:rPr>
          <w:spacing w:val="-12"/>
        </w:rPr>
        <w:t> </w:t>
      </w:r>
      <w:r>
        <w:rPr/>
        <w:t>ganado</w:t>
      </w:r>
      <w:r>
        <w:rPr>
          <w:spacing w:val="-14"/>
        </w:rPr>
        <w:t> </w:t>
      </w:r>
      <w:r>
        <w:rPr/>
        <w:t>disponible</w:t>
      </w:r>
      <w:r>
        <w:rPr>
          <w:spacing w:val="-11"/>
        </w:rPr>
        <w:t> </w:t>
      </w:r>
      <w:r>
        <w:rPr/>
        <w:t>para</w:t>
      </w:r>
      <w:r>
        <w:rPr>
          <w:spacing w:val="-13"/>
        </w:rPr>
        <w:t> </w:t>
      </w:r>
      <w:r>
        <w:rPr/>
        <w:t>sacrificar</w:t>
      </w:r>
      <w:r>
        <w:rPr>
          <w:spacing w:val="-12"/>
        </w:rPr>
        <w:t> </w:t>
      </w:r>
      <w:r>
        <w:rPr/>
        <w:t>y</w:t>
      </w:r>
      <w:r>
        <w:rPr>
          <w:spacing w:val="-17"/>
        </w:rPr>
        <w:t> </w:t>
      </w:r>
      <w:r>
        <w:rPr/>
        <w:t>al</w:t>
      </w:r>
      <w:r>
        <w:rPr>
          <w:spacing w:val="-12"/>
        </w:rPr>
        <w:t> </w:t>
      </w:r>
      <w:r>
        <w:rPr/>
        <w:t>alto</w:t>
      </w:r>
      <w:r>
        <w:rPr>
          <w:spacing w:val="-14"/>
        </w:rPr>
        <w:t> </w:t>
      </w:r>
      <w:r>
        <w:rPr/>
        <w:t>costo</w:t>
      </w:r>
      <w:r>
        <w:rPr>
          <w:spacing w:val="-12"/>
        </w:rPr>
        <w:t> </w:t>
      </w:r>
      <w:r>
        <w:rPr/>
        <w:t>de</w:t>
      </w:r>
      <w:r>
        <w:rPr>
          <w:spacing w:val="-11"/>
        </w:rPr>
        <w:t> </w:t>
      </w:r>
      <w:r>
        <w:rPr/>
        <w:t>producción</w:t>
      </w:r>
      <w:r>
        <w:rPr>
          <w:spacing w:val="-14"/>
        </w:rPr>
        <w:t> </w:t>
      </w:r>
      <w:r>
        <w:rPr/>
        <w:t>derivado</w:t>
      </w:r>
      <w:r>
        <w:rPr>
          <w:spacing w:val="-9"/>
        </w:rPr>
        <w:t> </w:t>
      </w:r>
      <w:r>
        <w:rPr/>
        <w:t>de</w:t>
      </w:r>
      <w:r>
        <w:rPr>
          <w:spacing w:val="-14"/>
        </w:rPr>
        <w:t> </w:t>
      </w:r>
      <w:r>
        <w:rPr/>
        <w:t>la</w:t>
      </w:r>
      <w:r>
        <w:rPr>
          <w:spacing w:val="-11"/>
        </w:rPr>
        <w:t> </w:t>
      </w:r>
      <w:r>
        <w:rPr/>
        <w:t>baja</w:t>
      </w:r>
      <w:r>
        <w:rPr>
          <w:spacing w:val="-11"/>
        </w:rPr>
        <w:t> </w:t>
      </w:r>
      <w:r>
        <w:rPr/>
        <w:t>producción de</w:t>
      </w:r>
      <w:r>
        <w:rPr>
          <w:spacing w:val="-3"/>
        </w:rPr>
        <w:t> </w:t>
      </w:r>
      <w:r>
        <w:rPr/>
        <w:t>granos</w:t>
      </w:r>
      <w:r>
        <w:rPr>
          <w:spacing w:val="-5"/>
        </w:rPr>
        <w:t> </w:t>
      </w:r>
      <w:r>
        <w:rPr/>
        <w:t>forrajeros</w:t>
      </w:r>
      <w:r>
        <w:rPr>
          <w:spacing w:val="-4"/>
        </w:rPr>
        <w:t> </w:t>
      </w:r>
      <w:r>
        <w:rPr/>
        <w:t>en</w:t>
      </w:r>
      <w:r>
        <w:rPr>
          <w:spacing w:val="-4"/>
        </w:rPr>
        <w:t> </w:t>
      </w:r>
      <w:r>
        <w:rPr/>
        <w:t>2011</w:t>
      </w:r>
      <w:r>
        <w:rPr>
          <w:spacing w:val="-1"/>
        </w:rPr>
        <w:t> </w:t>
      </w:r>
      <w:r>
        <w:rPr/>
        <w:t>y</w:t>
      </w:r>
      <w:r>
        <w:rPr>
          <w:spacing w:val="-9"/>
        </w:rPr>
        <w:t> </w:t>
      </w:r>
      <w:r>
        <w:rPr/>
        <w:t>2012,</w:t>
      </w:r>
      <w:r>
        <w:rPr>
          <w:spacing w:val="-4"/>
        </w:rPr>
        <w:t> </w:t>
      </w:r>
      <w:r>
        <w:rPr/>
        <w:t>así</w:t>
      </w:r>
      <w:r>
        <w:rPr>
          <w:spacing w:val="-3"/>
        </w:rPr>
        <w:t> </w:t>
      </w:r>
      <w:r>
        <w:rPr/>
        <w:t>como</w:t>
      </w:r>
      <w:r>
        <w:rPr>
          <w:spacing w:val="-4"/>
        </w:rPr>
        <w:t> </w:t>
      </w:r>
      <w:r>
        <w:rPr/>
        <w:t>a</w:t>
      </w:r>
      <w:r>
        <w:rPr>
          <w:spacing w:val="-3"/>
        </w:rPr>
        <w:t> </w:t>
      </w:r>
      <w:r>
        <w:rPr/>
        <w:t>un</w:t>
      </w:r>
      <w:r>
        <w:rPr>
          <w:spacing w:val="-4"/>
        </w:rPr>
        <w:t> </w:t>
      </w:r>
      <w:r>
        <w:rPr/>
        <w:t>aumento</w:t>
      </w:r>
      <w:r>
        <w:rPr>
          <w:spacing w:val="-2"/>
        </w:rPr>
        <w:t> </w:t>
      </w:r>
      <w:r>
        <w:rPr/>
        <w:t>sostenido</w:t>
      </w:r>
      <w:r>
        <w:rPr>
          <w:spacing w:val="-4"/>
        </w:rPr>
        <w:t> </w:t>
      </w:r>
      <w:r>
        <w:rPr/>
        <w:t>de</w:t>
      </w:r>
      <w:r>
        <w:rPr>
          <w:spacing w:val="-5"/>
        </w:rPr>
        <w:t> </w:t>
      </w:r>
      <w:r>
        <w:rPr/>
        <w:t>la</w:t>
      </w:r>
      <w:r>
        <w:rPr>
          <w:spacing w:val="-3"/>
        </w:rPr>
        <w:t> </w:t>
      </w:r>
      <w:r>
        <w:rPr/>
        <w:t>demanda</w:t>
      </w:r>
      <w:r>
        <w:rPr>
          <w:spacing w:val="-3"/>
        </w:rPr>
        <w:t> </w:t>
      </w:r>
      <w:r>
        <w:rPr/>
        <w:t>global</w:t>
      </w:r>
      <w:r>
        <w:rPr>
          <w:spacing w:val="-3"/>
        </w:rPr>
        <w:t> </w:t>
      </w:r>
      <w:r>
        <w:rPr/>
        <w:t>por este</w:t>
      </w:r>
      <w:r>
        <w:rPr>
          <w:spacing w:val="-4"/>
        </w:rPr>
        <w:t> </w:t>
      </w:r>
      <w:r>
        <w:rPr/>
        <w:t>cárnico.</w:t>
      </w:r>
    </w:p>
    <w:p>
      <w:pPr>
        <w:spacing w:after="0" w:line="360" w:lineRule="auto"/>
        <w:jc w:val="both"/>
        <w:sectPr>
          <w:footerReference w:type="default" r:id="rId18"/>
          <w:pgSz w:w="12240" w:h="15840"/>
          <w:pgMar w:footer="1972" w:header="1434" w:top="1740" w:bottom="2160" w:left="1580" w:right="1580"/>
          <w:pgNumType w:start="2"/>
        </w:sectPr>
      </w:pPr>
    </w:p>
    <w:p>
      <w:pPr>
        <w:pStyle w:val="BodyText"/>
        <w:rPr>
          <w:sz w:val="20"/>
        </w:rPr>
      </w:pPr>
    </w:p>
    <w:p>
      <w:pPr>
        <w:pStyle w:val="BodyText"/>
        <w:spacing w:before="8"/>
        <w:rPr>
          <w:sz w:val="19"/>
        </w:rPr>
      </w:pPr>
    </w:p>
    <w:p>
      <w:pPr>
        <w:pStyle w:val="BodyText"/>
        <w:spacing w:line="360" w:lineRule="auto" w:before="1"/>
        <w:ind w:left="122" w:right="118"/>
        <w:jc w:val="both"/>
      </w:pPr>
      <w:r>
        <w:rPr/>
        <w:t>Los precios de la carne, durante 2015, han disminuido ligeramente debido a dos factores principales: 1) la recuperación de la producción de otras carnes en Estados Unidos, principalmente</w:t>
      </w:r>
      <w:r>
        <w:rPr>
          <w:spacing w:val="-12"/>
        </w:rPr>
        <w:t> </w:t>
      </w:r>
      <w:r>
        <w:rPr/>
        <w:t>carne</w:t>
      </w:r>
      <w:r>
        <w:rPr>
          <w:spacing w:val="-12"/>
        </w:rPr>
        <w:t> </w:t>
      </w:r>
      <w:r>
        <w:rPr/>
        <w:t>cerdo;</w:t>
      </w:r>
      <w:r>
        <w:rPr>
          <w:spacing w:val="-10"/>
        </w:rPr>
        <w:t> </w:t>
      </w:r>
      <w:r>
        <w:rPr/>
        <w:t>y</w:t>
      </w:r>
      <w:r>
        <w:rPr>
          <w:spacing w:val="-15"/>
        </w:rPr>
        <w:t> </w:t>
      </w:r>
      <w:r>
        <w:rPr/>
        <w:t>2)</w:t>
      </w:r>
      <w:r>
        <w:rPr>
          <w:spacing w:val="-11"/>
        </w:rPr>
        <w:t> </w:t>
      </w:r>
      <w:r>
        <w:rPr/>
        <w:t>se</w:t>
      </w:r>
      <w:r>
        <w:rPr>
          <w:spacing w:val="-10"/>
        </w:rPr>
        <w:t> </w:t>
      </w:r>
      <w:r>
        <w:rPr/>
        <w:t>estima</w:t>
      </w:r>
      <w:r>
        <w:rPr>
          <w:spacing w:val="-8"/>
        </w:rPr>
        <w:t> </w:t>
      </w:r>
      <w:r>
        <w:rPr/>
        <w:t>que</w:t>
      </w:r>
      <w:r>
        <w:rPr>
          <w:spacing w:val="-12"/>
        </w:rPr>
        <w:t> </w:t>
      </w:r>
      <w:r>
        <w:rPr/>
        <w:t>la</w:t>
      </w:r>
      <w:r>
        <w:rPr>
          <w:spacing w:val="-12"/>
        </w:rPr>
        <w:t> </w:t>
      </w:r>
      <w:r>
        <w:rPr/>
        <w:t>demanda</w:t>
      </w:r>
      <w:r>
        <w:rPr>
          <w:spacing w:val="-10"/>
        </w:rPr>
        <w:t> </w:t>
      </w:r>
      <w:r>
        <w:rPr/>
        <w:t>internacional</w:t>
      </w:r>
      <w:r>
        <w:rPr>
          <w:spacing w:val="-10"/>
        </w:rPr>
        <w:t> </w:t>
      </w:r>
      <w:r>
        <w:rPr/>
        <w:t>de</w:t>
      </w:r>
      <w:r>
        <w:rPr>
          <w:spacing w:val="-12"/>
        </w:rPr>
        <w:t> </w:t>
      </w:r>
      <w:r>
        <w:rPr/>
        <w:t>carne</w:t>
      </w:r>
      <w:r>
        <w:rPr>
          <w:spacing w:val="-12"/>
        </w:rPr>
        <w:t> </w:t>
      </w:r>
      <w:r>
        <w:rPr/>
        <w:t>estadounidense se ha reducido ante la apreciación del dólar (FIRA,</w:t>
      </w:r>
      <w:r>
        <w:rPr>
          <w:spacing w:val="-18"/>
        </w:rPr>
        <w:t> </w:t>
      </w:r>
      <w:r>
        <w:rPr/>
        <w:t>2015).</w:t>
      </w:r>
    </w:p>
    <w:p>
      <w:pPr>
        <w:pStyle w:val="BodyText"/>
        <w:spacing w:line="360" w:lineRule="auto" w:before="4"/>
        <w:ind w:left="122" w:right="115"/>
        <w:jc w:val="both"/>
      </w:pPr>
      <w:r>
        <w:rPr/>
        <w:t>No obstante, se espera que los precios de la carne de bovino se mantengan en niveles relativamente altos hasta 2016.</w:t>
      </w:r>
    </w:p>
    <w:p>
      <w:pPr>
        <w:pStyle w:val="BodyText"/>
        <w:rPr>
          <w:sz w:val="22"/>
        </w:rPr>
      </w:pPr>
    </w:p>
    <w:p>
      <w:pPr>
        <w:pStyle w:val="BodyText"/>
        <w:spacing w:line="360" w:lineRule="auto" w:before="149"/>
        <w:ind w:left="122" w:right="116"/>
        <w:jc w:val="both"/>
      </w:pPr>
      <w:r>
        <w:rPr/>
        <w:t>En México, durante 2014, el valor de la producción de carne de bovino fue de 90.96 miles de millones</w:t>
      </w:r>
      <w:r>
        <w:rPr>
          <w:spacing w:val="-5"/>
        </w:rPr>
        <w:t> </w:t>
      </w:r>
      <w:r>
        <w:rPr/>
        <w:t>de</w:t>
      </w:r>
      <w:r>
        <w:rPr>
          <w:spacing w:val="-3"/>
        </w:rPr>
        <w:t> </w:t>
      </w:r>
      <w:r>
        <w:rPr/>
        <w:t>pesos</w:t>
      </w:r>
      <w:r>
        <w:rPr>
          <w:spacing w:val="-5"/>
        </w:rPr>
        <w:t> </w:t>
      </w:r>
      <w:r>
        <w:rPr/>
        <w:t>y</w:t>
      </w:r>
      <w:r>
        <w:rPr>
          <w:spacing w:val="-6"/>
        </w:rPr>
        <w:t> </w:t>
      </w:r>
      <w:r>
        <w:rPr/>
        <w:t>su</w:t>
      </w:r>
      <w:r>
        <w:rPr>
          <w:spacing w:val="-1"/>
        </w:rPr>
        <w:t> </w:t>
      </w:r>
      <w:r>
        <w:rPr/>
        <w:t>volumen</w:t>
      </w:r>
      <w:r>
        <w:rPr>
          <w:spacing w:val="-4"/>
        </w:rPr>
        <w:t> </w:t>
      </w:r>
      <w:r>
        <w:rPr/>
        <w:t>fue</w:t>
      </w:r>
      <w:r>
        <w:rPr>
          <w:spacing w:val="-3"/>
        </w:rPr>
        <w:t> </w:t>
      </w:r>
      <w:r>
        <w:rPr/>
        <w:t>de</w:t>
      </w:r>
      <w:r>
        <w:rPr>
          <w:spacing w:val="-3"/>
        </w:rPr>
        <w:t> </w:t>
      </w:r>
      <w:r>
        <w:rPr/>
        <w:t>1.83</w:t>
      </w:r>
      <w:r>
        <w:rPr>
          <w:spacing w:val="-4"/>
        </w:rPr>
        <w:t> </w:t>
      </w:r>
      <w:r>
        <w:rPr/>
        <w:t>millones</w:t>
      </w:r>
      <w:r>
        <w:rPr>
          <w:spacing w:val="-5"/>
        </w:rPr>
        <w:t> </w:t>
      </w:r>
      <w:r>
        <w:rPr/>
        <w:t>de</w:t>
      </w:r>
      <w:r>
        <w:rPr>
          <w:spacing w:val="-1"/>
        </w:rPr>
        <w:t> </w:t>
      </w:r>
      <w:r>
        <w:rPr/>
        <w:t>toneladas.</w:t>
      </w:r>
      <w:r>
        <w:rPr>
          <w:spacing w:val="-4"/>
        </w:rPr>
        <w:t> </w:t>
      </w:r>
      <w:r>
        <w:rPr/>
        <w:t>En</w:t>
      </w:r>
      <w:r>
        <w:rPr>
          <w:spacing w:val="-4"/>
        </w:rPr>
        <w:t> </w:t>
      </w:r>
      <w:r>
        <w:rPr/>
        <w:t>2014,</w:t>
      </w:r>
      <w:r>
        <w:rPr>
          <w:spacing w:val="-4"/>
        </w:rPr>
        <w:t> </w:t>
      </w:r>
      <w:r>
        <w:rPr/>
        <w:t>se</w:t>
      </w:r>
      <w:r>
        <w:rPr>
          <w:spacing w:val="-5"/>
        </w:rPr>
        <w:t> </w:t>
      </w:r>
      <w:r>
        <w:rPr/>
        <w:t>produjo</w:t>
      </w:r>
      <w:r>
        <w:rPr>
          <w:spacing w:val="-2"/>
        </w:rPr>
        <w:t> </w:t>
      </w:r>
      <w:r>
        <w:rPr/>
        <w:t>carne</w:t>
      </w:r>
      <w:r>
        <w:rPr>
          <w:spacing w:val="-5"/>
        </w:rPr>
        <w:t> </w:t>
      </w:r>
      <w:r>
        <w:rPr/>
        <w:t>de bovino en 91.21 por ciento de los municipios del país. Para 2015, se proyecta</w:t>
      </w:r>
      <w:r>
        <w:rPr>
          <w:spacing w:val="-24"/>
        </w:rPr>
        <w:t> </w:t>
      </w:r>
      <w:r>
        <w:rPr/>
        <w:t>que</w:t>
      </w:r>
    </w:p>
    <w:p>
      <w:pPr>
        <w:pStyle w:val="BodyText"/>
        <w:spacing w:before="6"/>
        <w:ind w:left="122"/>
        <w:jc w:val="both"/>
      </w:pPr>
      <w:r>
        <w:rPr/>
        <w:t>México producirá 1.88 millones de toneladas de carne de bovino equivalente en canal.</w:t>
      </w:r>
    </w:p>
    <w:p>
      <w:pPr>
        <w:pStyle w:val="BodyText"/>
        <w:rPr>
          <w:sz w:val="22"/>
        </w:rPr>
      </w:pPr>
    </w:p>
    <w:p>
      <w:pPr>
        <w:pStyle w:val="BodyText"/>
        <w:spacing w:before="10"/>
      </w:pPr>
    </w:p>
    <w:p>
      <w:pPr>
        <w:pStyle w:val="BodyText"/>
        <w:spacing w:line="360" w:lineRule="auto"/>
        <w:ind w:left="122" w:right="116"/>
        <w:jc w:val="both"/>
      </w:pPr>
      <w:r>
        <w:rPr/>
        <w:t>En términos de consumo per cápita en México, la carne de bovino lleva una tendencia hacia la baja; en 2000 se consumieron más de 22 kilos por persona al año y en 2014 el consumo fue de aproximadamente 15 kilos. Para 2015, se proyecta que el consumo per cápita anual   disminuya</w:t>
      </w:r>
    </w:p>
    <w:p>
      <w:pPr>
        <w:pStyle w:val="BodyText"/>
        <w:spacing w:line="360" w:lineRule="auto" w:before="4"/>
        <w:ind w:left="122" w:right="123"/>
        <w:jc w:val="both"/>
      </w:pPr>
      <w:r>
        <w:rPr/>
        <w:t>2.3 por ciento. Esto ante el aumento sostenido en el consumo per cápita de carne de pollo y la recuperación en el consumo de carne de cerdo.</w:t>
      </w:r>
    </w:p>
    <w:p>
      <w:pPr>
        <w:pStyle w:val="BodyText"/>
        <w:rPr>
          <w:sz w:val="22"/>
        </w:rPr>
      </w:pPr>
    </w:p>
    <w:p>
      <w:pPr>
        <w:pStyle w:val="BodyText"/>
        <w:spacing w:line="360" w:lineRule="auto" w:before="149"/>
        <w:ind w:left="122" w:right="116"/>
        <w:jc w:val="both"/>
      </w:pPr>
      <w:r>
        <w:rPr/>
        <w:t>El precio de la carne de bovino en México presenta marcada tendencia alcista, impulsado, entre otros factores, por la demanda estadounidense de ganado en pie y carne de bovino.</w:t>
      </w:r>
    </w:p>
    <w:p>
      <w:pPr>
        <w:pStyle w:val="BodyText"/>
        <w:rPr>
          <w:sz w:val="22"/>
        </w:rPr>
      </w:pPr>
    </w:p>
    <w:p>
      <w:pPr>
        <w:pStyle w:val="BodyText"/>
        <w:spacing w:line="360" w:lineRule="auto" w:before="149"/>
        <w:ind w:left="122" w:right="117"/>
        <w:jc w:val="both"/>
      </w:pPr>
      <w:r>
        <w:rPr/>
        <w:t>Así, se espera que las perspectivas de rentabilidad de la actividad primaria nacional se mantengan, en general, favorables durante lo que resta de 2015 y 2016.</w:t>
      </w:r>
    </w:p>
    <w:p>
      <w:pPr>
        <w:spacing w:after="0" w:line="360" w:lineRule="auto"/>
        <w:jc w:val="both"/>
        <w:sectPr>
          <w:headerReference w:type="default" r:id="rId19"/>
          <w:pgSz w:w="12240" w:h="15840"/>
          <w:pgMar w:header="1238" w:footer="1972" w:top="1420" w:bottom="2160" w:left="1580" w:right="1580"/>
        </w:sectPr>
      </w:pPr>
    </w:p>
    <w:p>
      <w:pPr>
        <w:pStyle w:val="BodyText"/>
        <w:rPr>
          <w:sz w:val="20"/>
        </w:rPr>
      </w:pPr>
    </w:p>
    <w:p>
      <w:pPr>
        <w:pStyle w:val="BodyText"/>
        <w:rPr>
          <w:sz w:val="20"/>
        </w:rPr>
      </w:pPr>
    </w:p>
    <w:p>
      <w:pPr>
        <w:pStyle w:val="BodyText"/>
        <w:rPr>
          <w:sz w:val="28"/>
        </w:rPr>
      </w:pPr>
    </w:p>
    <w:p>
      <w:pPr>
        <w:pStyle w:val="BodyText"/>
        <w:spacing w:line="360" w:lineRule="auto" w:before="71"/>
        <w:ind w:left="122" w:right="118"/>
        <w:jc w:val="both"/>
      </w:pPr>
      <w:r>
        <w:rPr/>
        <w:t>En México la ganadería bovina representa una de las principales actividades del sector agropecuario,</w:t>
      </w:r>
      <w:r>
        <w:rPr>
          <w:spacing w:val="-12"/>
        </w:rPr>
        <w:t> </w:t>
      </w:r>
      <w:r>
        <w:rPr/>
        <w:t>por</w:t>
      </w:r>
      <w:r>
        <w:rPr>
          <w:spacing w:val="-12"/>
        </w:rPr>
        <w:t> </w:t>
      </w:r>
      <w:r>
        <w:rPr/>
        <w:t>la</w:t>
      </w:r>
      <w:r>
        <w:rPr>
          <w:spacing w:val="-14"/>
        </w:rPr>
        <w:t> </w:t>
      </w:r>
      <w:r>
        <w:rPr/>
        <w:t>contribución</w:t>
      </w:r>
      <w:r>
        <w:rPr>
          <w:spacing w:val="-12"/>
        </w:rPr>
        <w:t> </w:t>
      </w:r>
      <w:r>
        <w:rPr/>
        <w:t>que</w:t>
      </w:r>
      <w:r>
        <w:rPr>
          <w:spacing w:val="-11"/>
        </w:rPr>
        <w:t> </w:t>
      </w:r>
      <w:r>
        <w:rPr/>
        <w:t>realiza</w:t>
      </w:r>
      <w:r>
        <w:rPr>
          <w:spacing w:val="-11"/>
        </w:rPr>
        <w:t> </w:t>
      </w:r>
      <w:r>
        <w:rPr/>
        <w:t>a</w:t>
      </w:r>
      <w:r>
        <w:rPr>
          <w:spacing w:val="-7"/>
        </w:rPr>
        <w:t> </w:t>
      </w:r>
      <w:r>
        <w:rPr/>
        <w:t>la</w:t>
      </w:r>
      <w:r>
        <w:rPr>
          <w:spacing w:val="-11"/>
        </w:rPr>
        <w:t> </w:t>
      </w:r>
      <w:r>
        <w:rPr/>
        <w:t>oferta</w:t>
      </w:r>
      <w:r>
        <w:rPr>
          <w:spacing w:val="-11"/>
        </w:rPr>
        <w:t> </w:t>
      </w:r>
      <w:r>
        <w:rPr/>
        <w:t>de</w:t>
      </w:r>
      <w:r>
        <w:rPr>
          <w:spacing w:val="-11"/>
        </w:rPr>
        <w:t> </w:t>
      </w:r>
      <w:r>
        <w:rPr/>
        <w:t>productos</w:t>
      </w:r>
      <w:r>
        <w:rPr>
          <w:spacing w:val="-13"/>
        </w:rPr>
        <w:t> </w:t>
      </w:r>
      <w:r>
        <w:rPr/>
        <w:t>cárnicos</w:t>
      </w:r>
      <w:r>
        <w:rPr>
          <w:spacing w:val="-10"/>
        </w:rPr>
        <w:t> </w:t>
      </w:r>
      <w:r>
        <w:rPr/>
        <w:t>y</w:t>
      </w:r>
      <w:r>
        <w:rPr>
          <w:spacing w:val="-14"/>
        </w:rPr>
        <w:t> </w:t>
      </w:r>
      <w:r>
        <w:rPr/>
        <w:t>lácteos,</w:t>
      </w:r>
      <w:r>
        <w:rPr>
          <w:spacing w:val="-12"/>
        </w:rPr>
        <w:t> </w:t>
      </w:r>
      <w:r>
        <w:rPr/>
        <w:t>así</w:t>
      </w:r>
      <w:r>
        <w:rPr>
          <w:spacing w:val="-14"/>
        </w:rPr>
        <w:t> </w:t>
      </w:r>
      <w:r>
        <w:rPr/>
        <w:t>como su participación en la balanza comercial del país, donde las exportaciones de becerros en pie siguen siendo su principal rubro de aportación a la balanza comercial, por otro lado los patrones culturales de consumo de los diferentes productos cárnicos, han hecho que la carne de ganado bovino</w:t>
      </w:r>
      <w:r>
        <w:rPr>
          <w:spacing w:val="-7"/>
        </w:rPr>
        <w:t> </w:t>
      </w:r>
      <w:r>
        <w:rPr/>
        <w:t>siga</w:t>
      </w:r>
      <w:r>
        <w:rPr>
          <w:spacing w:val="-6"/>
        </w:rPr>
        <w:t> </w:t>
      </w:r>
      <w:r>
        <w:rPr/>
        <w:t>siendo</w:t>
      </w:r>
      <w:r>
        <w:rPr>
          <w:spacing w:val="-10"/>
        </w:rPr>
        <w:t> </w:t>
      </w:r>
      <w:r>
        <w:rPr/>
        <w:t>el</w:t>
      </w:r>
      <w:r>
        <w:rPr>
          <w:spacing w:val="-9"/>
        </w:rPr>
        <w:t> </w:t>
      </w:r>
      <w:r>
        <w:rPr/>
        <w:t>eje</w:t>
      </w:r>
      <w:r>
        <w:rPr>
          <w:spacing w:val="-9"/>
        </w:rPr>
        <w:t> </w:t>
      </w:r>
      <w:r>
        <w:rPr/>
        <w:t>ordenador</w:t>
      </w:r>
      <w:r>
        <w:rPr>
          <w:spacing w:val="-10"/>
        </w:rPr>
        <w:t> </w:t>
      </w:r>
      <w:r>
        <w:rPr/>
        <w:t>de</w:t>
      </w:r>
      <w:r>
        <w:rPr>
          <w:spacing w:val="-9"/>
        </w:rPr>
        <w:t> </w:t>
      </w:r>
      <w:r>
        <w:rPr/>
        <w:t>la</w:t>
      </w:r>
      <w:r>
        <w:rPr>
          <w:spacing w:val="-6"/>
        </w:rPr>
        <w:t> </w:t>
      </w:r>
      <w:r>
        <w:rPr/>
        <w:t>demanda</w:t>
      </w:r>
      <w:r>
        <w:rPr>
          <w:spacing w:val="-9"/>
        </w:rPr>
        <w:t> </w:t>
      </w:r>
      <w:r>
        <w:rPr/>
        <w:t>y</w:t>
      </w:r>
      <w:r>
        <w:rPr>
          <w:spacing w:val="-10"/>
        </w:rPr>
        <w:t> </w:t>
      </w:r>
      <w:r>
        <w:rPr/>
        <w:t>de</w:t>
      </w:r>
      <w:r>
        <w:rPr>
          <w:spacing w:val="-6"/>
        </w:rPr>
        <w:t> </w:t>
      </w:r>
      <w:r>
        <w:rPr/>
        <w:t>los</w:t>
      </w:r>
      <w:r>
        <w:rPr>
          <w:spacing w:val="-10"/>
        </w:rPr>
        <w:t> </w:t>
      </w:r>
      <w:r>
        <w:rPr/>
        <w:t>precios</w:t>
      </w:r>
      <w:r>
        <w:rPr>
          <w:spacing w:val="-8"/>
        </w:rPr>
        <w:t> </w:t>
      </w:r>
      <w:r>
        <w:rPr/>
        <w:t>de</w:t>
      </w:r>
      <w:r>
        <w:rPr>
          <w:spacing w:val="-9"/>
        </w:rPr>
        <w:t> </w:t>
      </w:r>
      <w:r>
        <w:rPr/>
        <w:t>las</w:t>
      </w:r>
      <w:r>
        <w:rPr>
          <w:spacing w:val="-8"/>
        </w:rPr>
        <w:t> </w:t>
      </w:r>
      <w:r>
        <w:rPr/>
        <w:t>demás</w:t>
      </w:r>
      <w:r>
        <w:rPr>
          <w:spacing w:val="-8"/>
        </w:rPr>
        <w:t> </w:t>
      </w:r>
      <w:r>
        <w:rPr/>
        <w:t>carnes</w:t>
      </w:r>
      <w:r>
        <w:rPr>
          <w:spacing w:val="-8"/>
        </w:rPr>
        <w:t> </w:t>
      </w:r>
      <w:r>
        <w:rPr/>
        <w:t>en</w:t>
      </w:r>
      <w:r>
        <w:rPr>
          <w:spacing w:val="-10"/>
        </w:rPr>
        <w:t> </w:t>
      </w:r>
      <w:r>
        <w:rPr/>
        <w:t>el</w:t>
      </w:r>
      <w:r>
        <w:rPr>
          <w:spacing w:val="-7"/>
        </w:rPr>
        <w:t> </w:t>
      </w:r>
      <w:r>
        <w:rPr/>
        <w:t>país (FIRA,</w:t>
      </w:r>
      <w:r>
        <w:rPr>
          <w:spacing w:val="-3"/>
        </w:rPr>
        <w:t> </w:t>
      </w:r>
      <w:r>
        <w:rPr/>
        <w:t>2015).</w:t>
      </w:r>
    </w:p>
    <w:p>
      <w:pPr>
        <w:pStyle w:val="BodyText"/>
        <w:rPr>
          <w:sz w:val="22"/>
        </w:rPr>
      </w:pPr>
    </w:p>
    <w:p>
      <w:pPr>
        <w:pStyle w:val="BodyText"/>
        <w:spacing w:line="360" w:lineRule="auto" w:before="147"/>
        <w:ind w:left="122" w:right="115"/>
        <w:jc w:val="both"/>
      </w:pPr>
      <w:r>
        <w:rPr/>
        <w:t>En</w:t>
      </w:r>
      <w:r>
        <w:rPr>
          <w:spacing w:val="-16"/>
        </w:rPr>
        <w:t> </w:t>
      </w:r>
      <w:r>
        <w:rPr/>
        <w:t>nuestro</w:t>
      </w:r>
      <w:r>
        <w:rPr>
          <w:spacing w:val="-16"/>
        </w:rPr>
        <w:t> </w:t>
      </w:r>
      <w:r>
        <w:rPr/>
        <w:t>país,</w:t>
      </w:r>
      <w:r>
        <w:rPr>
          <w:spacing w:val="-16"/>
        </w:rPr>
        <w:t> </w:t>
      </w:r>
      <w:r>
        <w:rPr/>
        <w:t>el</w:t>
      </w:r>
      <w:r>
        <w:rPr>
          <w:spacing w:val="-18"/>
        </w:rPr>
        <w:t> </w:t>
      </w:r>
      <w:r>
        <w:rPr/>
        <w:t>estado</w:t>
      </w:r>
      <w:r>
        <w:rPr>
          <w:spacing w:val="-16"/>
        </w:rPr>
        <w:t> </w:t>
      </w:r>
      <w:r>
        <w:rPr/>
        <w:t>de</w:t>
      </w:r>
      <w:r>
        <w:rPr>
          <w:spacing w:val="-12"/>
        </w:rPr>
        <w:t> </w:t>
      </w:r>
      <w:r>
        <w:rPr/>
        <w:t>Veracruz</w:t>
      </w:r>
      <w:r>
        <w:rPr>
          <w:spacing w:val="-17"/>
        </w:rPr>
        <w:t> </w:t>
      </w:r>
      <w:r>
        <w:rPr/>
        <w:t>aporta</w:t>
      </w:r>
      <w:r>
        <w:rPr>
          <w:spacing w:val="-15"/>
        </w:rPr>
        <w:t> </w:t>
      </w:r>
      <w:r>
        <w:rPr/>
        <w:t>el</w:t>
      </w:r>
      <w:r>
        <w:rPr>
          <w:spacing w:val="-15"/>
        </w:rPr>
        <w:t> </w:t>
      </w:r>
      <w:r>
        <w:rPr/>
        <w:t>14%</w:t>
      </w:r>
      <w:r>
        <w:rPr>
          <w:spacing w:val="-16"/>
        </w:rPr>
        <w:t> </w:t>
      </w:r>
      <w:r>
        <w:rPr/>
        <w:t>de</w:t>
      </w:r>
      <w:r>
        <w:rPr>
          <w:spacing w:val="-15"/>
        </w:rPr>
        <w:t> </w:t>
      </w:r>
      <w:r>
        <w:rPr/>
        <w:t>la</w:t>
      </w:r>
      <w:r>
        <w:rPr>
          <w:spacing w:val="-15"/>
        </w:rPr>
        <w:t> </w:t>
      </w:r>
      <w:r>
        <w:rPr/>
        <w:t>producción</w:t>
      </w:r>
      <w:r>
        <w:rPr>
          <w:spacing w:val="-16"/>
        </w:rPr>
        <w:t> </w:t>
      </w:r>
      <w:r>
        <w:rPr/>
        <w:t>de</w:t>
      </w:r>
      <w:r>
        <w:rPr>
          <w:spacing w:val="-17"/>
        </w:rPr>
        <w:t> </w:t>
      </w:r>
      <w:r>
        <w:rPr/>
        <w:t>carne</w:t>
      </w:r>
      <w:r>
        <w:rPr>
          <w:spacing w:val="-15"/>
        </w:rPr>
        <w:t> </w:t>
      </w:r>
      <w:r>
        <w:rPr/>
        <w:t>de</w:t>
      </w:r>
      <w:r>
        <w:rPr>
          <w:spacing w:val="-17"/>
        </w:rPr>
        <w:t> </w:t>
      </w:r>
      <w:r>
        <w:rPr/>
        <w:t>bovino,</w:t>
      </w:r>
      <w:r>
        <w:rPr>
          <w:spacing w:val="-16"/>
        </w:rPr>
        <w:t> </w:t>
      </w:r>
      <w:r>
        <w:rPr/>
        <w:t>seguido por</w:t>
      </w:r>
      <w:r>
        <w:rPr>
          <w:spacing w:val="-4"/>
        </w:rPr>
        <w:t> </w:t>
      </w:r>
      <w:r>
        <w:rPr/>
        <w:t>Jalisco</w:t>
      </w:r>
      <w:r>
        <w:rPr>
          <w:spacing w:val="-3"/>
        </w:rPr>
        <w:t> </w:t>
      </w:r>
      <w:r>
        <w:rPr/>
        <w:t>con</w:t>
      </w:r>
      <w:r>
        <w:rPr>
          <w:spacing w:val="-4"/>
        </w:rPr>
        <w:t> </w:t>
      </w:r>
      <w:r>
        <w:rPr/>
        <w:t>el</w:t>
      </w:r>
      <w:r>
        <w:rPr>
          <w:spacing w:val="-3"/>
        </w:rPr>
        <w:t> </w:t>
      </w:r>
      <w:r>
        <w:rPr/>
        <w:t>11%,</w:t>
      </w:r>
      <w:r>
        <w:rPr>
          <w:spacing w:val="-4"/>
        </w:rPr>
        <w:t> </w:t>
      </w:r>
      <w:r>
        <w:rPr/>
        <w:t>Chiapas</w:t>
      </w:r>
      <w:r>
        <w:rPr>
          <w:spacing w:val="-3"/>
        </w:rPr>
        <w:t> </w:t>
      </w:r>
      <w:r>
        <w:rPr/>
        <w:t>6%,</w:t>
      </w:r>
      <w:r>
        <w:rPr>
          <w:spacing w:val="-4"/>
        </w:rPr>
        <w:t> </w:t>
      </w:r>
      <w:r>
        <w:rPr/>
        <w:t>Sinaloa</w:t>
      </w:r>
      <w:r>
        <w:rPr>
          <w:spacing w:val="-3"/>
        </w:rPr>
        <w:t> </w:t>
      </w:r>
      <w:r>
        <w:rPr/>
        <w:t>5%</w:t>
      </w:r>
      <w:r>
        <w:rPr>
          <w:spacing w:val="-1"/>
        </w:rPr>
        <w:t> </w:t>
      </w:r>
      <w:r>
        <w:rPr/>
        <w:t>y</w:t>
      </w:r>
      <w:r>
        <w:rPr>
          <w:spacing w:val="-8"/>
        </w:rPr>
        <w:t> </w:t>
      </w:r>
      <w:r>
        <w:rPr/>
        <w:t>el</w:t>
      </w:r>
      <w:r>
        <w:rPr>
          <w:spacing w:val="-3"/>
        </w:rPr>
        <w:t> </w:t>
      </w:r>
      <w:r>
        <w:rPr/>
        <w:t>resto</w:t>
      </w:r>
      <w:r>
        <w:rPr>
          <w:spacing w:val="-4"/>
        </w:rPr>
        <w:t> </w:t>
      </w:r>
      <w:r>
        <w:rPr/>
        <w:t>del</w:t>
      </w:r>
      <w:r>
        <w:rPr>
          <w:spacing w:val="-3"/>
        </w:rPr>
        <w:t> </w:t>
      </w:r>
      <w:r>
        <w:rPr/>
        <w:t>país</w:t>
      </w:r>
      <w:r>
        <w:rPr>
          <w:spacing w:val="-5"/>
        </w:rPr>
        <w:t> </w:t>
      </w:r>
      <w:r>
        <w:rPr/>
        <w:t>aporta</w:t>
      </w:r>
      <w:r>
        <w:rPr>
          <w:spacing w:val="-5"/>
        </w:rPr>
        <w:t> </w:t>
      </w:r>
      <w:r>
        <w:rPr/>
        <w:t>en</w:t>
      </w:r>
      <w:r>
        <w:rPr>
          <w:spacing w:val="-4"/>
        </w:rPr>
        <w:t> </w:t>
      </w:r>
      <w:r>
        <w:rPr/>
        <w:t>su</w:t>
      </w:r>
      <w:r>
        <w:rPr>
          <w:spacing w:val="-4"/>
        </w:rPr>
        <w:t> </w:t>
      </w:r>
      <w:r>
        <w:rPr/>
        <w:t>conjunto</w:t>
      </w:r>
      <w:r>
        <w:rPr>
          <w:spacing w:val="-6"/>
        </w:rPr>
        <w:t> </w:t>
      </w:r>
      <w:r>
        <w:rPr/>
        <w:t>el</w:t>
      </w:r>
      <w:r>
        <w:rPr>
          <w:spacing w:val="-1"/>
        </w:rPr>
        <w:t> </w:t>
      </w:r>
      <w:r>
        <w:rPr/>
        <w:t>64% (SIAP-SAGARPA,</w:t>
      </w:r>
      <w:r>
        <w:rPr>
          <w:spacing w:val="-5"/>
        </w:rPr>
        <w:t> </w:t>
      </w:r>
      <w:r>
        <w:rPr/>
        <w:t>2014).</w:t>
      </w:r>
    </w:p>
    <w:p>
      <w:pPr>
        <w:pStyle w:val="BodyText"/>
        <w:rPr>
          <w:sz w:val="22"/>
        </w:rPr>
      </w:pPr>
    </w:p>
    <w:p>
      <w:pPr>
        <w:pStyle w:val="BodyText"/>
        <w:spacing w:line="360" w:lineRule="auto" w:before="149"/>
        <w:ind w:left="122" w:right="118"/>
        <w:jc w:val="both"/>
      </w:pPr>
      <w:r>
        <w:rPr/>
        <w:t>El Estado de México aporta el 3% (85,865 ton) de la producción nacional de ganado bovino en pie,</w:t>
      </w:r>
      <w:r>
        <w:rPr>
          <w:spacing w:val="-8"/>
        </w:rPr>
        <w:t> </w:t>
      </w:r>
      <w:r>
        <w:rPr/>
        <w:t>concentrándose</w:t>
      </w:r>
      <w:r>
        <w:rPr>
          <w:spacing w:val="-8"/>
        </w:rPr>
        <w:t> </w:t>
      </w:r>
      <w:r>
        <w:rPr/>
        <w:t>la</w:t>
      </w:r>
      <w:r>
        <w:rPr>
          <w:spacing w:val="-8"/>
        </w:rPr>
        <w:t> </w:t>
      </w:r>
      <w:r>
        <w:rPr/>
        <w:t>mayor</w:t>
      </w:r>
      <w:r>
        <w:rPr>
          <w:spacing w:val="-9"/>
        </w:rPr>
        <w:t> </w:t>
      </w:r>
      <w:r>
        <w:rPr/>
        <w:t>producción</w:t>
      </w:r>
      <w:r>
        <w:rPr>
          <w:spacing w:val="-9"/>
        </w:rPr>
        <w:t> </w:t>
      </w:r>
      <w:r>
        <w:rPr/>
        <w:t>en</w:t>
      </w:r>
      <w:r>
        <w:rPr>
          <w:spacing w:val="-9"/>
        </w:rPr>
        <w:t> </w:t>
      </w:r>
      <w:r>
        <w:rPr/>
        <w:t>el</w:t>
      </w:r>
      <w:r>
        <w:rPr>
          <w:spacing w:val="-8"/>
        </w:rPr>
        <w:t> </w:t>
      </w:r>
      <w:r>
        <w:rPr/>
        <w:t>distrito</w:t>
      </w:r>
      <w:r>
        <w:rPr>
          <w:spacing w:val="-9"/>
        </w:rPr>
        <w:t> </w:t>
      </w:r>
      <w:r>
        <w:rPr/>
        <w:t>de</w:t>
      </w:r>
      <w:r>
        <w:rPr>
          <w:spacing w:val="-8"/>
        </w:rPr>
        <w:t> </w:t>
      </w:r>
      <w:r>
        <w:rPr/>
        <w:t>Atlacomulco</w:t>
      </w:r>
      <w:r>
        <w:rPr>
          <w:spacing w:val="-9"/>
        </w:rPr>
        <w:t> </w:t>
      </w:r>
      <w:r>
        <w:rPr/>
        <w:t>con</w:t>
      </w:r>
      <w:r>
        <w:rPr>
          <w:spacing w:val="-9"/>
        </w:rPr>
        <w:t> </w:t>
      </w:r>
      <w:r>
        <w:rPr/>
        <w:t>un</w:t>
      </w:r>
      <w:r>
        <w:rPr>
          <w:spacing w:val="-11"/>
        </w:rPr>
        <w:t> </w:t>
      </w:r>
      <w:r>
        <w:rPr/>
        <w:t>21%</w:t>
      </w:r>
      <w:r>
        <w:rPr>
          <w:spacing w:val="-9"/>
        </w:rPr>
        <w:t> </w:t>
      </w:r>
      <w:r>
        <w:rPr/>
        <w:t>(17,845</w:t>
      </w:r>
      <w:r>
        <w:rPr>
          <w:spacing w:val="-9"/>
        </w:rPr>
        <w:t> </w:t>
      </w:r>
      <w:r>
        <w:rPr/>
        <w:t>ton), seguido</w:t>
      </w:r>
      <w:r>
        <w:rPr>
          <w:spacing w:val="-11"/>
        </w:rPr>
        <w:t> </w:t>
      </w:r>
      <w:r>
        <w:rPr/>
        <w:t>por</w:t>
      </w:r>
      <w:r>
        <w:rPr>
          <w:spacing w:val="-11"/>
        </w:rPr>
        <w:t> </w:t>
      </w:r>
      <w:r>
        <w:rPr/>
        <w:t>el</w:t>
      </w:r>
      <w:r>
        <w:rPr>
          <w:spacing w:val="-11"/>
        </w:rPr>
        <w:t> </w:t>
      </w:r>
      <w:r>
        <w:rPr/>
        <w:t>distrito</w:t>
      </w:r>
      <w:r>
        <w:rPr>
          <w:spacing w:val="-11"/>
        </w:rPr>
        <w:t> </w:t>
      </w:r>
      <w:r>
        <w:rPr/>
        <w:t>de</w:t>
      </w:r>
      <w:r>
        <w:rPr>
          <w:spacing w:val="-10"/>
        </w:rPr>
        <w:t> </w:t>
      </w:r>
      <w:r>
        <w:rPr/>
        <w:t>Tejupilco,</w:t>
      </w:r>
      <w:r>
        <w:rPr>
          <w:spacing w:val="-13"/>
        </w:rPr>
        <w:t> </w:t>
      </w:r>
      <w:r>
        <w:rPr/>
        <w:t>el</w:t>
      </w:r>
      <w:r>
        <w:rPr>
          <w:spacing w:val="-11"/>
        </w:rPr>
        <w:t> </w:t>
      </w:r>
      <w:r>
        <w:rPr/>
        <w:t>cual</w:t>
      </w:r>
      <w:r>
        <w:rPr>
          <w:spacing w:val="-13"/>
        </w:rPr>
        <w:t> </w:t>
      </w:r>
      <w:r>
        <w:rPr/>
        <w:t>aporta</w:t>
      </w:r>
      <w:r>
        <w:rPr>
          <w:spacing w:val="-10"/>
        </w:rPr>
        <w:t> </w:t>
      </w:r>
      <w:r>
        <w:rPr/>
        <w:t>el</w:t>
      </w:r>
      <w:r>
        <w:rPr>
          <w:spacing w:val="-11"/>
        </w:rPr>
        <w:t> </w:t>
      </w:r>
      <w:r>
        <w:rPr/>
        <w:t>18%</w:t>
      </w:r>
      <w:r>
        <w:rPr>
          <w:spacing w:val="-11"/>
        </w:rPr>
        <w:t> </w:t>
      </w:r>
      <w:r>
        <w:rPr/>
        <w:t>(15,001</w:t>
      </w:r>
      <w:r>
        <w:rPr>
          <w:spacing w:val="-11"/>
        </w:rPr>
        <w:t> </w:t>
      </w:r>
      <w:r>
        <w:rPr/>
        <w:t>ton)</w:t>
      </w:r>
      <w:r>
        <w:rPr>
          <w:spacing w:val="-11"/>
        </w:rPr>
        <w:t> </w:t>
      </w:r>
      <w:r>
        <w:rPr/>
        <w:t>(SIAP-SAGARPA,</w:t>
      </w:r>
      <w:r>
        <w:rPr>
          <w:spacing w:val="-11"/>
        </w:rPr>
        <w:t> </w:t>
      </w:r>
      <w:r>
        <w:rPr/>
        <w:t>2014).</w:t>
      </w:r>
    </w:p>
    <w:p>
      <w:pPr>
        <w:pStyle w:val="BodyText"/>
        <w:rPr>
          <w:sz w:val="22"/>
        </w:rPr>
      </w:pPr>
    </w:p>
    <w:p>
      <w:pPr>
        <w:pStyle w:val="BodyText"/>
        <w:spacing w:line="360" w:lineRule="auto" w:before="150"/>
        <w:ind w:left="122" w:right="120"/>
        <w:jc w:val="both"/>
      </w:pPr>
      <w:r>
        <w:rPr/>
        <w:t>En el distrito de Tejupilco la producción se distribuye de la siguiente manera: Tlatlaya 30%, Amatepec 20%, Luvianos 16%, Tejupilco 15%, Temascaltepec 14% y San Simón de Guerrero 5%, de acuerdo a estos datos el sur del Estado de México tiene el potencial para la producción de bovinos carne y también es importante señalar que esta actividad pecuaria es una fuente de ingresos muy significativa para los ganaderos de esta región (SIAP-SAGARPA, 2014).</w:t>
      </w:r>
    </w:p>
    <w:p>
      <w:pPr>
        <w:pStyle w:val="BodyText"/>
        <w:rPr>
          <w:sz w:val="22"/>
        </w:rPr>
      </w:pPr>
    </w:p>
    <w:p>
      <w:pPr>
        <w:pStyle w:val="BodyText"/>
        <w:spacing w:line="360" w:lineRule="auto" w:before="149"/>
        <w:ind w:left="122" w:right="123"/>
        <w:jc w:val="both"/>
      </w:pPr>
      <w:r>
        <w:rPr/>
        <w:t>Las razas de bovinos carne que predominan en este distrito son: charoláis, simbrah, suizo americano, suizo europeo, simmental y suizbu, las cuales ofrecen muy buenos resultados en la producción de carne y se adaptan a las condiciones climáticas de la región calentana del Estado de México.</w:t>
      </w:r>
    </w:p>
    <w:p>
      <w:pPr>
        <w:spacing w:after="0" w:line="360" w:lineRule="auto"/>
        <w:jc w:val="both"/>
        <w:sectPr>
          <w:footerReference w:type="default" r:id="rId20"/>
          <w:pgSz w:w="12240" w:h="15840"/>
          <w:pgMar w:footer="2375" w:header="1238" w:top="1420" w:bottom="2560" w:left="1580" w:right="1580"/>
          <w:pgNumType w:start="4"/>
        </w:sectPr>
      </w:pPr>
    </w:p>
    <w:p>
      <w:pPr>
        <w:pStyle w:val="BodyText"/>
        <w:spacing w:line="360" w:lineRule="auto" w:before="50"/>
        <w:ind w:left="122" w:right="106"/>
        <w:jc w:val="both"/>
      </w:pPr>
      <w:r>
        <w:rPr/>
        <w:t>La explotación se lleva a cabo en sistemas extensivos y semintensivos aprovechando el pastizal natural de las praderas y algunas variedades de pasto introducidas como estrella, llanero, brachiaria, entre otros (SAGARPA, 2014).</w:t>
      </w:r>
    </w:p>
    <w:p>
      <w:pPr>
        <w:pStyle w:val="BodyText"/>
        <w:rPr>
          <w:sz w:val="22"/>
        </w:rPr>
      </w:pPr>
    </w:p>
    <w:p>
      <w:pPr>
        <w:pStyle w:val="BodyText"/>
        <w:spacing w:line="360" w:lineRule="auto" w:before="149"/>
        <w:ind w:left="122" w:right="104"/>
        <w:jc w:val="both"/>
      </w:pPr>
      <w:r>
        <w:rPr/>
        <w:t>En la producción de carne de bovino participan varios factores que aportan cierto porcentaje en la producción y que están relacionados entre sí de cierta manera.</w:t>
      </w:r>
    </w:p>
    <w:p>
      <w:pPr>
        <w:pStyle w:val="BodyText"/>
        <w:rPr>
          <w:sz w:val="22"/>
        </w:rPr>
      </w:pPr>
    </w:p>
    <w:p>
      <w:pPr>
        <w:pStyle w:val="BodyText"/>
        <w:spacing w:line="360" w:lineRule="auto" w:before="149"/>
        <w:ind w:left="122" w:right="105"/>
        <w:jc w:val="both"/>
      </w:pPr>
      <w:r>
        <w:rPr/>
        <w:t>Para conocer esta relación entre los factores o insumos y la producción es necesario utilizar las funciones de producción, las cuales son una herramienta fundamental para establecer la dependencia de la producción con respecto a los factores independientes (Aguirre, 1975).</w:t>
      </w:r>
    </w:p>
    <w:p>
      <w:pPr>
        <w:pStyle w:val="BodyText"/>
        <w:rPr>
          <w:sz w:val="22"/>
        </w:rPr>
      </w:pPr>
    </w:p>
    <w:p>
      <w:pPr>
        <w:pStyle w:val="BodyText"/>
        <w:spacing w:line="360" w:lineRule="auto" w:before="149"/>
        <w:ind w:left="122" w:right="104"/>
        <w:jc w:val="both"/>
      </w:pPr>
      <w:r>
        <w:rPr/>
        <w:t>Las funciones de producción son expresiones matemáticas, las cuales conjugan conceptos económicos y estadísticos que explican la relación que existe entre el producto obtenido y la combinación de los factores.</w:t>
      </w:r>
    </w:p>
    <w:p>
      <w:pPr>
        <w:pStyle w:val="BodyText"/>
        <w:rPr>
          <w:sz w:val="22"/>
        </w:rPr>
      </w:pPr>
    </w:p>
    <w:p>
      <w:pPr>
        <w:pStyle w:val="BodyText"/>
        <w:spacing w:line="360" w:lineRule="auto" w:before="149"/>
        <w:ind w:left="122" w:right="161"/>
        <w:jc w:val="both"/>
      </w:pPr>
      <w:r>
        <w:rPr/>
        <w:t>Algunos componentes de las funciones de producción en la ganadería bovina de carne son: tipo de pastizal, superficie ganadera empleada en la producción, cantidad de alimento o suplemento empleado, gastos de sanidad del animal, y la mano de obra, de estos, los tres últimos son los de mayores limitaciones (Debertin, 1986).</w:t>
      </w:r>
    </w:p>
    <w:p>
      <w:pPr>
        <w:pStyle w:val="BodyText"/>
        <w:rPr>
          <w:sz w:val="22"/>
        </w:rPr>
      </w:pPr>
    </w:p>
    <w:p>
      <w:pPr>
        <w:pStyle w:val="BodyText"/>
        <w:spacing w:line="360" w:lineRule="auto" w:before="147"/>
        <w:ind w:left="122" w:right="101"/>
        <w:jc w:val="both"/>
      </w:pPr>
      <w:r>
        <w:rPr/>
        <w:t>La función de producción de Cobb-Douglas es la función de producción más utilizada en economía, basada su popularidad en el cumplimiento de las propiedades básicas que los economistas consideran deseables. Es la función de producción neoclásica por excelencia (Sanchoa, 2005).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7"/>
        </w:rPr>
      </w:pPr>
      <w:r>
        <w:rPr/>
        <w:pict>
          <v:line style="position:absolute;mso-position-horizontal-relative:page;mso-position-vertical-relative:paragraph;z-index:1336;mso-wrap-distance-left:0;mso-wrap-distance-right:0" from="85.103996pt,17.706581pt" to="525.960017pt,17.706581pt" stroked="true" strokeweight=".36pt" strokecolor="#000000">
            <w10:wrap type="topAndBottom"/>
          </v:line>
        </w:pict>
      </w:r>
    </w:p>
    <w:p>
      <w:pPr>
        <w:tabs>
          <w:tab w:pos="4003" w:val="left" w:leader="none"/>
          <w:tab w:pos="8329" w:val="left" w:leader="none"/>
        </w:tabs>
        <w:spacing w:before="73"/>
        <w:ind w:left="122" w:right="64"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3"/>
          <w:sz w:val="18"/>
        </w:rPr>
        <w:t> </w:t>
      </w:r>
      <w:r>
        <w:rPr>
          <w:sz w:val="18"/>
        </w:rPr>
        <w:t>5</w:t>
      </w:r>
    </w:p>
    <w:p>
      <w:pPr>
        <w:spacing w:after="0"/>
        <w:jc w:val="left"/>
        <w:rPr>
          <w:sz w:val="18"/>
        </w:rPr>
        <w:sectPr>
          <w:headerReference w:type="default" r:id="rId21"/>
          <w:footerReference w:type="default" r:id="rId22"/>
          <w:pgSz w:w="12240" w:h="15840"/>
          <w:pgMar w:header="0" w:footer="2033" w:top="1360" w:bottom="2220" w:left="1580" w:right="1600"/>
        </w:sectPr>
      </w:pPr>
    </w:p>
    <w:p>
      <w:pPr>
        <w:pStyle w:val="BodyText"/>
        <w:rPr>
          <w:sz w:val="20"/>
        </w:rPr>
      </w:pPr>
      <w:r>
        <w:rPr/>
        <w:pict>
          <v:group style="position:absolute;margin-left:84.903999pt;margin-top:97.650002pt;width:441.3pt;height:573.25pt;mso-position-horizontal-relative:page;mso-position-vertical-relative:page;z-index:-131176" coordorigin="1698,1953" coordsize="8826,11465">
            <v:shape style="position:absolute;left:1757;top:1963;width:8690;height:11445" coordorigin="1757,1963" coordsize="8690,11445" path="m1757,3411l1759,3334,1765,3259,1775,3184,1788,3110,1806,3038,1826,2968,1850,2898,1878,2831,1909,2765,1943,2701,1980,2639,2020,2579,2062,2522,2108,2466,2156,2413,2207,2362,2260,2314,2316,2268,2373,2226,2433,2186,2495,2149,2559,2115,2625,2084,2692,2056,2762,2032,2832,2012,2904,1994,2978,1981,3053,1971,3128,1965,3205,1963,8999,1963,9076,1965,9151,1971,9226,1981,9300,1994,9372,2012,9442,2032,9512,2056,9579,2084,9645,2115,9709,2149,9771,2186,9831,2226,9888,2268,9944,2314,9997,2362,10048,2413,10096,2466,10142,2522,10184,2579,10224,2639,10261,2701,10295,2765,10326,2831,10354,2898,10378,2968,10398,3038,10416,3110,10429,3184,10439,3259,10445,3334,10447,3411,10447,11960,10445,12037,10439,12112,10429,12187,10416,12261,10398,12333,10378,12403,10354,12473,10326,12540,10295,12606,10261,12670,10224,12732,10184,12792,10142,12849,10096,12905,10048,12958,9997,13009,9944,13057,9888,13103,9831,13145,9771,13185,9709,13222,9645,13256,9579,13287,9512,13315,9442,13339,9372,13359,9300,13377,9226,13390,9151,13400,9076,13406,8999,13408,3205,13408,3128,13406,3053,13400,2978,13390,2904,13377,2832,13359,2762,13339,2692,13315,2625,13287,2559,13256,2495,13222,2433,13185,2373,13145,2316,13103,2260,13057,2207,13009,2156,12958,2108,12905,2062,12849,2020,12792,1980,12732,1943,12670,1909,12606,1878,12540,1850,12473,1826,12403,1806,12333,1788,12261,1775,12187,1765,12112,1759,12037,1757,11960,1757,3411xe" filled="false" stroked="true" strokeweight="1pt" strokecolor="#000000">
              <v:path arrowok="t"/>
            </v:shape>
            <v:line style="position:absolute" from="1702,12829" to="10519,12829" stroked="true" strokeweight=".36pt" strokecolor="#000000"/>
            <w10:wrap type="none"/>
          </v:group>
        </w:pict>
      </w:r>
    </w:p>
    <w:p>
      <w:pPr>
        <w:pStyle w:val="BodyText"/>
        <w:rPr>
          <w:sz w:val="20"/>
        </w:rPr>
      </w:pPr>
    </w:p>
    <w:p>
      <w:pPr>
        <w:pStyle w:val="BodyText"/>
        <w:spacing w:before="3"/>
        <w:rPr>
          <w:sz w:val="21"/>
        </w:rPr>
      </w:pPr>
    </w:p>
    <w:p>
      <w:pPr>
        <w:pStyle w:val="BodyText"/>
        <w:spacing w:line="360" w:lineRule="auto"/>
        <w:ind w:left="122" w:right="119"/>
        <w:jc w:val="both"/>
      </w:pPr>
      <w:r>
        <w:rPr/>
        <w:t>La</w:t>
      </w:r>
      <w:r>
        <w:rPr>
          <w:spacing w:val="-4"/>
        </w:rPr>
        <w:t> </w:t>
      </w:r>
      <w:r>
        <w:rPr/>
        <w:t>aplicación</w:t>
      </w:r>
      <w:r>
        <w:rPr>
          <w:spacing w:val="-7"/>
        </w:rPr>
        <w:t> </w:t>
      </w:r>
      <w:r>
        <w:rPr/>
        <w:t>de</w:t>
      </w:r>
      <w:r>
        <w:rPr>
          <w:spacing w:val="-6"/>
        </w:rPr>
        <w:t> </w:t>
      </w:r>
      <w:r>
        <w:rPr/>
        <w:t>la</w:t>
      </w:r>
      <w:r>
        <w:rPr>
          <w:spacing w:val="-6"/>
        </w:rPr>
        <w:t> </w:t>
      </w:r>
      <w:r>
        <w:rPr/>
        <w:t>función</w:t>
      </w:r>
      <w:r>
        <w:rPr>
          <w:spacing w:val="-5"/>
        </w:rPr>
        <w:t> </w:t>
      </w:r>
      <w:r>
        <w:rPr/>
        <w:t>de</w:t>
      </w:r>
      <w:r>
        <w:rPr>
          <w:spacing w:val="-4"/>
        </w:rPr>
        <w:t> </w:t>
      </w:r>
      <w:r>
        <w:rPr/>
        <w:t>producción</w:t>
      </w:r>
      <w:r>
        <w:rPr>
          <w:spacing w:val="-5"/>
        </w:rPr>
        <w:t> </w:t>
      </w:r>
      <w:r>
        <w:rPr/>
        <w:t>nos</w:t>
      </w:r>
      <w:r>
        <w:rPr>
          <w:spacing w:val="-6"/>
        </w:rPr>
        <w:t> </w:t>
      </w:r>
      <w:r>
        <w:rPr/>
        <w:t>dará</w:t>
      </w:r>
      <w:r>
        <w:rPr>
          <w:spacing w:val="-4"/>
        </w:rPr>
        <w:t> </w:t>
      </w:r>
      <w:r>
        <w:rPr/>
        <w:t>la</w:t>
      </w:r>
      <w:r>
        <w:rPr>
          <w:spacing w:val="-4"/>
        </w:rPr>
        <w:t> </w:t>
      </w:r>
      <w:r>
        <w:rPr/>
        <w:t>economía</w:t>
      </w:r>
      <w:r>
        <w:rPr>
          <w:spacing w:val="-2"/>
        </w:rPr>
        <w:t> </w:t>
      </w:r>
      <w:r>
        <w:rPr/>
        <w:t>de</w:t>
      </w:r>
      <w:r>
        <w:rPr>
          <w:spacing w:val="-6"/>
        </w:rPr>
        <w:t> </w:t>
      </w:r>
      <w:r>
        <w:rPr/>
        <w:t>escala,</w:t>
      </w:r>
      <w:r>
        <w:rPr>
          <w:spacing w:val="-7"/>
        </w:rPr>
        <w:t> </w:t>
      </w:r>
      <w:r>
        <w:rPr/>
        <w:t>la</w:t>
      </w:r>
      <w:r>
        <w:rPr>
          <w:spacing w:val="-6"/>
        </w:rPr>
        <w:t> </w:t>
      </w:r>
      <w:r>
        <w:rPr/>
        <w:t>cual</w:t>
      </w:r>
      <w:r>
        <w:rPr>
          <w:spacing w:val="-4"/>
        </w:rPr>
        <w:t> </w:t>
      </w:r>
      <w:r>
        <w:rPr/>
        <w:t>nos</w:t>
      </w:r>
      <w:r>
        <w:rPr>
          <w:spacing w:val="-8"/>
        </w:rPr>
        <w:t> </w:t>
      </w:r>
      <w:r>
        <w:rPr/>
        <w:t>indicará</w:t>
      </w:r>
      <w:r>
        <w:rPr>
          <w:spacing w:val="-6"/>
        </w:rPr>
        <w:t> </w:t>
      </w:r>
      <w:r>
        <w:rPr/>
        <w:t>la eficiencia</w:t>
      </w:r>
      <w:r>
        <w:rPr>
          <w:spacing w:val="-7"/>
        </w:rPr>
        <w:t> </w:t>
      </w:r>
      <w:r>
        <w:rPr/>
        <w:t>técnica,</w:t>
      </w:r>
      <w:r>
        <w:rPr>
          <w:spacing w:val="-8"/>
        </w:rPr>
        <w:t> </w:t>
      </w:r>
      <w:r>
        <w:rPr/>
        <w:t>para</w:t>
      </w:r>
      <w:r>
        <w:rPr>
          <w:spacing w:val="-7"/>
        </w:rPr>
        <w:t> </w:t>
      </w:r>
      <w:r>
        <w:rPr/>
        <w:t>diseñar</w:t>
      </w:r>
      <w:r>
        <w:rPr>
          <w:spacing w:val="-8"/>
        </w:rPr>
        <w:t> </w:t>
      </w:r>
      <w:r>
        <w:rPr/>
        <w:t>políticas</w:t>
      </w:r>
      <w:r>
        <w:rPr>
          <w:spacing w:val="-9"/>
        </w:rPr>
        <w:t> </w:t>
      </w:r>
      <w:r>
        <w:rPr/>
        <w:t>que</w:t>
      </w:r>
      <w:r>
        <w:rPr>
          <w:spacing w:val="-9"/>
        </w:rPr>
        <w:t> </w:t>
      </w:r>
      <w:r>
        <w:rPr/>
        <w:t>ayuden</w:t>
      </w:r>
      <w:r>
        <w:rPr>
          <w:spacing w:val="-6"/>
        </w:rPr>
        <w:t> </w:t>
      </w:r>
      <w:r>
        <w:rPr/>
        <w:t>a</w:t>
      </w:r>
      <w:r>
        <w:rPr>
          <w:spacing w:val="-7"/>
        </w:rPr>
        <w:t> </w:t>
      </w:r>
      <w:r>
        <w:rPr/>
        <w:t>mejorar</w:t>
      </w:r>
      <w:r>
        <w:rPr>
          <w:spacing w:val="-8"/>
        </w:rPr>
        <w:t> </w:t>
      </w:r>
      <w:r>
        <w:rPr/>
        <w:t>los</w:t>
      </w:r>
      <w:r>
        <w:rPr>
          <w:spacing w:val="-9"/>
        </w:rPr>
        <w:t> </w:t>
      </w:r>
      <w:r>
        <w:rPr/>
        <w:t>rendimientos</w:t>
      </w:r>
      <w:r>
        <w:rPr>
          <w:spacing w:val="-9"/>
        </w:rPr>
        <w:t> </w:t>
      </w:r>
      <w:r>
        <w:rPr/>
        <w:t>en</w:t>
      </w:r>
      <w:r>
        <w:rPr>
          <w:spacing w:val="-8"/>
        </w:rPr>
        <w:t> </w:t>
      </w:r>
      <w:r>
        <w:rPr/>
        <w:t>la</w:t>
      </w:r>
      <w:r>
        <w:rPr>
          <w:spacing w:val="-7"/>
        </w:rPr>
        <w:t> </w:t>
      </w:r>
      <w:r>
        <w:rPr/>
        <w:t>producción de carne para la región, es decir nos indicara que cantidad de carne se puede producir y ofrecer al</w:t>
      </w:r>
      <w:r>
        <w:rPr>
          <w:spacing w:val="-3"/>
        </w:rPr>
        <w:t> </w:t>
      </w:r>
      <w:r>
        <w:rPr/>
        <w:t>mercado.</w:t>
      </w:r>
    </w:p>
    <w:p>
      <w:pPr>
        <w:pStyle w:val="BodyText"/>
        <w:spacing w:line="360" w:lineRule="auto" w:before="4"/>
        <w:ind w:left="122" w:right="114"/>
        <w:jc w:val="both"/>
      </w:pPr>
      <w:r>
        <w:rPr/>
        <w:t>Por otra parte, se tiene una organización básica en la ganadería regional, esto con la Integración de la Asociación Regional Ganadera, la cual integra a diferentes asociaciones regionales locales ganaderas de los cuatro municipios productores de carne: Tejupilco, Luvianos, Amatepec y Tlatlaya.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p>
    <w:p>
      <w:pPr>
        <w:tabs>
          <w:tab w:pos="4003" w:val="left" w:leader="none"/>
          <w:tab w:pos="8329" w:val="left" w:leader="none"/>
        </w:tabs>
        <w:spacing w:before="0"/>
        <w:ind w:left="122" w:right="0"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3"/>
          <w:sz w:val="18"/>
        </w:rPr>
        <w:t> </w:t>
      </w:r>
      <w:r>
        <w:rPr>
          <w:sz w:val="18"/>
        </w:rPr>
        <w:t>6</w:t>
      </w:r>
    </w:p>
    <w:p>
      <w:pPr>
        <w:spacing w:after="0"/>
        <w:jc w:val="left"/>
        <w:rPr>
          <w:sz w:val="18"/>
        </w:rPr>
        <w:sectPr>
          <w:headerReference w:type="default" r:id="rId23"/>
          <w:footerReference w:type="default" r:id="rId24"/>
          <w:pgSz w:w="12240" w:h="15840"/>
          <w:pgMar w:header="0" w:footer="2060" w:top="1500" w:bottom="2240" w:left="158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8"/>
        </w:rPr>
      </w:pPr>
    </w:p>
    <w:p>
      <w:pPr>
        <w:pStyle w:val="Heading1"/>
        <w:numPr>
          <w:ilvl w:val="1"/>
          <w:numId w:val="1"/>
        </w:numPr>
        <w:tabs>
          <w:tab w:pos="2629" w:val="left" w:leader="none"/>
        </w:tabs>
        <w:spacing w:line="360" w:lineRule="auto" w:before="7" w:after="0"/>
        <w:ind w:left="2138" w:right="1687" w:hanging="430"/>
        <w:jc w:val="left"/>
      </w:pPr>
      <w:bookmarkStart w:name="_TOC_250009" w:id="2"/>
      <w:bookmarkEnd w:id="2"/>
      <w:r>
        <w:rPr/>
        <w:t>REVISIÓN DE LITERATURA</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10"/>
        </w:rPr>
      </w:pPr>
      <w:r>
        <w:rPr/>
        <w:pict>
          <v:line style="position:absolute;mso-position-horizontal-relative:page;mso-position-vertical-relative:paragraph;z-index:1384;mso-wrap-distance-left:0;mso-wrap-distance-right:0" from="85.103996pt,8.112816pt" to="525.960017pt,8.112816pt" stroked="true" strokeweight=".36pt" strokecolor="#000000">
            <w10:wrap type="topAndBottom"/>
          </v:line>
        </w:pict>
      </w:r>
    </w:p>
    <w:p>
      <w:pPr>
        <w:tabs>
          <w:tab w:pos="4003" w:val="left" w:leader="none"/>
          <w:tab w:pos="8329" w:val="left" w:leader="none"/>
        </w:tabs>
        <w:spacing w:before="75"/>
        <w:ind w:left="122" w:right="64"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3"/>
          <w:sz w:val="18"/>
        </w:rPr>
        <w:t> </w:t>
      </w:r>
      <w:r>
        <w:rPr>
          <w:sz w:val="18"/>
        </w:rPr>
        <w:t>7</w:t>
      </w:r>
    </w:p>
    <w:p>
      <w:pPr>
        <w:spacing w:after="0"/>
        <w:jc w:val="left"/>
        <w:rPr>
          <w:sz w:val="18"/>
        </w:rPr>
        <w:sectPr>
          <w:headerReference w:type="default" r:id="rId25"/>
          <w:footerReference w:type="default" r:id="rId26"/>
          <w:pgSz w:w="12240" w:h="15840"/>
          <w:pgMar w:header="0" w:footer="2033" w:top="1500" w:bottom="2220" w:left="1580" w:right="1600"/>
        </w:sectPr>
      </w:pPr>
    </w:p>
    <w:p>
      <w:pPr>
        <w:pStyle w:val="Heading3"/>
        <w:numPr>
          <w:ilvl w:val="1"/>
          <w:numId w:val="3"/>
        </w:numPr>
        <w:tabs>
          <w:tab w:pos="542" w:val="left" w:leader="none"/>
        </w:tabs>
        <w:spacing w:line="240" w:lineRule="auto" w:before="55" w:after="0"/>
        <w:ind w:left="542" w:right="0" w:hanging="420"/>
        <w:jc w:val="both"/>
      </w:pPr>
      <w:r>
        <w:rPr/>
        <w:pict>
          <v:line style="position:absolute;mso-position-horizontal-relative:page;mso-position-vertical-relative:page;z-index:1432" from="102pt,702.325989pt" to="508.5pt,702.325989pt" stroked="true" strokeweight=".5pt" strokecolor="#000000">
            <w10:wrap type="none"/>
          </v:line>
        </w:pict>
      </w:r>
      <w:bookmarkStart w:name="_TOC_250008" w:id="3"/>
      <w:r>
        <w:rPr/>
        <w:t>Panorama de la producción de carne de bovino en</w:t>
      </w:r>
      <w:r>
        <w:rPr>
          <w:spacing w:val="-11"/>
        </w:rPr>
        <w:t> </w:t>
      </w:r>
      <w:bookmarkEnd w:id="3"/>
      <w:r>
        <w:rPr/>
        <w:t>México</w:t>
      </w:r>
    </w:p>
    <w:p>
      <w:pPr>
        <w:pStyle w:val="BodyText"/>
        <w:spacing w:before="7"/>
        <w:rPr>
          <w:b/>
          <w:sz w:val="25"/>
        </w:rPr>
      </w:pPr>
    </w:p>
    <w:p>
      <w:pPr>
        <w:pStyle w:val="BodyText"/>
        <w:spacing w:line="360" w:lineRule="auto" w:before="1"/>
        <w:ind w:left="122" w:right="115"/>
        <w:jc w:val="both"/>
      </w:pPr>
      <w:r>
        <w:rPr/>
        <w:t>En México, durante 2014, el valor de la producción de carne de bovino fue de 90.96 miles de millones</w:t>
      </w:r>
      <w:r>
        <w:rPr>
          <w:spacing w:val="-5"/>
        </w:rPr>
        <w:t> </w:t>
      </w:r>
      <w:r>
        <w:rPr/>
        <w:t>de</w:t>
      </w:r>
      <w:r>
        <w:rPr>
          <w:spacing w:val="-3"/>
        </w:rPr>
        <w:t> </w:t>
      </w:r>
      <w:r>
        <w:rPr/>
        <w:t>pesos</w:t>
      </w:r>
      <w:r>
        <w:rPr>
          <w:spacing w:val="-5"/>
        </w:rPr>
        <w:t> </w:t>
      </w:r>
      <w:r>
        <w:rPr/>
        <w:t>y</w:t>
      </w:r>
      <w:r>
        <w:rPr>
          <w:spacing w:val="-6"/>
        </w:rPr>
        <w:t> </w:t>
      </w:r>
      <w:r>
        <w:rPr/>
        <w:t>su</w:t>
      </w:r>
      <w:r>
        <w:rPr>
          <w:spacing w:val="-1"/>
        </w:rPr>
        <w:t> </w:t>
      </w:r>
      <w:r>
        <w:rPr/>
        <w:t>volumen</w:t>
      </w:r>
      <w:r>
        <w:rPr>
          <w:spacing w:val="-4"/>
        </w:rPr>
        <w:t> </w:t>
      </w:r>
      <w:r>
        <w:rPr/>
        <w:t>fue</w:t>
      </w:r>
      <w:r>
        <w:rPr>
          <w:spacing w:val="-3"/>
        </w:rPr>
        <w:t> </w:t>
      </w:r>
      <w:r>
        <w:rPr/>
        <w:t>de</w:t>
      </w:r>
      <w:r>
        <w:rPr>
          <w:spacing w:val="-3"/>
        </w:rPr>
        <w:t> </w:t>
      </w:r>
      <w:r>
        <w:rPr/>
        <w:t>1.83</w:t>
      </w:r>
      <w:r>
        <w:rPr>
          <w:spacing w:val="-4"/>
        </w:rPr>
        <w:t> </w:t>
      </w:r>
      <w:r>
        <w:rPr/>
        <w:t>millones</w:t>
      </w:r>
      <w:r>
        <w:rPr>
          <w:spacing w:val="-5"/>
        </w:rPr>
        <w:t> </w:t>
      </w:r>
      <w:r>
        <w:rPr/>
        <w:t>de</w:t>
      </w:r>
      <w:r>
        <w:rPr>
          <w:spacing w:val="1"/>
        </w:rPr>
        <w:t> </w:t>
      </w:r>
      <w:r>
        <w:rPr/>
        <w:t>toneladas.</w:t>
      </w:r>
      <w:r>
        <w:rPr>
          <w:spacing w:val="-4"/>
        </w:rPr>
        <w:t> </w:t>
      </w:r>
      <w:r>
        <w:rPr/>
        <w:t>En</w:t>
      </w:r>
      <w:r>
        <w:rPr>
          <w:spacing w:val="-4"/>
        </w:rPr>
        <w:t> </w:t>
      </w:r>
      <w:r>
        <w:rPr/>
        <w:t>2014,</w:t>
      </w:r>
      <w:r>
        <w:rPr>
          <w:spacing w:val="-4"/>
        </w:rPr>
        <w:t> </w:t>
      </w:r>
      <w:r>
        <w:rPr/>
        <w:t>se</w:t>
      </w:r>
      <w:r>
        <w:rPr>
          <w:spacing w:val="-5"/>
        </w:rPr>
        <w:t> </w:t>
      </w:r>
      <w:r>
        <w:rPr/>
        <w:t>produjo</w:t>
      </w:r>
      <w:r>
        <w:rPr>
          <w:spacing w:val="-2"/>
        </w:rPr>
        <w:t> </w:t>
      </w:r>
      <w:r>
        <w:rPr/>
        <w:t>carne</w:t>
      </w:r>
      <w:r>
        <w:rPr>
          <w:spacing w:val="-5"/>
        </w:rPr>
        <w:t> </w:t>
      </w:r>
      <w:r>
        <w:rPr/>
        <w:t>de bovino en 91.21 por ciento de los municipios del país. Para 2015, se proyecta que México producirá 1.88 millones de toneladas de carne de bovino equivalente en</w:t>
      </w:r>
      <w:r>
        <w:rPr>
          <w:spacing w:val="-27"/>
        </w:rPr>
        <w:t> </w:t>
      </w:r>
      <w:r>
        <w:rPr/>
        <w:t>canal.</w:t>
      </w:r>
    </w:p>
    <w:p>
      <w:pPr>
        <w:pStyle w:val="BodyText"/>
        <w:rPr>
          <w:sz w:val="22"/>
        </w:rPr>
      </w:pPr>
    </w:p>
    <w:p>
      <w:pPr>
        <w:pStyle w:val="BodyText"/>
        <w:spacing w:line="360" w:lineRule="auto" w:before="149"/>
        <w:ind w:left="122" w:right="116"/>
        <w:jc w:val="both"/>
      </w:pPr>
      <w:r>
        <w:rPr/>
        <w:t>En términos de consumo per cápita en México, la carne de bovino lleva una tendencia hacia la baja; en 2000 se consumieron más de 22 kilos por persona al año y en 2014 el consumo fue de aproximadamente 15 kilos. Para 2015, se proyecta que el consumo per cápita anual   disminuya</w:t>
      </w:r>
    </w:p>
    <w:p>
      <w:pPr>
        <w:pStyle w:val="BodyText"/>
        <w:spacing w:line="360" w:lineRule="auto" w:before="4"/>
        <w:ind w:left="122" w:right="123"/>
        <w:jc w:val="both"/>
      </w:pPr>
      <w:r>
        <w:rPr/>
        <w:t>2.3 por ciento. Esto ante el aumento sostenido en el consumo per cápita de carne de pollo y la recuperación en el consumo de carne de cerdo.</w:t>
      </w:r>
    </w:p>
    <w:p>
      <w:pPr>
        <w:pStyle w:val="BodyText"/>
        <w:rPr>
          <w:sz w:val="22"/>
        </w:rPr>
      </w:pPr>
    </w:p>
    <w:p>
      <w:pPr>
        <w:pStyle w:val="BodyText"/>
        <w:spacing w:line="360" w:lineRule="auto" w:before="149"/>
        <w:ind w:left="122" w:right="116"/>
        <w:jc w:val="both"/>
      </w:pPr>
      <w:r>
        <w:rPr/>
        <w:t>El precio de la carne de bovino en México presenta marcada tendencia alcista, impulsado, entre otros factores, por la demanda estadounidense de ganado en pie y carne de bovino.</w:t>
      </w:r>
    </w:p>
    <w:p>
      <w:pPr>
        <w:pStyle w:val="BodyText"/>
        <w:spacing w:line="362" w:lineRule="auto" w:before="4"/>
        <w:ind w:left="122" w:right="120"/>
        <w:jc w:val="both"/>
      </w:pPr>
      <w:r>
        <w:rPr/>
        <w:t>Así, se espera que las perspectivas de rentabilidad de la actividad primaria nacional se mantengan, en general, favorables durante lo que resta de 2015 y 2016.</w:t>
      </w:r>
    </w:p>
    <w:p>
      <w:pPr>
        <w:pStyle w:val="BodyText"/>
        <w:rPr>
          <w:sz w:val="22"/>
        </w:rPr>
      </w:pPr>
    </w:p>
    <w:p>
      <w:pPr>
        <w:pStyle w:val="BodyText"/>
        <w:spacing w:line="360" w:lineRule="auto" w:before="145"/>
        <w:ind w:left="122" w:right="115"/>
        <w:jc w:val="both"/>
      </w:pPr>
      <w:r>
        <w:rPr/>
        <w:t>La cría, engorda y comercialización de ganado bovino para la producción de carne es una de las principales</w:t>
      </w:r>
      <w:r>
        <w:rPr>
          <w:spacing w:val="-9"/>
        </w:rPr>
        <w:t> </w:t>
      </w:r>
      <w:r>
        <w:rPr/>
        <w:t>actividades</w:t>
      </w:r>
      <w:r>
        <w:rPr>
          <w:spacing w:val="-9"/>
        </w:rPr>
        <w:t> </w:t>
      </w:r>
      <w:r>
        <w:rPr/>
        <w:t>del</w:t>
      </w:r>
      <w:r>
        <w:rPr>
          <w:spacing w:val="-10"/>
        </w:rPr>
        <w:t> </w:t>
      </w:r>
      <w:r>
        <w:rPr/>
        <w:t>sector</w:t>
      </w:r>
      <w:r>
        <w:rPr>
          <w:spacing w:val="-8"/>
        </w:rPr>
        <w:t> </w:t>
      </w:r>
      <w:r>
        <w:rPr/>
        <w:t>pecuario</w:t>
      </w:r>
      <w:r>
        <w:rPr>
          <w:spacing w:val="-11"/>
        </w:rPr>
        <w:t> </w:t>
      </w:r>
      <w:r>
        <w:rPr/>
        <w:t>mexicano.</w:t>
      </w:r>
      <w:r>
        <w:rPr>
          <w:spacing w:val="-11"/>
        </w:rPr>
        <w:t> </w:t>
      </w:r>
      <w:r>
        <w:rPr/>
        <w:t>La</w:t>
      </w:r>
      <w:r>
        <w:rPr>
          <w:spacing w:val="-7"/>
        </w:rPr>
        <w:t> </w:t>
      </w:r>
      <w:r>
        <w:rPr/>
        <w:t>carne</w:t>
      </w:r>
      <w:r>
        <w:rPr>
          <w:spacing w:val="-10"/>
        </w:rPr>
        <w:t> </w:t>
      </w:r>
      <w:r>
        <w:rPr/>
        <w:t>de</w:t>
      </w:r>
      <w:r>
        <w:rPr>
          <w:spacing w:val="-10"/>
        </w:rPr>
        <w:t> </w:t>
      </w:r>
      <w:r>
        <w:rPr/>
        <w:t>bovino</w:t>
      </w:r>
      <w:r>
        <w:rPr>
          <w:spacing w:val="-8"/>
        </w:rPr>
        <w:t> </w:t>
      </w:r>
      <w:r>
        <w:rPr/>
        <w:t>forma</w:t>
      </w:r>
      <w:r>
        <w:rPr>
          <w:spacing w:val="-6"/>
        </w:rPr>
        <w:t> </w:t>
      </w:r>
      <w:r>
        <w:rPr/>
        <w:t>parte</w:t>
      </w:r>
      <w:r>
        <w:rPr>
          <w:spacing w:val="-10"/>
        </w:rPr>
        <w:t> </w:t>
      </w:r>
      <w:r>
        <w:rPr/>
        <w:t>importante de la canasta básica registrada por el INEGI. Para 2014, México ocupó el octavo lugar mundial en la producción mundial, con un total de 1.8 millones de toneladas, lo que representó un valor de 91 mil millones de</w:t>
      </w:r>
      <w:r>
        <w:rPr>
          <w:spacing w:val="-11"/>
        </w:rPr>
        <w:t> </w:t>
      </w:r>
      <w:r>
        <w:rPr/>
        <w:t>pesos.</w:t>
      </w:r>
    </w:p>
    <w:p>
      <w:pPr>
        <w:pStyle w:val="BodyText"/>
        <w:rPr>
          <w:sz w:val="22"/>
        </w:rPr>
      </w:pPr>
    </w:p>
    <w:p>
      <w:pPr>
        <w:pStyle w:val="BodyText"/>
        <w:spacing w:line="360" w:lineRule="auto" w:before="147"/>
        <w:ind w:left="122" w:right="115"/>
        <w:jc w:val="both"/>
      </w:pPr>
      <w:r>
        <w:rPr/>
        <w:t>El alza de los precios de la carne de bovino se presentó en un periodo de crecimiento moderado de la economía mexicana.30 Esto ha ocasionado que una creciente proporción de la producción nacional se exporte, siendo uno de los productos con mayor crecimiento en la balanza agropecuaria (FIRA, 2015).</w:t>
      </w:r>
    </w:p>
    <w:p>
      <w:pPr>
        <w:pStyle w:val="BodyText"/>
        <w:rPr>
          <w:sz w:val="20"/>
        </w:rPr>
      </w:pPr>
    </w:p>
    <w:p>
      <w:pPr>
        <w:pStyle w:val="BodyText"/>
        <w:rPr>
          <w:sz w:val="29"/>
        </w:rPr>
      </w:pPr>
      <w:r>
        <w:rPr/>
        <w:pict>
          <v:line style="position:absolute;mso-position-horizontal-relative:page;mso-position-vertical-relative:paragraph;z-index:1408;mso-wrap-distance-left:0;mso-wrap-distance-right:0" from="85.103996pt,18.849754pt" to="525.960017pt,18.849754pt" stroked="true" strokeweight=".36pt" strokecolor="#000000">
            <w10:wrap type="topAndBottom"/>
          </v:line>
        </w:pict>
      </w:r>
    </w:p>
    <w:p>
      <w:pPr>
        <w:tabs>
          <w:tab w:pos="4003" w:val="left" w:leader="none"/>
          <w:tab w:pos="8329" w:val="left" w:leader="none"/>
        </w:tabs>
        <w:spacing w:before="73"/>
        <w:ind w:left="122" w:right="0"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3"/>
          <w:sz w:val="18"/>
        </w:rPr>
        <w:t> </w:t>
      </w:r>
      <w:r>
        <w:rPr>
          <w:sz w:val="18"/>
        </w:rPr>
        <w:t>8</w:t>
      </w:r>
    </w:p>
    <w:p>
      <w:pPr>
        <w:spacing w:after="0"/>
        <w:jc w:val="left"/>
        <w:rPr>
          <w:sz w:val="18"/>
        </w:rPr>
        <w:sectPr>
          <w:headerReference w:type="default" r:id="rId27"/>
          <w:footerReference w:type="default" r:id="rId28"/>
          <w:pgSz w:w="12240" w:h="15840"/>
          <w:pgMar w:header="0" w:footer="1899" w:top="1360" w:bottom="2080" w:left="1580" w:right="1580"/>
        </w:sectPr>
      </w:pPr>
    </w:p>
    <w:p>
      <w:pPr>
        <w:pStyle w:val="BodyText"/>
        <w:spacing w:line="360" w:lineRule="auto" w:before="50"/>
        <w:ind w:left="122" w:right="119"/>
        <w:jc w:val="both"/>
      </w:pPr>
      <w:r>
        <w:rPr/>
        <w:t>De hecho, el valor de las exportaciones (en dólares) de ganado bovino del primer semestre de 2015</w:t>
      </w:r>
      <w:r>
        <w:rPr>
          <w:spacing w:val="-10"/>
        </w:rPr>
        <w:t> </w:t>
      </w:r>
      <w:r>
        <w:rPr/>
        <w:t>aumentó</w:t>
      </w:r>
      <w:r>
        <w:rPr>
          <w:spacing w:val="-10"/>
        </w:rPr>
        <w:t> </w:t>
      </w:r>
      <w:r>
        <w:rPr/>
        <w:t>más</w:t>
      </w:r>
      <w:r>
        <w:rPr>
          <w:spacing w:val="-10"/>
        </w:rPr>
        <w:t> </w:t>
      </w:r>
      <w:r>
        <w:rPr/>
        <w:t>de</w:t>
      </w:r>
      <w:r>
        <w:rPr>
          <w:spacing w:val="-9"/>
        </w:rPr>
        <w:t> </w:t>
      </w:r>
      <w:r>
        <w:rPr/>
        <w:t>62</w:t>
      </w:r>
      <w:r>
        <w:rPr>
          <w:spacing w:val="-10"/>
        </w:rPr>
        <w:t> </w:t>
      </w:r>
      <w:r>
        <w:rPr/>
        <w:t>por</w:t>
      </w:r>
      <w:r>
        <w:rPr>
          <w:spacing w:val="-10"/>
        </w:rPr>
        <w:t> </w:t>
      </w:r>
      <w:r>
        <w:rPr/>
        <w:t>ciento</w:t>
      </w:r>
      <w:r>
        <w:rPr>
          <w:spacing w:val="-10"/>
        </w:rPr>
        <w:t> </w:t>
      </w:r>
      <w:r>
        <w:rPr/>
        <w:t>en</w:t>
      </w:r>
      <w:r>
        <w:rPr>
          <w:spacing w:val="-10"/>
        </w:rPr>
        <w:t> </w:t>
      </w:r>
      <w:r>
        <w:rPr/>
        <w:t>comparación</w:t>
      </w:r>
      <w:r>
        <w:rPr>
          <w:spacing w:val="-12"/>
        </w:rPr>
        <w:t> </w:t>
      </w:r>
      <w:r>
        <w:rPr/>
        <w:t>con</w:t>
      </w:r>
      <w:r>
        <w:rPr>
          <w:spacing w:val="-6"/>
        </w:rPr>
        <w:t> </w:t>
      </w:r>
      <w:r>
        <w:rPr/>
        <w:t>lo</w:t>
      </w:r>
      <w:r>
        <w:rPr>
          <w:spacing w:val="-10"/>
        </w:rPr>
        <w:t> </w:t>
      </w:r>
      <w:r>
        <w:rPr/>
        <w:t>observado</w:t>
      </w:r>
      <w:r>
        <w:rPr>
          <w:spacing w:val="-10"/>
        </w:rPr>
        <w:t> </w:t>
      </w:r>
      <w:r>
        <w:rPr/>
        <w:t>durante</w:t>
      </w:r>
      <w:r>
        <w:rPr>
          <w:spacing w:val="-9"/>
        </w:rPr>
        <w:t> </w:t>
      </w:r>
      <w:r>
        <w:rPr/>
        <w:t>el</w:t>
      </w:r>
      <w:r>
        <w:rPr>
          <w:spacing w:val="-9"/>
        </w:rPr>
        <w:t> </w:t>
      </w:r>
      <w:r>
        <w:rPr/>
        <w:t>primer</w:t>
      </w:r>
      <w:r>
        <w:rPr>
          <w:spacing w:val="-10"/>
        </w:rPr>
        <w:t> </w:t>
      </w:r>
      <w:r>
        <w:rPr/>
        <w:t>semestre de</w:t>
      </w:r>
      <w:r>
        <w:rPr>
          <w:spacing w:val="1"/>
        </w:rPr>
        <w:t> </w:t>
      </w:r>
      <w:r>
        <w:rPr/>
        <w:t>2014.</w:t>
      </w:r>
    </w:p>
    <w:p>
      <w:pPr>
        <w:pStyle w:val="BodyText"/>
        <w:rPr>
          <w:sz w:val="22"/>
        </w:rPr>
      </w:pPr>
    </w:p>
    <w:p>
      <w:pPr>
        <w:pStyle w:val="BodyText"/>
        <w:spacing w:line="360" w:lineRule="auto" w:before="149"/>
        <w:ind w:left="122" w:right="116"/>
        <w:jc w:val="both"/>
      </w:pPr>
      <w:r>
        <w:rPr/>
        <w:t>Entre 2005 y 2014 la producción presentó un crecimiento promedio anual de 1.8 por ciento. En 2014</w:t>
      </w:r>
      <w:r>
        <w:rPr>
          <w:spacing w:val="-16"/>
        </w:rPr>
        <w:t> </w:t>
      </w:r>
      <w:r>
        <w:rPr/>
        <w:t>se</w:t>
      </w:r>
      <w:r>
        <w:rPr>
          <w:spacing w:val="-15"/>
        </w:rPr>
        <w:t> </w:t>
      </w:r>
      <w:r>
        <w:rPr/>
        <w:t>produjeron</w:t>
      </w:r>
      <w:r>
        <w:rPr>
          <w:spacing w:val="-16"/>
        </w:rPr>
        <w:t> </w:t>
      </w:r>
      <w:r>
        <w:rPr/>
        <w:t>1.83</w:t>
      </w:r>
      <w:r>
        <w:rPr>
          <w:spacing w:val="-16"/>
        </w:rPr>
        <w:t> </w:t>
      </w:r>
      <w:r>
        <w:rPr/>
        <w:t>millones</w:t>
      </w:r>
      <w:r>
        <w:rPr>
          <w:spacing w:val="-17"/>
        </w:rPr>
        <w:t> </w:t>
      </w:r>
      <w:r>
        <w:rPr/>
        <w:t>de</w:t>
      </w:r>
      <w:r>
        <w:rPr>
          <w:spacing w:val="-15"/>
        </w:rPr>
        <w:t> </w:t>
      </w:r>
      <w:r>
        <w:rPr/>
        <w:t>toneladas,</w:t>
      </w:r>
      <w:r>
        <w:rPr>
          <w:spacing w:val="-12"/>
        </w:rPr>
        <w:t> </w:t>
      </w:r>
      <w:r>
        <w:rPr/>
        <w:t>con</w:t>
      </w:r>
      <w:r>
        <w:rPr>
          <w:spacing w:val="-16"/>
        </w:rPr>
        <w:t> </w:t>
      </w:r>
      <w:r>
        <w:rPr/>
        <w:t>una</w:t>
      </w:r>
      <w:r>
        <w:rPr>
          <w:spacing w:val="-15"/>
        </w:rPr>
        <w:t> </w:t>
      </w:r>
      <w:r>
        <w:rPr/>
        <w:t>proyección</w:t>
      </w:r>
      <w:r>
        <w:rPr>
          <w:spacing w:val="-16"/>
        </w:rPr>
        <w:t> </w:t>
      </w:r>
      <w:r>
        <w:rPr/>
        <w:t>para</w:t>
      </w:r>
      <w:r>
        <w:rPr>
          <w:spacing w:val="-15"/>
        </w:rPr>
        <w:t> </w:t>
      </w:r>
      <w:r>
        <w:rPr/>
        <w:t>el</w:t>
      </w:r>
      <w:r>
        <w:rPr>
          <w:spacing w:val="-15"/>
        </w:rPr>
        <w:t> </w:t>
      </w:r>
      <w:r>
        <w:rPr/>
        <w:t>2015</w:t>
      </w:r>
      <w:r>
        <w:rPr>
          <w:spacing w:val="-15"/>
        </w:rPr>
        <w:t> </w:t>
      </w:r>
      <w:r>
        <w:rPr/>
        <w:t>de</w:t>
      </w:r>
      <w:r>
        <w:rPr>
          <w:spacing w:val="-14"/>
        </w:rPr>
        <w:t> </w:t>
      </w:r>
      <w:r>
        <w:rPr/>
        <w:t>1.88</w:t>
      </w:r>
      <w:r>
        <w:rPr>
          <w:spacing w:val="-16"/>
        </w:rPr>
        <w:t> </w:t>
      </w:r>
      <w:r>
        <w:rPr/>
        <w:t>millones, es decir, un incremento de 2.8 por ciento</w:t>
      </w:r>
      <w:r>
        <w:rPr>
          <w:spacing w:val="-15"/>
        </w:rPr>
        <w:t> </w:t>
      </w:r>
      <w:r>
        <w:rPr/>
        <w:t>anual.</w:t>
      </w:r>
    </w:p>
    <w:p>
      <w:pPr>
        <w:pStyle w:val="BodyText"/>
        <w:rPr>
          <w:sz w:val="22"/>
        </w:rPr>
      </w:pPr>
    </w:p>
    <w:p>
      <w:pPr>
        <w:pStyle w:val="BodyText"/>
        <w:spacing w:line="360" w:lineRule="auto" w:before="149"/>
        <w:ind w:left="122" w:right="115"/>
        <w:jc w:val="both"/>
      </w:pPr>
      <w:r>
        <w:rPr/>
        <w:t>Entre 2012 y 2014, la producción creció a un ritmo lento. En 2012 se produjeron 1.82 millones de toneladas, para 2013 la cifra disminuyó 0.8 por ciento anual. En la gráfica se muestra una recuperación para 2014 en comparación al año anterior de 1.1 por ciento.</w:t>
      </w:r>
    </w:p>
    <w:p>
      <w:pPr>
        <w:pStyle w:val="BodyText"/>
        <w:rPr>
          <w:sz w:val="22"/>
        </w:rPr>
      </w:pPr>
    </w:p>
    <w:p>
      <w:pPr>
        <w:pStyle w:val="BodyText"/>
        <w:spacing w:line="360" w:lineRule="auto" w:before="150"/>
        <w:ind w:left="122" w:right="115"/>
        <w:jc w:val="both"/>
      </w:pPr>
      <w:r>
        <w:rPr/>
        <w:t>Para el período 2013</w:t>
      </w:r>
      <w:r>
        <w:rPr>
          <w:rFonts w:ascii="Cambria Math" w:hAnsi="Cambria Math"/>
        </w:rPr>
        <w:t>‐</w:t>
      </w:r>
      <w:r>
        <w:rPr/>
        <w:t>2015, los principales estados productores de bovino son Veracruz, Jalisco, Chiapas, Sinaloa, Baja California, Michoacán, San Luis Potosí, Sonora, Chihuahua y Tabasco. Para el 2014, Veracruz continúa liderando entre los principales productores, con una participación de 244 mil toneladas, lo que representa 13 por ciento de la producción nacional. Veracruz se ha beneficiado de los apoyos otorgados por SAGARPA para lograr la recuperación a través de la reproducción, cría y engorda del hato ganadero.31 Para 2015, se espera que Veracruz aumente su producción en 3 por ciento anual (FIRA, 2015).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7"/>
        </w:rPr>
      </w:pPr>
      <w:r>
        <w:rPr/>
        <w:pict>
          <v:line style="position:absolute;mso-position-horizontal-relative:page;mso-position-vertical-relative:paragraph;z-index:1456;mso-wrap-distance-left:0;mso-wrap-distance-right:0" from="85.103996pt,17.733421pt" to="525.960017pt,17.733421pt" stroked="true" strokeweight=".36pt" strokecolor="#000000">
            <w10:wrap type="topAndBottom"/>
          </v:line>
        </w:pict>
      </w:r>
    </w:p>
    <w:p>
      <w:pPr>
        <w:tabs>
          <w:tab w:pos="4003" w:val="left" w:leader="none"/>
          <w:tab w:pos="8329" w:val="left" w:leader="none"/>
        </w:tabs>
        <w:spacing w:line="360" w:lineRule="auto" w:before="75" w:after="18"/>
        <w:ind w:left="122" w:right="123" w:firstLine="0"/>
        <w:jc w:val="center"/>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3"/>
          <w:sz w:val="18"/>
        </w:rPr>
        <w:t> </w:t>
      </w:r>
      <w:r>
        <w:rPr>
          <w:sz w:val="18"/>
        </w:rPr>
        <w:t>9 Estimación de una función de producción de bovinos carne en sistema extensivo en el sur del Estado de</w:t>
      </w:r>
      <w:r>
        <w:rPr>
          <w:spacing w:val="-26"/>
          <w:sz w:val="18"/>
        </w:rPr>
        <w:t> </w:t>
      </w:r>
      <w:r>
        <w:rPr>
          <w:sz w:val="18"/>
        </w:rPr>
        <w:t>México</w:t>
      </w: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pStyle w:val="BodyText"/>
        <w:rPr>
          <w:sz w:val="18"/>
        </w:rPr>
      </w:pPr>
    </w:p>
    <w:p>
      <w:pPr>
        <w:pStyle w:val="BodyText"/>
        <w:spacing w:before="155"/>
        <w:ind w:left="119" w:right="123"/>
        <w:jc w:val="center"/>
      </w:pPr>
      <w:r>
        <w:rPr/>
        <w:t>Figura 01. Principales estados productores de carne de bovino en México, 2014</w:t>
      </w:r>
    </w:p>
    <w:p>
      <w:pPr>
        <w:spacing w:after="0"/>
        <w:jc w:val="center"/>
        <w:sectPr>
          <w:headerReference w:type="default" r:id="rId29"/>
          <w:footerReference w:type="default" r:id="rId30"/>
          <w:pgSz w:w="12240" w:h="15840"/>
          <w:pgMar w:header="0" w:footer="0" w:top="1360" w:bottom="280" w:left="1580" w:right="1580"/>
        </w:sectPr>
      </w:pPr>
    </w:p>
    <w:p>
      <w:pPr>
        <w:pStyle w:val="BodyText"/>
        <w:ind w:left="425"/>
        <w:rPr>
          <w:sz w:val="20"/>
        </w:rPr>
      </w:pPr>
      <w:r>
        <w:rPr>
          <w:sz w:val="20"/>
        </w:rPr>
        <w:pict>
          <v:group style="width:414.4pt;height:198.9pt;mso-position-horizontal-relative:char;mso-position-vertical-relative:line" coordorigin="0,0" coordsize="8288,3978">
            <v:shape style="position:absolute;left:340;top:666;width:5513;height:3106" type="#_x0000_t75" stroked="false">
              <v:imagedata r:id="rId33" o:title=""/>
            </v:shape>
            <v:shape style="position:absolute;left:5921;top:668;width:90;height:90" type="#_x0000_t75" stroked="false">
              <v:imagedata r:id="rId34" o:title=""/>
            </v:shape>
            <v:shape style="position:absolute;left:5921;top:987;width:90;height:90" type="#_x0000_t75" stroked="false">
              <v:imagedata r:id="rId35" o:title=""/>
            </v:shape>
            <v:shape style="position:absolute;left:5921;top:1306;width:90;height:90" type="#_x0000_t75" stroked="false">
              <v:imagedata r:id="rId36" o:title=""/>
            </v:shape>
            <v:shape style="position:absolute;left:5921;top:1625;width:90;height:90" type="#_x0000_t75" stroked="false">
              <v:imagedata r:id="rId37" o:title=""/>
            </v:shape>
            <v:shape style="position:absolute;left:5921;top:1944;width:90;height:90" type="#_x0000_t75" stroked="false">
              <v:imagedata r:id="rId38" o:title=""/>
            </v:shape>
            <v:shape style="position:absolute;left:5921;top:2263;width:90;height:90" type="#_x0000_t75" stroked="false">
              <v:imagedata r:id="rId39" o:title=""/>
            </v:shape>
            <v:shape style="position:absolute;left:5921;top:2582;width:90;height:90" type="#_x0000_t75" stroked="false">
              <v:imagedata r:id="rId40" o:title=""/>
            </v:shape>
            <v:shape style="position:absolute;left:5921;top:2901;width:90;height:90" type="#_x0000_t75" stroked="false">
              <v:imagedata r:id="rId41" o:title=""/>
            </v:shape>
            <v:shape style="position:absolute;left:5921;top:3220;width:90;height:90" type="#_x0000_t75" stroked="false">
              <v:imagedata r:id="rId42" o:title=""/>
            </v:shape>
            <v:rect style="position:absolute;left:5;top:5;width:8278;height:3968" filled="false" stroked="true" strokeweight=".5pt" strokecolor="#888888"/>
            <v:shape style="position:absolute;left:3664;top:793;width:363;height:180" type="#_x0000_t202" filled="false" stroked="false">
              <v:textbox inset="0,0,0,0">
                <w:txbxContent>
                  <w:p>
                    <w:pPr>
                      <w:spacing w:line="180" w:lineRule="exact" w:before="0"/>
                      <w:ind w:left="0" w:right="-18" w:firstLine="0"/>
                      <w:jc w:val="left"/>
                      <w:rPr>
                        <w:rFonts w:ascii="Arial"/>
                        <w:sz w:val="18"/>
                      </w:rPr>
                    </w:pPr>
                    <w:r>
                      <w:rPr>
                        <w:rFonts w:ascii="Arial"/>
                        <w:sz w:val="18"/>
                      </w:rPr>
                      <w:t>14%</w:t>
                    </w:r>
                  </w:p>
                </w:txbxContent>
              </v:textbox>
              <w10:wrap type="none"/>
            </v:shape>
            <v:shape style="position:absolute;left:4925;top:1288;width:363;height:180" type="#_x0000_t202" filled="false" stroked="false">
              <v:textbox inset="0,0,0,0">
                <w:txbxContent>
                  <w:p>
                    <w:pPr>
                      <w:spacing w:line="180" w:lineRule="exact" w:before="0"/>
                      <w:ind w:left="0" w:right="-18" w:firstLine="0"/>
                      <w:jc w:val="left"/>
                      <w:rPr>
                        <w:rFonts w:ascii="Arial"/>
                        <w:sz w:val="18"/>
                      </w:rPr>
                    </w:pPr>
                    <w:r>
                      <w:rPr>
                        <w:rFonts w:ascii="Arial"/>
                        <w:sz w:val="18"/>
                      </w:rPr>
                      <w:t>11%</w:t>
                    </w:r>
                  </w:p>
                </w:txbxContent>
              </v:textbox>
              <w10:wrap type="none"/>
            </v:shape>
            <v:shape style="position:absolute;left:694;top:1528;width:363;height:180" type="#_x0000_t202" filled="false" stroked="false">
              <v:textbox inset="0,0,0,0">
                <w:txbxContent>
                  <w:p>
                    <w:pPr>
                      <w:spacing w:line="180" w:lineRule="exact" w:before="0"/>
                      <w:ind w:left="0" w:right="-18" w:firstLine="0"/>
                      <w:jc w:val="left"/>
                      <w:rPr>
                        <w:rFonts w:ascii="Arial"/>
                        <w:sz w:val="18"/>
                      </w:rPr>
                    </w:pPr>
                    <w:r>
                      <w:rPr>
                        <w:rFonts w:ascii="Arial"/>
                        <w:sz w:val="18"/>
                      </w:rPr>
                      <w:t>49%</w:t>
                    </w:r>
                  </w:p>
                </w:txbxContent>
              </v:textbox>
              <w10:wrap type="none"/>
            </v:shape>
            <v:shape style="position:absolute;left:5360;top:1843;width:262;height:180" type="#_x0000_t202" filled="false" stroked="false">
              <v:textbox inset="0,0,0,0">
                <w:txbxContent>
                  <w:p>
                    <w:pPr>
                      <w:spacing w:line="180" w:lineRule="exact" w:before="0"/>
                      <w:ind w:left="0" w:right="-19" w:firstLine="0"/>
                      <w:jc w:val="left"/>
                      <w:rPr>
                        <w:rFonts w:ascii="Arial"/>
                        <w:sz w:val="18"/>
                      </w:rPr>
                    </w:pPr>
                    <w:r>
                      <w:rPr>
                        <w:rFonts w:ascii="Arial"/>
                        <w:sz w:val="18"/>
                      </w:rPr>
                      <w:t>6%</w:t>
                    </w:r>
                  </w:p>
                </w:txbxContent>
              </v:textbox>
              <w10:wrap type="none"/>
            </v:shape>
            <v:shape style="position:absolute;left:5105;top:2233;width:262;height:180" type="#_x0000_t202" filled="false" stroked="false">
              <v:textbox inset="0,0,0,0">
                <w:txbxContent>
                  <w:p>
                    <w:pPr>
                      <w:spacing w:line="180" w:lineRule="exact" w:before="0"/>
                      <w:ind w:left="0" w:right="-19" w:firstLine="0"/>
                      <w:jc w:val="left"/>
                      <w:rPr>
                        <w:rFonts w:ascii="Arial"/>
                        <w:sz w:val="18"/>
                      </w:rPr>
                    </w:pPr>
                    <w:r>
                      <w:rPr>
                        <w:rFonts w:ascii="Arial"/>
                        <w:sz w:val="18"/>
                      </w:rPr>
                      <w:t>5%</w:t>
                    </w:r>
                  </w:p>
                </w:txbxContent>
              </v:textbox>
              <w10:wrap type="none"/>
            </v:shape>
            <v:shape style="position:absolute;left:4700;top:2518;width:262;height:180" type="#_x0000_t202" filled="false" stroked="false">
              <v:textbox inset="0,0,0,0">
                <w:txbxContent>
                  <w:p>
                    <w:pPr>
                      <w:spacing w:line="180" w:lineRule="exact" w:before="0"/>
                      <w:ind w:left="0" w:right="-19" w:firstLine="0"/>
                      <w:jc w:val="left"/>
                      <w:rPr>
                        <w:rFonts w:ascii="Arial"/>
                        <w:sz w:val="18"/>
                      </w:rPr>
                    </w:pPr>
                    <w:r>
                      <w:rPr>
                        <w:rFonts w:ascii="Arial"/>
                        <w:sz w:val="18"/>
                      </w:rPr>
                      <w:t>4%</w:t>
                    </w:r>
                  </w:p>
                </w:txbxContent>
              </v:textbox>
              <w10:wrap type="none"/>
            </v:shape>
            <v:shape style="position:absolute;left:4160;top:2713;width:262;height:180" type="#_x0000_t202" filled="false" stroked="false">
              <v:textbox inset="0,0,0,0">
                <w:txbxContent>
                  <w:p>
                    <w:pPr>
                      <w:spacing w:line="180" w:lineRule="exact" w:before="0"/>
                      <w:ind w:left="0" w:right="-19" w:firstLine="0"/>
                      <w:jc w:val="left"/>
                      <w:rPr>
                        <w:rFonts w:ascii="Arial"/>
                        <w:sz w:val="18"/>
                      </w:rPr>
                    </w:pPr>
                    <w:r>
                      <w:rPr>
                        <w:rFonts w:ascii="Arial"/>
                        <w:sz w:val="18"/>
                      </w:rPr>
                      <w:t>4%</w:t>
                    </w:r>
                  </w:p>
                </w:txbxContent>
              </v:textbox>
              <w10:wrap type="none"/>
            </v:shape>
            <v:shape style="position:absolute;left:3050;top:2878;width:262;height:180" type="#_x0000_t202" filled="false" stroked="false">
              <v:textbox inset="0,0,0,0">
                <w:txbxContent>
                  <w:p>
                    <w:pPr>
                      <w:spacing w:line="180" w:lineRule="exact" w:before="0"/>
                      <w:ind w:left="0" w:right="-19" w:firstLine="0"/>
                      <w:jc w:val="left"/>
                      <w:rPr>
                        <w:rFonts w:ascii="Arial"/>
                        <w:sz w:val="18"/>
                      </w:rPr>
                    </w:pPr>
                    <w:r>
                      <w:rPr>
                        <w:rFonts w:ascii="Arial"/>
                        <w:sz w:val="18"/>
                      </w:rPr>
                      <w:t>3%</w:t>
                    </w:r>
                  </w:p>
                </w:txbxContent>
              </v:textbox>
              <w10:wrap type="none"/>
            </v:shape>
            <v:shape style="position:absolute;left:3545;top:2833;width:262;height:180" type="#_x0000_t202" filled="false" stroked="false">
              <v:textbox inset="0,0,0,0">
                <w:txbxContent>
                  <w:p>
                    <w:pPr>
                      <w:spacing w:line="180" w:lineRule="exact" w:before="0"/>
                      <w:ind w:left="0" w:right="-19" w:firstLine="0"/>
                      <w:jc w:val="left"/>
                      <w:rPr>
                        <w:rFonts w:ascii="Arial"/>
                        <w:sz w:val="18"/>
                      </w:rPr>
                    </w:pPr>
                    <w:r>
                      <w:rPr>
                        <w:rFonts w:ascii="Arial"/>
                        <w:sz w:val="18"/>
                      </w:rPr>
                      <w:t>4%</w:t>
                    </w:r>
                  </w:p>
                </w:txbxContent>
              </v:textbox>
              <w10:wrap type="none"/>
            </v:shape>
            <v:shape style="position:absolute;left:6051;top:625;width:2031;height:2733" type="#_x0000_t202" filled="false" stroked="false">
              <v:textbox inset="0,0,0,0">
                <w:txbxContent>
                  <w:p>
                    <w:pPr>
                      <w:spacing w:line="184" w:lineRule="exact" w:before="0"/>
                      <w:ind w:left="0" w:right="750" w:firstLine="0"/>
                      <w:jc w:val="left"/>
                      <w:rPr>
                        <w:rFonts w:ascii="Arial"/>
                        <w:sz w:val="18"/>
                      </w:rPr>
                    </w:pPr>
                    <w:r>
                      <w:rPr>
                        <w:rFonts w:ascii="Arial"/>
                        <w:sz w:val="18"/>
                      </w:rPr>
                      <w:t>Veracruz</w:t>
                    </w:r>
                  </w:p>
                  <w:p>
                    <w:pPr>
                      <w:spacing w:line="369" w:lineRule="auto" w:before="112"/>
                      <w:ind w:left="0" w:right="1350" w:firstLine="0"/>
                      <w:jc w:val="left"/>
                      <w:rPr>
                        <w:rFonts w:ascii="Arial"/>
                        <w:sz w:val="18"/>
                      </w:rPr>
                    </w:pPr>
                    <w:r>
                      <w:rPr>
                        <w:rFonts w:ascii="Arial"/>
                        <w:sz w:val="18"/>
                      </w:rPr>
                      <w:t>Jalisco Chiapas Sinaloa</w:t>
                    </w:r>
                  </w:p>
                  <w:p>
                    <w:pPr>
                      <w:spacing w:line="369" w:lineRule="auto" w:before="3"/>
                      <w:ind w:left="0" w:right="750" w:firstLine="0"/>
                      <w:jc w:val="left"/>
                      <w:rPr>
                        <w:rFonts w:ascii="Arial" w:hAnsi="Arial"/>
                        <w:sz w:val="18"/>
                      </w:rPr>
                    </w:pPr>
                    <w:r>
                      <w:rPr>
                        <w:rFonts w:ascii="Arial" w:hAnsi="Arial"/>
                        <w:sz w:val="18"/>
                      </w:rPr>
                      <w:t>Baja Caifornia San Luis Potosí Sonora</w:t>
                    </w:r>
                  </w:p>
                  <w:p>
                    <w:pPr>
                      <w:spacing w:before="3"/>
                      <w:ind w:left="0" w:right="-9" w:firstLine="0"/>
                      <w:jc w:val="left"/>
                      <w:rPr>
                        <w:rFonts w:ascii="Arial" w:hAnsi="Arial"/>
                        <w:sz w:val="18"/>
                      </w:rPr>
                    </w:pPr>
                    <w:r>
                      <w:rPr>
                        <w:rFonts w:ascii="Arial" w:hAnsi="Arial"/>
                        <w:sz w:val="18"/>
                      </w:rPr>
                      <w:t>Estado de México</w:t>
                    </w:r>
                    <w:r>
                      <w:rPr>
                        <w:rFonts w:ascii="Arial" w:hAnsi="Arial"/>
                        <w:spacing w:val="-12"/>
                        <w:sz w:val="18"/>
                      </w:rPr>
                      <w:t> </w:t>
                    </w:r>
                    <w:r>
                      <w:rPr>
                        <w:rFonts w:ascii="Arial" w:hAnsi="Arial"/>
                        <w:sz w:val="18"/>
                      </w:rPr>
                      <w:t>85,865</w:t>
                    </w:r>
                  </w:p>
                  <w:p>
                    <w:pPr>
                      <w:spacing w:line="203" w:lineRule="exact" w:before="112"/>
                      <w:ind w:left="0" w:right="750" w:firstLine="0"/>
                      <w:jc w:val="left"/>
                      <w:rPr>
                        <w:rFonts w:ascii="Arial" w:hAnsi="Arial"/>
                        <w:sz w:val="18"/>
                      </w:rPr>
                    </w:pPr>
                    <w:r>
                      <w:rPr>
                        <w:rFonts w:ascii="Arial" w:hAnsi="Arial"/>
                        <w:sz w:val="18"/>
                      </w:rPr>
                      <w:t>Resto del país</w:t>
                    </w:r>
                  </w:p>
                </w:txbxContent>
              </v:textbox>
              <w10:wrap type="none"/>
            </v:shape>
          </v:group>
        </w:pict>
      </w:r>
      <w:r>
        <w:rPr>
          <w:sz w:val="20"/>
        </w:rPr>
      </w:r>
    </w:p>
    <w:p>
      <w:pPr>
        <w:pStyle w:val="BodyText"/>
        <w:spacing w:before="99"/>
        <w:ind w:left="410"/>
      </w:pPr>
      <w:r>
        <w:rPr/>
        <w:t>Fuente: elaboración propia con datos de SIAP, 2014</w:t>
      </w:r>
    </w:p>
    <w:p>
      <w:pPr>
        <w:pStyle w:val="BodyText"/>
        <w:rPr>
          <w:sz w:val="22"/>
        </w:rPr>
      </w:pPr>
    </w:p>
    <w:p>
      <w:pPr>
        <w:pStyle w:val="BodyText"/>
        <w:rPr>
          <w:sz w:val="22"/>
        </w:rPr>
      </w:pPr>
    </w:p>
    <w:p>
      <w:pPr>
        <w:pStyle w:val="BodyText"/>
        <w:spacing w:line="360" w:lineRule="auto" w:before="182"/>
        <w:ind w:left="122" w:right="115"/>
        <w:jc w:val="both"/>
      </w:pPr>
      <w:r>
        <w:rPr/>
        <w:t>Jalisco</w:t>
      </w:r>
      <w:r>
        <w:rPr>
          <w:spacing w:val="-6"/>
        </w:rPr>
        <w:t> </w:t>
      </w:r>
      <w:r>
        <w:rPr/>
        <w:t>ocupa</w:t>
      </w:r>
      <w:r>
        <w:rPr>
          <w:spacing w:val="-5"/>
        </w:rPr>
        <w:t> </w:t>
      </w:r>
      <w:r>
        <w:rPr/>
        <w:t>el</w:t>
      </w:r>
      <w:r>
        <w:rPr>
          <w:spacing w:val="-6"/>
        </w:rPr>
        <w:t> </w:t>
      </w:r>
      <w:r>
        <w:rPr/>
        <w:t>segundo</w:t>
      </w:r>
      <w:r>
        <w:rPr>
          <w:spacing w:val="-6"/>
        </w:rPr>
        <w:t> </w:t>
      </w:r>
      <w:r>
        <w:rPr/>
        <w:t>puesto,</w:t>
      </w:r>
      <w:r>
        <w:rPr>
          <w:spacing w:val="-6"/>
        </w:rPr>
        <w:t> </w:t>
      </w:r>
      <w:r>
        <w:rPr/>
        <w:t>con</w:t>
      </w:r>
      <w:r>
        <w:rPr>
          <w:spacing w:val="-6"/>
        </w:rPr>
        <w:t> </w:t>
      </w:r>
      <w:r>
        <w:rPr/>
        <w:t>una</w:t>
      </w:r>
      <w:r>
        <w:rPr>
          <w:spacing w:val="-5"/>
        </w:rPr>
        <w:t> </w:t>
      </w:r>
      <w:r>
        <w:rPr/>
        <w:t>producción</w:t>
      </w:r>
      <w:r>
        <w:rPr>
          <w:spacing w:val="-9"/>
        </w:rPr>
        <w:t> </w:t>
      </w:r>
      <w:r>
        <w:rPr/>
        <w:t>total</w:t>
      </w:r>
      <w:r>
        <w:rPr>
          <w:spacing w:val="-6"/>
        </w:rPr>
        <w:t> </w:t>
      </w:r>
      <w:r>
        <w:rPr/>
        <w:t>de</w:t>
      </w:r>
      <w:r>
        <w:rPr>
          <w:spacing w:val="-5"/>
        </w:rPr>
        <w:t> </w:t>
      </w:r>
      <w:r>
        <w:rPr/>
        <w:t>205</w:t>
      </w:r>
      <w:r>
        <w:rPr>
          <w:spacing w:val="-6"/>
        </w:rPr>
        <w:t> </w:t>
      </w:r>
      <w:r>
        <w:rPr/>
        <w:t>miles</w:t>
      </w:r>
      <w:r>
        <w:rPr>
          <w:spacing w:val="-7"/>
        </w:rPr>
        <w:t> </w:t>
      </w:r>
      <w:r>
        <w:rPr/>
        <w:t>de</w:t>
      </w:r>
      <w:r>
        <w:rPr>
          <w:spacing w:val="-5"/>
        </w:rPr>
        <w:t> </w:t>
      </w:r>
      <w:r>
        <w:rPr/>
        <w:t>toneladas</w:t>
      </w:r>
      <w:r>
        <w:rPr>
          <w:spacing w:val="-7"/>
        </w:rPr>
        <w:t> </w:t>
      </w:r>
      <w:r>
        <w:rPr/>
        <w:t>en</w:t>
      </w:r>
      <w:r>
        <w:rPr>
          <w:spacing w:val="-3"/>
        </w:rPr>
        <w:t> </w:t>
      </w:r>
      <w:r>
        <w:rPr/>
        <w:t>2014,</w:t>
      </w:r>
      <w:r>
        <w:rPr>
          <w:spacing w:val="-6"/>
        </w:rPr>
        <w:t> </w:t>
      </w:r>
      <w:r>
        <w:rPr/>
        <w:t>no obstante, para el 2015 se proyecta una producción de 203 miles de toneladas. Esto refleja una disminución de 0.85 por ciento. Por su parte, Chiapas ocupa el tercer lugar con 114 miles de toneladas</w:t>
      </w:r>
      <w:r>
        <w:rPr>
          <w:spacing w:val="-8"/>
        </w:rPr>
        <w:t> </w:t>
      </w:r>
      <w:r>
        <w:rPr/>
        <w:t>en</w:t>
      </w:r>
      <w:r>
        <w:rPr>
          <w:spacing w:val="-5"/>
        </w:rPr>
        <w:t> </w:t>
      </w:r>
      <w:r>
        <w:rPr/>
        <w:t>2014,</w:t>
      </w:r>
      <w:r>
        <w:rPr>
          <w:spacing w:val="-5"/>
        </w:rPr>
        <w:t> </w:t>
      </w:r>
      <w:r>
        <w:rPr/>
        <w:t>pero</w:t>
      </w:r>
      <w:r>
        <w:rPr>
          <w:spacing w:val="-7"/>
        </w:rPr>
        <w:t> </w:t>
      </w:r>
      <w:r>
        <w:rPr/>
        <w:t>esto</w:t>
      </w:r>
      <w:r>
        <w:rPr>
          <w:spacing w:val="-5"/>
        </w:rPr>
        <w:t> </w:t>
      </w:r>
      <w:r>
        <w:rPr/>
        <w:t>refleja</w:t>
      </w:r>
      <w:r>
        <w:rPr>
          <w:spacing w:val="-4"/>
        </w:rPr>
        <w:t> </w:t>
      </w:r>
      <w:r>
        <w:rPr/>
        <w:t>una</w:t>
      </w:r>
      <w:r>
        <w:rPr>
          <w:spacing w:val="-4"/>
        </w:rPr>
        <w:t> </w:t>
      </w:r>
      <w:r>
        <w:rPr/>
        <w:t>reducción</w:t>
      </w:r>
      <w:r>
        <w:rPr>
          <w:spacing w:val="-5"/>
        </w:rPr>
        <w:t> </w:t>
      </w:r>
      <w:r>
        <w:rPr/>
        <w:t>del</w:t>
      </w:r>
      <w:r>
        <w:rPr>
          <w:spacing w:val="-4"/>
        </w:rPr>
        <w:t> </w:t>
      </w:r>
      <w:r>
        <w:rPr/>
        <w:t>2.24</w:t>
      </w:r>
      <w:r>
        <w:rPr>
          <w:spacing w:val="-5"/>
        </w:rPr>
        <w:t> </w:t>
      </w:r>
      <w:r>
        <w:rPr/>
        <w:t>por</w:t>
      </w:r>
      <w:r>
        <w:rPr>
          <w:spacing w:val="-7"/>
        </w:rPr>
        <w:t> </w:t>
      </w:r>
      <w:r>
        <w:rPr/>
        <w:t>ciento</w:t>
      </w:r>
      <w:r>
        <w:rPr>
          <w:spacing w:val="-6"/>
        </w:rPr>
        <w:t> </w:t>
      </w:r>
      <w:r>
        <w:rPr/>
        <w:t>en</w:t>
      </w:r>
      <w:r>
        <w:rPr>
          <w:spacing w:val="-5"/>
        </w:rPr>
        <w:t> </w:t>
      </w:r>
      <w:r>
        <w:rPr/>
        <w:t>comparación</w:t>
      </w:r>
      <w:r>
        <w:rPr>
          <w:spacing w:val="-5"/>
        </w:rPr>
        <w:t> </w:t>
      </w:r>
      <w:r>
        <w:rPr/>
        <w:t>con</w:t>
      </w:r>
      <w:r>
        <w:rPr>
          <w:spacing w:val="-7"/>
        </w:rPr>
        <w:t> </w:t>
      </w:r>
      <w:r>
        <w:rPr/>
        <w:t>2013. Sin embargo, para 2015, se tiene una estimación de crecimiento anual de 1.26 por</w:t>
      </w:r>
      <w:r>
        <w:rPr>
          <w:spacing w:val="-27"/>
        </w:rPr>
        <w:t> </w:t>
      </w:r>
      <w:r>
        <w:rPr/>
        <w:t>ciento.</w:t>
      </w:r>
    </w:p>
    <w:p>
      <w:pPr>
        <w:pStyle w:val="BodyText"/>
        <w:rPr>
          <w:sz w:val="22"/>
        </w:rPr>
      </w:pPr>
    </w:p>
    <w:p>
      <w:pPr>
        <w:pStyle w:val="BodyText"/>
        <w:spacing w:line="360" w:lineRule="auto" w:before="150"/>
        <w:ind w:left="122" w:right="115"/>
        <w:jc w:val="both"/>
      </w:pPr>
      <w:r>
        <w:rPr/>
        <w:t>La producción de carne de bovino se distribuye en gran parte del país, no obstante, en 20 municipios se concentra (en promedio) 22.5 por ciento de la producción nacional. En 47 municipios, 33 por ciento de la producción.</w:t>
      </w:r>
    </w:p>
    <w:p>
      <w:pPr>
        <w:pStyle w:val="BodyText"/>
        <w:spacing w:before="3"/>
        <w:rPr>
          <w:sz w:val="27"/>
        </w:rPr>
      </w:pPr>
    </w:p>
    <w:p>
      <w:pPr>
        <w:pStyle w:val="BodyText"/>
        <w:spacing w:line="360" w:lineRule="auto"/>
        <w:ind w:left="122" w:right="114"/>
        <w:jc w:val="both"/>
      </w:pPr>
      <w:r>
        <w:rPr/>
        <w:t>Destacan municipios como Mexicali, BC, Tamuín, SLP, y Culiacán, Sin., que ocupan el primer, segundo y tercer lugar, respectivamente, en cuanto a la producción municipal se refiere. Estos tres municipios concentran cerca de 11 por ciento de la producción nacional. Cabe señalar que esta distribución municipal, coincide con la ubicación de las tres empresas más importantes dedicadas a la engorda de bovinos (FIRA, 2015).</w:t>
      </w:r>
    </w:p>
    <w:p>
      <w:pPr>
        <w:spacing w:after="0" w:line="360" w:lineRule="auto"/>
        <w:jc w:val="both"/>
        <w:sectPr>
          <w:headerReference w:type="default" r:id="rId31"/>
          <w:footerReference w:type="default" r:id="rId32"/>
          <w:pgSz w:w="12240" w:h="15840"/>
          <w:pgMar w:header="0" w:footer="2627" w:top="1420" w:bottom="2820" w:left="1580" w:right="1580"/>
          <w:pgNumType w:start="10"/>
        </w:sectPr>
      </w:pPr>
    </w:p>
    <w:p>
      <w:pPr>
        <w:pStyle w:val="BodyText"/>
        <w:spacing w:before="50"/>
        <w:ind w:left="393"/>
      </w:pPr>
      <w:r>
        <w:rPr/>
        <w:t>Figura 02. Producción de carne de bovino por municipio en México, promedio 2010-2014</w:t>
      </w:r>
    </w:p>
    <w:p>
      <w:pPr>
        <w:pStyle w:val="BodyText"/>
        <w:spacing w:before="8"/>
        <w:rPr>
          <w:sz w:val="8"/>
        </w:rPr>
      </w:pPr>
      <w:r>
        <w:rPr/>
        <w:drawing>
          <wp:anchor distT="0" distB="0" distL="0" distR="0" allowOverlap="1" layoutInCell="1" locked="0" behindDoc="0" simplePos="0" relativeHeight="1768">
            <wp:simplePos x="0" y="0"/>
            <wp:positionH relativeFrom="page">
              <wp:posOffset>1511553</wp:posOffset>
            </wp:positionH>
            <wp:positionV relativeFrom="paragraph">
              <wp:posOffset>88804</wp:posOffset>
            </wp:positionV>
            <wp:extent cx="4728901" cy="3021520"/>
            <wp:effectExtent l="0" t="0" r="0" b="0"/>
            <wp:wrapTopAndBottom/>
            <wp:docPr id="3" name="image12.png" descr=""/>
            <wp:cNvGraphicFramePr>
              <a:graphicFrameLocks noChangeAspect="1"/>
            </wp:cNvGraphicFramePr>
            <a:graphic>
              <a:graphicData uri="http://schemas.openxmlformats.org/drawingml/2006/picture">
                <pic:pic>
                  <pic:nvPicPr>
                    <pic:cNvPr id="4" name="image12.png"/>
                    <pic:cNvPicPr/>
                  </pic:nvPicPr>
                  <pic:blipFill>
                    <a:blip r:embed="rId45" cstate="print"/>
                    <a:stretch>
                      <a:fillRect/>
                    </a:stretch>
                  </pic:blipFill>
                  <pic:spPr>
                    <a:xfrm>
                      <a:off x="0" y="0"/>
                      <a:ext cx="4728901" cy="3021520"/>
                    </a:xfrm>
                    <a:prstGeom prst="rect">
                      <a:avLst/>
                    </a:prstGeom>
                  </pic:spPr>
                </pic:pic>
              </a:graphicData>
            </a:graphic>
          </wp:anchor>
        </w:drawing>
      </w:r>
    </w:p>
    <w:p>
      <w:pPr>
        <w:pStyle w:val="BodyText"/>
        <w:spacing w:before="109"/>
        <w:ind w:left="774"/>
      </w:pPr>
      <w:r>
        <w:rPr/>
        <w:t>Fuente: SIAP</w:t>
      </w:r>
      <w:r>
        <w:rPr>
          <w:rFonts w:ascii="Cambria Math" w:hAnsi="Cambria Math"/>
        </w:rPr>
        <w:t>‐</w:t>
      </w:r>
      <w:r>
        <w:rPr/>
        <w:t>SAGARPA.</w:t>
      </w:r>
    </w:p>
    <w:p>
      <w:pPr>
        <w:spacing w:before="139"/>
        <w:ind w:left="734" w:right="0" w:firstLine="0"/>
        <w:jc w:val="left"/>
        <w:rPr>
          <w:rFonts w:ascii="Calibri" w:hAnsi="Calibri"/>
          <w:sz w:val="16"/>
        </w:rPr>
      </w:pPr>
      <w:r>
        <w:rPr>
          <w:rFonts w:ascii="Calibri" w:hAnsi="Calibri"/>
          <w:sz w:val="16"/>
        </w:rPr>
        <w:t>Nota: el número entre paréntesis indica el número de municipios en cada categoría.</w:t>
      </w:r>
    </w:p>
    <w:p>
      <w:pPr>
        <w:pStyle w:val="BodyText"/>
        <w:rPr>
          <w:rFonts w:ascii="Calibri"/>
          <w:sz w:val="16"/>
        </w:rPr>
      </w:pPr>
    </w:p>
    <w:p>
      <w:pPr>
        <w:pStyle w:val="BodyText"/>
        <w:rPr>
          <w:rFonts w:ascii="Calibri"/>
          <w:sz w:val="16"/>
        </w:rPr>
      </w:pPr>
    </w:p>
    <w:p>
      <w:pPr>
        <w:pStyle w:val="BodyText"/>
        <w:spacing w:line="360" w:lineRule="auto" w:before="98"/>
        <w:ind w:left="122" w:right="116"/>
        <w:jc w:val="both"/>
      </w:pPr>
      <w:r>
        <w:rPr/>
        <w:t>La producción de carne de bovino, en el periodo de 2009 a 2014, mantuvo un crecimiento anual de 1.4 por ciento. En contraparte, el inventario ganadero disminuyó 3.4 por ciento de 2011 a 2012, que coincide con un incremento sustancial de exportaciones aunado a la presencia de una sequía extraordinaria que provoco la muerte de 1.7 millones de cabezas de ganado bovino. A partir de 2012, el inventario de bovino se ha ido recuperando para en 2014 quedar muy cerca de su máximo histórico que ocurrió en 2011 (FIRA, 2015).</w:t>
      </w:r>
    </w:p>
    <w:p>
      <w:pPr>
        <w:pStyle w:val="BodyText"/>
        <w:rPr>
          <w:sz w:val="22"/>
        </w:rPr>
      </w:pPr>
    </w:p>
    <w:p>
      <w:pPr>
        <w:pStyle w:val="Heading3"/>
        <w:numPr>
          <w:ilvl w:val="1"/>
          <w:numId w:val="3"/>
        </w:numPr>
        <w:tabs>
          <w:tab w:pos="543" w:val="left" w:leader="none"/>
        </w:tabs>
        <w:spacing w:line="240" w:lineRule="auto" w:before="152" w:after="0"/>
        <w:ind w:left="542" w:right="0" w:hanging="420"/>
        <w:jc w:val="both"/>
      </w:pPr>
      <w:bookmarkStart w:name="_TOC_250007" w:id="4"/>
      <w:r>
        <w:rPr/>
        <w:t>Consumo</w:t>
      </w:r>
      <w:r>
        <w:rPr>
          <w:spacing w:val="-5"/>
        </w:rPr>
        <w:t> </w:t>
      </w:r>
      <w:bookmarkEnd w:id="4"/>
      <w:r>
        <w:rPr/>
        <w:t>nacional</w:t>
      </w:r>
    </w:p>
    <w:p>
      <w:pPr>
        <w:pStyle w:val="BodyText"/>
        <w:spacing w:before="5"/>
        <w:rPr>
          <w:b/>
          <w:sz w:val="25"/>
        </w:rPr>
      </w:pPr>
    </w:p>
    <w:p>
      <w:pPr>
        <w:pStyle w:val="BodyText"/>
        <w:spacing w:line="360" w:lineRule="auto"/>
        <w:ind w:left="122" w:right="116"/>
        <w:jc w:val="both"/>
      </w:pPr>
      <w:r>
        <w:rPr/>
        <w:t>El consumo aparente de carne de bovino comprende la producción del mercado interno y lo que se adquiere (neto) del mercado externo. De 2003 a 2012, el consumo aparente presenta altibajos y una tendencia decreciente (</w:t>
      </w:r>
      <w:r>
        <w:rPr>
          <w:rFonts w:ascii="Cambria Math" w:hAnsi="Cambria Math"/>
        </w:rPr>
        <w:t>‐</w:t>
      </w:r>
      <w:r>
        <w:rPr/>
        <w:t>0.12 por ciento, promedio anual).</w:t>
      </w:r>
    </w:p>
    <w:p>
      <w:pPr>
        <w:spacing w:after="0" w:line="360" w:lineRule="auto"/>
        <w:jc w:val="both"/>
        <w:sectPr>
          <w:headerReference w:type="default" r:id="rId43"/>
          <w:footerReference w:type="default" r:id="rId44"/>
          <w:pgSz w:w="12240" w:h="15840"/>
          <w:pgMar w:header="0" w:footer="2627" w:top="1360" w:bottom="2820" w:left="1580" w:right="1580"/>
          <w:pgNumType w:start="11"/>
        </w:sectPr>
      </w:pPr>
    </w:p>
    <w:p>
      <w:pPr>
        <w:pStyle w:val="BodyText"/>
        <w:spacing w:line="360" w:lineRule="auto" w:before="50"/>
        <w:ind w:left="122" w:right="115"/>
        <w:jc w:val="both"/>
      </w:pPr>
      <w:r>
        <w:rPr/>
        <w:pict>
          <v:line style="position:absolute;mso-position-horizontal-relative:page;mso-position-vertical-relative:page;z-index:1816" from="102pt,697.151001pt" to="508.5pt,697.151001pt" stroked="true" strokeweight=".5pt" strokecolor="#000000">
            <w10:wrap type="none"/>
          </v:line>
        </w:pict>
      </w:r>
      <w:r>
        <w:rPr/>
        <w:t>Sin</w:t>
      </w:r>
      <w:r>
        <w:rPr>
          <w:spacing w:val="-10"/>
        </w:rPr>
        <w:t> </w:t>
      </w:r>
      <w:r>
        <w:rPr/>
        <w:t>embargo,</w:t>
      </w:r>
      <w:r>
        <w:rPr>
          <w:spacing w:val="-11"/>
        </w:rPr>
        <w:t> </w:t>
      </w:r>
      <w:r>
        <w:rPr/>
        <w:t>de</w:t>
      </w:r>
      <w:r>
        <w:rPr>
          <w:spacing w:val="-12"/>
        </w:rPr>
        <w:t> </w:t>
      </w:r>
      <w:r>
        <w:rPr/>
        <w:t>2012</w:t>
      </w:r>
      <w:r>
        <w:rPr>
          <w:spacing w:val="-13"/>
        </w:rPr>
        <w:t> </w:t>
      </w:r>
      <w:r>
        <w:rPr/>
        <w:t>a</w:t>
      </w:r>
      <w:r>
        <w:rPr>
          <w:spacing w:val="-10"/>
        </w:rPr>
        <w:t> </w:t>
      </w:r>
      <w:r>
        <w:rPr/>
        <w:t>2014,</w:t>
      </w:r>
      <w:r>
        <w:rPr>
          <w:spacing w:val="-11"/>
        </w:rPr>
        <w:t> </w:t>
      </w:r>
      <w:r>
        <w:rPr/>
        <w:t>el</w:t>
      </w:r>
      <w:r>
        <w:rPr>
          <w:spacing w:val="-12"/>
        </w:rPr>
        <w:t> </w:t>
      </w:r>
      <w:r>
        <w:rPr/>
        <w:t>consumo</w:t>
      </w:r>
      <w:r>
        <w:rPr>
          <w:spacing w:val="-11"/>
        </w:rPr>
        <w:t> </w:t>
      </w:r>
      <w:r>
        <w:rPr/>
        <w:t>nacional</w:t>
      </w:r>
      <w:r>
        <w:rPr>
          <w:spacing w:val="-12"/>
        </w:rPr>
        <w:t> </w:t>
      </w:r>
      <w:r>
        <w:rPr/>
        <w:t>aparente</w:t>
      </w:r>
      <w:r>
        <w:rPr>
          <w:spacing w:val="-10"/>
        </w:rPr>
        <w:t> </w:t>
      </w:r>
      <w:r>
        <w:rPr/>
        <w:t>se</w:t>
      </w:r>
      <w:r>
        <w:rPr>
          <w:spacing w:val="-10"/>
        </w:rPr>
        <w:t> </w:t>
      </w:r>
      <w:r>
        <w:rPr/>
        <w:t>mantuvo</w:t>
      </w:r>
      <w:r>
        <w:rPr>
          <w:spacing w:val="-11"/>
        </w:rPr>
        <w:t> </w:t>
      </w:r>
      <w:r>
        <w:rPr/>
        <w:t>relativamente</w:t>
      </w:r>
      <w:r>
        <w:rPr>
          <w:spacing w:val="-9"/>
        </w:rPr>
        <w:t> </w:t>
      </w:r>
      <w:r>
        <w:rPr/>
        <w:t>constante. En parte, esta situación se debe a la disminución del saldo negativo de la balanza comercial de carne de bovino que, como se ha comentado, se debe a los altos precios internacionales y a la apreciación del dólar, entre otras</w:t>
      </w:r>
      <w:r>
        <w:rPr>
          <w:spacing w:val="-18"/>
        </w:rPr>
        <w:t> </w:t>
      </w:r>
      <w:r>
        <w:rPr/>
        <w:t>razones.</w:t>
      </w:r>
    </w:p>
    <w:p>
      <w:pPr>
        <w:pStyle w:val="BodyText"/>
        <w:rPr>
          <w:sz w:val="22"/>
        </w:rPr>
      </w:pPr>
    </w:p>
    <w:p>
      <w:pPr>
        <w:pStyle w:val="BodyText"/>
        <w:spacing w:line="360" w:lineRule="auto" w:before="149"/>
        <w:ind w:left="122" w:right="116"/>
        <w:jc w:val="both"/>
      </w:pPr>
      <w:r>
        <w:rPr/>
        <w:t>En</w:t>
      </w:r>
      <w:r>
        <w:rPr>
          <w:spacing w:val="-5"/>
        </w:rPr>
        <w:t> </w:t>
      </w:r>
      <w:r>
        <w:rPr/>
        <w:t>específico,</w:t>
      </w:r>
      <w:r>
        <w:rPr>
          <w:spacing w:val="-7"/>
        </w:rPr>
        <w:t> </w:t>
      </w:r>
      <w:r>
        <w:rPr/>
        <w:t>entre</w:t>
      </w:r>
      <w:r>
        <w:rPr>
          <w:spacing w:val="-4"/>
        </w:rPr>
        <w:t> </w:t>
      </w:r>
      <w:r>
        <w:rPr/>
        <w:t>los</w:t>
      </w:r>
      <w:r>
        <w:rPr>
          <w:spacing w:val="-6"/>
        </w:rPr>
        <w:t> </w:t>
      </w:r>
      <w:r>
        <w:rPr/>
        <w:t>años</w:t>
      </w:r>
      <w:r>
        <w:rPr>
          <w:spacing w:val="-6"/>
        </w:rPr>
        <w:t> </w:t>
      </w:r>
      <w:r>
        <w:rPr/>
        <w:t>2012</w:t>
      </w:r>
      <w:r>
        <w:rPr>
          <w:spacing w:val="-5"/>
        </w:rPr>
        <w:t> </w:t>
      </w:r>
      <w:r>
        <w:rPr/>
        <w:t>a</w:t>
      </w:r>
      <w:r>
        <w:rPr>
          <w:spacing w:val="-4"/>
        </w:rPr>
        <w:t> </w:t>
      </w:r>
      <w:r>
        <w:rPr/>
        <w:t>2014,</w:t>
      </w:r>
      <w:r>
        <w:rPr>
          <w:spacing w:val="-7"/>
        </w:rPr>
        <w:t> </w:t>
      </w:r>
      <w:r>
        <w:rPr/>
        <w:t>la</w:t>
      </w:r>
      <w:r>
        <w:rPr>
          <w:spacing w:val="-6"/>
        </w:rPr>
        <w:t> </w:t>
      </w:r>
      <w:r>
        <w:rPr/>
        <w:t>disponibilidad</w:t>
      </w:r>
      <w:r>
        <w:rPr>
          <w:spacing w:val="-5"/>
        </w:rPr>
        <w:t> </w:t>
      </w:r>
      <w:r>
        <w:rPr/>
        <w:t>de</w:t>
      </w:r>
      <w:r>
        <w:rPr>
          <w:spacing w:val="-4"/>
        </w:rPr>
        <w:t> </w:t>
      </w:r>
      <w:r>
        <w:rPr/>
        <w:t>carne</w:t>
      </w:r>
      <w:r>
        <w:rPr>
          <w:spacing w:val="-4"/>
        </w:rPr>
        <w:t> </w:t>
      </w:r>
      <w:r>
        <w:rPr/>
        <w:t>de</w:t>
      </w:r>
      <w:r>
        <w:rPr>
          <w:spacing w:val="-4"/>
        </w:rPr>
        <w:t> </w:t>
      </w:r>
      <w:r>
        <w:rPr/>
        <w:t>vacuno</w:t>
      </w:r>
      <w:r>
        <w:rPr>
          <w:spacing w:val="-7"/>
        </w:rPr>
        <w:t> </w:t>
      </w:r>
      <w:r>
        <w:rPr/>
        <w:t>creció</w:t>
      </w:r>
      <w:r>
        <w:rPr>
          <w:spacing w:val="-7"/>
        </w:rPr>
        <w:t> </w:t>
      </w:r>
      <w:r>
        <w:rPr/>
        <w:t>a</w:t>
      </w:r>
      <w:r>
        <w:rPr>
          <w:spacing w:val="-3"/>
        </w:rPr>
        <w:t> </w:t>
      </w:r>
      <w:r>
        <w:rPr/>
        <w:t>una</w:t>
      </w:r>
      <w:r>
        <w:rPr>
          <w:spacing w:val="-6"/>
        </w:rPr>
        <w:t> </w:t>
      </w:r>
      <w:r>
        <w:rPr/>
        <w:t>tasa promedio anual de 0.1 por ciento. Con esto, </w:t>
      </w:r>
      <w:r>
        <w:rPr>
          <w:spacing w:val="2"/>
        </w:rPr>
        <w:t>en </w:t>
      </w:r>
      <w:r>
        <w:rPr/>
        <w:t>2014, el consumo aparente fue de 1.85 millones de</w:t>
      </w:r>
      <w:r>
        <w:rPr>
          <w:spacing w:val="-4"/>
        </w:rPr>
        <w:t> </w:t>
      </w:r>
      <w:r>
        <w:rPr/>
        <w:t>toneladas.</w:t>
      </w:r>
      <w:r>
        <w:rPr>
          <w:spacing w:val="-7"/>
        </w:rPr>
        <w:t> </w:t>
      </w:r>
      <w:r>
        <w:rPr/>
        <w:t>Para</w:t>
      </w:r>
      <w:r>
        <w:rPr>
          <w:spacing w:val="-6"/>
        </w:rPr>
        <w:t> </w:t>
      </w:r>
      <w:r>
        <w:rPr/>
        <w:t>2015,</w:t>
      </w:r>
      <w:r>
        <w:rPr>
          <w:spacing w:val="-7"/>
        </w:rPr>
        <w:t> </w:t>
      </w:r>
      <w:r>
        <w:rPr/>
        <w:t>si</w:t>
      </w:r>
      <w:r>
        <w:rPr>
          <w:spacing w:val="-6"/>
        </w:rPr>
        <w:t> </w:t>
      </w:r>
      <w:r>
        <w:rPr/>
        <w:t>bien</w:t>
      </w:r>
      <w:r>
        <w:rPr>
          <w:spacing w:val="-5"/>
        </w:rPr>
        <w:t> </w:t>
      </w:r>
      <w:r>
        <w:rPr/>
        <w:t>se</w:t>
      </w:r>
      <w:r>
        <w:rPr>
          <w:spacing w:val="-6"/>
        </w:rPr>
        <w:t> </w:t>
      </w:r>
      <w:r>
        <w:rPr/>
        <w:t>espera</w:t>
      </w:r>
      <w:r>
        <w:rPr>
          <w:spacing w:val="-4"/>
        </w:rPr>
        <w:t> </w:t>
      </w:r>
      <w:r>
        <w:rPr/>
        <w:t>que</w:t>
      </w:r>
      <w:r>
        <w:rPr>
          <w:spacing w:val="-6"/>
        </w:rPr>
        <w:t> </w:t>
      </w:r>
      <w:r>
        <w:rPr/>
        <w:t>México</w:t>
      </w:r>
      <w:r>
        <w:rPr>
          <w:spacing w:val="-5"/>
        </w:rPr>
        <w:t> </w:t>
      </w:r>
      <w:r>
        <w:rPr/>
        <w:t>aumente</w:t>
      </w:r>
      <w:r>
        <w:rPr>
          <w:spacing w:val="-4"/>
        </w:rPr>
        <w:t> </w:t>
      </w:r>
      <w:r>
        <w:rPr/>
        <w:t>su</w:t>
      </w:r>
      <w:r>
        <w:rPr>
          <w:spacing w:val="-6"/>
        </w:rPr>
        <w:t> </w:t>
      </w:r>
      <w:r>
        <w:rPr/>
        <w:t>producción,</w:t>
      </w:r>
      <w:r>
        <w:rPr>
          <w:spacing w:val="-7"/>
        </w:rPr>
        <w:t> </w:t>
      </w:r>
      <w:r>
        <w:rPr/>
        <w:t>también</w:t>
      </w:r>
      <w:r>
        <w:rPr>
          <w:spacing w:val="-7"/>
        </w:rPr>
        <w:t> </w:t>
      </w:r>
      <w:r>
        <w:rPr/>
        <w:t>se</w:t>
      </w:r>
      <w:r>
        <w:rPr>
          <w:spacing w:val="-6"/>
        </w:rPr>
        <w:t> </w:t>
      </w:r>
      <w:r>
        <w:rPr/>
        <w:t>espera un</w:t>
      </w:r>
      <w:r>
        <w:rPr>
          <w:spacing w:val="-4"/>
        </w:rPr>
        <w:t> </w:t>
      </w:r>
      <w:r>
        <w:rPr/>
        <w:t>aumento</w:t>
      </w:r>
      <w:r>
        <w:rPr>
          <w:spacing w:val="-4"/>
        </w:rPr>
        <w:t> </w:t>
      </w:r>
      <w:r>
        <w:rPr/>
        <w:t>en</w:t>
      </w:r>
      <w:r>
        <w:rPr>
          <w:spacing w:val="-4"/>
        </w:rPr>
        <w:t> </w:t>
      </w:r>
      <w:r>
        <w:rPr/>
        <w:t>las</w:t>
      </w:r>
      <w:r>
        <w:rPr>
          <w:spacing w:val="-5"/>
        </w:rPr>
        <w:t> </w:t>
      </w:r>
      <w:r>
        <w:rPr/>
        <w:t>exportaciones</w:t>
      </w:r>
      <w:r>
        <w:rPr>
          <w:spacing w:val="-5"/>
        </w:rPr>
        <w:t> </w:t>
      </w:r>
      <w:r>
        <w:rPr/>
        <w:t>y</w:t>
      </w:r>
      <w:r>
        <w:rPr>
          <w:spacing w:val="-9"/>
        </w:rPr>
        <w:t> </w:t>
      </w:r>
      <w:r>
        <w:rPr/>
        <w:t>una</w:t>
      </w:r>
      <w:r>
        <w:rPr>
          <w:spacing w:val="-3"/>
        </w:rPr>
        <w:t> </w:t>
      </w:r>
      <w:r>
        <w:rPr/>
        <w:t>disminución</w:t>
      </w:r>
      <w:r>
        <w:rPr>
          <w:spacing w:val="-6"/>
        </w:rPr>
        <w:t> </w:t>
      </w:r>
      <w:r>
        <w:rPr/>
        <w:t>en</w:t>
      </w:r>
      <w:r>
        <w:rPr>
          <w:spacing w:val="-4"/>
        </w:rPr>
        <w:t> </w:t>
      </w:r>
      <w:r>
        <w:rPr/>
        <w:t>las</w:t>
      </w:r>
      <w:r>
        <w:rPr>
          <w:spacing w:val="-3"/>
        </w:rPr>
        <w:t> </w:t>
      </w:r>
      <w:r>
        <w:rPr/>
        <w:t>importaciones,</w:t>
      </w:r>
      <w:r>
        <w:rPr>
          <w:spacing w:val="-4"/>
        </w:rPr>
        <w:t> </w:t>
      </w:r>
      <w:r>
        <w:rPr/>
        <w:t>por</w:t>
      </w:r>
      <w:r>
        <w:rPr>
          <w:spacing w:val="-4"/>
        </w:rPr>
        <w:t> </w:t>
      </w:r>
      <w:r>
        <w:rPr/>
        <w:t>lo</w:t>
      </w:r>
      <w:r>
        <w:rPr>
          <w:spacing w:val="-4"/>
        </w:rPr>
        <w:t> </w:t>
      </w:r>
      <w:r>
        <w:rPr/>
        <w:t>que</w:t>
      </w:r>
      <w:r>
        <w:rPr>
          <w:spacing w:val="-3"/>
        </w:rPr>
        <w:t> </w:t>
      </w:r>
      <w:r>
        <w:rPr/>
        <w:t>el</w:t>
      </w:r>
      <w:r>
        <w:rPr>
          <w:spacing w:val="-3"/>
        </w:rPr>
        <w:t> </w:t>
      </w:r>
      <w:r>
        <w:rPr/>
        <w:t>consumo aparente se mantendría en un nivel similar al de</w:t>
      </w:r>
      <w:r>
        <w:rPr>
          <w:spacing w:val="-17"/>
        </w:rPr>
        <w:t> </w:t>
      </w:r>
      <w:r>
        <w:rPr/>
        <w:t>2014.</w:t>
      </w:r>
    </w:p>
    <w:p>
      <w:pPr>
        <w:pStyle w:val="BodyText"/>
        <w:rPr>
          <w:sz w:val="22"/>
        </w:rPr>
      </w:pPr>
    </w:p>
    <w:p>
      <w:pPr>
        <w:pStyle w:val="BodyText"/>
        <w:spacing w:line="360" w:lineRule="auto" w:before="149"/>
        <w:ind w:left="122" w:right="115"/>
        <w:jc w:val="both"/>
      </w:pPr>
      <w:r>
        <w:rPr/>
        <w:t>El consumo per cápita de carne de bovino reporta un comportamiento similar al de consumo aparente, confirma su tendencia a la baja. En 2014, se encuentra poco más de un kilo por debajo del consumo de carne de cerdo y 15 kilos por debajo del consumo per cápita de carne de pollo. Esta diferencia se proyecta aumente en 2015.</w:t>
      </w:r>
    </w:p>
    <w:p>
      <w:pPr>
        <w:pStyle w:val="BodyText"/>
        <w:rPr>
          <w:sz w:val="22"/>
        </w:rPr>
      </w:pPr>
    </w:p>
    <w:p>
      <w:pPr>
        <w:pStyle w:val="BodyText"/>
        <w:spacing w:before="9"/>
        <w:rPr>
          <w:sz w:val="26"/>
        </w:rPr>
      </w:pPr>
    </w:p>
    <w:p>
      <w:pPr>
        <w:pStyle w:val="BodyText"/>
        <w:spacing w:line="360" w:lineRule="auto"/>
        <w:ind w:left="122" w:right="117"/>
        <w:jc w:val="both"/>
      </w:pPr>
      <w:r>
        <w:rPr/>
        <w:t>La Encuesta Nacional de Ingresos y Gastos de los Hogares (ENIGH) 2014 proporciona información acerca del número de hogares que no consumen carne de bovino: 8 de cada 10 hogares en el primer decil, el decil con menos ingresos, no consumen carne de bovino.</w:t>
      </w:r>
    </w:p>
    <w:p>
      <w:pPr>
        <w:pStyle w:val="BodyText"/>
        <w:rPr>
          <w:sz w:val="22"/>
        </w:rPr>
      </w:pPr>
    </w:p>
    <w:p>
      <w:pPr>
        <w:pStyle w:val="BodyText"/>
        <w:spacing w:line="360" w:lineRule="auto" w:before="149"/>
        <w:ind w:left="122" w:right="115"/>
        <w:jc w:val="both"/>
      </w:pPr>
      <w:r>
        <w:rPr/>
        <w:t>Por otro lado, la ENIGH también muestra cuales son los establecimientos preferidos de los consumidores para la adquisición de carne de bovino durante 2014.</w:t>
      </w:r>
    </w:p>
    <w:p>
      <w:pPr>
        <w:pStyle w:val="BodyText"/>
        <w:rPr>
          <w:sz w:val="22"/>
        </w:rPr>
      </w:pPr>
    </w:p>
    <w:p>
      <w:pPr>
        <w:pStyle w:val="BodyText"/>
        <w:spacing w:line="360" w:lineRule="auto" w:before="149"/>
        <w:ind w:left="122" w:right="116"/>
        <w:jc w:val="both"/>
      </w:pPr>
      <w:r>
        <w:rPr/>
        <w:t>De igual manera, se aprecia que a mayor ingreso, mayor es la predilección por comprar en supermercados; mientras que, en proporción, los hogares con menos ingresos gastan más en mercados que los que cuentan con más ingresos. El porcentaje de gasto en carnicería es variable en los diferentes deciles (FIRA, 2015).</w:t>
      </w:r>
    </w:p>
    <w:p>
      <w:pPr>
        <w:pStyle w:val="BodyText"/>
        <w:rPr>
          <w:sz w:val="20"/>
        </w:rPr>
      </w:pPr>
    </w:p>
    <w:p>
      <w:pPr>
        <w:pStyle w:val="BodyText"/>
        <w:spacing w:before="9"/>
        <w:rPr>
          <w:sz w:val="28"/>
        </w:rPr>
      </w:pPr>
      <w:r>
        <w:rPr/>
        <w:pict>
          <v:group style="position:absolute;margin-left:84.903999pt;margin-top:18.529758pt;width:441.5pt;height:.4pt;mso-position-horizontal-relative:page;mso-position-vertical-relative:paragraph;z-index:1792;mso-wrap-distance-left:0;mso-wrap-distance-right:0" coordorigin="1698,371" coordsize="8830,8">
            <v:line style="position:absolute" from="1702,375" to="5122,375" stroked="true" strokeweight=".36pt" strokecolor="#000000"/>
            <v:line style="position:absolute" from="5125,375" to="10523,375" stroked="true" strokeweight=".36pt" strokecolor="#000000"/>
            <w10:wrap type="topAndBottom"/>
          </v:group>
        </w:pict>
      </w:r>
    </w:p>
    <w:p>
      <w:pPr>
        <w:tabs>
          <w:tab w:pos="4003" w:val="left" w:leader="none"/>
          <w:tab w:pos="8240" w:val="left" w:leader="none"/>
        </w:tabs>
        <w:spacing w:before="75"/>
        <w:ind w:left="122" w:right="0"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12</w:t>
      </w:r>
    </w:p>
    <w:p>
      <w:pPr>
        <w:spacing w:after="0"/>
        <w:jc w:val="left"/>
        <w:rPr>
          <w:sz w:val="18"/>
        </w:rPr>
        <w:sectPr>
          <w:headerReference w:type="default" r:id="rId46"/>
          <w:footerReference w:type="default" r:id="rId47"/>
          <w:pgSz w:w="12240" w:h="15840"/>
          <w:pgMar w:header="0" w:footer="2002" w:top="1360" w:bottom="2200" w:left="1580" w:right="1580"/>
        </w:sectPr>
      </w:pPr>
    </w:p>
    <w:p>
      <w:pPr>
        <w:pStyle w:val="Heading3"/>
        <w:numPr>
          <w:ilvl w:val="1"/>
          <w:numId w:val="3"/>
        </w:numPr>
        <w:tabs>
          <w:tab w:pos="543" w:val="left" w:leader="none"/>
        </w:tabs>
        <w:spacing w:line="240" w:lineRule="auto" w:before="55" w:after="0"/>
        <w:ind w:left="542" w:right="0" w:hanging="420"/>
        <w:jc w:val="both"/>
      </w:pPr>
      <w:r>
        <w:rPr/>
        <w:t>Intercambio</w:t>
      </w:r>
      <w:r>
        <w:rPr>
          <w:spacing w:val="-8"/>
        </w:rPr>
        <w:t> </w:t>
      </w:r>
      <w:r>
        <w:rPr/>
        <w:t>comercial</w:t>
      </w:r>
    </w:p>
    <w:p>
      <w:pPr>
        <w:pStyle w:val="BodyText"/>
        <w:spacing w:before="7"/>
        <w:rPr>
          <w:b/>
          <w:sz w:val="25"/>
        </w:rPr>
      </w:pPr>
    </w:p>
    <w:p>
      <w:pPr>
        <w:pStyle w:val="BodyText"/>
        <w:spacing w:line="360" w:lineRule="auto" w:before="1"/>
        <w:ind w:left="122" w:right="114"/>
        <w:jc w:val="both"/>
      </w:pPr>
      <w:r>
        <w:rPr/>
        <w:t>En 2014, la balanza comercial mexicana de carne de bovino presentó un déficit de 21 mil toneladas,</w:t>
      </w:r>
      <w:r>
        <w:rPr>
          <w:spacing w:val="-12"/>
        </w:rPr>
        <w:t> </w:t>
      </w:r>
      <w:r>
        <w:rPr/>
        <w:t>esto</w:t>
      </w:r>
      <w:r>
        <w:rPr>
          <w:spacing w:val="-12"/>
        </w:rPr>
        <w:t> </w:t>
      </w:r>
      <w:r>
        <w:rPr/>
        <w:t>equivale</w:t>
      </w:r>
      <w:r>
        <w:rPr>
          <w:spacing w:val="-9"/>
        </w:rPr>
        <w:t> </w:t>
      </w:r>
      <w:r>
        <w:rPr/>
        <w:t>al</w:t>
      </w:r>
      <w:r>
        <w:rPr>
          <w:spacing w:val="-12"/>
        </w:rPr>
        <w:t> </w:t>
      </w:r>
      <w:r>
        <w:rPr/>
        <w:t>12</w:t>
      </w:r>
      <w:r>
        <w:rPr>
          <w:spacing w:val="-10"/>
        </w:rPr>
        <w:t> </w:t>
      </w:r>
      <w:r>
        <w:rPr/>
        <w:t>por</w:t>
      </w:r>
      <w:r>
        <w:rPr>
          <w:spacing w:val="-10"/>
        </w:rPr>
        <w:t> </w:t>
      </w:r>
      <w:r>
        <w:rPr/>
        <w:t>ciento</w:t>
      </w:r>
      <w:r>
        <w:rPr>
          <w:spacing w:val="-10"/>
        </w:rPr>
        <w:t> </w:t>
      </w:r>
      <w:r>
        <w:rPr/>
        <w:t>del</w:t>
      </w:r>
      <w:r>
        <w:rPr>
          <w:spacing w:val="-9"/>
        </w:rPr>
        <w:t> </w:t>
      </w:r>
      <w:r>
        <w:rPr/>
        <w:t>total</w:t>
      </w:r>
      <w:r>
        <w:rPr>
          <w:spacing w:val="-9"/>
        </w:rPr>
        <w:t> </w:t>
      </w:r>
      <w:r>
        <w:rPr/>
        <w:t>de</w:t>
      </w:r>
      <w:r>
        <w:rPr>
          <w:spacing w:val="-6"/>
        </w:rPr>
        <w:t> </w:t>
      </w:r>
      <w:r>
        <w:rPr/>
        <w:t>las</w:t>
      </w:r>
      <w:r>
        <w:rPr>
          <w:spacing w:val="-10"/>
        </w:rPr>
        <w:t> </w:t>
      </w:r>
      <w:r>
        <w:rPr/>
        <w:t>exportaciones</w:t>
      </w:r>
      <w:r>
        <w:rPr>
          <w:spacing w:val="-10"/>
        </w:rPr>
        <w:t> </w:t>
      </w:r>
      <w:r>
        <w:rPr/>
        <w:t>de</w:t>
      </w:r>
      <w:r>
        <w:rPr>
          <w:spacing w:val="-11"/>
        </w:rPr>
        <w:t> </w:t>
      </w:r>
      <w:r>
        <w:rPr/>
        <w:t>carne</w:t>
      </w:r>
      <w:r>
        <w:rPr>
          <w:spacing w:val="-11"/>
        </w:rPr>
        <w:t> </w:t>
      </w:r>
      <w:r>
        <w:rPr/>
        <w:t>de</w:t>
      </w:r>
      <w:r>
        <w:rPr>
          <w:spacing w:val="-9"/>
        </w:rPr>
        <w:t> </w:t>
      </w:r>
      <w:r>
        <w:rPr/>
        <w:t>bovino</w:t>
      </w:r>
      <w:r>
        <w:rPr>
          <w:spacing w:val="-7"/>
        </w:rPr>
        <w:t> </w:t>
      </w:r>
      <w:r>
        <w:rPr/>
        <w:t>durante 2014. Esta situación contrasta con 2003, cuando se importaba casi 60 veces más del total de las exportaciones. De hecho, se espera que, para 2015, la balanza de carne de bovino muestre un superávit de 42 mil toneladas. En otras palabras, para 2015, proyecciones intersecretariales sugieren</w:t>
      </w:r>
      <w:r>
        <w:rPr>
          <w:spacing w:val="-8"/>
        </w:rPr>
        <w:t> </w:t>
      </w:r>
      <w:r>
        <w:rPr/>
        <w:t>que</w:t>
      </w:r>
      <w:r>
        <w:rPr>
          <w:spacing w:val="-7"/>
        </w:rPr>
        <w:t> </w:t>
      </w:r>
      <w:r>
        <w:rPr/>
        <w:t>el</w:t>
      </w:r>
      <w:r>
        <w:rPr>
          <w:spacing w:val="-8"/>
        </w:rPr>
        <w:t> </w:t>
      </w:r>
      <w:r>
        <w:rPr/>
        <w:t>volumen</w:t>
      </w:r>
      <w:r>
        <w:rPr>
          <w:spacing w:val="-8"/>
        </w:rPr>
        <w:t> </w:t>
      </w:r>
      <w:r>
        <w:rPr/>
        <w:t>de</w:t>
      </w:r>
      <w:r>
        <w:rPr>
          <w:spacing w:val="-5"/>
        </w:rPr>
        <w:t> </w:t>
      </w:r>
      <w:r>
        <w:rPr/>
        <w:t>las</w:t>
      </w:r>
      <w:r>
        <w:rPr>
          <w:spacing w:val="-8"/>
        </w:rPr>
        <w:t> </w:t>
      </w:r>
      <w:r>
        <w:rPr/>
        <w:t>importaciones</w:t>
      </w:r>
      <w:r>
        <w:rPr>
          <w:spacing w:val="-8"/>
        </w:rPr>
        <w:t> </w:t>
      </w:r>
      <w:r>
        <w:rPr/>
        <w:t>disminuirá</w:t>
      </w:r>
      <w:r>
        <w:rPr>
          <w:spacing w:val="-7"/>
        </w:rPr>
        <w:t> </w:t>
      </w:r>
      <w:r>
        <w:rPr/>
        <w:t>21</w:t>
      </w:r>
      <w:r>
        <w:rPr>
          <w:spacing w:val="-8"/>
        </w:rPr>
        <w:t> </w:t>
      </w:r>
      <w:r>
        <w:rPr/>
        <w:t>por</w:t>
      </w:r>
      <w:r>
        <w:rPr>
          <w:spacing w:val="-10"/>
        </w:rPr>
        <w:t> </w:t>
      </w:r>
      <w:r>
        <w:rPr/>
        <w:t>ciento;</w:t>
      </w:r>
      <w:r>
        <w:rPr>
          <w:spacing w:val="-8"/>
        </w:rPr>
        <w:t> </w:t>
      </w:r>
      <w:r>
        <w:rPr/>
        <w:t>mientras</w:t>
      </w:r>
      <w:r>
        <w:rPr>
          <w:spacing w:val="-8"/>
        </w:rPr>
        <w:t> </w:t>
      </w:r>
      <w:r>
        <w:rPr/>
        <w:t>que</w:t>
      </w:r>
      <w:r>
        <w:rPr>
          <w:spacing w:val="-2"/>
        </w:rPr>
        <w:t> </w:t>
      </w:r>
      <w:r>
        <w:rPr/>
        <w:t>el</w:t>
      </w:r>
      <w:r>
        <w:rPr>
          <w:spacing w:val="-8"/>
        </w:rPr>
        <w:t> </w:t>
      </w:r>
      <w:r>
        <w:rPr/>
        <w:t>volumen de las exportaciones aumentará 12 por ciento a tasa</w:t>
      </w:r>
      <w:r>
        <w:rPr>
          <w:spacing w:val="-16"/>
        </w:rPr>
        <w:t> </w:t>
      </w:r>
      <w:r>
        <w:rPr/>
        <w:t>anual.</w:t>
      </w:r>
    </w:p>
    <w:p>
      <w:pPr>
        <w:pStyle w:val="BodyText"/>
        <w:spacing w:before="6"/>
        <w:ind w:left="122"/>
        <w:jc w:val="both"/>
      </w:pPr>
      <w:r>
        <w:rPr/>
        <w:t>Diversos factores desempeñan un papel importante en el cambio de la balanza comercial.</w:t>
      </w:r>
    </w:p>
    <w:p>
      <w:pPr>
        <w:pStyle w:val="BodyText"/>
        <w:spacing w:line="360" w:lineRule="auto" w:before="132"/>
        <w:ind w:left="122" w:right="115"/>
        <w:jc w:val="both"/>
      </w:pPr>
      <w:r>
        <w:rPr/>
        <w:t>Como se mencionó en la sección anterior, el consumo nacional de carne de bovino tiene una tendencia a la baja. Por otro lado, la apreciación del dólar hace menos atractiva la compra de carne proveniente de Estados Unidos. México participó en 2014 con 2.06 por ciento de las exportaciones mundiales.</w:t>
      </w:r>
    </w:p>
    <w:p>
      <w:pPr>
        <w:pStyle w:val="BodyText"/>
        <w:rPr>
          <w:sz w:val="22"/>
        </w:rPr>
      </w:pPr>
    </w:p>
    <w:p>
      <w:pPr>
        <w:pStyle w:val="Heading3"/>
        <w:numPr>
          <w:ilvl w:val="1"/>
          <w:numId w:val="3"/>
        </w:numPr>
        <w:tabs>
          <w:tab w:pos="542" w:val="left" w:leader="none"/>
        </w:tabs>
        <w:spacing w:line="240" w:lineRule="auto" w:before="152" w:after="0"/>
        <w:ind w:left="542" w:right="0" w:hanging="420"/>
        <w:jc w:val="both"/>
      </w:pPr>
      <w:r>
        <w:rPr/>
        <w:t>Precios a nivel</w:t>
      </w:r>
      <w:r>
        <w:rPr>
          <w:spacing w:val="-6"/>
        </w:rPr>
        <w:t> </w:t>
      </w:r>
      <w:r>
        <w:rPr/>
        <w:t>nacional</w:t>
      </w:r>
    </w:p>
    <w:p>
      <w:pPr>
        <w:pStyle w:val="BodyText"/>
        <w:spacing w:before="7"/>
        <w:rPr>
          <w:b/>
          <w:sz w:val="25"/>
        </w:rPr>
      </w:pPr>
    </w:p>
    <w:p>
      <w:pPr>
        <w:pStyle w:val="BodyText"/>
        <w:spacing w:line="360" w:lineRule="auto"/>
        <w:ind w:left="122" w:right="114"/>
        <w:jc w:val="both"/>
      </w:pPr>
      <w:r>
        <w:rPr/>
        <w:t>En México, los precios de la carne bovina han seguido el comportamiento del precio internacional, es decir, una tendencia creciente. En nuestro país, dicha tendencia creciente es reflejo de una fuerte demanda tanto interna como externa, así como de una escasez de ganado.</w:t>
      </w:r>
    </w:p>
    <w:p>
      <w:pPr>
        <w:pStyle w:val="BodyText"/>
        <w:rPr>
          <w:sz w:val="22"/>
        </w:rPr>
      </w:pPr>
    </w:p>
    <w:p>
      <w:pPr>
        <w:pStyle w:val="BodyText"/>
        <w:spacing w:line="360" w:lineRule="auto" w:before="149"/>
        <w:ind w:left="122" w:right="118"/>
        <w:jc w:val="both"/>
      </w:pPr>
      <w:r>
        <w:rPr/>
        <w:t>Además, la diarrea epidémica porcina contribuyó a que hubiera un efecto sustituto temporal de dicha carne por carne de bovino, lo cual contribuyó a que incrementará más el precio.</w:t>
      </w:r>
    </w:p>
    <w:p>
      <w:pPr>
        <w:pStyle w:val="BodyText"/>
        <w:rPr>
          <w:sz w:val="22"/>
        </w:rPr>
      </w:pPr>
    </w:p>
    <w:p>
      <w:pPr>
        <w:pStyle w:val="BodyText"/>
        <w:spacing w:line="360" w:lineRule="auto" w:before="149"/>
        <w:ind w:left="122" w:right="115"/>
        <w:jc w:val="both"/>
      </w:pPr>
      <w:r>
        <w:rPr/>
        <w:t>Los datos disponibles de precios mensuales al productor comienzan en enero de 2012. De enero de 2012 a julio de 2015, el precio al ganado </w:t>
      </w:r>
      <w:r>
        <w:rPr>
          <w:spacing w:val="3"/>
        </w:rPr>
        <w:t>en </w:t>
      </w:r>
      <w:r>
        <w:rPr/>
        <w:t>pie ha crecido 1.5 por ciento promedio mensual, en comparación con el precio de carne en canal que ha crecido 1.4 por ciento promedio</w:t>
      </w:r>
      <w:r>
        <w:rPr>
          <w:spacing w:val="-38"/>
        </w:rPr>
        <w:t> </w:t>
      </w:r>
      <w:r>
        <w:rPr/>
        <w:t>mensual durante el mismo</w:t>
      </w:r>
      <w:r>
        <w:rPr>
          <w:spacing w:val="-8"/>
        </w:rPr>
        <w:t> </w:t>
      </w:r>
      <w:r>
        <w:rPr/>
        <w:t>periodo.</w:t>
      </w:r>
    </w:p>
    <w:p>
      <w:pPr>
        <w:pStyle w:val="BodyText"/>
        <w:rPr>
          <w:sz w:val="20"/>
        </w:rPr>
      </w:pPr>
    </w:p>
    <w:p>
      <w:pPr>
        <w:pStyle w:val="BodyText"/>
        <w:rPr>
          <w:sz w:val="20"/>
        </w:rPr>
      </w:pPr>
    </w:p>
    <w:p>
      <w:pPr>
        <w:pStyle w:val="BodyText"/>
        <w:rPr>
          <w:sz w:val="20"/>
        </w:rPr>
      </w:pPr>
    </w:p>
    <w:p>
      <w:pPr>
        <w:pStyle w:val="BodyText"/>
        <w:spacing w:before="5"/>
      </w:pPr>
      <w:r>
        <w:rPr/>
        <w:pict>
          <v:line style="position:absolute;mso-position-horizontal-relative:page;mso-position-vertical-relative:paragraph;z-index:1840;mso-wrap-distance-left:0;mso-wrap-distance-right:0" from="85.103996pt,15.651711pt" to="525.960017pt,15.651711pt" stroked="true" strokeweight=".36pt" strokecolor="#000000">
            <w10:wrap type="topAndBottom"/>
          </v:line>
        </w:pict>
      </w:r>
    </w:p>
    <w:p>
      <w:pPr>
        <w:tabs>
          <w:tab w:pos="4003" w:val="left" w:leader="none"/>
          <w:tab w:pos="8240" w:val="left" w:leader="none"/>
        </w:tabs>
        <w:spacing w:before="73"/>
        <w:ind w:left="122" w:right="0"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13</w:t>
      </w:r>
    </w:p>
    <w:p>
      <w:pPr>
        <w:spacing w:after="0"/>
        <w:jc w:val="left"/>
        <w:rPr>
          <w:sz w:val="18"/>
        </w:rPr>
        <w:sectPr>
          <w:headerReference w:type="default" r:id="rId48"/>
          <w:footerReference w:type="default" r:id="rId49"/>
          <w:pgSz w:w="12240" w:h="15840"/>
          <w:pgMar w:header="0" w:footer="2026" w:top="1360" w:bottom="2220" w:left="1580" w:right="1580"/>
        </w:sectPr>
      </w:pPr>
    </w:p>
    <w:p>
      <w:pPr>
        <w:pStyle w:val="BodyText"/>
        <w:spacing w:line="360" w:lineRule="auto" w:before="50"/>
        <w:ind w:left="122" w:right="116"/>
        <w:jc w:val="both"/>
      </w:pPr>
      <w:r>
        <w:rPr/>
        <w:t>No obstante, en los últimos meses los márgenes entre el precio del ganado en pie y de la carne en</w:t>
      </w:r>
      <w:r>
        <w:rPr>
          <w:spacing w:val="-4"/>
        </w:rPr>
        <w:t> </w:t>
      </w:r>
      <w:r>
        <w:rPr/>
        <w:t>canal</w:t>
      </w:r>
      <w:r>
        <w:rPr>
          <w:spacing w:val="-5"/>
        </w:rPr>
        <w:t> </w:t>
      </w:r>
      <w:r>
        <w:rPr/>
        <w:t>se</w:t>
      </w:r>
      <w:r>
        <w:rPr>
          <w:spacing w:val="-3"/>
        </w:rPr>
        <w:t> </w:t>
      </w:r>
      <w:r>
        <w:rPr/>
        <w:t>han</w:t>
      </w:r>
      <w:r>
        <w:rPr>
          <w:spacing w:val="-6"/>
        </w:rPr>
        <w:t> </w:t>
      </w:r>
      <w:r>
        <w:rPr/>
        <w:t>ampliado.</w:t>
      </w:r>
      <w:r>
        <w:rPr>
          <w:spacing w:val="-6"/>
        </w:rPr>
        <w:t> </w:t>
      </w:r>
      <w:r>
        <w:rPr/>
        <w:t>Por</w:t>
      </w:r>
      <w:r>
        <w:rPr>
          <w:spacing w:val="-2"/>
        </w:rPr>
        <w:t> </w:t>
      </w:r>
      <w:r>
        <w:rPr/>
        <w:t>ejemplo,</w:t>
      </w:r>
      <w:r>
        <w:rPr>
          <w:spacing w:val="-6"/>
        </w:rPr>
        <w:t> </w:t>
      </w:r>
      <w:r>
        <w:rPr/>
        <w:t>la</w:t>
      </w:r>
      <w:r>
        <w:rPr>
          <w:spacing w:val="-2"/>
        </w:rPr>
        <w:t> </w:t>
      </w:r>
      <w:r>
        <w:rPr/>
        <w:t>diferencia</w:t>
      </w:r>
      <w:r>
        <w:rPr>
          <w:spacing w:val="-5"/>
        </w:rPr>
        <w:t> </w:t>
      </w:r>
      <w:r>
        <w:rPr/>
        <w:t>en</w:t>
      </w:r>
      <w:r>
        <w:rPr>
          <w:spacing w:val="-4"/>
        </w:rPr>
        <w:t> </w:t>
      </w:r>
      <w:r>
        <w:rPr/>
        <w:t>agosto</w:t>
      </w:r>
      <w:r>
        <w:rPr>
          <w:spacing w:val="-4"/>
        </w:rPr>
        <w:t> </w:t>
      </w:r>
      <w:r>
        <w:rPr/>
        <w:t>de</w:t>
      </w:r>
      <w:r>
        <w:rPr>
          <w:spacing w:val="-3"/>
        </w:rPr>
        <w:t> </w:t>
      </w:r>
      <w:r>
        <w:rPr/>
        <w:t>2014</w:t>
      </w:r>
      <w:r>
        <w:rPr>
          <w:spacing w:val="-6"/>
        </w:rPr>
        <w:t> </w:t>
      </w:r>
      <w:r>
        <w:rPr/>
        <w:t>era</w:t>
      </w:r>
      <w:r>
        <w:rPr>
          <w:spacing w:val="-3"/>
        </w:rPr>
        <w:t> </w:t>
      </w:r>
      <w:r>
        <w:rPr/>
        <w:t>de</w:t>
      </w:r>
      <w:r>
        <w:rPr>
          <w:spacing w:val="-3"/>
        </w:rPr>
        <w:t> </w:t>
      </w:r>
      <w:r>
        <w:rPr/>
        <w:t>22.4</w:t>
      </w:r>
      <w:r>
        <w:rPr>
          <w:spacing w:val="-4"/>
        </w:rPr>
        <w:t> </w:t>
      </w:r>
      <w:r>
        <w:rPr/>
        <w:t>pesos</w:t>
      </w:r>
      <w:r>
        <w:rPr>
          <w:spacing w:val="-5"/>
        </w:rPr>
        <w:t> </w:t>
      </w:r>
      <w:r>
        <w:rPr/>
        <w:t>por</w:t>
      </w:r>
      <w:r>
        <w:rPr>
          <w:spacing w:val="-4"/>
        </w:rPr>
        <w:t> </w:t>
      </w:r>
      <w:r>
        <w:rPr/>
        <w:t>kg; en</w:t>
      </w:r>
      <w:r>
        <w:rPr>
          <w:spacing w:val="-7"/>
        </w:rPr>
        <w:t> </w:t>
      </w:r>
      <w:r>
        <w:rPr/>
        <w:t>mayo</w:t>
      </w:r>
      <w:r>
        <w:rPr>
          <w:spacing w:val="-7"/>
        </w:rPr>
        <w:t> </w:t>
      </w:r>
      <w:r>
        <w:rPr/>
        <w:t>de</w:t>
      </w:r>
      <w:r>
        <w:rPr>
          <w:spacing w:val="-6"/>
        </w:rPr>
        <w:t> </w:t>
      </w:r>
      <w:r>
        <w:rPr/>
        <w:t>2015</w:t>
      </w:r>
      <w:r>
        <w:rPr>
          <w:spacing w:val="-7"/>
        </w:rPr>
        <w:t> </w:t>
      </w:r>
      <w:r>
        <w:rPr/>
        <w:t>llegó</w:t>
      </w:r>
      <w:r>
        <w:rPr>
          <w:spacing w:val="-5"/>
        </w:rPr>
        <w:t> </w:t>
      </w:r>
      <w:r>
        <w:rPr/>
        <w:t>a</w:t>
      </w:r>
      <w:r>
        <w:rPr>
          <w:spacing w:val="-6"/>
        </w:rPr>
        <w:t> </w:t>
      </w:r>
      <w:r>
        <w:rPr/>
        <w:t>ser</w:t>
      </w:r>
      <w:r>
        <w:rPr>
          <w:spacing w:val="-7"/>
        </w:rPr>
        <w:t> </w:t>
      </w:r>
      <w:r>
        <w:rPr/>
        <w:t>de</w:t>
      </w:r>
      <w:r>
        <w:rPr>
          <w:spacing w:val="-6"/>
        </w:rPr>
        <w:t> </w:t>
      </w:r>
      <w:r>
        <w:rPr/>
        <w:t>30.2</w:t>
      </w:r>
      <w:r>
        <w:rPr>
          <w:spacing w:val="-7"/>
        </w:rPr>
        <w:t> </w:t>
      </w:r>
      <w:r>
        <w:rPr/>
        <w:t>pesos</w:t>
      </w:r>
      <w:r>
        <w:rPr>
          <w:spacing w:val="-8"/>
        </w:rPr>
        <w:t> </w:t>
      </w:r>
      <w:r>
        <w:rPr/>
        <w:t>por</w:t>
      </w:r>
      <w:r>
        <w:rPr>
          <w:spacing w:val="-7"/>
        </w:rPr>
        <w:t> </w:t>
      </w:r>
      <w:r>
        <w:rPr/>
        <w:t>kg.</w:t>
      </w:r>
      <w:r>
        <w:rPr>
          <w:spacing w:val="-7"/>
        </w:rPr>
        <w:t> </w:t>
      </w:r>
      <w:r>
        <w:rPr/>
        <w:t>Cabe</w:t>
      </w:r>
      <w:r>
        <w:rPr>
          <w:spacing w:val="-6"/>
        </w:rPr>
        <w:t> </w:t>
      </w:r>
      <w:r>
        <w:rPr/>
        <w:t>señalar</w:t>
      </w:r>
      <w:r>
        <w:rPr>
          <w:spacing w:val="-7"/>
        </w:rPr>
        <w:t> </w:t>
      </w:r>
      <w:r>
        <w:rPr/>
        <w:t>que</w:t>
      </w:r>
      <w:r>
        <w:rPr>
          <w:spacing w:val="-6"/>
        </w:rPr>
        <w:t> </w:t>
      </w:r>
      <w:r>
        <w:rPr/>
        <w:t>el</w:t>
      </w:r>
      <w:r>
        <w:rPr>
          <w:spacing w:val="-7"/>
        </w:rPr>
        <w:t> </w:t>
      </w:r>
      <w:r>
        <w:rPr/>
        <w:t>promedio</w:t>
      </w:r>
      <w:r>
        <w:rPr>
          <w:spacing w:val="-7"/>
        </w:rPr>
        <w:t> </w:t>
      </w:r>
      <w:r>
        <w:rPr/>
        <w:t>de</w:t>
      </w:r>
      <w:r>
        <w:rPr>
          <w:spacing w:val="-6"/>
        </w:rPr>
        <w:t> </w:t>
      </w:r>
      <w:r>
        <w:rPr/>
        <w:t>los</w:t>
      </w:r>
      <w:r>
        <w:rPr>
          <w:spacing w:val="-8"/>
        </w:rPr>
        <w:t> </w:t>
      </w:r>
      <w:r>
        <w:rPr/>
        <w:t>márgenes de enero a julio de 2015 es de 28.5 y el promedio de 2014 para esos mismos meses fue de 22.7 pesos por kg. Esto sugiere que los procesadores de ganado están capturando más</w:t>
      </w:r>
      <w:r>
        <w:rPr>
          <w:spacing w:val="-29"/>
        </w:rPr>
        <w:t> </w:t>
      </w:r>
      <w:r>
        <w:rPr/>
        <w:t>valor.</w:t>
      </w:r>
    </w:p>
    <w:p>
      <w:pPr>
        <w:pStyle w:val="BodyText"/>
        <w:rPr>
          <w:sz w:val="22"/>
        </w:rPr>
      </w:pPr>
    </w:p>
    <w:p>
      <w:pPr>
        <w:pStyle w:val="BodyText"/>
        <w:spacing w:line="360" w:lineRule="auto" w:before="147"/>
        <w:ind w:left="122" w:right="113"/>
        <w:jc w:val="both"/>
      </w:pPr>
      <w:r>
        <w:rPr/>
        <w:t>El precio del ganado en pie y el precio de la carne de canal en rastro mostraron, entre 2005 y 2014, un incremento de 5.2 y 5.7 por ciento promedio anual, respectivamente. La tendencia al alza del precio de ganado bovino en canal fue superior al precio del ganado en pie. Dicho fenómeno se debe al lento ritmo de reposición de los animales en engorda a los precios de los novillos para el mismo fin. Durante 2014, el precio del ganado en pie creció 24 por ciento; mientras que, el precio de la carne de bovino en canal creció 21 por ciento, ambos respecto a precios de 2013.</w:t>
      </w:r>
    </w:p>
    <w:p>
      <w:pPr>
        <w:pStyle w:val="BodyText"/>
        <w:rPr>
          <w:sz w:val="22"/>
        </w:rPr>
      </w:pPr>
    </w:p>
    <w:p>
      <w:pPr>
        <w:pStyle w:val="BodyText"/>
        <w:spacing w:line="360" w:lineRule="auto" w:before="149"/>
        <w:ind w:left="122" w:right="123"/>
      </w:pPr>
      <w:r>
        <w:rPr/>
        <w:t>Durante 2013, el Índice Nacional de Precios al Productor (INPP) tuvo un nivel superior al Índice Nacional de Precios al Consumidor (INPC). No obstante, a finales de 2014 y hasta la actualidad, esta situación se revierte. Esto sugiere que el consumidor está absorbiendo la mayor parte del aumento en los precios de la carne y que los eslabones finales de la cadena de valor podrían estar capturando renta.</w:t>
      </w:r>
    </w:p>
    <w:p>
      <w:pPr>
        <w:pStyle w:val="BodyText"/>
        <w:rPr>
          <w:sz w:val="22"/>
        </w:rPr>
      </w:pPr>
    </w:p>
    <w:p>
      <w:pPr>
        <w:pStyle w:val="BodyText"/>
        <w:spacing w:line="360" w:lineRule="auto" w:before="147"/>
        <w:ind w:left="122" w:right="115"/>
        <w:jc w:val="both"/>
      </w:pPr>
      <w:r>
        <w:rPr/>
        <w:t>La producción mundial de carne de bovino enfrenta un gran reto, la disponibilidad de ganado para sacrificio es baja en muchos de los principales países productores y la demanda por este cárnico sigue a la alza, aunque con una tasa moderada. Los accesibles precios de los forrajes pueden ser el incentivo suficiente para una reestructuración del sector bovino en varios países (FIRA, 2015).</w:t>
      </w:r>
    </w:p>
    <w:p>
      <w:pPr>
        <w:pStyle w:val="BodyText"/>
        <w:rPr>
          <w:sz w:val="20"/>
        </w:rPr>
      </w:pPr>
    </w:p>
    <w:p>
      <w:pPr>
        <w:pStyle w:val="BodyText"/>
        <w:spacing w:before="10"/>
        <w:rPr>
          <w:sz w:val="28"/>
        </w:rPr>
      </w:pPr>
      <w:r>
        <w:rPr/>
        <w:pict>
          <v:group style="position:absolute;margin-left:84.903999pt;margin-top:18.559757pt;width:441.7pt;height:.4pt;mso-position-horizontal-relative:page;mso-position-vertical-relative:paragraph;z-index:1864;mso-wrap-distance-left:0;mso-wrap-distance-right:0" coordorigin="1698,371" coordsize="8834,8">
            <v:line style="position:absolute" from="1702,375" to="8990,375" stroked="true" strokeweight=".36pt" strokecolor="#000000"/>
            <v:line style="position:absolute" from="8997,375" to="10527,375" stroked="true" strokeweight=".36pt" strokecolor="#000000"/>
            <w10:wrap type="topAndBottom"/>
          </v:group>
        </w:pict>
      </w:r>
    </w:p>
    <w:p>
      <w:pPr>
        <w:tabs>
          <w:tab w:pos="4003" w:val="left" w:leader="none"/>
          <w:tab w:pos="8240" w:val="left" w:leader="none"/>
        </w:tabs>
        <w:spacing w:before="75"/>
        <w:ind w:left="122" w:right="0"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14</w:t>
      </w:r>
    </w:p>
    <w:p>
      <w:pPr>
        <w:spacing w:after="0"/>
        <w:jc w:val="left"/>
        <w:rPr>
          <w:sz w:val="18"/>
        </w:rPr>
        <w:sectPr>
          <w:headerReference w:type="default" r:id="rId50"/>
          <w:footerReference w:type="default" r:id="rId51"/>
          <w:pgSz w:w="12240" w:h="15840"/>
          <w:pgMar w:header="0" w:footer="2026" w:top="1360" w:bottom="2220" w:left="1580" w:right="1580"/>
        </w:sectPr>
      </w:pPr>
    </w:p>
    <w:p>
      <w:pPr>
        <w:pStyle w:val="BodyText"/>
        <w:spacing w:line="362" w:lineRule="auto" w:before="50"/>
        <w:ind w:left="122" w:right="117"/>
        <w:jc w:val="both"/>
      </w:pPr>
      <w:r>
        <w:rPr/>
        <w:t>No obstante, los precios elevados de la carne serán un incentivo para sacrificar pie de cría y becerros jóvenes.</w:t>
      </w:r>
    </w:p>
    <w:p>
      <w:pPr>
        <w:pStyle w:val="BodyText"/>
        <w:rPr>
          <w:sz w:val="22"/>
        </w:rPr>
      </w:pPr>
    </w:p>
    <w:p>
      <w:pPr>
        <w:pStyle w:val="BodyText"/>
        <w:spacing w:line="360" w:lineRule="auto" w:before="144"/>
        <w:ind w:left="122" w:right="115"/>
        <w:jc w:val="both"/>
      </w:pPr>
      <w:r>
        <w:rPr/>
        <w:t>Los altos precios mencionados de la carne de bovino han propiciado cambios en las dietas en diversos países, por lo que se espera que la demanda no aumente de manera significativa. No obstante, el continuo crecimiento poblacional y la mayor demanda de los países en vías de desarrollo permitirán que los productores que tengan un sector bovino fortalecido, como es el caso de Brasil, se favorezcan de una sólida demanda por este cárnico.</w:t>
      </w:r>
    </w:p>
    <w:p>
      <w:pPr>
        <w:pStyle w:val="BodyText"/>
        <w:spacing w:line="360" w:lineRule="auto" w:before="4"/>
        <w:ind w:left="122" w:right="115"/>
        <w:jc w:val="both"/>
      </w:pPr>
      <w:r>
        <w:rPr/>
        <w:t>En México, el incremento en la producción de carne bovina que ocurrió en años recientes fue sustentado</w:t>
      </w:r>
      <w:r>
        <w:rPr>
          <w:spacing w:val="-4"/>
        </w:rPr>
        <w:t> </w:t>
      </w:r>
      <w:r>
        <w:rPr/>
        <w:t>en</w:t>
      </w:r>
      <w:r>
        <w:rPr>
          <w:spacing w:val="-4"/>
        </w:rPr>
        <w:t> </w:t>
      </w:r>
      <w:r>
        <w:rPr/>
        <w:t>parte</w:t>
      </w:r>
      <w:r>
        <w:rPr>
          <w:spacing w:val="-3"/>
        </w:rPr>
        <w:t> </w:t>
      </w:r>
      <w:r>
        <w:rPr/>
        <w:t>con</w:t>
      </w:r>
      <w:r>
        <w:rPr>
          <w:spacing w:val="-4"/>
        </w:rPr>
        <w:t> </w:t>
      </w:r>
      <w:r>
        <w:rPr/>
        <w:t>la</w:t>
      </w:r>
      <w:r>
        <w:rPr>
          <w:spacing w:val="-5"/>
        </w:rPr>
        <w:t> </w:t>
      </w:r>
      <w:r>
        <w:rPr/>
        <w:t>venta</w:t>
      </w:r>
      <w:r>
        <w:rPr>
          <w:spacing w:val="-3"/>
        </w:rPr>
        <w:t> </w:t>
      </w:r>
      <w:r>
        <w:rPr/>
        <w:t>de</w:t>
      </w:r>
      <w:r>
        <w:rPr>
          <w:spacing w:val="-3"/>
        </w:rPr>
        <w:t> </w:t>
      </w:r>
      <w:r>
        <w:rPr/>
        <w:t>pie</w:t>
      </w:r>
      <w:r>
        <w:rPr>
          <w:spacing w:val="-3"/>
        </w:rPr>
        <w:t> </w:t>
      </w:r>
      <w:r>
        <w:rPr/>
        <w:t>de</w:t>
      </w:r>
      <w:r>
        <w:rPr>
          <w:spacing w:val="-3"/>
        </w:rPr>
        <w:t> </w:t>
      </w:r>
      <w:r>
        <w:rPr/>
        <w:t>cría.</w:t>
      </w:r>
      <w:r>
        <w:rPr>
          <w:spacing w:val="-4"/>
        </w:rPr>
        <w:t> </w:t>
      </w:r>
      <w:r>
        <w:rPr/>
        <w:t>Esta</w:t>
      </w:r>
      <w:r>
        <w:rPr>
          <w:spacing w:val="-3"/>
        </w:rPr>
        <w:t> </w:t>
      </w:r>
      <w:r>
        <w:rPr/>
        <w:t>situación</w:t>
      </w:r>
      <w:r>
        <w:rPr>
          <w:spacing w:val="-4"/>
        </w:rPr>
        <w:t> </w:t>
      </w:r>
      <w:r>
        <w:rPr/>
        <w:t>fue</w:t>
      </w:r>
      <w:r>
        <w:rPr>
          <w:spacing w:val="-3"/>
        </w:rPr>
        <w:t> </w:t>
      </w:r>
      <w:r>
        <w:rPr/>
        <w:t>inevitable</w:t>
      </w:r>
      <w:r>
        <w:rPr>
          <w:spacing w:val="-3"/>
        </w:rPr>
        <w:t> </w:t>
      </w:r>
      <w:r>
        <w:rPr/>
        <w:t>para</w:t>
      </w:r>
      <w:r>
        <w:rPr>
          <w:spacing w:val="-3"/>
        </w:rPr>
        <w:t> </w:t>
      </w:r>
      <w:r>
        <w:rPr/>
        <w:t>los</w:t>
      </w:r>
      <w:r>
        <w:rPr>
          <w:spacing w:val="-3"/>
        </w:rPr>
        <w:t> </w:t>
      </w:r>
      <w:r>
        <w:rPr/>
        <w:t>productores debido a la sequía</w:t>
      </w:r>
      <w:r>
        <w:rPr>
          <w:spacing w:val="-9"/>
        </w:rPr>
        <w:t> </w:t>
      </w:r>
      <w:r>
        <w:rPr/>
        <w:t>intensa.</w:t>
      </w:r>
    </w:p>
    <w:p>
      <w:pPr>
        <w:pStyle w:val="BodyText"/>
        <w:rPr>
          <w:sz w:val="22"/>
        </w:rPr>
      </w:pPr>
    </w:p>
    <w:p>
      <w:pPr>
        <w:pStyle w:val="BodyText"/>
        <w:spacing w:line="360" w:lineRule="auto" w:before="166"/>
        <w:ind w:left="122" w:right="115"/>
        <w:jc w:val="both"/>
      </w:pPr>
      <w:r>
        <w:rPr/>
        <w:t>Debido a su precio actual, relativamente alto en comparación con otros cárnicos, es común asociar un alto consumo de carne de bovino a un alto nivel socioeconómico. Lo anterior debido a</w:t>
      </w:r>
      <w:r>
        <w:rPr>
          <w:spacing w:val="-6"/>
        </w:rPr>
        <w:t> </w:t>
      </w:r>
      <w:r>
        <w:rPr/>
        <w:t>que</w:t>
      </w:r>
      <w:r>
        <w:rPr>
          <w:spacing w:val="-9"/>
        </w:rPr>
        <w:t> </w:t>
      </w:r>
      <w:r>
        <w:rPr/>
        <w:t>existe</w:t>
      </w:r>
      <w:r>
        <w:rPr>
          <w:spacing w:val="-9"/>
        </w:rPr>
        <w:t> </w:t>
      </w:r>
      <w:r>
        <w:rPr/>
        <w:t>una</w:t>
      </w:r>
      <w:r>
        <w:rPr>
          <w:spacing w:val="-8"/>
        </w:rPr>
        <w:t> </w:t>
      </w:r>
      <w:r>
        <w:rPr/>
        <w:t>relación</w:t>
      </w:r>
      <w:r>
        <w:rPr>
          <w:spacing w:val="-10"/>
        </w:rPr>
        <w:t> </w:t>
      </w:r>
      <w:r>
        <w:rPr/>
        <w:t>positiva</w:t>
      </w:r>
      <w:r>
        <w:rPr>
          <w:spacing w:val="-6"/>
        </w:rPr>
        <w:t> </w:t>
      </w:r>
      <w:r>
        <w:rPr/>
        <w:t>entre</w:t>
      </w:r>
      <w:r>
        <w:rPr>
          <w:spacing w:val="-9"/>
        </w:rPr>
        <w:t> </w:t>
      </w:r>
      <w:r>
        <w:rPr/>
        <w:t>el</w:t>
      </w:r>
      <w:r>
        <w:rPr>
          <w:spacing w:val="-4"/>
        </w:rPr>
        <w:t> </w:t>
      </w:r>
      <w:r>
        <w:rPr/>
        <w:t>estatus</w:t>
      </w:r>
      <w:r>
        <w:rPr>
          <w:spacing w:val="-10"/>
        </w:rPr>
        <w:t> </w:t>
      </w:r>
      <w:r>
        <w:rPr/>
        <w:t>económico</w:t>
      </w:r>
      <w:r>
        <w:rPr>
          <w:spacing w:val="-7"/>
        </w:rPr>
        <w:t> </w:t>
      </w:r>
      <w:r>
        <w:rPr/>
        <w:t>y</w:t>
      </w:r>
      <w:r>
        <w:rPr>
          <w:spacing w:val="-12"/>
        </w:rPr>
        <w:t> </w:t>
      </w:r>
      <w:r>
        <w:rPr/>
        <w:t>el</w:t>
      </w:r>
      <w:r>
        <w:rPr>
          <w:spacing w:val="-7"/>
        </w:rPr>
        <w:t> </w:t>
      </w:r>
      <w:r>
        <w:rPr/>
        <w:t>consumo</w:t>
      </w:r>
      <w:r>
        <w:rPr>
          <w:spacing w:val="-4"/>
        </w:rPr>
        <w:t> </w:t>
      </w:r>
      <w:r>
        <w:rPr/>
        <w:t>de</w:t>
      </w:r>
      <w:r>
        <w:rPr>
          <w:spacing w:val="-6"/>
        </w:rPr>
        <w:t> </w:t>
      </w:r>
      <w:r>
        <w:rPr/>
        <w:t>carne</w:t>
      </w:r>
      <w:r>
        <w:rPr>
          <w:spacing w:val="-9"/>
        </w:rPr>
        <w:t> </w:t>
      </w:r>
      <w:r>
        <w:rPr/>
        <w:t>bovino</w:t>
      </w:r>
      <w:r>
        <w:rPr>
          <w:spacing w:val="-7"/>
        </w:rPr>
        <w:t> </w:t>
      </w:r>
      <w:r>
        <w:rPr/>
        <w:t>como se muestra en la</w:t>
      </w:r>
      <w:r>
        <w:rPr>
          <w:spacing w:val="-11"/>
        </w:rPr>
        <w:t> </w:t>
      </w:r>
      <w:r>
        <w:rPr/>
        <w:t>gráfica.</w:t>
      </w:r>
    </w:p>
    <w:p>
      <w:pPr>
        <w:pStyle w:val="BodyText"/>
        <w:spacing w:line="360" w:lineRule="auto" w:before="4"/>
        <w:ind w:left="122" w:right="115"/>
        <w:jc w:val="both"/>
      </w:pPr>
      <w:r>
        <w:rPr/>
        <w:t>Sobre</w:t>
      </w:r>
      <w:r>
        <w:rPr>
          <w:spacing w:val="-11"/>
        </w:rPr>
        <w:t> </w:t>
      </w:r>
      <w:r>
        <w:rPr/>
        <w:t>este</w:t>
      </w:r>
      <w:r>
        <w:rPr>
          <w:spacing w:val="-13"/>
        </w:rPr>
        <w:t> </w:t>
      </w:r>
      <w:r>
        <w:rPr/>
        <w:t>particular,</w:t>
      </w:r>
      <w:r>
        <w:rPr>
          <w:spacing w:val="-12"/>
        </w:rPr>
        <w:t> </w:t>
      </w:r>
      <w:r>
        <w:rPr/>
        <w:t>Argentina</w:t>
      </w:r>
      <w:r>
        <w:rPr>
          <w:spacing w:val="-14"/>
        </w:rPr>
        <w:t> </w:t>
      </w:r>
      <w:r>
        <w:rPr/>
        <w:t>es</w:t>
      </w:r>
      <w:r>
        <w:rPr>
          <w:spacing w:val="-13"/>
        </w:rPr>
        <w:t> </w:t>
      </w:r>
      <w:r>
        <w:rPr/>
        <w:t>un</w:t>
      </w:r>
      <w:r>
        <w:rPr>
          <w:spacing w:val="-9"/>
        </w:rPr>
        <w:t> </w:t>
      </w:r>
      <w:r>
        <w:rPr/>
        <w:t>punto</w:t>
      </w:r>
      <w:r>
        <w:rPr>
          <w:spacing w:val="-12"/>
        </w:rPr>
        <w:t> </w:t>
      </w:r>
      <w:r>
        <w:rPr/>
        <w:t>anormal,</w:t>
      </w:r>
      <w:r>
        <w:rPr>
          <w:spacing w:val="-14"/>
        </w:rPr>
        <w:t> </w:t>
      </w:r>
      <w:r>
        <w:rPr/>
        <w:t>consume</w:t>
      </w:r>
      <w:r>
        <w:rPr>
          <w:spacing w:val="-11"/>
        </w:rPr>
        <w:t> </w:t>
      </w:r>
      <w:r>
        <w:rPr/>
        <w:t>una</w:t>
      </w:r>
      <w:r>
        <w:rPr>
          <w:spacing w:val="-14"/>
        </w:rPr>
        <w:t> </w:t>
      </w:r>
      <w:r>
        <w:rPr/>
        <w:t>alta</w:t>
      </w:r>
      <w:r>
        <w:rPr>
          <w:spacing w:val="-11"/>
        </w:rPr>
        <w:t> </w:t>
      </w:r>
      <w:r>
        <w:rPr/>
        <w:t>cantidad</w:t>
      </w:r>
      <w:r>
        <w:rPr>
          <w:spacing w:val="-14"/>
        </w:rPr>
        <w:t> </w:t>
      </w:r>
      <w:r>
        <w:rPr/>
        <w:t>de</w:t>
      </w:r>
      <w:r>
        <w:rPr>
          <w:spacing w:val="-11"/>
        </w:rPr>
        <w:t> </w:t>
      </w:r>
      <w:r>
        <w:rPr/>
        <w:t>carne</w:t>
      </w:r>
      <w:r>
        <w:rPr>
          <w:spacing w:val="-11"/>
        </w:rPr>
        <w:t> </w:t>
      </w:r>
      <w:r>
        <w:rPr/>
        <w:t>bovina, sin embargo, cuenta con un PIB (Producto Interno Bruto) per cápita —una medida de nivel económico—</w:t>
      </w:r>
      <w:r>
        <w:rPr>
          <w:spacing w:val="-12"/>
        </w:rPr>
        <w:t> </w:t>
      </w:r>
      <w:r>
        <w:rPr/>
        <w:t>relativamente</w:t>
      </w:r>
      <w:r>
        <w:rPr>
          <w:spacing w:val="-9"/>
        </w:rPr>
        <w:t> </w:t>
      </w:r>
      <w:r>
        <w:rPr/>
        <w:t>bajo;</w:t>
      </w:r>
      <w:r>
        <w:rPr>
          <w:spacing w:val="-12"/>
        </w:rPr>
        <w:t> </w:t>
      </w:r>
      <w:r>
        <w:rPr/>
        <w:t>no</w:t>
      </w:r>
      <w:r>
        <w:rPr>
          <w:spacing w:val="-12"/>
        </w:rPr>
        <w:t> </w:t>
      </w:r>
      <w:r>
        <w:rPr/>
        <w:t>obstante,</w:t>
      </w:r>
      <w:r>
        <w:rPr>
          <w:spacing w:val="-12"/>
        </w:rPr>
        <w:t> </w:t>
      </w:r>
      <w:r>
        <w:rPr/>
        <w:t>esto</w:t>
      </w:r>
      <w:r>
        <w:rPr>
          <w:spacing w:val="-12"/>
        </w:rPr>
        <w:t> </w:t>
      </w:r>
      <w:r>
        <w:rPr/>
        <w:t>se</w:t>
      </w:r>
      <w:r>
        <w:rPr>
          <w:spacing w:val="-13"/>
        </w:rPr>
        <w:t> </w:t>
      </w:r>
      <w:r>
        <w:rPr/>
        <w:t>explica</w:t>
      </w:r>
      <w:r>
        <w:rPr>
          <w:spacing w:val="-11"/>
        </w:rPr>
        <w:t> </w:t>
      </w:r>
      <w:r>
        <w:rPr/>
        <w:t>por</w:t>
      </w:r>
      <w:r>
        <w:rPr>
          <w:spacing w:val="-12"/>
        </w:rPr>
        <w:t> </w:t>
      </w:r>
      <w:r>
        <w:rPr/>
        <w:t>la</w:t>
      </w:r>
      <w:r>
        <w:rPr>
          <w:spacing w:val="-11"/>
        </w:rPr>
        <w:t> </w:t>
      </w:r>
      <w:r>
        <w:rPr/>
        <w:t>alta</w:t>
      </w:r>
      <w:r>
        <w:rPr>
          <w:spacing w:val="-11"/>
        </w:rPr>
        <w:t> </w:t>
      </w:r>
      <w:r>
        <w:rPr/>
        <w:t>producción</w:t>
      </w:r>
      <w:r>
        <w:rPr>
          <w:spacing w:val="-12"/>
        </w:rPr>
        <w:t> </w:t>
      </w:r>
      <w:r>
        <w:rPr/>
        <w:t>de</w:t>
      </w:r>
      <w:r>
        <w:rPr>
          <w:spacing w:val="-11"/>
        </w:rPr>
        <w:t> </w:t>
      </w:r>
      <w:r>
        <w:rPr/>
        <w:t>Argentina y</w:t>
      </w:r>
      <w:r>
        <w:rPr>
          <w:spacing w:val="-13"/>
        </w:rPr>
        <w:t> </w:t>
      </w:r>
      <w:r>
        <w:rPr/>
        <w:t>sus</w:t>
      </w:r>
      <w:r>
        <w:rPr>
          <w:spacing w:val="-14"/>
        </w:rPr>
        <w:t> </w:t>
      </w:r>
      <w:r>
        <w:rPr/>
        <w:t>hábitos</w:t>
      </w:r>
      <w:r>
        <w:rPr>
          <w:spacing w:val="31"/>
        </w:rPr>
        <w:t> </w:t>
      </w:r>
      <w:r>
        <w:rPr/>
        <w:t>alimenticios.</w:t>
      </w:r>
      <w:r>
        <w:rPr>
          <w:spacing w:val="-16"/>
        </w:rPr>
        <w:t> </w:t>
      </w:r>
      <w:r>
        <w:rPr/>
        <w:t>Otro</w:t>
      </w:r>
      <w:r>
        <w:rPr>
          <w:spacing w:val="-13"/>
        </w:rPr>
        <w:t> </w:t>
      </w:r>
      <w:r>
        <w:rPr/>
        <w:t>punto</w:t>
      </w:r>
      <w:r>
        <w:rPr>
          <w:spacing w:val="-13"/>
        </w:rPr>
        <w:t> </w:t>
      </w:r>
      <w:r>
        <w:rPr/>
        <w:t>anormal,</w:t>
      </w:r>
      <w:r>
        <w:rPr>
          <w:spacing w:val="-13"/>
        </w:rPr>
        <w:t> </w:t>
      </w:r>
      <w:r>
        <w:rPr/>
        <w:t>Suiza,</w:t>
      </w:r>
      <w:r>
        <w:rPr>
          <w:spacing w:val="-13"/>
        </w:rPr>
        <w:t> </w:t>
      </w:r>
      <w:r>
        <w:rPr/>
        <w:t>se</w:t>
      </w:r>
      <w:r>
        <w:rPr>
          <w:spacing w:val="-13"/>
        </w:rPr>
        <w:t> </w:t>
      </w:r>
      <w:r>
        <w:rPr/>
        <w:t>explica</w:t>
      </w:r>
      <w:r>
        <w:rPr>
          <w:spacing w:val="-13"/>
        </w:rPr>
        <w:t> </w:t>
      </w:r>
      <w:r>
        <w:rPr/>
        <w:t>debido</w:t>
      </w:r>
      <w:r>
        <w:rPr>
          <w:spacing w:val="-13"/>
        </w:rPr>
        <w:t> </w:t>
      </w:r>
      <w:r>
        <w:rPr/>
        <w:t>a</w:t>
      </w:r>
      <w:r>
        <w:rPr>
          <w:spacing w:val="-13"/>
        </w:rPr>
        <w:t> </w:t>
      </w:r>
      <w:r>
        <w:rPr/>
        <w:t>la</w:t>
      </w:r>
      <w:r>
        <w:rPr>
          <w:spacing w:val="-15"/>
        </w:rPr>
        <w:t> </w:t>
      </w:r>
      <w:r>
        <w:rPr/>
        <w:t>marcada</w:t>
      </w:r>
      <w:r>
        <w:rPr>
          <w:spacing w:val="-13"/>
        </w:rPr>
        <w:t> </w:t>
      </w:r>
      <w:r>
        <w:rPr/>
        <w:t>preferencia que ese país tiene por la carne de</w:t>
      </w:r>
      <w:r>
        <w:rPr>
          <w:spacing w:val="-11"/>
        </w:rPr>
        <w:t> </w:t>
      </w:r>
      <w:r>
        <w:rPr/>
        <w:t>cerdo.</w:t>
      </w:r>
    </w:p>
    <w:p>
      <w:pPr>
        <w:pStyle w:val="BodyText"/>
        <w:rPr>
          <w:sz w:val="22"/>
        </w:rPr>
      </w:pPr>
    </w:p>
    <w:p>
      <w:pPr>
        <w:pStyle w:val="BodyText"/>
        <w:spacing w:line="360" w:lineRule="auto" w:before="147"/>
        <w:ind w:left="122" w:right="115"/>
        <w:jc w:val="both"/>
      </w:pPr>
      <w:r>
        <w:rPr/>
        <w:t>En</w:t>
      </w:r>
      <w:r>
        <w:rPr>
          <w:spacing w:val="-10"/>
        </w:rPr>
        <w:t> </w:t>
      </w:r>
      <w:r>
        <w:rPr/>
        <w:t>lo</w:t>
      </w:r>
      <w:r>
        <w:rPr>
          <w:spacing w:val="-10"/>
        </w:rPr>
        <w:t> </w:t>
      </w:r>
      <w:r>
        <w:rPr/>
        <w:t>que</w:t>
      </w:r>
      <w:r>
        <w:rPr>
          <w:spacing w:val="-9"/>
        </w:rPr>
        <w:t> </w:t>
      </w:r>
      <w:r>
        <w:rPr/>
        <w:t>respecta</w:t>
      </w:r>
      <w:r>
        <w:rPr>
          <w:spacing w:val="-9"/>
        </w:rPr>
        <w:t> </w:t>
      </w:r>
      <w:r>
        <w:rPr/>
        <w:t>a</w:t>
      </w:r>
      <w:r>
        <w:rPr>
          <w:spacing w:val="-9"/>
        </w:rPr>
        <w:t> </w:t>
      </w:r>
      <w:r>
        <w:rPr/>
        <w:t>la</w:t>
      </w:r>
      <w:r>
        <w:rPr>
          <w:spacing w:val="-9"/>
        </w:rPr>
        <w:t> </w:t>
      </w:r>
      <w:r>
        <w:rPr/>
        <w:t>demanda,</w:t>
      </w:r>
      <w:r>
        <w:rPr>
          <w:spacing w:val="-10"/>
        </w:rPr>
        <w:t> </w:t>
      </w:r>
      <w:r>
        <w:rPr/>
        <w:t>la</w:t>
      </w:r>
      <w:r>
        <w:rPr>
          <w:spacing w:val="-9"/>
        </w:rPr>
        <w:t> </w:t>
      </w:r>
      <w:r>
        <w:rPr/>
        <w:t>carne</w:t>
      </w:r>
      <w:r>
        <w:rPr>
          <w:spacing w:val="-9"/>
        </w:rPr>
        <w:t> </w:t>
      </w:r>
      <w:r>
        <w:rPr/>
        <w:t>de</w:t>
      </w:r>
      <w:r>
        <w:rPr>
          <w:spacing w:val="-9"/>
        </w:rPr>
        <w:t> </w:t>
      </w:r>
      <w:r>
        <w:rPr/>
        <w:t>bovino</w:t>
      </w:r>
      <w:r>
        <w:rPr>
          <w:spacing w:val="-10"/>
        </w:rPr>
        <w:t> </w:t>
      </w:r>
      <w:r>
        <w:rPr/>
        <w:t>es</w:t>
      </w:r>
      <w:r>
        <w:rPr>
          <w:spacing w:val="-10"/>
        </w:rPr>
        <w:t> </w:t>
      </w:r>
      <w:r>
        <w:rPr/>
        <w:t>la</w:t>
      </w:r>
      <w:r>
        <w:rPr>
          <w:spacing w:val="-9"/>
        </w:rPr>
        <w:t> </w:t>
      </w:r>
      <w:r>
        <w:rPr/>
        <w:t>tercera</w:t>
      </w:r>
      <w:r>
        <w:rPr>
          <w:spacing w:val="-9"/>
        </w:rPr>
        <w:t> </w:t>
      </w:r>
      <w:r>
        <w:rPr/>
        <w:t>más</w:t>
      </w:r>
      <w:r>
        <w:rPr>
          <w:spacing w:val="-10"/>
        </w:rPr>
        <w:t> </w:t>
      </w:r>
      <w:r>
        <w:rPr/>
        <w:t>consumida</w:t>
      </w:r>
      <w:r>
        <w:rPr>
          <w:spacing w:val="-9"/>
        </w:rPr>
        <w:t> </w:t>
      </w:r>
      <w:r>
        <w:rPr/>
        <w:t>a</w:t>
      </w:r>
      <w:r>
        <w:rPr>
          <w:spacing w:val="-9"/>
        </w:rPr>
        <w:t> </w:t>
      </w:r>
      <w:r>
        <w:rPr/>
        <w:t>nivel mundial, siendo las dos primeras la carne de cerdo y de pollo. Para 2015, se espera que el consumo de carne de pollo aumente 1.03 por ciento anual, para llegar a 85.5 millones de toneladas, y que el consumo de carne de cerdo aumente 0.32 por ciento anual, para llegar a 110.3 millones de toneladas (FIRA,</w:t>
      </w:r>
      <w:r>
        <w:rPr>
          <w:spacing w:val="-7"/>
        </w:rPr>
        <w:t> </w:t>
      </w:r>
      <w:r>
        <w:rPr/>
        <w:t>2015).</w:t>
      </w:r>
    </w:p>
    <w:p>
      <w:pPr>
        <w:pStyle w:val="BodyText"/>
        <w:rPr>
          <w:sz w:val="20"/>
        </w:rPr>
      </w:pPr>
    </w:p>
    <w:p>
      <w:pPr>
        <w:pStyle w:val="BodyText"/>
        <w:rPr>
          <w:sz w:val="29"/>
        </w:rPr>
      </w:pPr>
      <w:r>
        <w:rPr/>
        <w:pict>
          <v:line style="position:absolute;mso-position-horizontal-relative:page;mso-position-vertical-relative:paragraph;z-index:1888;mso-wrap-distance-left:0;mso-wrap-distance-right:0" from="85.103996pt,18.849754pt" to="525.960017pt,18.849754pt" stroked="true" strokeweight=".36pt" strokecolor="#000000">
            <w10:wrap type="topAndBottom"/>
          </v:line>
        </w:pict>
      </w:r>
    </w:p>
    <w:p>
      <w:pPr>
        <w:tabs>
          <w:tab w:pos="4003" w:val="left" w:leader="none"/>
          <w:tab w:pos="8240" w:val="left" w:leader="none"/>
        </w:tabs>
        <w:spacing w:line="362" w:lineRule="auto" w:before="73" w:after="15"/>
        <w:ind w:left="510" w:right="123" w:hanging="389"/>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15 Estimación de una función de producción de bovinos carne en sistema extensivo en el sur del Estado de</w:t>
      </w:r>
      <w:r>
        <w:rPr>
          <w:spacing w:val="-26"/>
          <w:sz w:val="18"/>
        </w:rPr>
        <w:t> </w:t>
      </w:r>
      <w:r>
        <w:rPr>
          <w:sz w:val="18"/>
        </w:rPr>
        <w:t>México</w:t>
      </w: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spacing w:after="0" w:line="20" w:lineRule="exact"/>
        <w:rPr>
          <w:sz w:val="2"/>
        </w:rPr>
        <w:sectPr>
          <w:headerReference w:type="default" r:id="rId52"/>
          <w:footerReference w:type="default" r:id="rId53"/>
          <w:pgSz w:w="12240" w:h="15840"/>
          <w:pgMar w:header="0" w:footer="0" w:top="1360" w:bottom="280" w:left="1580" w:right="1580"/>
        </w:sectPr>
      </w:pPr>
    </w:p>
    <w:p>
      <w:pPr>
        <w:pStyle w:val="BodyText"/>
        <w:spacing w:line="362" w:lineRule="auto" w:before="50"/>
        <w:ind w:left="122" w:right="119"/>
        <w:jc w:val="both"/>
      </w:pPr>
      <w:r>
        <w:rPr/>
        <w:t>Asimismo, para 2015, se espera que el consumo de carne de bovino disminuya 1.5 por ciento anual, para llegar a 56.7 millones de toneladas.</w:t>
      </w:r>
    </w:p>
    <w:p>
      <w:pPr>
        <w:pStyle w:val="BodyText"/>
        <w:rPr>
          <w:sz w:val="22"/>
        </w:rPr>
      </w:pPr>
    </w:p>
    <w:p>
      <w:pPr>
        <w:pStyle w:val="BodyText"/>
        <w:spacing w:line="362" w:lineRule="auto" w:before="144"/>
        <w:ind w:left="122" w:right="116"/>
        <w:jc w:val="both"/>
      </w:pPr>
      <w:r>
        <w:rPr/>
        <w:t>A nivel nacional, de 1990 a 2000, la carne de bovino ocupó el primer lugar en el consumo de carne y, hasta 2011, el segundo lugar, sólo por debajo del consumo de carne de pollo.</w:t>
      </w:r>
    </w:p>
    <w:p>
      <w:pPr>
        <w:pStyle w:val="BodyText"/>
        <w:rPr>
          <w:sz w:val="22"/>
        </w:rPr>
      </w:pPr>
    </w:p>
    <w:p>
      <w:pPr>
        <w:pStyle w:val="BodyText"/>
        <w:spacing w:line="360" w:lineRule="auto" w:before="144"/>
        <w:ind w:left="122" w:right="115"/>
        <w:jc w:val="both"/>
      </w:pPr>
      <w:r>
        <w:rPr/>
        <w:t>Sin</w:t>
      </w:r>
      <w:r>
        <w:rPr>
          <w:spacing w:val="-10"/>
        </w:rPr>
        <w:t> </w:t>
      </w:r>
      <w:r>
        <w:rPr/>
        <w:t>embargo,</w:t>
      </w:r>
      <w:r>
        <w:rPr>
          <w:spacing w:val="-10"/>
        </w:rPr>
        <w:t> </w:t>
      </w:r>
      <w:r>
        <w:rPr/>
        <w:t>desde</w:t>
      </w:r>
      <w:r>
        <w:rPr>
          <w:spacing w:val="-11"/>
        </w:rPr>
        <w:t> </w:t>
      </w:r>
      <w:r>
        <w:rPr/>
        <w:t>2012</w:t>
      </w:r>
      <w:r>
        <w:rPr>
          <w:spacing w:val="-12"/>
        </w:rPr>
        <w:t> </w:t>
      </w:r>
      <w:r>
        <w:rPr/>
        <w:t>el</w:t>
      </w:r>
      <w:r>
        <w:rPr>
          <w:spacing w:val="-9"/>
        </w:rPr>
        <w:t> </w:t>
      </w:r>
      <w:r>
        <w:rPr/>
        <w:t>consumo</w:t>
      </w:r>
      <w:r>
        <w:rPr>
          <w:spacing w:val="-10"/>
        </w:rPr>
        <w:t> </w:t>
      </w:r>
      <w:r>
        <w:rPr/>
        <w:t>de</w:t>
      </w:r>
      <w:r>
        <w:rPr>
          <w:spacing w:val="-9"/>
        </w:rPr>
        <w:t> </w:t>
      </w:r>
      <w:r>
        <w:rPr/>
        <w:t>la</w:t>
      </w:r>
      <w:r>
        <w:rPr>
          <w:spacing w:val="-11"/>
        </w:rPr>
        <w:t> </w:t>
      </w:r>
      <w:r>
        <w:rPr/>
        <w:t>carne</w:t>
      </w:r>
      <w:r>
        <w:rPr>
          <w:spacing w:val="-9"/>
        </w:rPr>
        <w:t> </w:t>
      </w:r>
      <w:r>
        <w:rPr/>
        <w:t>de</w:t>
      </w:r>
      <w:r>
        <w:rPr>
          <w:spacing w:val="-9"/>
        </w:rPr>
        <w:t> </w:t>
      </w:r>
      <w:r>
        <w:rPr/>
        <w:t>cerdo</w:t>
      </w:r>
      <w:r>
        <w:rPr>
          <w:spacing w:val="-10"/>
        </w:rPr>
        <w:t> </w:t>
      </w:r>
      <w:r>
        <w:rPr/>
        <w:t>superó</w:t>
      </w:r>
      <w:r>
        <w:rPr>
          <w:spacing w:val="-10"/>
        </w:rPr>
        <w:t> </w:t>
      </w:r>
      <w:r>
        <w:rPr/>
        <w:t>al</w:t>
      </w:r>
      <w:r>
        <w:rPr>
          <w:spacing w:val="-8"/>
        </w:rPr>
        <w:t> </w:t>
      </w:r>
      <w:r>
        <w:rPr/>
        <w:t>consumo</w:t>
      </w:r>
      <w:r>
        <w:rPr>
          <w:spacing w:val="-10"/>
        </w:rPr>
        <w:t> </w:t>
      </w:r>
      <w:r>
        <w:rPr/>
        <w:t>de</w:t>
      </w:r>
      <w:r>
        <w:rPr>
          <w:spacing w:val="-11"/>
        </w:rPr>
        <w:t> </w:t>
      </w:r>
      <w:r>
        <w:rPr/>
        <w:t>carne</w:t>
      </w:r>
      <w:r>
        <w:rPr>
          <w:spacing w:val="-9"/>
        </w:rPr>
        <w:t> </w:t>
      </w:r>
      <w:r>
        <w:rPr/>
        <w:t>de</w:t>
      </w:r>
      <w:r>
        <w:rPr>
          <w:spacing w:val="-8"/>
        </w:rPr>
        <w:t> </w:t>
      </w:r>
      <w:r>
        <w:rPr/>
        <w:t>bovino. Se espera que el consumo de la carne de bovino crezca 0.33 por ciento anual para 2015. En lo que</w:t>
      </w:r>
      <w:r>
        <w:rPr>
          <w:spacing w:val="-6"/>
        </w:rPr>
        <w:t> </w:t>
      </w:r>
      <w:r>
        <w:rPr/>
        <w:t>respecta</w:t>
      </w:r>
      <w:r>
        <w:rPr>
          <w:spacing w:val="-6"/>
        </w:rPr>
        <w:t> </w:t>
      </w:r>
      <w:r>
        <w:rPr/>
        <w:t>a</w:t>
      </w:r>
      <w:r>
        <w:rPr>
          <w:spacing w:val="-6"/>
        </w:rPr>
        <w:t> </w:t>
      </w:r>
      <w:r>
        <w:rPr/>
        <w:t>la</w:t>
      </w:r>
      <w:r>
        <w:rPr>
          <w:spacing w:val="-6"/>
        </w:rPr>
        <w:t> </w:t>
      </w:r>
      <w:r>
        <w:rPr/>
        <w:t>producción</w:t>
      </w:r>
      <w:r>
        <w:rPr>
          <w:spacing w:val="-7"/>
        </w:rPr>
        <w:t> </w:t>
      </w:r>
      <w:r>
        <w:rPr/>
        <w:t>nacional,</w:t>
      </w:r>
      <w:r>
        <w:rPr>
          <w:spacing w:val="-7"/>
        </w:rPr>
        <w:t> </w:t>
      </w:r>
      <w:r>
        <w:rPr/>
        <w:t>hasta</w:t>
      </w:r>
      <w:r>
        <w:rPr>
          <w:spacing w:val="-6"/>
        </w:rPr>
        <w:t> </w:t>
      </w:r>
      <w:r>
        <w:rPr/>
        <w:t>1999</w:t>
      </w:r>
      <w:r>
        <w:rPr>
          <w:spacing w:val="-7"/>
        </w:rPr>
        <w:t> </w:t>
      </w:r>
      <w:r>
        <w:rPr/>
        <w:t>era</w:t>
      </w:r>
      <w:r>
        <w:rPr>
          <w:spacing w:val="-6"/>
        </w:rPr>
        <w:t> </w:t>
      </w:r>
      <w:r>
        <w:rPr/>
        <w:t>la</w:t>
      </w:r>
      <w:r>
        <w:rPr>
          <w:spacing w:val="-9"/>
        </w:rPr>
        <w:t> </w:t>
      </w:r>
      <w:r>
        <w:rPr/>
        <w:t>carne</w:t>
      </w:r>
      <w:r>
        <w:rPr>
          <w:spacing w:val="-6"/>
        </w:rPr>
        <w:t> </w:t>
      </w:r>
      <w:r>
        <w:rPr/>
        <w:t>que</w:t>
      </w:r>
      <w:r>
        <w:rPr>
          <w:spacing w:val="-9"/>
        </w:rPr>
        <w:t> </w:t>
      </w:r>
      <w:r>
        <w:rPr/>
        <w:t>más</w:t>
      </w:r>
      <w:r>
        <w:rPr>
          <w:spacing w:val="-8"/>
        </w:rPr>
        <w:t> </w:t>
      </w:r>
      <w:r>
        <w:rPr/>
        <w:t>se producía</w:t>
      </w:r>
      <w:r>
        <w:rPr>
          <w:spacing w:val="-9"/>
        </w:rPr>
        <w:t> </w:t>
      </w:r>
      <w:r>
        <w:rPr/>
        <w:t>en</w:t>
      </w:r>
      <w:r>
        <w:rPr>
          <w:spacing w:val="-7"/>
        </w:rPr>
        <w:t> </w:t>
      </w:r>
      <w:r>
        <w:rPr/>
        <w:t>el</w:t>
      </w:r>
      <w:r>
        <w:rPr>
          <w:spacing w:val="-7"/>
        </w:rPr>
        <w:t> </w:t>
      </w:r>
      <w:r>
        <w:rPr/>
        <w:t>país;</w:t>
      </w:r>
      <w:r>
        <w:rPr>
          <w:spacing w:val="-7"/>
        </w:rPr>
        <w:t> </w:t>
      </w:r>
      <w:r>
        <w:rPr/>
        <w:t>sin embargo, en 2014 se produjo 65 por ciento más carne de pollo que de bovino. Se espera que la producción nacional crezca 2.8 por ciento anual para</w:t>
      </w:r>
      <w:r>
        <w:rPr>
          <w:spacing w:val="-18"/>
        </w:rPr>
        <w:t> </w:t>
      </w:r>
      <w:r>
        <w:rPr/>
        <w:t>2015.</w:t>
      </w:r>
    </w:p>
    <w:p>
      <w:pPr>
        <w:pStyle w:val="BodyText"/>
        <w:rPr>
          <w:sz w:val="22"/>
        </w:rPr>
      </w:pPr>
    </w:p>
    <w:p>
      <w:pPr>
        <w:pStyle w:val="BodyText"/>
        <w:spacing w:before="10"/>
        <w:rPr>
          <w:sz w:val="28"/>
        </w:rPr>
      </w:pPr>
    </w:p>
    <w:p>
      <w:pPr>
        <w:pStyle w:val="Heading3"/>
        <w:numPr>
          <w:ilvl w:val="1"/>
          <w:numId w:val="3"/>
        </w:numPr>
        <w:tabs>
          <w:tab w:pos="542" w:val="left" w:leader="none"/>
        </w:tabs>
        <w:spacing w:line="240" w:lineRule="auto" w:before="0" w:after="0"/>
        <w:ind w:left="542" w:right="0" w:hanging="420"/>
        <w:jc w:val="both"/>
      </w:pPr>
      <w:r>
        <w:rPr/>
        <w:t>Leche de</w:t>
      </w:r>
      <w:r>
        <w:rPr>
          <w:spacing w:val="-4"/>
        </w:rPr>
        <w:t> </w:t>
      </w:r>
      <w:r>
        <w:rPr/>
        <w:t>bovino</w:t>
      </w:r>
    </w:p>
    <w:p>
      <w:pPr>
        <w:pStyle w:val="BodyText"/>
        <w:spacing w:before="5"/>
        <w:rPr>
          <w:b/>
          <w:sz w:val="25"/>
        </w:rPr>
      </w:pPr>
    </w:p>
    <w:p>
      <w:pPr>
        <w:pStyle w:val="BodyText"/>
        <w:spacing w:line="360" w:lineRule="auto"/>
        <w:ind w:left="122" w:right="118"/>
        <w:jc w:val="both"/>
      </w:pPr>
      <w:r>
        <w:rPr/>
        <w:t>En México, la producción de leche de bovino es muy heterogénea desde el punto de vista tecnológico, agroecológico y socioeconómico, incluyendo la gran variedad de climas regionales y características de tradiciones y costumbres de las poblaciones. Sin embargo, la industria de productos lácteos es la tercera actividad más importante dentro de la rama de la industria de alimentos en México.</w:t>
      </w:r>
    </w:p>
    <w:p>
      <w:pPr>
        <w:pStyle w:val="BodyText"/>
        <w:spacing w:line="360" w:lineRule="auto" w:before="6"/>
        <w:ind w:left="122" w:right="124"/>
        <w:jc w:val="both"/>
      </w:pPr>
      <w:r>
        <w:rPr/>
        <w:t>La producción de leche presenta una diversidad de condiciones, las que van determinando una variedad de costos de producción, entre los principales factores que influyen en este tema se tienen el grado de tecnificación de la explotación, el tipo de alimentación del ganado, el tipo de raza o ganado lechero especializado entre otros, así como las condiciones climáticas y la disponibilidad de agua (FIRA, 2015).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7"/>
        </w:rPr>
      </w:pPr>
      <w:r>
        <w:rPr/>
        <w:pict>
          <v:line style="position:absolute;mso-position-horizontal-relative:page;mso-position-vertical-relative:paragraph;z-index:1936;mso-wrap-distance-left:0;mso-wrap-distance-right:0" from="85.103996pt,17.706581pt" to="525.960017pt,17.706581pt" stroked="true" strokeweight=".36pt" strokecolor="#000000">
            <w10:wrap type="topAndBottom"/>
          </v:line>
        </w:pict>
      </w:r>
    </w:p>
    <w:p>
      <w:pPr>
        <w:tabs>
          <w:tab w:pos="4003" w:val="left" w:leader="none"/>
          <w:tab w:pos="8240" w:val="left" w:leader="none"/>
        </w:tabs>
        <w:spacing w:before="73"/>
        <w:ind w:left="122" w:right="0"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16</w:t>
      </w:r>
    </w:p>
    <w:p>
      <w:pPr>
        <w:spacing w:after="0"/>
        <w:jc w:val="left"/>
        <w:rPr>
          <w:sz w:val="18"/>
        </w:rPr>
        <w:sectPr>
          <w:headerReference w:type="default" r:id="rId54"/>
          <w:footerReference w:type="default" r:id="rId55"/>
          <w:pgSz w:w="12240" w:h="15840"/>
          <w:pgMar w:header="0" w:footer="2120" w:top="1360" w:bottom="2300" w:left="1580" w:right="1580"/>
        </w:sectPr>
      </w:pPr>
    </w:p>
    <w:p>
      <w:pPr>
        <w:pStyle w:val="BodyText"/>
        <w:spacing w:line="360" w:lineRule="auto" w:before="50"/>
        <w:ind w:left="122" w:right="119"/>
        <w:jc w:val="both"/>
      </w:pPr>
      <w:r>
        <w:rPr/>
        <w:t>Al considerar el grado de tecnificación de las explotaciones lecheras, destaca que el nivel de los costos de producción sea más alto en las que operan con una mayor tecnificación, lo cual está relacionado</w:t>
      </w:r>
      <w:r>
        <w:rPr>
          <w:spacing w:val="-10"/>
        </w:rPr>
        <w:t> </w:t>
      </w:r>
      <w:r>
        <w:rPr/>
        <w:t>por</w:t>
      </w:r>
      <w:r>
        <w:rPr>
          <w:spacing w:val="-10"/>
        </w:rPr>
        <w:t> </w:t>
      </w:r>
      <w:r>
        <w:rPr/>
        <w:t>el</w:t>
      </w:r>
      <w:r>
        <w:rPr>
          <w:spacing w:val="-9"/>
        </w:rPr>
        <w:t> </w:t>
      </w:r>
      <w:r>
        <w:rPr/>
        <w:t>peso</w:t>
      </w:r>
      <w:r>
        <w:rPr>
          <w:spacing w:val="-10"/>
        </w:rPr>
        <w:t> </w:t>
      </w:r>
      <w:r>
        <w:rPr/>
        <w:t>de</w:t>
      </w:r>
      <w:r>
        <w:rPr>
          <w:spacing w:val="-11"/>
        </w:rPr>
        <w:t> </w:t>
      </w:r>
      <w:r>
        <w:rPr/>
        <w:t>los</w:t>
      </w:r>
      <w:r>
        <w:rPr>
          <w:spacing w:val="-8"/>
        </w:rPr>
        <w:t> </w:t>
      </w:r>
      <w:r>
        <w:rPr/>
        <w:t>costos</w:t>
      </w:r>
      <w:r>
        <w:rPr>
          <w:spacing w:val="-10"/>
        </w:rPr>
        <w:t> </w:t>
      </w:r>
      <w:r>
        <w:rPr/>
        <w:t>de</w:t>
      </w:r>
      <w:r>
        <w:rPr>
          <w:spacing w:val="-9"/>
        </w:rPr>
        <w:t> </w:t>
      </w:r>
      <w:r>
        <w:rPr/>
        <w:t>alimentación,</w:t>
      </w:r>
      <w:r>
        <w:rPr>
          <w:spacing w:val="-7"/>
        </w:rPr>
        <w:t> </w:t>
      </w:r>
      <w:r>
        <w:rPr/>
        <w:t>gastos</w:t>
      </w:r>
      <w:r>
        <w:rPr>
          <w:spacing w:val="-8"/>
        </w:rPr>
        <w:t> </w:t>
      </w:r>
      <w:r>
        <w:rPr/>
        <w:t>generales,</w:t>
      </w:r>
      <w:r>
        <w:rPr>
          <w:spacing w:val="-7"/>
        </w:rPr>
        <w:t> </w:t>
      </w:r>
      <w:r>
        <w:rPr/>
        <w:t>depreciaciones,</w:t>
      </w:r>
      <w:r>
        <w:rPr>
          <w:spacing w:val="-7"/>
        </w:rPr>
        <w:t> </w:t>
      </w:r>
      <w:r>
        <w:rPr/>
        <w:t>pagos</w:t>
      </w:r>
      <w:r>
        <w:rPr>
          <w:spacing w:val="-8"/>
        </w:rPr>
        <w:t> </w:t>
      </w:r>
      <w:r>
        <w:rPr/>
        <w:t>de impuestos y gastos financieros,</w:t>
      </w:r>
      <w:r>
        <w:rPr>
          <w:spacing w:val="-18"/>
        </w:rPr>
        <w:t> </w:t>
      </w:r>
      <w:r>
        <w:rPr/>
        <w:t>principalmente.</w:t>
      </w:r>
    </w:p>
    <w:p>
      <w:pPr>
        <w:pStyle w:val="BodyText"/>
        <w:spacing w:line="360" w:lineRule="auto" w:before="6"/>
        <w:ind w:left="122" w:right="124"/>
        <w:jc w:val="both"/>
      </w:pPr>
      <w:r>
        <w:rPr/>
        <w:t>En</w:t>
      </w:r>
      <w:r>
        <w:rPr>
          <w:spacing w:val="-5"/>
        </w:rPr>
        <w:t> </w:t>
      </w:r>
      <w:r>
        <w:rPr/>
        <w:t>contraste,</w:t>
      </w:r>
      <w:r>
        <w:rPr>
          <w:spacing w:val="-5"/>
        </w:rPr>
        <w:t> </w:t>
      </w:r>
      <w:r>
        <w:rPr/>
        <w:t>en</w:t>
      </w:r>
      <w:r>
        <w:rPr>
          <w:spacing w:val="-7"/>
        </w:rPr>
        <w:t> </w:t>
      </w:r>
      <w:r>
        <w:rPr/>
        <w:t>las</w:t>
      </w:r>
      <w:r>
        <w:rPr>
          <w:spacing w:val="-6"/>
        </w:rPr>
        <w:t> </w:t>
      </w:r>
      <w:r>
        <w:rPr/>
        <w:t>explotaciones</w:t>
      </w:r>
      <w:r>
        <w:rPr>
          <w:spacing w:val="-6"/>
        </w:rPr>
        <w:t> </w:t>
      </w:r>
      <w:r>
        <w:rPr/>
        <w:t>de</w:t>
      </w:r>
      <w:r>
        <w:rPr>
          <w:spacing w:val="-6"/>
        </w:rPr>
        <w:t> </w:t>
      </w:r>
      <w:r>
        <w:rPr/>
        <w:t>menor</w:t>
      </w:r>
      <w:r>
        <w:rPr>
          <w:spacing w:val="-7"/>
        </w:rPr>
        <w:t> </w:t>
      </w:r>
      <w:r>
        <w:rPr/>
        <w:t>tecnificación</w:t>
      </w:r>
      <w:r>
        <w:rPr>
          <w:spacing w:val="-5"/>
        </w:rPr>
        <w:t> </w:t>
      </w:r>
      <w:r>
        <w:rPr/>
        <w:t>el</w:t>
      </w:r>
      <w:r>
        <w:rPr>
          <w:spacing w:val="-4"/>
        </w:rPr>
        <w:t> </w:t>
      </w:r>
      <w:r>
        <w:rPr/>
        <w:t>mayor</w:t>
      </w:r>
      <w:r>
        <w:rPr>
          <w:spacing w:val="-5"/>
        </w:rPr>
        <w:t> </w:t>
      </w:r>
      <w:r>
        <w:rPr/>
        <w:t>peso</w:t>
      </w:r>
      <w:r>
        <w:rPr>
          <w:spacing w:val="-5"/>
        </w:rPr>
        <w:t> </w:t>
      </w:r>
      <w:r>
        <w:rPr/>
        <w:t>en</w:t>
      </w:r>
      <w:r>
        <w:rPr>
          <w:spacing w:val="-5"/>
        </w:rPr>
        <w:t> </w:t>
      </w:r>
      <w:r>
        <w:rPr/>
        <w:t>costos</w:t>
      </w:r>
      <w:r>
        <w:rPr>
          <w:spacing w:val="-6"/>
        </w:rPr>
        <w:t> </w:t>
      </w:r>
      <w:r>
        <w:rPr/>
        <w:t>corresponde</w:t>
      </w:r>
      <w:r>
        <w:rPr>
          <w:spacing w:val="-9"/>
        </w:rPr>
        <w:t> </w:t>
      </w:r>
      <w:r>
        <w:rPr/>
        <w:t>a la mano de obra y no tienen costos por servicios financieros (SE,</w:t>
      </w:r>
      <w:r>
        <w:rPr>
          <w:spacing w:val="-19"/>
        </w:rPr>
        <w:t> </w:t>
      </w:r>
      <w:r>
        <w:rPr/>
        <w:t>2012).</w:t>
      </w:r>
    </w:p>
    <w:p>
      <w:pPr>
        <w:pStyle w:val="BodyText"/>
        <w:spacing w:line="362" w:lineRule="auto" w:before="4"/>
        <w:ind w:left="122" w:right="124"/>
        <w:jc w:val="both"/>
      </w:pPr>
      <w:r>
        <w:rPr/>
        <w:t>En</w:t>
      </w:r>
      <w:r>
        <w:rPr>
          <w:spacing w:val="-16"/>
        </w:rPr>
        <w:t> </w:t>
      </w:r>
      <w:r>
        <w:rPr/>
        <w:t>2014,</w:t>
      </w:r>
      <w:r>
        <w:rPr>
          <w:spacing w:val="-16"/>
        </w:rPr>
        <w:t> </w:t>
      </w:r>
      <w:r>
        <w:rPr/>
        <w:t>la</w:t>
      </w:r>
      <w:r>
        <w:rPr>
          <w:spacing w:val="-15"/>
        </w:rPr>
        <w:t> </w:t>
      </w:r>
      <w:r>
        <w:rPr/>
        <w:t>producción</w:t>
      </w:r>
      <w:r>
        <w:rPr>
          <w:spacing w:val="-16"/>
        </w:rPr>
        <w:t> </w:t>
      </w:r>
      <w:r>
        <w:rPr/>
        <w:t>nacional</w:t>
      </w:r>
      <w:r>
        <w:rPr>
          <w:spacing w:val="-15"/>
        </w:rPr>
        <w:t> </w:t>
      </w:r>
      <w:r>
        <w:rPr/>
        <w:t>de</w:t>
      </w:r>
      <w:r>
        <w:rPr>
          <w:spacing w:val="-15"/>
        </w:rPr>
        <w:t> </w:t>
      </w:r>
      <w:r>
        <w:rPr/>
        <w:t>leche</w:t>
      </w:r>
      <w:r>
        <w:rPr>
          <w:spacing w:val="-15"/>
        </w:rPr>
        <w:t> </w:t>
      </w:r>
      <w:r>
        <w:rPr/>
        <w:t>fue</w:t>
      </w:r>
      <w:r>
        <w:rPr>
          <w:spacing w:val="-15"/>
        </w:rPr>
        <w:t> </w:t>
      </w:r>
      <w:r>
        <w:rPr/>
        <w:t>de</w:t>
      </w:r>
      <w:r>
        <w:rPr>
          <w:spacing w:val="-15"/>
        </w:rPr>
        <w:t> </w:t>
      </w:r>
      <w:r>
        <w:rPr/>
        <w:t>11,129.22</w:t>
      </w:r>
      <w:r>
        <w:rPr>
          <w:spacing w:val="-16"/>
        </w:rPr>
        <w:t> </w:t>
      </w:r>
      <w:r>
        <w:rPr/>
        <w:t>millones</w:t>
      </w:r>
      <w:r>
        <w:rPr>
          <w:spacing w:val="-17"/>
        </w:rPr>
        <w:t> </w:t>
      </w:r>
      <w:r>
        <w:rPr/>
        <w:t>de</w:t>
      </w:r>
      <w:r>
        <w:rPr>
          <w:spacing w:val="-15"/>
        </w:rPr>
        <w:t> </w:t>
      </w:r>
      <w:r>
        <w:rPr/>
        <w:t>litros,</w:t>
      </w:r>
      <w:r>
        <w:rPr>
          <w:spacing w:val="-16"/>
        </w:rPr>
        <w:t> </w:t>
      </w:r>
      <w:r>
        <w:rPr/>
        <w:t>volumen</w:t>
      </w:r>
      <w:r>
        <w:rPr>
          <w:spacing w:val="-16"/>
        </w:rPr>
        <w:t> </w:t>
      </w:r>
      <w:r>
        <w:rPr/>
        <w:t>que</w:t>
      </w:r>
      <w:r>
        <w:rPr>
          <w:spacing w:val="-15"/>
        </w:rPr>
        <w:t> </w:t>
      </w:r>
      <w:r>
        <w:rPr/>
        <w:t>superó en 1.90 % la producción obtenida en 2013 (SIAP,</w:t>
      </w:r>
      <w:r>
        <w:rPr>
          <w:spacing w:val="-12"/>
        </w:rPr>
        <w:t> </w:t>
      </w:r>
      <w:r>
        <w:rPr/>
        <w:t>2016).</w:t>
      </w:r>
    </w:p>
    <w:p>
      <w:pPr>
        <w:pStyle w:val="BodyText"/>
        <w:spacing w:line="360" w:lineRule="auto" w:before="1"/>
        <w:ind w:left="122" w:right="121"/>
        <w:jc w:val="both"/>
      </w:pPr>
      <w:r>
        <w:rPr/>
        <w:t>En 2013, el 27.01 % de la oferta nacional se cubrió con importaciones, provenientes principalmente de Estados Unidos (95 %) y de otros países como Nueva Zelanda, Irlanda y Canadá.</w:t>
      </w:r>
    </w:p>
    <w:p>
      <w:pPr>
        <w:pStyle w:val="BodyText"/>
        <w:rPr>
          <w:sz w:val="22"/>
        </w:rPr>
      </w:pPr>
    </w:p>
    <w:p>
      <w:pPr>
        <w:pStyle w:val="BodyText"/>
        <w:spacing w:line="360" w:lineRule="auto" w:before="149"/>
        <w:ind w:left="122" w:right="115"/>
        <w:jc w:val="both"/>
      </w:pPr>
      <w:r>
        <w:rPr/>
        <w:t>Durante 2011 a 2013, la participación de las principales entidades federativas en la producción de</w:t>
      </w:r>
      <w:r>
        <w:rPr>
          <w:spacing w:val="-4"/>
        </w:rPr>
        <w:t> </w:t>
      </w:r>
      <w:r>
        <w:rPr/>
        <w:t>leche</w:t>
      </w:r>
      <w:r>
        <w:rPr>
          <w:spacing w:val="-4"/>
        </w:rPr>
        <w:t> </w:t>
      </w:r>
      <w:r>
        <w:rPr/>
        <w:t>fueron:</w:t>
      </w:r>
      <w:r>
        <w:rPr>
          <w:spacing w:val="-6"/>
        </w:rPr>
        <w:t> </w:t>
      </w:r>
      <w:r>
        <w:rPr/>
        <w:t>Jalisco</w:t>
      </w:r>
      <w:r>
        <w:rPr>
          <w:spacing w:val="-7"/>
        </w:rPr>
        <w:t> </w:t>
      </w:r>
      <w:r>
        <w:rPr/>
        <w:t>(18.80</w:t>
      </w:r>
      <w:r>
        <w:rPr>
          <w:spacing w:val="-5"/>
        </w:rPr>
        <w:t> </w:t>
      </w:r>
      <w:r>
        <w:rPr/>
        <w:t>%),</w:t>
      </w:r>
      <w:r>
        <w:rPr>
          <w:spacing w:val="-5"/>
        </w:rPr>
        <w:t> </w:t>
      </w:r>
      <w:r>
        <w:rPr/>
        <w:t>Coahuila</w:t>
      </w:r>
      <w:r>
        <w:rPr>
          <w:spacing w:val="-4"/>
        </w:rPr>
        <w:t> </w:t>
      </w:r>
      <w:r>
        <w:rPr/>
        <w:t>(12.01</w:t>
      </w:r>
      <w:r>
        <w:rPr>
          <w:spacing w:val="-7"/>
        </w:rPr>
        <w:t> </w:t>
      </w:r>
      <w:r>
        <w:rPr/>
        <w:t>%),</w:t>
      </w:r>
      <w:r>
        <w:rPr>
          <w:spacing w:val="-5"/>
        </w:rPr>
        <w:t> </w:t>
      </w:r>
      <w:r>
        <w:rPr/>
        <w:t>Durango</w:t>
      </w:r>
      <w:r>
        <w:rPr>
          <w:spacing w:val="-5"/>
        </w:rPr>
        <w:t> </w:t>
      </w:r>
      <w:r>
        <w:rPr/>
        <w:t>(9.40</w:t>
      </w:r>
      <w:r>
        <w:rPr>
          <w:spacing w:val="-5"/>
        </w:rPr>
        <w:t> </w:t>
      </w:r>
      <w:r>
        <w:rPr/>
        <w:t>%),</w:t>
      </w:r>
      <w:r>
        <w:rPr>
          <w:spacing w:val="-7"/>
        </w:rPr>
        <w:t> </w:t>
      </w:r>
      <w:r>
        <w:rPr/>
        <w:t>Chihuahua (8.91</w:t>
      </w:r>
      <w:r>
        <w:rPr>
          <w:spacing w:val="-7"/>
        </w:rPr>
        <w:t> </w:t>
      </w:r>
      <w:r>
        <w:rPr/>
        <w:t>%), Guanajuato (7.10 %) y Veracruz (6.60 %). En 2014, las contribuciones que realizaron estas entidades a la producción nacional, se modificaron en distintas proporciones. Guanajuato incrementó su participación en un 8.20 %; mientras que Coahuila, Durango y Chihuahua, aumentaron su aportación en alrededor de 2.51 %. Por su parte, Veracruz fue la que disminuyó su aportación en una unidad porcentual (LACTODATA,</w:t>
      </w:r>
      <w:r>
        <w:rPr>
          <w:spacing w:val="-17"/>
        </w:rPr>
        <w:t> </w:t>
      </w:r>
      <w:r>
        <w:rPr/>
        <w:t>2015).</w:t>
      </w:r>
    </w:p>
    <w:p>
      <w:pPr>
        <w:pStyle w:val="BodyText"/>
        <w:rPr>
          <w:sz w:val="22"/>
        </w:rPr>
      </w:pPr>
    </w:p>
    <w:p>
      <w:pPr>
        <w:pStyle w:val="BodyText"/>
        <w:spacing w:before="7"/>
        <w:rPr>
          <w:sz w:val="28"/>
        </w:rPr>
      </w:pPr>
    </w:p>
    <w:p>
      <w:pPr>
        <w:pStyle w:val="Heading3"/>
        <w:spacing w:before="1"/>
        <w:jc w:val="both"/>
      </w:pPr>
      <w:bookmarkStart w:name="_TOC_250006" w:id="5"/>
      <w:bookmarkEnd w:id="5"/>
      <w:r>
        <w:rPr/>
        <w:t>2.5. Sistemas de producción de bovinos en México</w:t>
      </w:r>
    </w:p>
    <w:p>
      <w:pPr>
        <w:pStyle w:val="BodyText"/>
        <w:spacing w:before="5"/>
        <w:rPr>
          <w:b/>
          <w:sz w:val="25"/>
        </w:rPr>
      </w:pPr>
    </w:p>
    <w:p>
      <w:pPr>
        <w:pStyle w:val="BodyText"/>
        <w:spacing w:line="362" w:lineRule="auto"/>
        <w:ind w:left="122" w:right="116"/>
        <w:jc w:val="both"/>
      </w:pPr>
      <w:r>
        <w:rPr/>
        <w:t>En</w:t>
      </w:r>
      <w:r>
        <w:rPr>
          <w:spacing w:val="-10"/>
        </w:rPr>
        <w:t> </w:t>
      </w:r>
      <w:r>
        <w:rPr/>
        <w:t>México</w:t>
      </w:r>
      <w:r>
        <w:rPr>
          <w:spacing w:val="-12"/>
        </w:rPr>
        <w:t> </w:t>
      </w:r>
      <w:r>
        <w:rPr/>
        <w:t>la</w:t>
      </w:r>
      <w:r>
        <w:rPr>
          <w:spacing w:val="-9"/>
        </w:rPr>
        <w:t> </w:t>
      </w:r>
      <w:r>
        <w:rPr/>
        <w:t>ganadería</w:t>
      </w:r>
      <w:r>
        <w:rPr>
          <w:spacing w:val="-9"/>
        </w:rPr>
        <w:t> </w:t>
      </w:r>
      <w:r>
        <w:rPr/>
        <w:t>bovina</w:t>
      </w:r>
      <w:r>
        <w:rPr>
          <w:spacing w:val="-9"/>
        </w:rPr>
        <w:t> </w:t>
      </w:r>
      <w:r>
        <w:rPr/>
        <w:t>se</w:t>
      </w:r>
      <w:r>
        <w:rPr>
          <w:spacing w:val="-9"/>
        </w:rPr>
        <w:t> </w:t>
      </w:r>
      <w:r>
        <w:rPr/>
        <w:t>realiza</w:t>
      </w:r>
      <w:r>
        <w:rPr>
          <w:spacing w:val="-9"/>
        </w:rPr>
        <w:t> </w:t>
      </w:r>
      <w:r>
        <w:rPr/>
        <w:t>en</w:t>
      </w:r>
      <w:r>
        <w:rPr>
          <w:spacing w:val="-9"/>
        </w:rPr>
        <w:t> </w:t>
      </w:r>
      <w:r>
        <w:rPr/>
        <w:t>SP</w:t>
      </w:r>
      <w:r>
        <w:rPr>
          <w:spacing w:val="-10"/>
        </w:rPr>
        <w:t> </w:t>
      </w:r>
      <w:r>
        <w:rPr/>
        <w:t>que</w:t>
      </w:r>
      <w:r>
        <w:rPr>
          <w:spacing w:val="-9"/>
        </w:rPr>
        <w:t> </w:t>
      </w:r>
      <w:r>
        <w:rPr/>
        <w:t>van</w:t>
      </w:r>
      <w:r>
        <w:rPr>
          <w:spacing w:val="-10"/>
        </w:rPr>
        <w:t> </w:t>
      </w:r>
      <w:r>
        <w:rPr/>
        <w:t>desde</w:t>
      </w:r>
      <w:r>
        <w:rPr>
          <w:spacing w:val="-9"/>
        </w:rPr>
        <w:t> </w:t>
      </w:r>
      <w:r>
        <w:rPr/>
        <w:t>los</w:t>
      </w:r>
      <w:r>
        <w:rPr>
          <w:spacing w:val="-10"/>
        </w:rPr>
        <w:t> </w:t>
      </w:r>
      <w:r>
        <w:rPr/>
        <w:t>altamente</w:t>
      </w:r>
      <w:r>
        <w:rPr>
          <w:spacing w:val="-9"/>
        </w:rPr>
        <w:t> </w:t>
      </w:r>
      <w:r>
        <w:rPr/>
        <w:t>tecnificados</w:t>
      </w:r>
      <w:r>
        <w:rPr>
          <w:spacing w:val="-10"/>
        </w:rPr>
        <w:t> </w:t>
      </w:r>
      <w:r>
        <w:rPr/>
        <w:t>hastade traspatio, estos últimos, orientados hacia el autoconsumo familiar (Espinosa et al.,</w:t>
      </w:r>
      <w:r>
        <w:rPr>
          <w:spacing w:val="-27"/>
        </w:rPr>
        <w:t> </w:t>
      </w:r>
      <w:r>
        <w:rPr/>
        <w:t>2000).</w:t>
      </w:r>
    </w:p>
    <w:p>
      <w:pPr>
        <w:pStyle w:val="BodyText"/>
        <w:spacing w:line="360" w:lineRule="auto" w:before="1"/>
        <w:ind w:left="122" w:right="117"/>
        <w:jc w:val="both"/>
      </w:pPr>
      <w:r>
        <w:rPr/>
        <w:t>Los criterios propuestos por Pech et al. (2002) y Magaña et al. (2005) para la diferenciación de estos</w:t>
      </w:r>
      <w:r>
        <w:rPr>
          <w:spacing w:val="-7"/>
        </w:rPr>
        <w:t> </w:t>
      </w:r>
      <w:r>
        <w:rPr/>
        <w:t>sistemas</w:t>
      </w:r>
      <w:r>
        <w:rPr>
          <w:spacing w:val="-8"/>
        </w:rPr>
        <w:t> </w:t>
      </w:r>
      <w:r>
        <w:rPr/>
        <w:t>son</w:t>
      </w:r>
      <w:r>
        <w:rPr>
          <w:spacing w:val="-7"/>
        </w:rPr>
        <w:t> </w:t>
      </w:r>
      <w:r>
        <w:rPr/>
        <w:t>la</w:t>
      </w:r>
      <w:r>
        <w:rPr>
          <w:spacing w:val="-6"/>
        </w:rPr>
        <w:t> </w:t>
      </w:r>
      <w:r>
        <w:rPr/>
        <w:t>finalidad</w:t>
      </w:r>
      <w:r>
        <w:rPr>
          <w:spacing w:val="-7"/>
        </w:rPr>
        <w:t> </w:t>
      </w:r>
      <w:r>
        <w:rPr/>
        <w:t>zootécnica,</w:t>
      </w:r>
      <w:r>
        <w:rPr>
          <w:spacing w:val="-7"/>
        </w:rPr>
        <w:t> </w:t>
      </w:r>
      <w:r>
        <w:rPr/>
        <w:t>el</w:t>
      </w:r>
      <w:r>
        <w:rPr>
          <w:spacing w:val="-7"/>
        </w:rPr>
        <w:t> </w:t>
      </w:r>
      <w:r>
        <w:rPr/>
        <w:t>nivel</w:t>
      </w:r>
      <w:r>
        <w:rPr>
          <w:spacing w:val="-7"/>
        </w:rPr>
        <w:t> </w:t>
      </w:r>
      <w:r>
        <w:rPr/>
        <w:t>de</w:t>
      </w:r>
      <w:r>
        <w:rPr>
          <w:spacing w:val="-5"/>
        </w:rPr>
        <w:t> </w:t>
      </w:r>
      <w:r>
        <w:rPr/>
        <w:t>tecnología</w:t>
      </w:r>
      <w:r>
        <w:rPr>
          <w:spacing w:val="-6"/>
        </w:rPr>
        <w:t> </w:t>
      </w:r>
      <w:r>
        <w:rPr/>
        <w:t>utilizado,</w:t>
      </w:r>
      <w:r>
        <w:rPr>
          <w:spacing w:val="-5"/>
        </w:rPr>
        <w:t> </w:t>
      </w:r>
      <w:r>
        <w:rPr/>
        <w:t>las</w:t>
      </w:r>
      <w:r>
        <w:rPr>
          <w:spacing w:val="-8"/>
        </w:rPr>
        <w:t> </w:t>
      </w:r>
      <w:r>
        <w:rPr/>
        <w:t>razas</w:t>
      </w:r>
      <w:r>
        <w:rPr>
          <w:spacing w:val="-8"/>
        </w:rPr>
        <w:t> </w:t>
      </w:r>
      <w:r>
        <w:rPr/>
        <w:t>que</w:t>
      </w:r>
      <w:r>
        <w:rPr>
          <w:spacing w:val="-6"/>
        </w:rPr>
        <w:t> </w:t>
      </w:r>
      <w:r>
        <w:rPr/>
        <w:t>emplean y el tipo de</w:t>
      </w:r>
      <w:r>
        <w:rPr>
          <w:spacing w:val="-10"/>
        </w:rPr>
        <w:t> </w:t>
      </w:r>
      <w:r>
        <w:rPr/>
        <w:t>alimentación.</w:t>
      </w:r>
    </w:p>
    <w:p>
      <w:pPr>
        <w:pStyle w:val="BodyText"/>
        <w:rPr>
          <w:sz w:val="20"/>
        </w:rPr>
      </w:pPr>
    </w:p>
    <w:p>
      <w:pPr>
        <w:pStyle w:val="BodyText"/>
        <w:spacing w:before="9"/>
        <w:rPr>
          <w:sz w:val="28"/>
        </w:rPr>
      </w:pPr>
      <w:r>
        <w:rPr/>
        <w:pict>
          <v:line style="position:absolute;mso-position-horizontal-relative:page;mso-position-vertical-relative:paragraph;z-index:1960;mso-wrap-distance-left:0;mso-wrap-distance-right:0" from="85.103996pt,18.729759pt" to="525.960017pt,18.729759pt" stroked="true" strokeweight=".36pt" strokecolor="#000000">
            <w10:wrap type="topAndBottom"/>
          </v:line>
        </w:pict>
      </w:r>
    </w:p>
    <w:p>
      <w:pPr>
        <w:tabs>
          <w:tab w:pos="4003" w:val="left" w:leader="none"/>
          <w:tab w:pos="8240" w:val="left" w:leader="none"/>
        </w:tabs>
        <w:spacing w:before="75"/>
        <w:ind w:left="122" w:right="0"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17</w:t>
      </w:r>
    </w:p>
    <w:p>
      <w:pPr>
        <w:spacing w:after="0"/>
        <w:jc w:val="left"/>
        <w:rPr>
          <w:sz w:val="18"/>
        </w:rPr>
        <w:sectPr>
          <w:headerReference w:type="default" r:id="rId56"/>
          <w:footerReference w:type="default" r:id="rId57"/>
          <w:pgSz w:w="12240" w:h="15840"/>
          <w:pgMar w:header="0" w:footer="2120" w:top="1360" w:bottom="2300" w:left="1580" w:right="1580"/>
        </w:sectPr>
      </w:pPr>
    </w:p>
    <w:p>
      <w:pPr>
        <w:pStyle w:val="BodyText"/>
        <w:spacing w:line="360" w:lineRule="auto" w:before="50"/>
        <w:ind w:left="122" w:right="112"/>
        <w:jc w:val="both"/>
      </w:pPr>
      <w:r>
        <w:rPr/>
        <w:t>En México se han definido cuatro SPB: el especializado (SE), que cuenta con ganado especializado en la producción de carne o leche conformado por razas puras principalmente; cuenta</w:t>
      </w:r>
      <w:r>
        <w:rPr>
          <w:spacing w:val="-14"/>
        </w:rPr>
        <w:t> </w:t>
      </w:r>
      <w:r>
        <w:rPr/>
        <w:t>con</w:t>
      </w:r>
      <w:r>
        <w:rPr>
          <w:spacing w:val="-15"/>
        </w:rPr>
        <w:t> </w:t>
      </w:r>
      <w:r>
        <w:rPr/>
        <w:t>tecnología</w:t>
      </w:r>
      <w:r>
        <w:rPr>
          <w:spacing w:val="-13"/>
        </w:rPr>
        <w:t> </w:t>
      </w:r>
      <w:r>
        <w:rPr/>
        <w:t>altamente</w:t>
      </w:r>
      <w:r>
        <w:rPr>
          <w:spacing w:val="-15"/>
        </w:rPr>
        <w:t> </w:t>
      </w:r>
      <w:r>
        <w:rPr/>
        <w:t>especializada</w:t>
      </w:r>
      <w:r>
        <w:rPr>
          <w:spacing w:val="-15"/>
        </w:rPr>
        <w:t> </w:t>
      </w:r>
      <w:r>
        <w:rPr/>
        <w:t>bajo</w:t>
      </w:r>
      <w:r>
        <w:rPr>
          <w:spacing w:val="-15"/>
        </w:rPr>
        <w:t> </w:t>
      </w:r>
      <w:r>
        <w:rPr/>
        <w:t>un</w:t>
      </w:r>
      <w:r>
        <w:rPr>
          <w:spacing w:val="-11"/>
        </w:rPr>
        <w:t> </w:t>
      </w:r>
      <w:r>
        <w:rPr/>
        <w:t>manejo</w:t>
      </w:r>
      <w:r>
        <w:rPr>
          <w:spacing w:val="-15"/>
        </w:rPr>
        <w:t> </w:t>
      </w:r>
      <w:r>
        <w:rPr/>
        <w:t>estabulado,</w:t>
      </w:r>
      <w:r>
        <w:rPr>
          <w:spacing w:val="-15"/>
        </w:rPr>
        <w:t> </w:t>
      </w:r>
      <w:r>
        <w:rPr/>
        <w:t>alimentos</w:t>
      </w:r>
      <w:r>
        <w:rPr>
          <w:spacing w:val="-16"/>
        </w:rPr>
        <w:t> </w:t>
      </w:r>
      <w:r>
        <w:rPr/>
        <w:t>balanceados y forrajes de corte, en el que se realizan prácticas de medicina preventiva, reproducción y mejoramiento</w:t>
      </w:r>
      <w:r>
        <w:rPr>
          <w:spacing w:val="-7"/>
        </w:rPr>
        <w:t> </w:t>
      </w:r>
      <w:r>
        <w:rPr/>
        <w:t>genético;</w:t>
      </w:r>
      <w:r>
        <w:rPr>
          <w:spacing w:val="-3"/>
        </w:rPr>
        <w:t> </w:t>
      </w:r>
      <w:r>
        <w:rPr/>
        <w:t>el</w:t>
      </w:r>
      <w:r>
        <w:rPr>
          <w:spacing w:val="-9"/>
        </w:rPr>
        <w:t> </w:t>
      </w:r>
      <w:r>
        <w:rPr/>
        <w:t>semi-especializado</w:t>
      </w:r>
      <w:r>
        <w:rPr>
          <w:spacing w:val="-7"/>
        </w:rPr>
        <w:t> </w:t>
      </w:r>
      <w:r>
        <w:rPr/>
        <w:t>(SSE),</w:t>
      </w:r>
      <w:r>
        <w:rPr>
          <w:spacing w:val="-9"/>
        </w:rPr>
        <w:t> </w:t>
      </w:r>
      <w:r>
        <w:rPr/>
        <w:t>utiliza</w:t>
      </w:r>
      <w:r>
        <w:rPr>
          <w:spacing w:val="-6"/>
        </w:rPr>
        <w:t> </w:t>
      </w:r>
      <w:r>
        <w:rPr/>
        <w:t>pequeñas</w:t>
      </w:r>
      <w:r>
        <w:rPr>
          <w:spacing w:val="-8"/>
        </w:rPr>
        <w:t> </w:t>
      </w:r>
      <w:r>
        <w:rPr/>
        <w:t>extensiones</w:t>
      </w:r>
      <w:r>
        <w:rPr>
          <w:spacing w:val="-8"/>
        </w:rPr>
        <w:t> </w:t>
      </w:r>
      <w:r>
        <w:rPr/>
        <w:t>de</w:t>
      </w:r>
      <w:r>
        <w:rPr>
          <w:spacing w:val="-6"/>
        </w:rPr>
        <w:t> </w:t>
      </w:r>
      <w:r>
        <w:rPr/>
        <w:t>terreno,</w:t>
      </w:r>
      <w:r>
        <w:rPr>
          <w:spacing w:val="-5"/>
        </w:rPr>
        <w:t> </w:t>
      </w:r>
      <w:r>
        <w:rPr/>
        <w:t>en donde las instalaciones son acondicionadas para la producción; maneja cruzas, sin alcanzar los niveles de producción del SE, y cuenta con un nivel medio de incorporación</w:t>
      </w:r>
      <w:r>
        <w:rPr>
          <w:spacing w:val="-29"/>
        </w:rPr>
        <w:t> </w:t>
      </w:r>
      <w:r>
        <w:rPr/>
        <w:t>tecnológica.</w:t>
      </w:r>
    </w:p>
    <w:p>
      <w:pPr>
        <w:pStyle w:val="BodyText"/>
        <w:rPr>
          <w:sz w:val="22"/>
        </w:rPr>
      </w:pPr>
    </w:p>
    <w:p>
      <w:pPr>
        <w:pStyle w:val="BodyText"/>
        <w:spacing w:line="360" w:lineRule="auto" w:before="149"/>
        <w:ind w:left="122" w:right="115"/>
        <w:jc w:val="both"/>
      </w:pPr>
      <w:r>
        <w:rPr/>
        <w:t>La alimentación del ganado se basa en el pastoreo, complementado con forrajes de corte y concentrado así como la utilización de esquilmos agrícolas y subproductos agroindustriales, existiendo cierto control productivo y programas de reproducción.</w:t>
      </w:r>
    </w:p>
    <w:p>
      <w:pPr>
        <w:pStyle w:val="BodyText"/>
        <w:spacing w:line="360" w:lineRule="auto" w:before="6"/>
        <w:ind w:left="122" w:right="115"/>
        <w:jc w:val="both"/>
      </w:pPr>
      <w:r>
        <w:rPr/>
        <w:t>El sistema de doble propósito (SDP), tiene dos objetivos fundamentales: la producción de</w:t>
      </w:r>
      <w:r>
        <w:rPr>
          <w:spacing w:val="-36"/>
        </w:rPr>
        <w:t> </w:t>
      </w:r>
      <w:r>
        <w:rPr/>
        <w:t>leche, que se obtiene de manera manual y con el apoyo del becerro para estimular su descenso, y la producción de carne mediante la cría de becerros al destete y el desecho de bovinos para el suministro</w:t>
      </w:r>
      <w:r>
        <w:rPr>
          <w:spacing w:val="-6"/>
        </w:rPr>
        <w:t> </w:t>
      </w:r>
      <w:r>
        <w:rPr/>
        <w:t>de</w:t>
      </w:r>
      <w:r>
        <w:rPr>
          <w:spacing w:val="-8"/>
        </w:rPr>
        <w:t> </w:t>
      </w:r>
      <w:r>
        <w:rPr/>
        <w:t>carne;</w:t>
      </w:r>
      <w:r>
        <w:rPr>
          <w:spacing w:val="-3"/>
        </w:rPr>
        <w:t> </w:t>
      </w:r>
      <w:r>
        <w:rPr/>
        <w:t>utiliza</w:t>
      </w:r>
      <w:r>
        <w:rPr>
          <w:spacing w:val="-5"/>
        </w:rPr>
        <w:t> </w:t>
      </w:r>
      <w:r>
        <w:rPr/>
        <w:t>razas</w:t>
      </w:r>
      <w:r>
        <w:rPr>
          <w:spacing w:val="-7"/>
        </w:rPr>
        <w:t> </w:t>
      </w:r>
      <w:r>
        <w:rPr/>
        <w:t>Bos</w:t>
      </w:r>
      <w:r>
        <w:rPr>
          <w:spacing w:val="-7"/>
        </w:rPr>
        <w:t> </w:t>
      </w:r>
      <w:r>
        <w:rPr/>
        <w:t>indicus</w:t>
      </w:r>
      <w:r>
        <w:rPr>
          <w:spacing w:val="-5"/>
        </w:rPr>
        <w:t> </w:t>
      </w:r>
      <w:r>
        <w:rPr/>
        <w:t>y</w:t>
      </w:r>
      <w:r>
        <w:rPr>
          <w:spacing w:val="-11"/>
        </w:rPr>
        <w:t> </w:t>
      </w:r>
      <w:r>
        <w:rPr/>
        <w:t>sus</w:t>
      </w:r>
      <w:r>
        <w:rPr>
          <w:spacing w:val="-7"/>
        </w:rPr>
        <w:t> </w:t>
      </w:r>
      <w:r>
        <w:rPr/>
        <w:t>cruzas</w:t>
      </w:r>
      <w:r>
        <w:rPr>
          <w:spacing w:val="-7"/>
        </w:rPr>
        <w:t> </w:t>
      </w:r>
      <w:r>
        <w:rPr/>
        <w:t>con</w:t>
      </w:r>
      <w:r>
        <w:rPr>
          <w:spacing w:val="-1"/>
        </w:rPr>
        <w:t> </w:t>
      </w:r>
      <w:r>
        <w:rPr/>
        <w:t>Bos</w:t>
      </w:r>
      <w:r>
        <w:rPr>
          <w:spacing w:val="-7"/>
        </w:rPr>
        <w:t> </w:t>
      </w:r>
      <w:r>
        <w:rPr/>
        <w:t>taurus,</w:t>
      </w:r>
      <w:r>
        <w:rPr>
          <w:spacing w:val="-6"/>
        </w:rPr>
        <w:t> </w:t>
      </w:r>
      <w:r>
        <w:rPr/>
        <w:t>principalmente</w:t>
      </w:r>
      <w:r>
        <w:rPr>
          <w:spacing w:val="-5"/>
        </w:rPr>
        <w:t> </w:t>
      </w:r>
      <w:r>
        <w:rPr/>
        <w:t>Suizo, Holstein</w:t>
      </w:r>
      <w:r>
        <w:rPr>
          <w:spacing w:val="-11"/>
        </w:rPr>
        <w:t> </w:t>
      </w:r>
      <w:r>
        <w:rPr/>
        <w:t>ó</w:t>
      </w:r>
      <w:r>
        <w:rPr>
          <w:spacing w:val="-11"/>
        </w:rPr>
        <w:t> </w:t>
      </w:r>
      <w:r>
        <w:rPr/>
        <w:t>Simmental</w:t>
      </w:r>
      <w:r>
        <w:rPr>
          <w:spacing w:val="-11"/>
        </w:rPr>
        <w:t> </w:t>
      </w:r>
      <w:r>
        <w:rPr/>
        <w:t>para</w:t>
      </w:r>
      <w:r>
        <w:rPr>
          <w:spacing w:val="-9"/>
        </w:rPr>
        <w:t> </w:t>
      </w:r>
      <w:r>
        <w:rPr/>
        <w:t>la</w:t>
      </w:r>
      <w:r>
        <w:rPr>
          <w:spacing w:val="-10"/>
        </w:rPr>
        <w:t> </w:t>
      </w:r>
      <w:r>
        <w:rPr/>
        <w:t>producción</w:t>
      </w:r>
      <w:r>
        <w:rPr>
          <w:spacing w:val="-11"/>
        </w:rPr>
        <w:t> </w:t>
      </w:r>
      <w:r>
        <w:rPr/>
        <w:t>de</w:t>
      </w:r>
      <w:r>
        <w:rPr>
          <w:spacing w:val="-9"/>
        </w:rPr>
        <w:t> </w:t>
      </w:r>
      <w:r>
        <w:rPr/>
        <w:t>leche</w:t>
      </w:r>
      <w:r>
        <w:rPr>
          <w:spacing w:val="-10"/>
        </w:rPr>
        <w:t> </w:t>
      </w:r>
      <w:r>
        <w:rPr/>
        <w:t>y</w:t>
      </w:r>
      <w:r>
        <w:rPr>
          <w:spacing w:val="-13"/>
        </w:rPr>
        <w:t> </w:t>
      </w:r>
      <w:r>
        <w:rPr/>
        <w:t>carne.</w:t>
      </w:r>
      <w:r>
        <w:rPr>
          <w:spacing w:val="-11"/>
        </w:rPr>
        <w:t> </w:t>
      </w:r>
      <w:r>
        <w:rPr/>
        <w:t>La</w:t>
      </w:r>
      <w:r>
        <w:rPr>
          <w:spacing w:val="-10"/>
        </w:rPr>
        <w:t> </w:t>
      </w:r>
      <w:r>
        <w:rPr/>
        <w:t>alimentación</w:t>
      </w:r>
      <w:r>
        <w:rPr>
          <w:spacing w:val="-7"/>
        </w:rPr>
        <w:t> </w:t>
      </w:r>
      <w:r>
        <w:rPr/>
        <w:t>se</w:t>
      </w:r>
      <w:r>
        <w:rPr>
          <w:spacing w:val="-10"/>
        </w:rPr>
        <w:t> </w:t>
      </w:r>
      <w:r>
        <w:rPr/>
        <w:t>basa</w:t>
      </w:r>
      <w:r>
        <w:rPr>
          <w:spacing w:val="-10"/>
        </w:rPr>
        <w:t> </w:t>
      </w:r>
      <w:r>
        <w:rPr/>
        <w:t>en</w:t>
      </w:r>
      <w:r>
        <w:rPr>
          <w:spacing w:val="-11"/>
        </w:rPr>
        <w:t> </w:t>
      </w:r>
      <w:r>
        <w:rPr/>
        <w:t>el</w:t>
      </w:r>
      <w:r>
        <w:rPr>
          <w:spacing w:val="-11"/>
        </w:rPr>
        <w:t> </w:t>
      </w:r>
      <w:r>
        <w:rPr/>
        <w:t>pastoreo mediante la utilización de gramas nativas (Paspalum sp y Axonopus sp) y pastos inducidos de diversas características como el Privilegio (Panicum maximum), Estrella de</w:t>
      </w:r>
      <w:r>
        <w:rPr>
          <w:spacing w:val="-34"/>
        </w:rPr>
        <w:t> </w:t>
      </w:r>
      <w:r>
        <w:rPr/>
        <w:t>África</w:t>
      </w:r>
    </w:p>
    <w:p>
      <w:pPr>
        <w:pStyle w:val="BodyText"/>
        <w:spacing w:before="4"/>
        <w:ind w:left="122"/>
        <w:jc w:val="both"/>
      </w:pPr>
      <w:r>
        <w:rPr/>
        <w:t>(Cynodon plectostachyus), Alemán (Echinochioa polistachya), entre otros.</w:t>
      </w:r>
    </w:p>
    <w:p>
      <w:pPr>
        <w:pStyle w:val="BodyText"/>
        <w:rPr>
          <w:sz w:val="22"/>
        </w:rPr>
      </w:pPr>
    </w:p>
    <w:p>
      <w:pPr>
        <w:pStyle w:val="BodyText"/>
        <w:spacing w:before="10"/>
      </w:pPr>
    </w:p>
    <w:p>
      <w:pPr>
        <w:pStyle w:val="BodyText"/>
        <w:spacing w:line="360" w:lineRule="auto"/>
        <w:ind w:left="122" w:right="117"/>
        <w:jc w:val="both"/>
      </w:pPr>
      <w:r>
        <w:rPr/>
        <w:t>En el sistema de traspatio (ST) la producción del ganado se realiza en pequeñas superficies de terreno, cercanas a la vivienda familia; este sistema, puede ser de tipo intensivo o semintensivo, utilizando raza Holstein y en menor proporción Suizo y sus cruzas.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7"/>
        </w:rPr>
      </w:pPr>
      <w:r>
        <w:rPr/>
        <w:pict>
          <v:line style="position:absolute;mso-position-horizontal-relative:page;mso-position-vertical-relative:paragraph;z-index:1984;mso-wrap-distance-left:0;mso-wrap-distance-right:0" from="85.103996pt,12.483665pt" to="525.960017pt,12.483665pt" stroked="true" strokeweight=".36pt" strokecolor="#000000">
            <w10:wrap type="topAndBottom"/>
          </v:line>
        </w:pict>
      </w:r>
    </w:p>
    <w:p>
      <w:pPr>
        <w:tabs>
          <w:tab w:pos="4003" w:val="left" w:leader="none"/>
          <w:tab w:pos="8240" w:val="left" w:leader="none"/>
        </w:tabs>
        <w:spacing w:line="360" w:lineRule="auto" w:before="75" w:after="18"/>
        <w:ind w:left="510" w:right="123" w:hanging="389"/>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18 Estimación de una función de producción de bovinos carne en sistema extensivo en el sur del Estado de</w:t>
      </w:r>
      <w:r>
        <w:rPr>
          <w:spacing w:val="-26"/>
          <w:sz w:val="18"/>
        </w:rPr>
        <w:t> </w:t>
      </w:r>
      <w:r>
        <w:rPr>
          <w:sz w:val="18"/>
        </w:rPr>
        <w:t>México</w:t>
      </w: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spacing w:after="0" w:line="20" w:lineRule="exact"/>
        <w:rPr>
          <w:sz w:val="2"/>
        </w:rPr>
        <w:sectPr>
          <w:headerReference w:type="default" r:id="rId58"/>
          <w:footerReference w:type="default" r:id="rId59"/>
          <w:pgSz w:w="12240" w:h="15840"/>
          <w:pgMar w:header="0" w:footer="2394" w:top="1360" w:bottom="2580" w:left="1580" w:right="1580"/>
        </w:sectPr>
      </w:pPr>
    </w:p>
    <w:p>
      <w:pPr>
        <w:pStyle w:val="BodyText"/>
        <w:spacing w:line="360" w:lineRule="auto" w:before="50"/>
        <w:ind w:left="122" w:right="107"/>
        <w:jc w:val="both"/>
      </w:pPr>
      <w:r>
        <w:rPr/>
        <w:t>Se</w:t>
      </w:r>
      <w:r>
        <w:rPr>
          <w:spacing w:val="-4"/>
        </w:rPr>
        <w:t> </w:t>
      </w:r>
      <w:r>
        <w:rPr/>
        <w:t>citaron</w:t>
      </w:r>
      <w:r>
        <w:rPr>
          <w:spacing w:val="-5"/>
        </w:rPr>
        <w:t> </w:t>
      </w:r>
      <w:r>
        <w:rPr/>
        <w:t>distintos</w:t>
      </w:r>
      <w:r>
        <w:rPr>
          <w:spacing w:val="-6"/>
        </w:rPr>
        <w:t> </w:t>
      </w:r>
      <w:r>
        <w:rPr/>
        <w:t>contenidos</w:t>
      </w:r>
      <w:r>
        <w:rPr>
          <w:spacing w:val="-6"/>
        </w:rPr>
        <w:t> </w:t>
      </w:r>
      <w:r>
        <w:rPr/>
        <w:t>bibliográficos,</w:t>
      </w:r>
      <w:r>
        <w:rPr>
          <w:spacing w:val="-5"/>
        </w:rPr>
        <w:t> </w:t>
      </w:r>
      <w:r>
        <w:rPr/>
        <w:t>con</w:t>
      </w:r>
      <w:r>
        <w:rPr>
          <w:spacing w:val="-5"/>
        </w:rPr>
        <w:t> </w:t>
      </w:r>
      <w:r>
        <w:rPr/>
        <w:t>el</w:t>
      </w:r>
      <w:r>
        <w:rPr>
          <w:spacing w:val="-7"/>
        </w:rPr>
        <w:t> </w:t>
      </w:r>
      <w:r>
        <w:rPr/>
        <w:t>fin</w:t>
      </w:r>
      <w:r>
        <w:rPr>
          <w:spacing w:val="-5"/>
        </w:rPr>
        <w:t> </w:t>
      </w:r>
      <w:r>
        <w:rPr/>
        <w:t>de</w:t>
      </w:r>
      <w:r>
        <w:rPr>
          <w:spacing w:val="-4"/>
        </w:rPr>
        <w:t> </w:t>
      </w:r>
      <w:r>
        <w:rPr/>
        <w:t>sustentar</w:t>
      </w:r>
      <w:r>
        <w:rPr>
          <w:spacing w:val="-5"/>
        </w:rPr>
        <w:t> </w:t>
      </w:r>
      <w:r>
        <w:rPr/>
        <w:t>el</w:t>
      </w:r>
      <w:r>
        <w:rPr>
          <w:spacing w:val="-4"/>
        </w:rPr>
        <w:t> </w:t>
      </w:r>
      <w:r>
        <w:rPr/>
        <w:t>trabajo</w:t>
      </w:r>
      <w:r>
        <w:rPr>
          <w:spacing w:val="-5"/>
        </w:rPr>
        <w:t> </w:t>
      </w:r>
      <w:r>
        <w:rPr/>
        <w:t>realizado</w:t>
      </w:r>
      <w:r>
        <w:rPr>
          <w:spacing w:val="-2"/>
        </w:rPr>
        <w:t> </w:t>
      </w:r>
      <w:r>
        <w:rPr/>
        <w:t>y</w:t>
      </w:r>
      <w:r>
        <w:rPr>
          <w:spacing w:val="-10"/>
        </w:rPr>
        <w:t> </w:t>
      </w:r>
      <w:r>
        <w:rPr/>
        <w:t>llevar acabo el estudio del tema. A continuación, se mencionan algunos trabajos que tienen relación con el tema que se está</w:t>
      </w:r>
      <w:r>
        <w:rPr>
          <w:spacing w:val="-13"/>
        </w:rPr>
        <w:t> </w:t>
      </w:r>
      <w:r>
        <w:rPr/>
        <w:t>desarrollando.</w:t>
      </w:r>
    </w:p>
    <w:p>
      <w:pPr>
        <w:pStyle w:val="BodyText"/>
        <w:rPr>
          <w:sz w:val="22"/>
        </w:rPr>
      </w:pPr>
    </w:p>
    <w:p>
      <w:pPr>
        <w:pStyle w:val="BodyText"/>
        <w:spacing w:line="360" w:lineRule="auto" w:before="149"/>
        <w:ind w:left="122" w:right="105"/>
        <w:jc w:val="both"/>
      </w:pPr>
      <w:r>
        <w:rPr/>
        <w:t>Anido</w:t>
      </w:r>
      <w:r>
        <w:rPr>
          <w:spacing w:val="-12"/>
        </w:rPr>
        <w:t> </w:t>
      </w:r>
      <w:r>
        <w:rPr/>
        <w:t>et</w:t>
      </w:r>
      <w:r>
        <w:rPr>
          <w:spacing w:val="-12"/>
        </w:rPr>
        <w:t> </w:t>
      </w:r>
      <w:r>
        <w:rPr/>
        <w:t>al.</w:t>
      </w:r>
      <w:r>
        <w:rPr>
          <w:spacing w:val="-12"/>
        </w:rPr>
        <w:t> </w:t>
      </w:r>
      <w:r>
        <w:rPr/>
        <w:t>(1996),</w:t>
      </w:r>
      <w:r>
        <w:rPr>
          <w:spacing w:val="-12"/>
        </w:rPr>
        <w:t> </w:t>
      </w:r>
      <w:r>
        <w:rPr/>
        <w:t>presentan</w:t>
      </w:r>
      <w:r>
        <w:rPr>
          <w:spacing w:val="-12"/>
        </w:rPr>
        <w:t> </w:t>
      </w:r>
      <w:r>
        <w:rPr/>
        <w:t>un</w:t>
      </w:r>
      <w:r>
        <w:rPr>
          <w:spacing w:val="-12"/>
        </w:rPr>
        <w:t> </w:t>
      </w:r>
      <w:r>
        <w:rPr/>
        <w:t>análisis</w:t>
      </w:r>
      <w:r>
        <w:rPr>
          <w:spacing w:val="-13"/>
        </w:rPr>
        <w:t> </w:t>
      </w:r>
      <w:r>
        <w:rPr/>
        <w:t>empírico</w:t>
      </w:r>
      <w:r>
        <w:rPr>
          <w:spacing w:val="-12"/>
        </w:rPr>
        <w:t> </w:t>
      </w:r>
      <w:r>
        <w:rPr/>
        <w:t>de</w:t>
      </w:r>
      <w:r>
        <w:rPr>
          <w:spacing w:val="-14"/>
        </w:rPr>
        <w:t> </w:t>
      </w:r>
      <w:r>
        <w:rPr/>
        <w:t>la</w:t>
      </w:r>
      <w:r>
        <w:rPr>
          <w:spacing w:val="-11"/>
        </w:rPr>
        <w:t> </w:t>
      </w:r>
      <w:r>
        <w:rPr/>
        <w:t>producción</w:t>
      </w:r>
      <w:r>
        <w:rPr>
          <w:spacing w:val="-12"/>
        </w:rPr>
        <w:t> </w:t>
      </w:r>
      <w:r>
        <w:rPr/>
        <w:t>de</w:t>
      </w:r>
      <w:r>
        <w:rPr>
          <w:spacing w:val="-11"/>
        </w:rPr>
        <w:t> </w:t>
      </w:r>
      <w:r>
        <w:rPr/>
        <w:t>maíz</w:t>
      </w:r>
      <w:r>
        <w:rPr>
          <w:spacing w:val="-13"/>
        </w:rPr>
        <w:t> </w:t>
      </w:r>
      <w:r>
        <w:rPr/>
        <w:t>en</w:t>
      </w:r>
      <w:r>
        <w:rPr>
          <w:spacing w:val="-14"/>
        </w:rPr>
        <w:t> </w:t>
      </w:r>
      <w:r>
        <w:rPr/>
        <w:t>el</w:t>
      </w:r>
      <w:r>
        <w:rPr>
          <w:spacing w:val="-12"/>
        </w:rPr>
        <w:t> </w:t>
      </w:r>
      <w:r>
        <w:rPr/>
        <w:t>estado</w:t>
      </w:r>
      <w:r>
        <w:rPr>
          <w:spacing w:val="-12"/>
        </w:rPr>
        <w:t> </w:t>
      </w:r>
      <w:r>
        <w:rPr/>
        <w:t>Barinas, Venezuela, empleando la función econométrica de</w:t>
      </w:r>
      <w:r>
        <w:rPr>
          <w:spacing w:val="-22"/>
        </w:rPr>
        <w:t> </w:t>
      </w:r>
      <w:r>
        <w:rPr/>
        <w:t>Cobb-Douglas.</w:t>
      </w:r>
    </w:p>
    <w:p>
      <w:pPr>
        <w:pStyle w:val="BodyText"/>
        <w:rPr>
          <w:sz w:val="22"/>
        </w:rPr>
      </w:pPr>
    </w:p>
    <w:p>
      <w:pPr>
        <w:pStyle w:val="BodyText"/>
        <w:spacing w:line="360" w:lineRule="auto" w:before="149"/>
        <w:ind w:left="122" w:right="102"/>
        <w:jc w:val="both"/>
      </w:pPr>
      <w:r>
        <w:rPr/>
        <w:t>Bichara (1990), presenta información y aspectos relevante en cuanto a la utilización de esta función de producción.</w:t>
      </w:r>
    </w:p>
    <w:p>
      <w:pPr>
        <w:pStyle w:val="BodyText"/>
        <w:rPr>
          <w:sz w:val="22"/>
        </w:rPr>
      </w:pPr>
    </w:p>
    <w:p>
      <w:pPr>
        <w:pStyle w:val="BodyText"/>
        <w:spacing w:line="360" w:lineRule="auto" w:before="147"/>
        <w:ind w:left="122" w:right="100"/>
        <w:jc w:val="both"/>
      </w:pPr>
      <w:r>
        <w:rPr/>
        <w:t>Castellanos (2004), realiza un estudio de la región confidencial para la obtención del óptimo económico de una función de producción de Cobb-Douglas bivariada, empleando la técnica de Wald descrita en Gallant (1987).</w:t>
      </w:r>
    </w:p>
    <w:p>
      <w:pPr>
        <w:pStyle w:val="BodyText"/>
        <w:rPr>
          <w:sz w:val="22"/>
        </w:rPr>
      </w:pPr>
    </w:p>
    <w:p>
      <w:pPr>
        <w:pStyle w:val="BodyText"/>
        <w:spacing w:line="360" w:lineRule="auto" w:before="149"/>
        <w:ind w:left="122" w:right="105"/>
        <w:jc w:val="both"/>
      </w:pPr>
      <w:r>
        <w:rPr/>
        <w:t>Gujarati (2004), hace uso del modelo y realiza la estimación de los parámetros con información referente a la producción de Taiwán. Representando sus resultados a través del paquete estadístico SAS (2004).</w:t>
      </w:r>
    </w:p>
    <w:p>
      <w:pPr>
        <w:pStyle w:val="BodyText"/>
        <w:rPr>
          <w:sz w:val="22"/>
        </w:rPr>
      </w:pPr>
    </w:p>
    <w:p>
      <w:pPr>
        <w:pStyle w:val="BodyText"/>
        <w:spacing w:before="150"/>
        <w:ind w:left="122"/>
        <w:jc w:val="both"/>
      </w:pPr>
      <w:r>
        <w:rPr/>
        <w:t>Mankiw (2004), hace referencia sobre algunas propiedades de la función de producción.</w:t>
      </w:r>
    </w:p>
    <w:p>
      <w:pPr>
        <w:pStyle w:val="BodyText"/>
        <w:spacing w:line="360" w:lineRule="auto" w:before="131"/>
        <w:ind w:left="122" w:right="99"/>
        <w:jc w:val="both"/>
      </w:pPr>
      <w:r>
        <w:rPr/>
        <w:t>Romo (1990), emplea a la función de producción de Cobb-Douglas en el estudio sobre la asignación optima de los recursos en los viveros forestales del estado de 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2"/>
        </w:rPr>
      </w:pPr>
      <w:r>
        <w:rPr/>
        <w:pict>
          <v:line style="position:absolute;mso-position-horizontal-relative:page;mso-position-vertical-relative:paragraph;z-index:2032;mso-wrap-distance-left:0;mso-wrap-distance-right:0" from="85.103996pt,9.348549pt" to="525.960017pt,9.348549pt" stroked="true" strokeweight=".36pt" strokecolor="#000000">
            <w10:wrap type="topAndBottom"/>
          </v:line>
        </w:pict>
      </w:r>
    </w:p>
    <w:p>
      <w:pPr>
        <w:tabs>
          <w:tab w:pos="4003" w:val="left" w:leader="none"/>
          <w:tab w:pos="8240" w:val="left" w:leader="none"/>
        </w:tabs>
        <w:spacing w:line="360" w:lineRule="auto" w:before="75" w:after="18"/>
        <w:ind w:left="510" w:right="103" w:hanging="389"/>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19 Estimación de una función de producción de bovinos carne en sistema extensivo en el sur del Estado de</w:t>
      </w:r>
      <w:r>
        <w:rPr>
          <w:spacing w:val="-26"/>
          <w:sz w:val="18"/>
        </w:rPr>
        <w:t> </w:t>
      </w:r>
      <w:r>
        <w:rPr>
          <w:sz w:val="18"/>
        </w:rPr>
        <w:t>México</w:t>
      </w: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spacing w:after="0" w:line="20" w:lineRule="exact"/>
        <w:rPr>
          <w:sz w:val="2"/>
        </w:rPr>
        <w:sectPr>
          <w:headerReference w:type="default" r:id="rId60"/>
          <w:footerReference w:type="default" r:id="rId61"/>
          <w:pgSz w:w="12240" w:h="15840"/>
          <w:pgMar w:header="0" w:footer="2254" w:top="1360" w:bottom="2440" w:left="1580" w:right="1600"/>
        </w:sectPr>
      </w:pPr>
    </w:p>
    <w:p>
      <w:pPr>
        <w:pStyle w:val="BodyText"/>
        <w:spacing w:line="360" w:lineRule="auto" w:before="50"/>
        <w:ind w:left="122" w:right="124"/>
        <w:jc w:val="both"/>
      </w:pPr>
      <w:r>
        <w:rPr/>
        <w:t>Según la teoría microeconómica una función de producción se define como la relación técnica que transforma los factores en producto. Representa la cantidad máxima de producción que se puede obtener aplicando eficientemente una cantidad dada de factores.</w:t>
      </w:r>
    </w:p>
    <w:p>
      <w:pPr>
        <w:pStyle w:val="BodyText"/>
        <w:rPr>
          <w:sz w:val="22"/>
        </w:rPr>
      </w:pPr>
    </w:p>
    <w:p>
      <w:pPr>
        <w:pStyle w:val="BodyText"/>
        <w:spacing w:line="360" w:lineRule="auto" w:before="149"/>
        <w:ind w:left="122" w:right="115"/>
        <w:jc w:val="both"/>
      </w:pPr>
      <w:r>
        <w:rPr/>
        <w:t>Una función de producción puede ser representada matemáticamente como: </w:t>
      </w:r>
      <w:r>
        <w:rPr>
          <w:b/>
        </w:rPr>
        <w:t>Q = F (K, L) </w:t>
      </w:r>
      <w:r>
        <w:rPr/>
        <w:t>en donde</w:t>
      </w:r>
      <w:r>
        <w:rPr>
          <w:spacing w:val="-11"/>
        </w:rPr>
        <w:t> </w:t>
      </w:r>
      <w:r>
        <w:rPr>
          <w:b/>
        </w:rPr>
        <w:t>Q</w:t>
      </w:r>
      <w:r>
        <w:rPr>
          <w:b/>
          <w:spacing w:val="-9"/>
        </w:rPr>
        <w:t> </w:t>
      </w:r>
      <w:r>
        <w:rPr/>
        <w:t>representa</w:t>
      </w:r>
      <w:r>
        <w:rPr>
          <w:spacing w:val="-11"/>
        </w:rPr>
        <w:t> </w:t>
      </w:r>
      <w:r>
        <w:rPr/>
        <w:t>el</w:t>
      </w:r>
      <w:r>
        <w:rPr>
          <w:spacing w:val="-9"/>
        </w:rPr>
        <w:t> </w:t>
      </w:r>
      <w:r>
        <w:rPr/>
        <w:t>nivel</w:t>
      </w:r>
      <w:r>
        <w:rPr>
          <w:spacing w:val="-9"/>
        </w:rPr>
        <w:t> </w:t>
      </w:r>
      <w:r>
        <w:rPr/>
        <w:t>de</w:t>
      </w:r>
      <w:r>
        <w:rPr>
          <w:spacing w:val="-11"/>
        </w:rPr>
        <w:t> </w:t>
      </w:r>
      <w:r>
        <w:rPr/>
        <w:t>producción,</w:t>
      </w:r>
      <w:r>
        <w:rPr>
          <w:spacing w:val="-10"/>
        </w:rPr>
        <w:t> </w:t>
      </w:r>
      <w:r>
        <w:rPr>
          <w:b/>
        </w:rPr>
        <w:t>K</w:t>
      </w:r>
      <w:r>
        <w:rPr>
          <w:b/>
          <w:spacing w:val="-11"/>
        </w:rPr>
        <w:t> </w:t>
      </w:r>
      <w:r>
        <w:rPr/>
        <w:t>el</w:t>
      </w:r>
      <w:r>
        <w:rPr>
          <w:spacing w:val="-12"/>
        </w:rPr>
        <w:t> </w:t>
      </w:r>
      <w:r>
        <w:rPr/>
        <w:t>acervo</w:t>
      </w:r>
      <w:r>
        <w:rPr>
          <w:spacing w:val="-10"/>
        </w:rPr>
        <w:t> </w:t>
      </w:r>
      <w:r>
        <w:rPr/>
        <w:t>de</w:t>
      </w:r>
      <w:r>
        <w:rPr>
          <w:spacing w:val="-9"/>
        </w:rPr>
        <w:t> </w:t>
      </w:r>
      <w:r>
        <w:rPr/>
        <w:t>capital,</w:t>
      </w:r>
      <w:r>
        <w:rPr>
          <w:spacing w:val="-10"/>
        </w:rPr>
        <w:t> </w:t>
      </w:r>
      <w:r>
        <w:rPr>
          <w:b/>
        </w:rPr>
        <w:t>L</w:t>
      </w:r>
      <w:r>
        <w:rPr>
          <w:b/>
          <w:spacing w:val="-12"/>
        </w:rPr>
        <w:t> </w:t>
      </w:r>
      <w:r>
        <w:rPr/>
        <w:t>el</w:t>
      </w:r>
      <w:r>
        <w:rPr>
          <w:spacing w:val="-11"/>
        </w:rPr>
        <w:t> </w:t>
      </w:r>
      <w:r>
        <w:rPr/>
        <w:t>nivel</w:t>
      </w:r>
      <w:r>
        <w:rPr>
          <w:spacing w:val="-9"/>
        </w:rPr>
        <w:t> </w:t>
      </w:r>
      <w:r>
        <w:rPr/>
        <w:t>de</w:t>
      </w:r>
      <w:r>
        <w:rPr>
          <w:spacing w:val="-11"/>
        </w:rPr>
        <w:t> </w:t>
      </w:r>
      <w:r>
        <w:rPr/>
        <w:t>empleo</w:t>
      </w:r>
      <w:r>
        <w:rPr>
          <w:spacing w:val="-12"/>
        </w:rPr>
        <w:t> </w:t>
      </w:r>
      <w:r>
        <w:rPr/>
        <w:t>o</w:t>
      </w:r>
      <w:r>
        <w:rPr>
          <w:spacing w:val="-12"/>
        </w:rPr>
        <w:t> </w:t>
      </w:r>
      <w:r>
        <w:rPr/>
        <w:t>trabajo. En especificaciones más desarrolladas se pueden incluir otros factores productivos, como la tierra, la materia prima y la capacidad empresarial. También se puede incorporar un parámetro para estimar el cambio</w:t>
      </w:r>
      <w:r>
        <w:rPr>
          <w:spacing w:val="-15"/>
        </w:rPr>
        <w:t> </w:t>
      </w:r>
      <w:r>
        <w:rPr/>
        <w:t>tecnológico.</w:t>
      </w:r>
    </w:p>
    <w:p>
      <w:pPr>
        <w:pStyle w:val="BodyText"/>
        <w:spacing w:line="360" w:lineRule="auto" w:before="4"/>
        <w:ind w:left="122" w:right="115"/>
        <w:jc w:val="both"/>
      </w:pPr>
      <w:r>
        <w:rPr/>
        <w:t>En un contexto macroeconómico de una economía en particular, la producción </w:t>
      </w:r>
      <w:r>
        <w:rPr>
          <w:b/>
        </w:rPr>
        <w:t>(Q) </w:t>
      </w:r>
      <w:r>
        <w:rPr/>
        <w:t>puede representarse con el producto interno bruto o bien el producto nacional bruto, y los recursos productivos se pueden aproximar con el acervo de capital </w:t>
      </w:r>
      <w:r>
        <w:rPr>
          <w:b/>
        </w:rPr>
        <w:t>(K) </w:t>
      </w:r>
      <w:r>
        <w:rPr/>
        <w:t>y la fuerza laboral </w:t>
      </w:r>
      <w:r>
        <w:rPr>
          <w:b/>
        </w:rPr>
        <w:t>(L)</w:t>
      </w:r>
      <w:r>
        <w:rPr/>
        <w:t>. En este caso la función se denominaría función de producción agregada.</w:t>
      </w:r>
    </w:p>
    <w:p>
      <w:pPr>
        <w:pStyle w:val="BodyText"/>
        <w:rPr>
          <w:sz w:val="22"/>
        </w:rPr>
      </w:pPr>
    </w:p>
    <w:p>
      <w:pPr>
        <w:pStyle w:val="BodyText"/>
        <w:spacing w:line="360" w:lineRule="auto" w:before="149"/>
        <w:ind w:left="122" w:right="123"/>
        <w:jc w:val="both"/>
      </w:pPr>
      <w:r>
        <w:rPr/>
        <w:t>Una función de producción se puede representar gráficamente en un plano de dos o tres dimensiones en el espacio de insumos. En este espacio, con una combinación eficiente de factores, es posible producir una cantidad dada de producto. Sin embargo, ésta (la altura de la curva), se puede producir con otras posibles combinaciones de factores.</w:t>
      </w:r>
    </w:p>
    <w:p>
      <w:pPr>
        <w:pStyle w:val="BodyText"/>
        <w:spacing w:line="360" w:lineRule="auto" w:before="4"/>
        <w:ind w:left="122" w:right="119"/>
        <w:jc w:val="both"/>
      </w:pPr>
      <w:r>
        <w:rPr/>
        <w:t>En el análisis de isocuantas, se observa que en los procesos de producción que utilizan los recursos</w:t>
      </w:r>
      <w:r>
        <w:rPr>
          <w:spacing w:val="-10"/>
        </w:rPr>
        <w:t> </w:t>
      </w:r>
      <w:r>
        <w:rPr/>
        <w:t>en</w:t>
      </w:r>
      <w:r>
        <w:rPr>
          <w:spacing w:val="-12"/>
        </w:rPr>
        <w:t> </w:t>
      </w:r>
      <w:r>
        <w:rPr/>
        <w:t>proporciones</w:t>
      </w:r>
      <w:r>
        <w:rPr>
          <w:spacing w:val="-10"/>
        </w:rPr>
        <w:t> </w:t>
      </w:r>
      <w:r>
        <w:rPr/>
        <w:t>variables,</w:t>
      </w:r>
      <w:r>
        <w:rPr>
          <w:spacing w:val="-12"/>
        </w:rPr>
        <w:t> </w:t>
      </w:r>
      <w:r>
        <w:rPr/>
        <w:t>es</w:t>
      </w:r>
      <w:r>
        <w:rPr>
          <w:spacing w:val="-10"/>
        </w:rPr>
        <w:t> </w:t>
      </w:r>
      <w:r>
        <w:rPr/>
        <w:t>posible</w:t>
      </w:r>
      <w:r>
        <w:rPr>
          <w:spacing w:val="-9"/>
        </w:rPr>
        <w:t> </w:t>
      </w:r>
      <w:r>
        <w:rPr/>
        <w:t>sustituir</w:t>
      </w:r>
      <w:r>
        <w:rPr>
          <w:spacing w:val="-10"/>
        </w:rPr>
        <w:t> </w:t>
      </w:r>
      <w:r>
        <w:rPr/>
        <w:t>un</w:t>
      </w:r>
      <w:r>
        <w:rPr>
          <w:spacing w:val="-10"/>
        </w:rPr>
        <w:t> </w:t>
      </w:r>
      <w:r>
        <w:rPr/>
        <w:t>insumo</w:t>
      </w:r>
      <w:r>
        <w:rPr>
          <w:spacing w:val="-10"/>
        </w:rPr>
        <w:t> </w:t>
      </w:r>
      <w:r>
        <w:rPr/>
        <w:t>por</w:t>
      </w:r>
      <w:r>
        <w:rPr>
          <w:spacing w:val="-10"/>
        </w:rPr>
        <w:t> </w:t>
      </w:r>
      <w:r>
        <w:rPr/>
        <w:t>otro</w:t>
      </w:r>
      <w:r>
        <w:rPr>
          <w:spacing w:val="-10"/>
        </w:rPr>
        <w:t> </w:t>
      </w:r>
      <w:r>
        <w:rPr/>
        <w:t>de</w:t>
      </w:r>
      <w:r>
        <w:rPr>
          <w:spacing w:val="-9"/>
        </w:rPr>
        <w:t> </w:t>
      </w:r>
      <w:r>
        <w:rPr/>
        <w:t>forma</w:t>
      </w:r>
      <w:r>
        <w:rPr>
          <w:spacing w:val="-9"/>
        </w:rPr>
        <w:t> </w:t>
      </w:r>
      <w:r>
        <w:rPr/>
        <w:t>que</w:t>
      </w:r>
      <w:r>
        <w:rPr>
          <w:spacing w:val="-9"/>
        </w:rPr>
        <w:t> </w:t>
      </w:r>
      <w:r>
        <w:rPr/>
        <w:t>se</w:t>
      </w:r>
      <w:r>
        <w:rPr>
          <w:spacing w:val="-11"/>
        </w:rPr>
        <w:t> </w:t>
      </w:r>
      <w:r>
        <w:rPr/>
        <w:t>puede producir la misma cantidad. Un concepto que representa esta relación es la Tasa Marginal de Sustitución</w:t>
      </w:r>
      <w:r>
        <w:rPr>
          <w:spacing w:val="-12"/>
        </w:rPr>
        <w:t> </w:t>
      </w:r>
      <w:r>
        <w:rPr/>
        <w:t>(TMST),</w:t>
      </w:r>
      <w:r>
        <w:rPr>
          <w:spacing w:val="-12"/>
        </w:rPr>
        <w:t> </w:t>
      </w:r>
      <w:r>
        <w:rPr/>
        <w:t>que</w:t>
      </w:r>
      <w:r>
        <w:rPr>
          <w:spacing w:val="-14"/>
        </w:rPr>
        <w:t> </w:t>
      </w:r>
      <w:r>
        <w:rPr/>
        <w:t>mide</w:t>
      </w:r>
      <w:r>
        <w:rPr>
          <w:spacing w:val="-14"/>
        </w:rPr>
        <w:t> </w:t>
      </w:r>
      <w:r>
        <w:rPr/>
        <w:t>en</w:t>
      </w:r>
      <w:r>
        <w:rPr>
          <w:spacing w:val="-12"/>
        </w:rPr>
        <w:t> </w:t>
      </w:r>
      <w:r>
        <w:rPr/>
        <w:t>cuántas</w:t>
      </w:r>
      <w:r>
        <w:rPr>
          <w:spacing w:val="-13"/>
        </w:rPr>
        <w:t> </w:t>
      </w:r>
      <w:r>
        <w:rPr/>
        <w:t>unidades</w:t>
      </w:r>
      <w:r>
        <w:rPr>
          <w:spacing w:val="-15"/>
        </w:rPr>
        <w:t> </w:t>
      </w:r>
      <w:r>
        <w:rPr/>
        <w:t>se</w:t>
      </w:r>
      <w:r>
        <w:rPr>
          <w:spacing w:val="-11"/>
        </w:rPr>
        <w:t> </w:t>
      </w:r>
      <w:r>
        <w:rPr/>
        <w:t>debe</w:t>
      </w:r>
      <w:r>
        <w:rPr>
          <w:spacing w:val="-11"/>
        </w:rPr>
        <w:t> </w:t>
      </w:r>
      <w:r>
        <w:rPr/>
        <w:t>reducir</w:t>
      </w:r>
      <w:r>
        <w:rPr>
          <w:spacing w:val="-12"/>
        </w:rPr>
        <w:t> </w:t>
      </w:r>
      <w:r>
        <w:rPr/>
        <w:t>el</w:t>
      </w:r>
      <w:r>
        <w:rPr>
          <w:spacing w:val="-12"/>
        </w:rPr>
        <w:t> </w:t>
      </w:r>
      <w:r>
        <w:rPr/>
        <w:t>uso</w:t>
      </w:r>
      <w:r>
        <w:rPr>
          <w:spacing w:val="-12"/>
        </w:rPr>
        <w:t> </w:t>
      </w:r>
      <w:r>
        <w:rPr/>
        <w:t>de</w:t>
      </w:r>
      <w:r>
        <w:rPr>
          <w:spacing w:val="-11"/>
        </w:rPr>
        <w:t> </w:t>
      </w:r>
      <w:r>
        <w:rPr/>
        <w:t>un</w:t>
      </w:r>
      <w:r>
        <w:rPr>
          <w:spacing w:val="-12"/>
        </w:rPr>
        <w:t> </w:t>
      </w:r>
      <w:r>
        <w:rPr/>
        <w:t>factor</w:t>
      </w:r>
      <w:r>
        <w:rPr>
          <w:spacing w:val="-12"/>
        </w:rPr>
        <w:t> </w:t>
      </w:r>
      <w:r>
        <w:rPr/>
        <w:t>productivo al aumentar en una unidad el otro insumo, de forma que el nivel de producción se mantenga constante.</w:t>
      </w:r>
    </w:p>
    <w:p>
      <w:pPr>
        <w:pStyle w:val="BodyText"/>
        <w:spacing w:line="360" w:lineRule="auto" w:before="6"/>
        <w:ind w:left="122" w:right="121"/>
        <w:jc w:val="both"/>
      </w:pPr>
      <w:r>
        <w:rPr/>
        <w:t>Según el grado de sustitución de los factores productivos, las funciones de producción pueden asumir una de las siguientes formas:</w:t>
      </w:r>
    </w:p>
    <w:p>
      <w:pPr>
        <w:pStyle w:val="BodyText"/>
        <w:rPr>
          <w:sz w:val="20"/>
        </w:rPr>
      </w:pPr>
    </w:p>
    <w:p>
      <w:pPr>
        <w:pStyle w:val="BodyText"/>
        <w:spacing w:before="1"/>
        <w:rPr>
          <w:sz w:val="29"/>
        </w:rPr>
      </w:pPr>
      <w:r>
        <w:rPr/>
        <w:pict>
          <v:line style="position:absolute;mso-position-horizontal-relative:page;mso-position-vertical-relative:paragraph;z-index:2080;mso-wrap-distance-left:0;mso-wrap-distance-right:0" from="85.103996pt,18.879753pt" to="525.960017pt,18.879753pt" stroked="true" strokeweight=".36pt" strokecolor="#000000">
            <w10:wrap type="topAndBottom"/>
          </v:line>
        </w:pict>
      </w:r>
    </w:p>
    <w:p>
      <w:pPr>
        <w:tabs>
          <w:tab w:pos="4003" w:val="left" w:leader="none"/>
          <w:tab w:pos="8240" w:val="left" w:leader="none"/>
        </w:tabs>
        <w:spacing w:line="360" w:lineRule="auto" w:before="73" w:after="18"/>
        <w:ind w:left="510" w:right="124" w:hanging="389"/>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6"/>
          <w:sz w:val="18"/>
        </w:rPr>
        <w:t> </w:t>
      </w:r>
      <w:r>
        <w:rPr>
          <w:sz w:val="18"/>
        </w:rPr>
        <w:t>20</w:t>
      </w:r>
      <w:r>
        <w:rPr>
          <w:spacing w:val="-2"/>
          <w:sz w:val="18"/>
        </w:rPr>
        <w:t> </w:t>
      </w:r>
      <w:r>
        <w:rPr>
          <w:sz w:val="18"/>
        </w:rPr>
        <w:t>Estimación de una función de producción de bovinos carne en sistema extensivo en el sur del Estado de</w:t>
      </w:r>
      <w:r>
        <w:rPr>
          <w:spacing w:val="-26"/>
          <w:sz w:val="18"/>
        </w:rPr>
        <w:t> </w:t>
      </w:r>
      <w:r>
        <w:rPr>
          <w:sz w:val="18"/>
        </w:rPr>
        <w:t>México</w:t>
      </w: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spacing w:after="0" w:line="20" w:lineRule="exact"/>
        <w:rPr>
          <w:sz w:val="2"/>
        </w:rPr>
        <w:sectPr>
          <w:headerReference w:type="default" r:id="rId62"/>
          <w:footerReference w:type="default" r:id="rId63"/>
          <w:pgSz w:w="12240" w:h="15840"/>
          <w:pgMar w:header="0" w:footer="0" w:top="1360" w:bottom="280" w:left="1580" w:right="1580"/>
        </w:sectPr>
      </w:pPr>
    </w:p>
    <w:p>
      <w:pPr>
        <w:pStyle w:val="ListParagraph"/>
        <w:numPr>
          <w:ilvl w:val="0"/>
          <w:numId w:val="4"/>
        </w:numPr>
        <w:tabs>
          <w:tab w:pos="355" w:val="left" w:leader="none"/>
        </w:tabs>
        <w:spacing w:line="360" w:lineRule="auto" w:before="50" w:after="0"/>
        <w:ind w:left="122" w:right="126" w:firstLine="0"/>
        <w:jc w:val="both"/>
        <w:rPr>
          <w:sz w:val="23"/>
        </w:rPr>
      </w:pPr>
      <w:r>
        <w:rPr>
          <w:b/>
          <w:sz w:val="23"/>
        </w:rPr>
        <w:t>Coeficientes fijos</w:t>
      </w:r>
      <w:r>
        <w:rPr>
          <w:sz w:val="23"/>
        </w:rPr>
        <w:t>: la cual no permite la sustitución de los factores en términos de su relación capital-trabajo</w:t>
      </w:r>
      <w:r>
        <w:rPr>
          <w:spacing w:val="-14"/>
          <w:sz w:val="23"/>
        </w:rPr>
        <w:t> </w:t>
      </w:r>
      <w:r>
        <w:rPr>
          <w:sz w:val="23"/>
        </w:rPr>
        <w:t>(K/L),</w:t>
      </w:r>
      <w:r>
        <w:rPr>
          <w:spacing w:val="-14"/>
          <w:sz w:val="23"/>
        </w:rPr>
        <w:t> </w:t>
      </w:r>
      <w:r>
        <w:rPr>
          <w:sz w:val="23"/>
        </w:rPr>
        <w:t>pero</w:t>
      </w:r>
      <w:r>
        <w:rPr>
          <w:spacing w:val="-12"/>
          <w:sz w:val="23"/>
        </w:rPr>
        <w:t> </w:t>
      </w:r>
      <w:r>
        <w:rPr>
          <w:sz w:val="23"/>
        </w:rPr>
        <w:t>sí</w:t>
      </w:r>
      <w:r>
        <w:rPr>
          <w:spacing w:val="-14"/>
          <w:sz w:val="23"/>
        </w:rPr>
        <w:t> </w:t>
      </w:r>
      <w:r>
        <w:rPr>
          <w:sz w:val="23"/>
        </w:rPr>
        <w:t>admite</w:t>
      </w:r>
      <w:r>
        <w:rPr>
          <w:spacing w:val="-14"/>
          <w:sz w:val="23"/>
        </w:rPr>
        <w:t> </w:t>
      </w:r>
      <w:r>
        <w:rPr>
          <w:sz w:val="23"/>
        </w:rPr>
        <w:t>que</w:t>
      </w:r>
      <w:r>
        <w:rPr>
          <w:spacing w:val="-14"/>
          <w:sz w:val="23"/>
        </w:rPr>
        <w:t> </w:t>
      </w:r>
      <w:r>
        <w:rPr>
          <w:sz w:val="23"/>
        </w:rPr>
        <w:t>alguno</w:t>
      </w:r>
      <w:r>
        <w:rPr>
          <w:spacing w:val="-14"/>
          <w:sz w:val="23"/>
        </w:rPr>
        <w:t> </w:t>
      </w:r>
      <w:r>
        <w:rPr>
          <w:sz w:val="23"/>
        </w:rPr>
        <w:t>de</w:t>
      </w:r>
      <w:r>
        <w:rPr>
          <w:spacing w:val="-14"/>
          <w:sz w:val="23"/>
        </w:rPr>
        <w:t> </w:t>
      </w:r>
      <w:r>
        <w:rPr>
          <w:sz w:val="23"/>
        </w:rPr>
        <w:t>estos</w:t>
      </w:r>
      <w:r>
        <w:rPr>
          <w:spacing w:val="-15"/>
          <w:sz w:val="23"/>
        </w:rPr>
        <w:t> </w:t>
      </w:r>
      <w:r>
        <w:rPr>
          <w:sz w:val="23"/>
        </w:rPr>
        <w:t>factores</w:t>
      </w:r>
      <w:r>
        <w:rPr>
          <w:spacing w:val="-15"/>
          <w:sz w:val="23"/>
        </w:rPr>
        <w:t> </w:t>
      </w:r>
      <w:r>
        <w:rPr>
          <w:sz w:val="23"/>
        </w:rPr>
        <w:t>se</w:t>
      </w:r>
      <w:r>
        <w:rPr>
          <w:spacing w:val="-14"/>
          <w:sz w:val="23"/>
        </w:rPr>
        <w:t> </w:t>
      </w:r>
      <w:r>
        <w:rPr>
          <w:sz w:val="23"/>
        </w:rPr>
        <w:t>utilice</w:t>
      </w:r>
      <w:r>
        <w:rPr>
          <w:spacing w:val="-14"/>
          <w:sz w:val="23"/>
        </w:rPr>
        <w:t> </w:t>
      </w:r>
      <w:r>
        <w:rPr>
          <w:sz w:val="23"/>
        </w:rPr>
        <w:t>en</w:t>
      </w:r>
      <w:r>
        <w:rPr>
          <w:spacing w:val="-14"/>
          <w:sz w:val="23"/>
        </w:rPr>
        <w:t> </w:t>
      </w:r>
      <w:r>
        <w:rPr>
          <w:sz w:val="23"/>
        </w:rPr>
        <w:t>una</w:t>
      </w:r>
      <w:r>
        <w:rPr>
          <w:spacing w:val="-14"/>
          <w:sz w:val="23"/>
        </w:rPr>
        <w:t> </w:t>
      </w:r>
      <w:r>
        <w:rPr>
          <w:sz w:val="23"/>
        </w:rPr>
        <w:t>cantidad</w:t>
      </w:r>
      <w:r>
        <w:rPr>
          <w:spacing w:val="-14"/>
          <w:sz w:val="23"/>
        </w:rPr>
        <w:t> </w:t>
      </w:r>
      <w:r>
        <w:rPr>
          <w:sz w:val="23"/>
        </w:rPr>
        <w:t>mayor aunque se seguirá produciendo lo</w:t>
      </w:r>
      <w:r>
        <w:rPr>
          <w:spacing w:val="-11"/>
          <w:sz w:val="23"/>
        </w:rPr>
        <w:t> </w:t>
      </w:r>
      <w:r>
        <w:rPr>
          <w:sz w:val="23"/>
        </w:rPr>
        <w:t>mismo.</w:t>
      </w:r>
    </w:p>
    <w:p>
      <w:pPr>
        <w:pStyle w:val="BodyText"/>
        <w:rPr>
          <w:sz w:val="22"/>
        </w:rPr>
      </w:pPr>
    </w:p>
    <w:p>
      <w:pPr>
        <w:pStyle w:val="ListParagraph"/>
        <w:numPr>
          <w:ilvl w:val="0"/>
          <w:numId w:val="4"/>
        </w:numPr>
        <w:tabs>
          <w:tab w:pos="382" w:val="left" w:leader="none"/>
        </w:tabs>
        <w:spacing w:line="360" w:lineRule="auto" w:before="149" w:after="0"/>
        <w:ind w:left="122" w:right="118" w:firstLine="0"/>
        <w:jc w:val="both"/>
        <w:rPr>
          <w:sz w:val="23"/>
        </w:rPr>
      </w:pPr>
      <w:r>
        <w:rPr>
          <w:b/>
          <w:sz w:val="23"/>
        </w:rPr>
        <w:t>Coeficientes variables o continuos</w:t>
      </w:r>
      <w:r>
        <w:rPr>
          <w:sz w:val="23"/>
        </w:rPr>
        <w:t>: permite la sustitución capital-trabajo, en el proceso de producción, en cualquier</w:t>
      </w:r>
      <w:r>
        <w:rPr>
          <w:spacing w:val="-8"/>
          <w:sz w:val="23"/>
        </w:rPr>
        <w:t> </w:t>
      </w:r>
      <w:r>
        <w:rPr>
          <w:sz w:val="23"/>
        </w:rPr>
        <w:t>proporción.</w:t>
      </w:r>
    </w:p>
    <w:p>
      <w:pPr>
        <w:pStyle w:val="BodyText"/>
        <w:spacing w:line="362" w:lineRule="auto" w:before="4"/>
        <w:ind w:left="122" w:right="125"/>
        <w:jc w:val="both"/>
      </w:pPr>
      <w:r>
        <w:rPr/>
        <w:t>Una propiedad importante de las funciones de producción es su grado de homogeneidad; por medio del cual es posible conocer el tipo de rendimientos a escala que poseen.</w:t>
      </w:r>
    </w:p>
    <w:p>
      <w:pPr>
        <w:pStyle w:val="BodyText"/>
        <w:rPr>
          <w:sz w:val="22"/>
        </w:rPr>
      </w:pPr>
    </w:p>
    <w:p>
      <w:pPr>
        <w:pStyle w:val="BodyText"/>
        <w:spacing w:line="360" w:lineRule="auto" w:before="145"/>
        <w:ind w:left="122" w:right="119"/>
        <w:jc w:val="both"/>
      </w:pPr>
      <w:r>
        <w:rPr/>
        <w:t>En relación con los factores productivos, es importante distinguir cuándo un factor puede ser tratado como fijo o variable. Frecuentemente se expresa que un recurso se categoriza como variable</w:t>
      </w:r>
      <w:r>
        <w:rPr>
          <w:spacing w:val="-13"/>
        </w:rPr>
        <w:t> </w:t>
      </w:r>
      <w:r>
        <w:rPr/>
        <w:t>cuando</w:t>
      </w:r>
      <w:r>
        <w:rPr>
          <w:spacing w:val="-12"/>
        </w:rPr>
        <w:t> </w:t>
      </w:r>
      <w:r>
        <w:rPr/>
        <w:t>se</w:t>
      </w:r>
      <w:r>
        <w:rPr>
          <w:spacing w:val="-11"/>
        </w:rPr>
        <w:t> </w:t>
      </w:r>
      <w:r>
        <w:rPr/>
        <w:t>puede</w:t>
      </w:r>
      <w:r>
        <w:rPr>
          <w:spacing w:val="-11"/>
        </w:rPr>
        <w:t> </w:t>
      </w:r>
      <w:r>
        <w:rPr/>
        <w:t>alterar</w:t>
      </w:r>
      <w:r>
        <w:rPr>
          <w:spacing w:val="-12"/>
        </w:rPr>
        <w:t> </w:t>
      </w:r>
      <w:r>
        <w:rPr/>
        <w:t>su</w:t>
      </w:r>
      <w:r>
        <w:rPr>
          <w:spacing w:val="-12"/>
        </w:rPr>
        <w:t> </w:t>
      </w:r>
      <w:r>
        <w:rPr/>
        <w:t>nivel</w:t>
      </w:r>
      <w:r>
        <w:rPr>
          <w:spacing w:val="-12"/>
        </w:rPr>
        <w:t> </w:t>
      </w:r>
      <w:r>
        <w:rPr/>
        <w:t>de</w:t>
      </w:r>
      <w:r>
        <w:rPr>
          <w:spacing w:val="-11"/>
        </w:rPr>
        <w:t> </w:t>
      </w:r>
      <w:r>
        <w:rPr/>
        <w:t>utilización.</w:t>
      </w:r>
      <w:r>
        <w:rPr>
          <w:spacing w:val="-12"/>
        </w:rPr>
        <w:t> </w:t>
      </w:r>
      <w:r>
        <w:rPr/>
        <w:t>Por</w:t>
      </w:r>
      <w:r>
        <w:rPr>
          <w:spacing w:val="-12"/>
        </w:rPr>
        <w:t> </w:t>
      </w:r>
      <w:r>
        <w:rPr/>
        <w:t>su</w:t>
      </w:r>
      <w:r>
        <w:rPr>
          <w:spacing w:val="-12"/>
        </w:rPr>
        <w:t> </w:t>
      </w:r>
      <w:r>
        <w:rPr/>
        <w:t>parte,</w:t>
      </w:r>
      <w:r>
        <w:rPr>
          <w:spacing w:val="-12"/>
        </w:rPr>
        <w:t> </w:t>
      </w:r>
      <w:r>
        <w:rPr/>
        <w:t>un</w:t>
      </w:r>
      <w:r>
        <w:rPr>
          <w:spacing w:val="-12"/>
        </w:rPr>
        <w:t> </w:t>
      </w:r>
      <w:r>
        <w:rPr/>
        <w:t>recurso</w:t>
      </w:r>
      <w:r>
        <w:rPr>
          <w:spacing w:val="-13"/>
        </w:rPr>
        <w:t> </w:t>
      </w:r>
      <w:r>
        <w:rPr/>
        <w:t>se</w:t>
      </w:r>
      <w:r>
        <w:rPr>
          <w:spacing w:val="-11"/>
        </w:rPr>
        <w:t> </w:t>
      </w:r>
      <w:r>
        <w:rPr/>
        <w:t>clasifica</w:t>
      </w:r>
      <w:r>
        <w:rPr>
          <w:spacing w:val="-11"/>
        </w:rPr>
        <w:t> </w:t>
      </w:r>
      <w:r>
        <w:rPr/>
        <w:t>como fijo cuando no se puede cambiar o alterar su cantidad empleada en un proceso productivo. La distinción entre insumos fijos y variables está relacionada con los conceptos de corto y largo plazo,</w:t>
      </w:r>
      <w:r>
        <w:rPr>
          <w:spacing w:val="-2"/>
        </w:rPr>
        <w:t> </w:t>
      </w:r>
      <w:r>
        <w:rPr/>
        <w:t>de</w:t>
      </w:r>
      <w:r>
        <w:rPr>
          <w:spacing w:val="-2"/>
        </w:rPr>
        <w:t> </w:t>
      </w:r>
      <w:r>
        <w:rPr/>
        <w:t>forma</w:t>
      </w:r>
      <w:r>
        <w:rPr>
          <w:spacing w:val="-2"/>
        </w:rPr>
        <w:t> </w:t>
      </w:r>
      <w:r>
        <w:rPr/>
        <w:t>que</w:t>
      </w:r>
      <w:r>
        <w:rPr>
          <w:spacing w:val="-4"/>
        </w:rPr>
        <w:t> </w:t>
      </w:r>
      <w:r>
        <w:rPr/>
        <w:t>en</w:t>
      </w:r>
      <w:r>
        <w:rPr>
          <w:spacing w:val="-4"/>
        </w:rPr>
        <w:t> </w:t>
      </w:r>
      <w:r>
        <w:rPr/>
        <w:t>el</w:t>
      </w:r>
      <w:r>
        <w:rPr>
          <w:spacing w:val="-4"/>
        </w:rPr>
        <w:t> </w:t>
      </w:r>
      <w:r>
        <w:rPr/>
        <w:t>corto</w:t>
      </w:r>
      <w:r>
        <w:rPr>
          <w:spacing w:val="-2"/>
        </w:rPr>
        <w:t> </w:t>
      </w:r>
      <w:r>
        <w:rPr/>
        <w:t>plazo</w:t>
      </w:r>
      <w:r>
        <w:rPr>
          <w:spacing w:val="-2"/>
        </w:rPr>
        <w:t> </w:t>
      </w:r>
      <w:r>
        <w:rPr/>
        <w:t>existen</w:t>
      </w:r>
      <w:r>
        <w:rPr>
          <w:spacing w:val="-5"/>
        </w:rPr>
        <w:t> </w:t>
      </w:r>
      <w:r>
        <w:rPr/>
        <w:t>factores</w:t>
      </w:r>
      <w:r>
        <w:rPr>
          <w:spacing w:val="-3"/>
        </w:rPr>
        <w:t> </w:t>
      </w:r>
      <w:r>
        <w:rPr/>
        <w:t>que</w:t>
      </w:r>
      <w:r>
        <w:rPr>
          <w:spacing w:val="-2"/>
        </w:rPr>
        <w:t> </w:t>
      </w:r>
      <w:r>
        <w:rPr/>
        <w:t>se</w:t>
      </w:r>
      <w:r>
        <w:rPr>
          <w:spacing w:val="-2"/>
        </w:rPr>
        <w:t> </w:t>
      </w:r>
      <w:r>
        <w:rPr/>
        <w:t>utilizan</w:t>
      </w:r>
      <w:r>
        <w:rPr>
          <w:spacing w:val="-2"/>
        </w:rPr>
        <w:t> </w:t>
      </w:r>
      <w:r>
        <w:rPr/>
        <w:t>en</w:t>
      </w:r>
      <w:r>
        <w:rPr>
          <w:spacing w:val="-5"/>
        </w:rPr>
        <w:t> </w:t>
      </w:r>
      <w:r>
        <w:rPr/>
        <w:t>una</w:t>
      </w:r>
      <w:r>
        <w:rPr>
          <w:spacing w:val="-4"/>
        </w:rPr>
        <w:t> </w:t>
      </w:r>
      <w:r>
        <w:rPr/>
        <w:t>cantidad</w:t>
      </w:r>
      <w:r>
        <w:rPr>
          <w:spacing w:val="-5"/>
        </w:rPr>
        <w:t> </w:t>
      </w:r>
      <w:r>
        <w:rPr/>
        <w:t>fija</w:t>
      </w:r>
      <w:r>
        <w:rPr>
          <w:spacing w:val="-2"/>
        </w:rPr>
        <w:t> </w:t>
      </w:r>
      <w:r>
        <w:rPr/>
        <w:t>y</w:t>
      </w:r>
      <w:r>
        <w:rPr>
          <w:spacing w:val="-7"/>
        </w:rPr>
        <w:t> </w:t>
      </w:r>
      <w:r>
        <w:rPr/>
        <w:t>otros que se utilizan en cantidad variable en la producción, mientras que en el largo plazo todos los factores son</w:t>
      </w:r>
      <w:r>
        <w:rPr>
          <w:spacing w:val="-9"/>
        </w:rPr>
        <w:t> </w:t>
      </w:r>
      <w:r>
        <w:rPr/>
        <w:t>variables.</w:t>
      </w:r>
    </w:p>
    <w:p>
      <w:pPr>
        <w:pStyle w:val="BodyText"/>
        <w:rPr>
          <w:sz w:val="22"/>
        </w:rPr>
      </w:pPr>
    </w:p>
    <w:p>
      <w:pPr>
        <w:pStyle w:val="BodyText"/>
        <w:spacing w:line="360" w:lineRule="auto" w:before="150"/>
        <w:ind w:left="122" w:right="117"/>
        <w:jc w:val="both"/>
      </w:pPr>
      <w:r>
        <w:rPr/>
        <w:t>Cuando existe un factor fijo y otro variable es importante hablar de la ley de rendimientos decrecientes, que se refiere básicamente al fenómeno de que, a partir de cierto nivel de producción, al agregar unidades adicionales de un insumo variable a una cantidad dada de insumos</w:t>
      </w:r>
      <w:r>
        <w:rPr>
          <w:spacing w:val="-3"/>
        </w:rPr>
        <w:t> </w:t>
      </w:r>
      <w:r>
        <w:rPr/>
        <w:t>fijos,</w:t>
      </w:r>
      <w:r>
        <w:rPr>
          <w:spacing w:val="-5"/>
        </w:rPr>
        <w:t> </w:t>
      </w:r>
      <w:r>
        <w:rPr/>
        <w:t>cada</w:t>
      </w:r>
      <w:r>
        <w:rPr>
          <w:spacing w:val="-2"/>
        </w:rPr>
        <w:t> </w:t>
      </w:r>
      <w:r>
        <w:rPr/>
        <w:t>unidad</w:t>
      </w:r>
      <w:r>
        <w:rPr>
          <w:spacing w:val="-5"/>
        </w:rPr>
        <w:t> </w:t>
      </w:r>
      <w:r>
        <w:rPr/>
        <w:t>de</w:t>
      </w:r>
      <w:r>
        <w:rPr>
          <w:spacing w:val="-4"/>
        </w:rPr>
        <w:t> </w:t>
      </w:r>
      <w:r>
        <w:rPr/>
        <w:t>incremento</w:t>
      </w:r>
      <w:r>
        <w:rPr>
          <w:spacing w:val="-5"/>
        </w:rPr>
        <w:t> </w:t>
      </w:r>
      <w:r>
        <w:rPr/>
        <w:t>del insumo</w:t>
      </w:r>
      <w:r>
        <w:rPr>
          <w:spacing w:val="-5"/>
        </w:rPr>
        <w:t> </w:t>
      </w:r>
      <w:r>
        <w:rPr/>
        <w:t>variable</w:t>
      </w:r>
      <w:r>
        <w:rPr>
          <w:spacing w:val="-2"/>
        </w:rPr>
        <w:t> </w:t>
      </w:r>
      <w:r>
        <w:rPr/>
        <w:t>produce</w:t>
      </w:r>
      <w:r>
        <w:rPr>
          <w:spacing w:val="-4"/>
        </w:rPr>
        <w:t> </w:t>
      </w:r>
      <w:r>
        <w:rPr/>
        <w:t>cada</w:t>
      </w:r>
      <w:r>
        <w:rPr>
          <w:spacing w:val="-2"/>
        </w:rPr>
        <w:t> </w:t>
      </w:r>
      <w:r>
        <w:rPr/>
        <w:t>vez</w:t>
      </w:r>
      <w:r>
        <w:rPr>
          <w:spacing w:val="-4"/>
        </w:rPr>
        <w:t> </w:t>
      </w:r>
      <w:r>
        <w:rPr/>
        <w:t>menos.</w:t>
      </w:r>
      <w:r>
        <w:rPr>
          <w:spacing w:val="-2"/>
        </w:rPr>
        <w:t> </w:t>
      </w:r>
      <w:r>
        <w:rPr/>
        <w:t>Esta</w:t>
      </w:r>
      <w:r>
        <w:rPr>
          <w:spacing w:val="-4"/>
        </w:rPr>
        <w:t> </w:t>
      </w:r>
      <w:r>
        <w:rPr/>
        <w:t>ley se</w:t>
      </w:r>
      <w:r>
        <w:rPr>
          <w:spacing w:val="-6"/>
        </w:rPr>
        <w:t> </w:t>
      </w:r>
      <w:r>
        <w:rPr/>
        <w:t>cumple</w:t>
      </w:r>
      <w:r>
        <w:rPr>
          <w:spacing w:val="-9"/>
        </w:rPr>
        <w:t> </w:t>
      </w:r>
      <w:r>
        <w:rPr/>
        <w:t>sólo</w:t>
      </w:r>
      <w:r>
        <w:rPr>
          <w:spacing w:val="-10"/>
        </w:rPr>
        <w:t> </w:t>
      </w:r>
      <w:r>
        <w:rPr/>
        <w:t>en</w:t>
      </w:r>
      <w:r>
        <w:rPr>
          <w:spacing w:val="-10"/>
        </w:rPr>
        <w:t> </w:t>
      </w:r>
      <w:r>
        <w:rPr/>
        <w:t>el</w:t>
      </w:r>
      <w:r>
        <w:rPr>
          <w:spacing w:val="-9"/>
        </w:rPr>
        <w:t> </w:t>
      </w:r>
      <w:r>
        <w:rPr/>
        <w:t>corto</w:t>
      </w:r>
      <w:r>
        <w:rPr>
          <w:spacing w:val="-11"/>
        </w:rPr>
        <w:t> </w:t>
      </w:r>
      <w:r>
        <w:rPr/>
        <w:t>plazo</w:t>
      </w:r>
      <w:r>
        <w:rPr>
          <w:spacing w:val="-7"/>
        </w:rPr>
        <w:t> </w:t>
      </w:r>
      <w:r>
        <w:rPr/>
        <w:t>y</w:t>
      </w:r>
      <w:r>
        <w:rPr>
          <w:spacing w:val="-11"/>
        </w:rPr>
        <w:t> </w:t>
      </w:r>
      <w:r>
        <w:rPr/>
        <w:t>se</w:t>
      </w:r>
      <w:r>
        <w:rPr>
          <w:spacing w:val="-6"/>
        </w:rPr>
        <w:t> </w:t>
      </w:r>
      <w:r>
        <w:rPr/>
        <w:t>debe</w:t>
      </w:r>
      <w:r>
        <w:rPr>
          <w:spacing w:val="-6"/>
        </w:rPr>
        <w:t> </w:t>
      </w:r>
      <w:r>
        <w:rPr/>
        <w:t>a</w:t>
      </w:r>
      <w:r>
        <w:rPr>
          <w:spacing w:val="-9"/>
        </w:rPr>
        <w:t> </w:t>
      </w:r>
      <w:r>
        <w:rPr/>
        <w:t>la</w:t>
      </w:r>
      <w:r>
        <w:rPr>
          <w:spacing w:val="-6"/>
        </w:rPr>
        <w:t> </w:t>
      </w:r>
      <w:r>
        <w:rPr/>
        <w:t>saturación</w:t>
      </w:r>
      <w:r>
        <w:rPr>
          <w:spacing w:val="-10"/>
        </w:rPr>
        <w:t> </w:t>
      </w:r>
      <w:r>
        <w:rPr/>
        <w:t>en</w:t>
      </w:r>
      <w:r>
        <w:rPr>
          <w:spacing w:val="-10"/>
        </w:rPr>
        <w:t> </w:t>
      </w:r>
      <w:r>
        <w:rPr/>
        <w:t>el</w:t>
      </w:r>
      <w:r>
        <w:rPr>
          <w:spacing w:val="-7"/>
        </w:rPr>
        <w:t> </w:t>
      </w:r>
      <w:r>
        <w:rPr/>
        <w:t>proceso</w:t>
      </w:r>
      <w:r>
        <w:rPr>
          <w:spacing w:val="-10"/>
        </w:rPr>
        <w:t> </w:t>
      </w:r>
      <w:r>
        <w:rPr/>
        <w:t>productivo</w:t>
      </w:r>
      <w:r>
        <w:rPr>
          <w:spacing w:val="-7"/>
        </w:rPr>
        <w:t> </w:t>
      </w:r>
      <w:r>
        <w:rPr/>
        <w:t>del</w:t>
      </w:r>
      <w:r>
        <w:rPr>
          <w:spacing w:val="-7"/>
        </w:rPr>
        <w:t> </w:t>
      </w:r>
      <w:r>
        <w:rPr/>
        <w:t>factor</w:t>
      </w:r>
      <w:r>
        <w:rPr>
          <w:spacing w:val="-7"/>
        </w:rPr>
        <w:t> </w:t>
      </w:r>
      <w:r>
        <w:rPr/>
        <w:t>fijo.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7"/>
        </w:rPr>
      </w:pPr>
      <w:r>
        <w:rPr/>
        <w:pict>
          <v:line style="position:absolute;mso-position-horizontal-relative:page;mso-position-vertical-relative:paragraph;z-index:2128;mso-wrap-distance-left:0;mso-wrap-distance-right:0" from="85.103996pt,17.706581pt" to="525.960017pt,17.706581pt" stroked="true" strokeweight=".36pt" strokecolor="#000000">
            <w10:wrap type="topAndBottom"/>
          </v:line>
        </w:pict>
      </w:r>
    </w:p>
    <w:p>
      <w:pPr>
        <w:tabs>
          <w:tab w:pos="4003" w:val="left" w:leader="none"/>
          <w:tab w:pos="8240" w:val="left" w:leader="none"/>
        </w:tabs>
        <w:spacing w:line="362" w:lineRule="auto" w:before="73" w:after="15"/>
        <w:ind w:left="510" w:right="123" w:hanging="389"/>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21 Estimación de una función de producción de bovinos carne en sistema extensivo en el sur del Estado de</w:t>
      </w:r>
      <w:r>
        <w:rPr>
          <w:spacing w:val="-26"/>
          <w:sz w:val="18"/>
        </w:rPr>
        <w:t> </w:t>
      </w:r>
      <w:r>
        <w:rPr>
          <w:sz w:val="18"/>
        </w:rPr>
        <w:t>México</w:t>
      </w: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pStyle w:val="BodyText"/>
        <w:rPr>
          <w:sz w:val="18"/>
        </w:rPr>
      </w:pPr>
    </w:p>
    <w:p>
      <w:pPr>
        <w:pStyle w:val="BodyText"/>
        <w:rPr>
          <w:sz w:val="18"/>
        </w:rPr>
      </w:pPr>
    </w:p>
    <w:p>
      <w:pPr>
        <w:pStyle w:val="Heading3"/>
        <w:spacing w:before="106"/>
        <w:jc w:val="left"/>
      </w:pPr>
      <w:r>
        <w:rPr/>
        <w:t>5.2.1. Rendimientos a escala</w:t>
      </w:r>
    </w:p>
    <w:p>
      <w:pPr>
        <w:spacing w:after="0"/>
        <w:jc w:val="left"/>
        <w:sectPr>
          <w:headerReference w:type="default" r:id="rId64"/>
          <w:footerReference w:type="default" r:id="rId65"/>
          <w:pgSz w:w="12240" w:h="15840"/>
          <w:pgMar w:header="0" w:footer="0" w:top="1360" w:bottom="280" w:left="1580" w:right="1580"/>
        </w:sectPr>
      </w:pPr>
    </w:p>
    <w:p>
      <w:pPr>
        <w:pStyle w:val="BodyText"/>
        <w:spacing w:before="8"/>
        <w:rPr>
          <w:b/>
          <w:sz w:val="20"/>
        </w:rPr>
      </w:pPr>
      <w:r>
        <w:rPr/>
        <w:pict>
          <v:line style="position:absolute;mso-position-horizontal-relative:page;mso-position-vertical-relative:page;z-index:-130336" from="102pt,652.929993pt" to="508.5pt,652.929993pt" stroked="true" strokeweight=".5pt" strokecolor="#000000">
            <w10:wrap type="none"/>
          </v:line>
        </w:pict>
      </w:r>
    </w:p>
    <w:p>
      <w:pPr>
        <w:pStyle w:val="BodyText"/>
        <w:spacing w:line="360" w:lineRule="auto" w:before="71"/>
        <w:ind w:left="122" w:right="101"/>
        <w:jc w:val="both"/>
      </w:pPr>
      <w:r>
        <w:rPr/>
        <w:t>Este concepto describe la reacción en la producción ante un aumento de todos los insumos utilizados. Si el producto aumenta en la misma proporción que los insumos, se dice que hay rendimientos constantes a escala. Si el producto aumenta en una proporción mayor que los factores entonces se tienen rendimientos crecientes a escala o economías de escala y si por el contrario la producción se incrementa en una proporción menor que los insumos entonces la función de producción se caracteriza por rendimientos decrecientes a escala o deseconomías de escala.</w:t>
      </w:r>
    </w:p>
    <w:p>
      <w:pPr>
        <w:pStyle w:val="BodyText"/>
        <w:rPr>
          <w:sz w:val="22"/>
        </w:rPr>
      </w:pPr>
    </w:p>
    <w:p>
      <w:pPr>
        <w:pStyle w:val="Heading3"/>
        <w:numPr>
          <w:ilvl w:val="1"/>
          <w:numId w:val="5"/>
        </w:numPr>
        <w:tabs>
          <w:tab w:pos="543" w:val="left" w:leader="none"/>
        </w:tabs>
        <w:spacing w:line="240" w:lineRule="auto" w:before="153" w:after="0"/>
        <w:ind w:left="542" w:right="0" w:hanging="420"/>
        <w:jc w:val="both"/>
      </w:pPr>
      <w:r>
        <w:rPr/>
        <w:t>Breve desarrollo teorico de algunas de las principales funciones de</w:t>
      </w:r>
      <w:r>
        <w:rPr>
          <w:spacing w:val="-17"/>
        </w:rPr>
        <w:t> </w:t>
      </w:r>
      <w:r>
        <w:rPr/>
        <w:t>producción</w:t>
      </w:r>
    </w:p>
    <w:p>
      <w:pPr>
        <w:pStyle w:val="BodyText"/>
        <w:rPr>
          <w:b/>
          <w:sz w:val="24"/>
        </w:rPr>
      </w:pPr>
    </w:p>
    <w:p>
      <w:pPr>
        <w:pStyle w:val="BodyText"/>
        <w:rPr>
          <w:b/>
          <w:sz w:val="24"/>
        </w:rPr>
      </w:pPr>
    </w:p>
    <w:p>
      <w:pPr>
        <w:pStyle w:val="ListParagraph"/>
        <w:numPr>
          <w:ilvl w:val="2"/>
          <w:numId w:val="5"/>
        </w:numPr>
        <w:tabs>
          <w:tab w:pos="722" w:val="left" w:leader="none"/>
        </w:tabs>
        <w:spacing w:line="240" w:lineRule="auto" w:before="0" w:after="0"/>
        <w:ind w:left="722" w:right="0" w:hanging="600"/>
        <w:jc w:val="both"/>
        <w:rPr>
          <w:b/>
          <w:sz w:val="24"/>
        </w:rPr>
      </w:pPr>
      <w:r>
        <w:rPr>
          <w:b/>
          <w:sz w:val="24"/>
        </w:rPr>
        <w:t>Función de Producción con Elasticidad de Sustitución Constante</w:t>
      </w:r>
      <w:r>
        <w:rPr>
          <w:b/>
          <w:spacing w:val="-12"/>
          <w:sz w:val="24"/>
        </w:rPr>
        <w:t> </w:t>
      </w:r>
      <w:r>
        <w:rPr>
          <w:b/>
          <w:sz w:val="24"/>
        </w:rPr>
        <w:t>(CES)</w:t>
      </w:r>
    </w:p>
    <w:p>
      <w:pPr>
        <w:pStyle w:val="BodyText"/>
        <w:rPr>
          <w:b/>
          <w:sz w:val="24"/>
        </w:rPr>
      </w:pPr>
    </w:p>
    <w:p>
      <w:pPr>
        <w:pStyle w:val="BodyText"/>
        <w:spacing w:before="6"/>
        <w:rPr>
          <w:b/>
        </w:rPr>
      </w:pPr>
    </w:p>
    <w:p>
      <w:pPr>
        <w:pStyle w:val="BodyText"/>
        <w:spacing w:line="360" w:lineRule="auto"/>
        <w:ind w:left="122" w:right="102"/>
        <w:jc w:val="both"/>
      </w:pPr>
      <w:r>
        <w:rPr/>
        <w:t>La función de producción con elasticidad de sustitución constante entre los factores de producción “surgió como una necesidad de contar con un tipo de función que permita</w:t>
      </w:r>
      <w:r>
        <w:rPr>
          <w:spacing w:val="-33"/>
        </w:rPr>
        <w:t> </w:t>
      </w:r>
      <w:r>
        <w:rPr/>
        <w:t>contrastar la sustitución entre factores</w:t>
      </w:r>
      <w:r>
        <w:rPr>
          <w:spacing w:val="-16"/>
        </w:rPr>
        <w:t> </w:t>
      </w:r>
      <w:r>
        <w:rPr/>
        <w:t>productivos”.</w:t>
      </w:r>
    </w:p>
    <w:p>
      <w:pPr>
        <w:pStyle w:val="BodyText"/>
        <w:spacing w:line="360" w:lineRule="auto" w:before="4"/>
        <w:ind w:left="122" w:right="104"/>
        <w:jc w:val="both"/>
      </w:pPr>
      <w:r>
        <w:rPr/>
        <w:t>Entre sus rasgos principales, además del mencionado anteriormente, se encuentra el de que para un conjunto dado de parámetros, la elasticidad de sustitución puede ser la misma en cualquier punto a lo largo de una isocuanta, sin importar cual sea la relación en que son utilizados los insumos.</w:t>
      </w:r>
    </w:p>
    <w:p>
      <w:pPr>
        <w:pStyle w:val="BodyText"/>
        <w:spacing w:line="360" w:lineRule="auto" w:before="4"/>
        <w:ind w:left="122" w:right="105"/>
        <w:jc w:val="both"/>
      </w:pPr>
      <w:r>
        <w:rPr/>
        <w:t>Además, esta función se caracteriza por ser linealmente homogénea, sin embargo, se puede modificar</w:t>
      </w:r>
      <w:r>
        <w:rPr>
          <w:spacing w:val="-15"/>
        </w:rPr>
        <w:t> </w:t>
      </w:r>
      <w:r>
        <w:rPr/>
        <w:t>para</w:t>
      </w:r>
      <w:r>
        <w:rPr>
          <w:spacing w:val="-12"/>
        </w:rPr>
        <w:t> </w:t>
      </w:r>
      <w:r>
        <w:rPr/>
        <w:t>que</w:t>
      </w:r>
      <w:r>
        <w:rPr>
          <w:spacing w:val="-12"/>
        </w:rPr>
        <w:t> </w:t>
      </w:r>
      <w:r>
        <w:rPr/>
        <w:t>muestre</w:t>
      </w:r>
      <w:r>
        <w:rPr>
          <w:spacing w:val="-12"/>
        </w:rPr>
        <w:t> </w:t>
      </w:r>
      <w:r>
        <w:rPr/>
        <w:t>cualquier</w:t>
      </w:r>
      <w:r>
        <w:rPr>
          <w:spacing w:val="-13"/>
        </w:rPr>
        <w:t> </w:t>
      </w:r>
      <w:r>
        <w:rPr/>
        <w:t>grado</w:t>
      </w:r>
      <w:r>
        <w:rPr>
          <w:spacing w:val="-15"/>
        </w:rPr>
        <w:t> </w:t>
      </w:r>
      <w:r>
        <w:rPr/>
        <w:t>de</w:t>
      </w:r>
      <w:r>
        <w:rPr>
          <w:spacing w:val="-12"/>
        </w:rPr>
        <w:t> </w:t>
      </w:r>
      <w:r>
        <w:rPr/>
        <w:t>homogeneidad,</w:t>
      </w:r>
      <w:r>
        <w:rPr>
          <w:spacing w:val="-15"/>
        </w:rPr>
        <w:t> </w:t>
      </w:r>
      <w:r>
        <w:rPr/>
        <w:t>tal</w:t>
      </w:r>
      <w:r>
        <w:rPr>
          <w:spacing w:val="-13"/>
        </w:rPr>
        <w:t> </w:t>
      </w:r>
      <w:r>
        <w:rPr/>
        <w:t>y</w:t>
      </w:r>
      <w:r>
        <w:rPr>
          <w:spacing w:val="-18"/>
        </w:rPr>
        <w:t> </w:t>
      </w:r>
      <w:r>
        <w:rPr/>
        <w:t>como</w:t>
      </w:r>
      <w:r>
        <w:rPr>
          <w:spacing w:val="-13"/>
        </w:rPr>
        <w:t> </w:t>
      </w:r>
      <w:r>
        <w:rPr/>
        <w:t>se</w:t>
      </w:r>
      <w:r>
        <w:rPr>
          <w:spacing w:val="-12"/>
        </w:rPr>
        <w:t> </w:t>
      </w:r>
      <w:r>
        <w:rPr/>
        <w:t>define</w:t>
      </w:r>
      <w:r>
        <w:rPr>
          <w:spacing w:val="-12"/>
        </w:rPr>
        <w:t> </w:t>
      </w:r>
      <w:r>
        <w:rPr/>
        <w:t>más</w:t>
      </w:r>
      <w:r>
        <w:rPr>
          <w:spacing w:val="-16"/>
        </w:rPr>
        <w:t> </w:t>
      </w:r>
      <w:r>
        <w:rPr/>
        <w:t>adelante.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2"/>
        </w:rPr>
      </w:pPr>
      <w:r>
        <w:rPr/>
        <w:pict>
          <v:group style="position:absolute;margin-left:84.903999pt;margin-top:9.205617pt;width:441.6pt;height:.4pt;mso-position-horizontal-relative:page;mso-position-vertical-relative:paragraph;z-index:2176;mso-wrap-distance-left:0;mso-wrap-distance-right:0" coordorigin="1698,184" coordsize="8832,8">
            <v:line style="position:absolute" from="1702,188" to="6920,188" stroked="true" strokeweight=".36pt" strokecolor="#000000"/>
            <v:line style="position:absolute" from="6928,188" to="10525,188" stroked="true" strokeweight=".36pt" strokecolor="#000000"/>
            <w10:wrap type="topAndBottom"/>
          </v:group>
        </w:pict>
      </w:r>
    </w:p>
    <w:p>
      <w:pPr>
        <w:tabs>
          <w:tab w:pos="4003" w:val="left" w:leader="none"/>
          <w:tab w:pos="8240" w:val="left" w:leader="none"/>
        </w:tabs>
        <w:spacing w:line="720" w:lineRule="auto" w:before="73"/>
        <w:ind w:left="510" w:right="103" w:hanging="389"/>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22 Estimación de una función de producción de bovinos carne en sistema extensivo en el sur del Estado de</w:t>
      </w:r>
      <w:r>
        <w:rPr>
          <w:spacing w:val="-26"/>
          <w:sz w:val="18"/>
        </w:rPr>
        <w:t> </w:t>
      </w:r>
      <w:r>
        <w:rPr>
          <w:sz w:val="18"/>
        </w:rPr>
        <w:t>México</w:t>
      </w:r>
    </w:p>
    <w:p>
      <w:pPr>
        <w:spacing w:after="0" w:line="720" w:lineRule="auto"/>
        <w:jc w:val="left"/>
        <w:rPr>
          <w:sz w:val="18"/>
        </w:rPr>
        <w:sectPr>
          <w:headerReference w:type="default" r:id="rId66"/>
          <w:footerReference w:type="default" r:id="rId67"/>
          <w:pgSz w:w="12240" w:h="15840"/>
          <w:pgMar w:header="0" w:footer="0" w:top="1500" w:bottom="280" w:left="1580" w:right="1600"/>
        </w:sectPr>
      </w:pPr>
    </w:p>
    <w:p>
      <w:pPr>
        <w:pStyle w:val="BodyText"/>
        <w:spacing w:line="360" w:lineRule="auto" w:before="64"/>
        <w:ind w:left="122" w:right="115"/>
        <w:jc w:val="both"/>
      </w:pPr>
      <w:r>
        <w:rPr/>
        <w:t>La función puede expresarse como: </w:t>
      </w:r>
      <w:r>
        <w:rPr>
          <w:b/>
        </w:rPr>
        <w:t>Q = A [δ K</w:t>
      </w:r>
      <w:r>
        <w:rPr>
          <w:b/>
          <w:position w:val="8"/>
          <w:sz w:val="15"/>
        </w:rPr>
        <w:t>-ρ </w:t>
      </w:r>
      <w:r>
        <w:rPr>
          <w:b/>
        </w:rPr>
        <w:t>+ (1- δ) L</w:t>
      </w:r>
      <w:r>
        <w:rPr>
          <w:b/>
          <w:position w:val="8"/>
          <w:sz w:val="15"/>
        </w:rPr>
        <w:t>-ρ</w:t>
      </w:r>
      <w:r>
        <w:rPr>
          <w:b/>
        </w:rPr>
        <w:t>]</w:t>
      </w:r>
      <w:r>
        <w:rPr>
          <w:b/>
          <w:position w:val="8"/>
          <w:sz w:val="15"/>
        </w:rPr>
        <w:t>-1/ρ</w:t>
      </w:r>
      <w:r>
        <w:rPr>
          <w:b/>
        </w:rPr>
        <w:t>, </w:t>
      </w:r>
      <w:r>
        <w:rPr/>
        <w:t>donde: </w:t>
      </w:r>
      <w:r>
        <w:rPr>
          <w:b/>
        </w:rPr>
        <w:t>K </w:t>
      </w:r>
      <w:r>
        <w:rPr/>
        <w:t>y </w:t>
      </w:r>
      <w:r>
        <w:rPr>
          <w:b/>
        </w:rPr>
        <w:t>L </w:t>
      </w:r>
      <w:r>
        <w:rPr/>
        <w:t>representan el factor capital y trabajo respectivamente, A es el parámetro de eficiencia y es mayor que cero, </w:t>
      </w:r>
      <w:r>
        <w:rPr>
          <w:b/>
        </w:rPr>
        <w:t>δ </w:t>
      </w:r>
      <w:r>
        <w:rPr/>
        <w:t>el</w:t>
      </w:r>
      <w:r>
        <w:rPr>
          <w:spacing w:val="-9"/>
        </w:rPr>
        <w:t> </w:t>
      </w:r>
      <w:r>
        <w:rPr/>
        <w:t>parámetro</w:t>
      </w:r>
      <w:r>
        <w:rPr>
          <w:spacing w:val="-10"/>
        </w:rPr>
        <w:t> </w:t>
      </w:r>
      <w:r>
        <w:rPr/>
        <w:t>de</w:t>
      </w:r>
      <w:r>
        <w:rPr>
          <w:spacing w:val="-9"/>
        </w:rPr>
        <w:t> </w:t>
      </w:r>
      <w:r>
        <w:rPr/>
        <w:t>distribución</w:t>
      </w:r>
      <w:r>
        <w:rPr>
          <w:spacing w:val="-10"/>
        </w:rPr>
        <w:t> </w:t>
      </w:r>
      <w:r>
        <w:rPr/>
        <w:t>de</w:t>
      </w:r>
      <w:r>
        <w:rPr>
          <w:spacing w:val="-11"/>
        </w:rPr>
        <w:t> </w:t>
      </w:r>
      <w:r>
        <w:rPr/>
        <w:t>los</w:t>
      </w:r>
      <w:r>
        <w:rPr>
          <w:spacing w:val="-10"/>
        </w:rPr>
        <w:t> </w:t>
      </w:r>
      <w:r>
        <w:rPr/>
        <w:t>factores,</w:t>
      </w:r>
      <w:r>
        <w:rPr>
          <w:spacing w:val="-10"/>
        </w:rPr>
        <w:t> </w:t>
      </w:r>
      <w:r>
        <w:rPr/>
        <w:t>que</w:t>
      </w:r>
      <w:r>
        <w:rPr>
          <w:spacing w:val="-9"/>
        </w:rPr>
        <w:t> </w:t>
      </w:r>
      <w:r>
        <w:rPr/>
        <w:t>se</w:t>
      </w:r>
      <w:r>
        <w:rPr>
          <w:spacing w:val="-8"/>
        </w:rPr>
        <w:t> </w:t>
      </w:r>
      <w:r>
        <w:rPr/>
        <w:t>encuentra</w:t>
      </w:r>
      <w:r>
        <w:rPr>
          <w:spacing w:val="-11"/>
        </w:rPr>
        <w:t> </w:t>
      </w:r>
      <w:r>
        <w:rPr/>
        <w:t>entre</w:t>
      </w:r>
      <w:r>
        <w:rPr>
          <w:spacing w:val="-11"/>
        </w:rPr>
        <w:t> </w:t>
      </w:r>
      <w:r>
        <w:rPr/>
        <w:t>cero</w:t>
      </w:r>
      <w:r>
        <w:rPr>
          <w:spacing w:val="-12"/>
        </w:rPr>
        <w:t> </w:t>
      </w:r>
      <w:r>
        <w:rPr/>
        <w:t>y</w:t>
      </w:r>
      <w:r>
        <w:rPr>
          <w:spacing w:val="-14"/>
        </w:rPr>
        <w:t> </w:t>
      </w:r>
      <w:r>
        <w:rPr/>
        <w:t>uno</w:t>
      </w:r>
      <w:r>
        <w:rPr>
          <w:spacing w:val="-7"/>
        </w:rPr>
        <w:t> </w:t>
      </w:r>
      <w:r>
        <w:rPr/>
        <w:t>y</w:t>
      </w:r>
      <w:r>
        <w:rPr>
          <w:spacing w:val="-10"/>
        </w:rPr>
        <w:t> </w:t>
      </w:r>
      <w:r>
        <w:rPr>
          <w:b/>
        </w:rPr>
        <w:t>ρ</w:t>
      </w:r>
      <w:r>
        <w:rPr>
          <w:b/>
          <w:spacing w:val="-10"/>
        </w:rPr>
        <w:t> </w:t>
      </w:r>
      <w:r>
        <w:rPr/>
        <w:t>es</w:t>
      </w:r>
      <w:r>
        <w:rPr>
          <w:spacing w:val="-10"/>
        </w:rPr>
        <w:t> </w:t>
      </w:r>
      <w:r>
        <w:rPr/>
        <w:t>el</w:t>
      </w:r>
      <w:r>
        <w:rPr>
          <w:spacing w:val="-11"/>
        </w:rPr>
        <w:t> </w:t>
      </w:r>
      <w:r>
        <w:rPr/>
        <w:t>parámetro de</w:t>
      </w:r>
      <w:r>
        <w:rPr>
          <w:spacing w:val="-3"/>
        </w:rPr>
        <w:t> </w:t>
      </w:r>
      <w:r>
        <w:rPr/>
        <w:t>sustitución.</w:t>
      </w:r>
    </w:p>
    <w:p>
      <w:pPr>
        <w:pStyle w:val="BodyText"/>
        <w:spacing w:line="360" w:lineRule="auto" w:before="6"/>
        <w:ind w:left="122" w:right="120"/>
        <w:jc w:val="both"/>
      </w:pPr>
      <w:r>
        <w:rPr/>
        <w:t>La forma del mapa de isocuantas depende tanto del valor que tome el parámetro de sustitución </w:t>
      </w:r>
      <w:r>
        <w:rPr>
          <w:b/>
          <w:bCs/>
        </w:rPr>
        <w:t>(ρ)</w:t>
      </w:r>
      <w:r>
        <w:rPr/>
        <w:t>, como el de elasticidad de sustitución </w:t>
      </w:r>
      <w:r>
        <w:rPr>
          <w:b/>
          <w:bCs/>
        </w:rPr>
        <w:t>(ϭ). </w:t>
      </w:r>
      <w:r>
        <w:rPr/>
        <w:t>Debido a esto se pueden presentar los siguientes casos:</w:t>
      </w:r>
    </w:p>
    <w:p>
      <w:pPr>
        <w:pStyle w:val="BodyText"/>
        <w:spacing w:line="360" w:lineRule="auto" w:before="6"/>
        <w:ind w:left="122" w:right="119"/>
        <w:jc w:val="both"/>
      </w:pPr>
      <w:r>
        <w:rPr>
          <w:b/>
          <w:bCs/>
        </w:rPr>
        <w:t>Caso</w:t>
      </w:r>
      <w:r>
        <w:rPr>
          <w:b/>
          <w:bCs/>
          <w:spacing w:val="-10"/>
        </w:rPr>
        <w:t> </w:t>
      </w:r>
      <w:r>
        <w:rPr>
          <w:b/>
          <w:bCs/>
        </w:rPr>
        <w:t>1:</w:t>
      </w:r>
      <w:r>
        <w:rPr>
          <w:b/>
          <w:bCs/>
          <w:spacing w:val="-10"/>
        </w:rPr>
        <w:t> </w:t>
      </w:r>
      <w:r>
        <w:rPr>
          <w:b/>
          <w:bCs/>
        </w:rPr>
        <w:t>ρ</w:t>
      </w:r>
      <w:r>
        <w:rPr>
          <w:b/>
          <w:bCs/>
          <w:spacing w:val="-10"/>
        </w:rPr>
        <w:t> </w:t>
      </w:r>
      <w:r>
        <w:rPr>
          <w:b/>
          <w:bCs/>
        </w:rPr>
        <w:t>→</w:t>
      </w:r>
      <w:r>
        <w:rPr>
          <w:b/>
          <w:bCs/>
          <w:spacing w:val="-12"/>
        </w:rPr>
        <w:t> </w:t>
      </w:r>
      <w:r>
        <w:rPr>
          <w:b/>
          <w:bCs/>
        </w:rPr>
        <w:t>∞,</w:t>
      </w:r>
      <w:r>
        <w:rPr>
          <w:b/>
          <w:bCs/>
          <w:spacing w:val="37"/>
        </w:rPr>
        <w:t> </w:t>
      </w:r>
      <w:r>
        <w:rPr>
          <w:b/>
          <w:bCs/>
        </w:rPr>
        <w:t>ϭ</w:t>
      </w:r>
      <w:r>
        <w:rPr>
          <w:b/>
          <w:bCs/>
          <w:spacing w:val="-11"/>
        </w:rPr>
        <w:t> </w:t>
      </w:r>
      <w:r>
        <w:rPr>
          <w:b/>
          <w:bCs/>
        </w:rPr>
        <w:t>→</w:t>
      </w:r>
      <w:r>
        <w:rPr>
          <w:b/>
          <w:bCs/>
          <w:spacing w:val="-10"/>
        </w:rPr>
        <w:t> </w:t>
      </w:r>
      <w:r>
        <w:rPr>
          <w:b/>
          <w:bCs/>
        </w:rPr>
        <w:t>0</w:t>
      </w:r>
      <w:r>
        <w:rPr/>
        <w:t>,</w:t>
      </w:r>
      <w:r>
        <w:rPr>
          <w:spacing w:val="-12"/>
        </w:rPr>
        <w:t> </w:t>
      </w:r>
      <w:r>
        <w:rPr/>
        <w:t>la</w:t>
      </w:r>
      <w:r>
        <w:rPr>
          <w:spacing w:val="-11"/>
        </w:rPr>
        <w:t> </w:t>
      </w:r>
      <w:r>
        <w:rPr/>
        <w:t>función</w:t>
      </w:r>
      <w:r>
        <w:rPr>
          <w:spacing w:val="-10"/>
        </w:rPr>
        <w:t> </w:t>
      </w:r>
      <w:r>
        <w:rPr/>
        <w:t>de</w:t>
      </w:r>
      <w:r>
        <w:rPr>
          <w:spacing w:val="-11"/>
        </w:rPr>
        <w:t> </w:t>
      </w:r>
      <w:r>
        <w:rPr/>
        <w:t>producción</w:t>
      </w:r>
      <w:r>
        <w:rPr>
          <w:spacing w:val="-10"/>
        </w:rPr>
        <w:t> </w:t>
      </w:r>
      <w:r>
        <w:rPr/>
        <w:t>se</w:t>
      </w:r>
      <w:r>
        <w:rPr>
          <w:spacing w:val="-11"/>
        </w:rPr>
        <w:t> </w:t>
      </w:r>
      <w:r>
        <w:rPr/>
        <w:t>transforma</w:t>
      </w:r>
      <w:r>
        <w:rPr>
          <w:spacing w:val="-9"/>
        </w:rPr>
        <w:t> </w:t>
      </w:r>
      <w:r>
        <w:rPr/>
        <w:t>en</w:t>
      </w:r>
      <w:r>
        <w:rPr>
          <w:spacing w:val="-10"/>
        </w:rPr>
        <w:t> </w:t>
      </w:r>
      <w:r>
        <w:rPr/>
        <w:t>una</w:t>
      </w:r>
      <w:r>
        <w:rPr>
          <w:spacing w:val="-9"/>
        </w:rPr>
        <w:t> </w:t>
      </w:r>
      <w:r>
        <w:rPr/>
        <w:t>de</w:t>
      </w:r>
      <w:r>
        <w:rPr>
          <w:spacing w:val="-11"/>
        </w:rPr>
        <w:t> </w:t>
      </w:r>
      <w:r>
        <w:rPr/>
        <w:t>coeficientes</w:t>
      </w:r>
      <w:r>
        <w:rPr>
          <w:spacing w:val="-13"/>
        </w:rPr>
        <w:t> </w:t>
      </w:r>
      <w:r>
        <w:rPr/>
        <w:t>constantes o proporciones fijas. No existe la posibilidad de sustitución entre los factores, sino que se combinan como complementos perfectos y la forma de las isocuantas forma ángulos</w:t>
      </w:r>
      <w:r>
        <w:rPr>
          <w:spacing w:val="-39"/>
        </w:rPr>
        <w:t> </w:t>
      </w:r>
      <w:r>
        <w:rPr/>
        <w:t>rectos.</w:t>
      </w:r>
    </w:p>
    <w:p>
      <w:pPr>
        <w:pStyle w:val="BodyText"/>
        <w:spacing w:line="360" w:lineRule="auto" w:before="4"/>
        <w:ind w:left="122" w:right="118"/>
        <w:jc w:val="both"/>
      </w:pPr>
      <w:r>
        <w:rPr>
          <w:b/>
          <w:bCs/>
        </w:rPr>
        <w:t>Caso</w:t>
      </w:r>
      <w:r>
        <w:rPr>
          <w:b/>
          <w:bCs/>
          <w:spacing w:val="-11"/>
        </w:rPr>
        <w:t> </w:t>
      </w:r>
      <w:r>
        <w:rPr>
          <w:b/>
          <w:bCs/>
        </w:rPr>
        <w:t>2:</w:t>
      </w:r>
      <w:r>
        <w:rPr>
          <w:b/>
          <w:bCs/>
          <w:spacing w:val="-11"/>
        </w:rPr>
        <w:t> </w:t>
      </w:r>
      <w:r>
        <w:rPr>
          <w:b/>
          <w:bCs/>
        </w:rPr>
        <w:t>ρ</w:t>
      </w:r>
      <w:r>
        <w:rPr>
          <w:b/>
          <w:bCs/>
          <w:spacing w:val="-9"/>
        </w:rPr>
        <w:t> </w:t>
      </w:r>
      <w:r>
        <w:rPr>
          <w:b/>
          <w:bCs/>
        </w:rPr>
        <w:t>&gt;</w:t>
      </w:r>
      <w:r>
        <w:rPr>
          <w:b/>
          <w:bCs/>
          <w:spacing w:val="-10"/>
        </w:rPr>
        <w:t> </w:t>
      </w:r>
      <w:r>
        <w:rPr>
          <w:b/>
          <w:bCs/>
        </w:rPr>
        <w:t>0,</w:t>
      </w:r>
      <w:r>
        <w:rPr>
          <w:b/>
          <w:bCs/>
          <w:spacing w:val="-11"/>
        </w:rPr>
        <w:t> </w:t>
      </w:r>
      <w:r>
        <w:rPr>
          <w:b/>
          <w:bCs/>
        </w:rPr>
        <w:t>0</w:t>
      </w:r>
      <w:r>
        <w:rPr>
          <w:b/>
          <w:bCs/>
          <w:spacing w:val="-9"/>
        </w:rPr>
        <w:t> </w:t>
      </w:r>
      <w:r>
        <w:rPr>
          <w:b/>
          <w:bCs/>
        </w:rPr>
        <w:t>&lt;</w:t>
      </w:r>
      <w:r>
        <w:rPr>
          <w:b/>
          <w:bCs/>
          <w:spacing w:val="-10"/>
        </w:rPr>
        <w:t> </w:t>
      </w:r>
      <w:r>
        <w:rPr>
          <w:b/>
          <w:bCs/>
        </w:rPr>
        <w:t>ϭ</w:t>
      </w:r>
      <w:r>
        <w:rPr>
          <w:b/>
          <w:bCs/>
          <w:spacing w:val="-10"/>
        </w:rPr>
        <w:t> </w:t>
      </w:r>
      <w:r>
        <w:rPr>
          <w:b/>
          <w:bCs/>
        </w:rPr>
        <w:t>&lt;</w:t>
      </w:r>
      <w:r>
        <w:rPr>
          <w:b/>
          <w:bCs/>
          <w:spacing w:val="-10"/>
        </w:rPr>
        <w:t> </w:t>
      </w:r>
      <w:r>
        <w:rPr>
          <w:b/>
          <w:bCs/>
        </w:rPr>
        <w:t>1;</w:t>
      </w:r>
      <w:r>
        <w:rPr>
          <w:b/>
          <w:bCs/>
          <w:spacing w:val="-10"/>
        </w:rPr>
        <w:t> </w:t>
      </w:r>
      <w:r>
        <w:rPr/>
        <w:t>existe</w:t>
      </w:r>
      <w:r>
        <w:rPr>
          <w:spacing w:val="-10"/>
        </w:rPr>
        <w:t> </w:t>
      </w:r>
      <w:r>
        <w:rPr/>
        <w:t>sustitución</w:t>
      </w:r>
      <w:r>
        <w:rPr>
          <w:spacing w:val="-11"/>
        </w:rPr>
        <w:t> </w:t>
      </w:r>
      <w:r>
        <w:rPr/>
        <w:t>entre</w:t>
      </w:r>
      <w:r>
        <w:rPr>
          <w:spacing w:val="-10"/>
        </w:rPr>
        <w:t> </w:t>
      </w:r>
      <w:r>
        <w:rPr/>
        <w:t>los</w:t>
      </w:r>
      <w:r>
        <w:rPr>
          <w:spacing w:val="-12"/>
        </w:rPr>
        <w:t> </w:t>
      </w:r>
      <w:r>
        <w:rPr/>
        <w:t>factores,</w:t>
      </w:r>
      <w:r>
        <w:rPr>
          <w:spacing w:val="-11"/>
        </w:rPr>
        <w:t> </w:t>
      </w:r>
      <w:r>
        <w:rPr/>
        <w:t>aunque</w:t>
      </w:r>
      <w:r>
        <w:rPr>
          <w:spacing w:val="-10"/>
        </w:rPr>
        <w:t> </w:t>
      </w:r>
      <w:r>
        <w:rPr/>
        <w:t>esta</w:t>
      </w:r>
      <w:r>
        <w:rPr>
          <w:spacing w:val="-10"/>
        </w:rPr>
        <w:t> </w:t>
      </w:r>
      <w:r>
        <w:rPr/>
        <w:t>no</w:t>
      </w:r>
      <w:r>
        <w:rPr>
          <w:spacing w:val="-11"/>
        </w:rPr>
        <w:t> </w:t>
      </w:r>
      <w:r>
        <w:rPr/>
        <w:t>se</w:t>
      </w:r>
      <w:r>
        <w:rPr>
          <w:spacing w:val="-10"/>
        </w:rPr>
        <w:t> </w:t>
      </w:r>
      <w:r>
        <w:rPr/>
        <w:t>da</w:t>
      </w:r>
      <w:r>
        <w:rPr>
          <w:spacing w:val="-10"/>
        </w:rPr>
        <w:t> </w:t>
      </w:r>
      <w:r>
        <w:rPr/>
        <w:t>tan</w:t>
      </w:r>
      <w:r>
        <w:rPr>
          <w:spacing w:val="-11"/>
        </w:rPr>
        <w:t> </w:t>
      </w:r>
      <w:r>
        <w:rPr/>
        <w:t>fácilmente. Las isocuantas son asintóticas a algún valor de capital (K) y de trabajo (L) en vez de hacia los ejes.</w:t>
      </w:r>
    </w:p>
    <w:p>
      <w:pPr>
        <w:pStyle w:val="BodyText"/>
        <w:rPr>
          <w:sz w:val="22"/>
        </w:rPr>
      </w:pPr>
    </w:p>
    <w:p>
      <w:pPr>
        <w:pStyle w:val="BodyText"/>
        <w:spacing w:line="360" w:lineRule="auto" w:before="149"/>
        <w:ind w:left="122" w:right="122"/>
        <w:jc w:val="both"/>
      </w:pPr>
      <w:r>
        <w:rPr>
          <w:b/>
          <w:bCs/>
        </w:rPr>
        <w:t>Caso 3: ρ = 0, ϭ = 1, </w:t>
      </w:r>
      <w:r>
        <w:rPr/>
        <w:t>para este caso especial la función de producción se convierte en la función Cobb-Douglas.</w:t>
      </w:r>
    </w:p>
    <w:p>
      <w:pPr>
        <w:pStyle w:val="BodyText"/>
        <w:rPr>
          <w:sz w:val="22"/>
        </w:rPr>
      </w:pPr>
    </w:p>
    <w:p>
      <w:pPr>
        <w:pStyle w:val="BodyText"/>
        <w:spacing w:line="360" w:lineRule="auto" w:before="149"/>
        <w:ind w:left="122" w:right="123"/>
        <w:jc w:val="both"/>
      </w:pPr>
      <w:r>
        <w:rPr>
          <w:b/>
          <w:bCs/>
        </w:rPr>
        <w:t>Caso</w:t>
      </w:r>
      <w:r>
        <w:rPr>
          <w:b/>
          <w:bCs/>
          <w:spacing w:val="-6"/>
        </w:rPr>
        <w:t> </w:t>
      </w:r>
      <w:r>
        <w:rPr>
          <w:b/>
          <w:bCs/>
        </w:rPr>
        <w:t>4:</w:t>
      </w:r>
      <w:r>
        <w:rPr>
          <w:b/>
          <w:bCs/>
          <w:spacing w:val="-6"/>
        </w:rPr>
        <w:t> </w:t>
      </w:r>
      <w:r>
        <w:rPr>
          <w:b/>
          <w:bCs/>
        </w:rPr>
        <w:t>-1</w:t>
      </w:r>
      <w:r>
        <w:rPr>
          <w:b/>
          <w:bCs/>
          <w:spacing w:val="-6"/>
        </w:rPr>
        <w:t> </w:t>
      </w:r>
      <w:r>
        <w:rPr>
          <w:b/>
          <w:bCs/>
        </w:rPr>
        <w:t>&lt;</w:t>
      </w:r>
      <w:r>
        <w:rPr>
          <w:b/>
          <w:bCs/>
          <w:spacing w:val="-3"/>
        </w:rPr>
        <w:t> </w:t>
      </w:r>
      <w:r>
        <w:rPr>
          <w:b/>
          <w:bCs/>
        </w:rPr>
        <w:t>ρ</w:t>
      </w:r>
      <w:r>
        <w:rPr>
          <w:b/>
          <w:bCs/>
          <w:spacing w:val="-7"/>
        </w:rPr>
        <w:t> </w:t>
      </w:r>
      <w:r>
        <w:rPr>
          <w:b/>
          <w:bCs/>
        </w:rPr>
        <w:t>&lt;</w:t>
      </w:r>
      <w:r>
        <w:rPr>
          <w:b/>
          <w:bCs/>
          <w:spacing w:val="-5"/>
        </w:rPr>
        <w:t> </w:t>
      </w:r>
      <w:r>
        <w:rPr>
          <w:b/>
          <w:bCs/>
        </w:rPr>
        <w:t>0,</w:t>
      </w:r>
      <w:r>
        <w:rPr>
          <w:b/>
          <w:bCs/>
          <w:spacing w:val="-6"/>
        </w:rPr>
        <w:t> </w:t>
      </w:r>
      <w:r>
        <w:rPr>
          <w:b/>
          <w:bCs/>
        </w:rPr>
        <w:t>ϭ</w:t>
      </w:r>
      <w:r>
        <w:rPr>
          <w:b/>
          <w:bCs/>
          <w:spacing w:val="-5"/>
        </w:rPr>
        <w:t> </w:t>
      </w:r>
      <w:r>
        <w:rPr>
          <w:b/>
          <w:bCs/>
        </w:rPr>
        <w:t>&gt;</w:t>
      </w:r>
      <w:r>
        <w:rPr>
          <w:b/>
          <w:bCs/>
          <w:spacing w:val="-5"/>
        </w:rPr>
        <w:t> </w:t>
      </w:r>
      <w:r>
        <w:rPr>
          <w:b/>
          <w:bCs/>
        </w:rPr>
        <w:t>1,</w:t>
      </w:r>
      <w:r>
        <w:rPr>
          <w:b/>
          <w:bCs/>
          <w:spacing w:val="-1"/>
        </w:rPr>
        <w:t> </w:t>
      </w:r>
      <w:r>
        <w:rPr/>
        <w:t>existe</w:t>
      </w:r>
      <w:r>
        <w:rPr>
          <w:spacing w:val="-5"/>
        </w:rPr>
        <w:t> </w:t>
      </w:r>
      <w:r>
        <w:rPr/>
        <w:t>sustitución</w:t>
      </w:r>
      <w:r>
        <w:rPr>
          <w:spacing w:val="-6"/>
        </w:rPr>
        <w:t> </w:t>
      </w:r>
      <w:r>
        <w:rPr/>
        <w:t>de</w:t>
      </w:r>
      <w:r>
        <w:rPr>
          <w:spacing w:val="-5"/>
        </w:rPr>
        <w:t> </w:t>
      </w:r>
      <w:r>
        <w:rPr/>
        <w:t>los</w:t>
      </w:r>
      <w:r>
        <w:rPr>
          <w:spacing w:val="-7"/>
        </w:rPr>
        <w:t> </w:t>
      </w:r>
      <w:r>
        <w:rPr/>
        <w:t>factores,</w:t>
      </w:r>
      <w:r>
        <w:rPr>
          <w:spacing w:val="-6"/>
        </w:rPr>
        <w:t> </w:t>
      </w:r>
      <w:r>
        <w:rPr/>
        <w:t>las</w:t>
      </w:r>
      <w:r>
        <w:rPr>
          <w:spacing w:val="-7"/>
        </w:rPr>
        <w:t> </w:t>
      </w:r>
      <w:r>
        <w:rPr/>
        <w:t>isocuantas</w:t>
      </w:r>
      <w:r>
        <w:rPr>
          <w:spacing w:val="-7"/>
        </w:rPr>
        <w:t> </w:t>
      </w:r>
      <w:r>
        <w:rPr/>
        <w:t>cortan</w:t>
      </w:r>
      <w:r>
        <w:rPr>
          <w:spacing w:val="-6"/>
        </w:rPr>
        <w:t> </w:t>
      </w:r>
      <w:r>
        <w:rPr/>
        <w:t>a</w:t>
      </w:r>
      <w:r>
        <w:rPr>
          <w:spacing w:val="-5"/>
        </w:rPr>
        <w:t> </w:t>
      </w:r>
      <w:r>
        <w:rPr/>
        <w:t>los</w:t>
      </w:r>
      <w:r>
        <w:rPr>
          <w:spacing w:val="-7"/>
        </w:rPr>
        <w:t> </w:t>
      </w:r>
      <w:r>
        <w:rPr/>
        <w:t>ejes</w:t>
      </w:r>
      <w:r>
        <w:rPr>
          <w:spacing w:val="-7"/>
        </w:rPr>
        <w:t> </w:t>
      </w:r>
      <w:r>
        <w:rPr/>
        <w:t>de</w:t>
      </w:r>
      <w:r>
        <w:rPr>
          <w:spacing w:val="-5"/>
        </w:rPr>
        <w:t> </w:t>
      </w:r>
      <w:r>
        <w:rPr/>
        <w:t>los factores, lo cual sugiere que es posible la producción con la ausencia de uno de los factores productivos.</w:t>
      </w:r>
    </w:p>
    <w:p>
      <w:pPr>
        <w:pStyle w:val="BodyText"/>
        <w:spacing w:line="362" w:lineRule="auto" w:before="4"/>
        <w:ind w:left="122" w:right="122"/>
        <w:jc w:val="both"/>
      </w:pPr>
      <w:r>
        <w:rPr>
          <w:b/>
          <w:bCs/>
        </w:rPr>
        <w:t>Caso</w:t>
      </w:r>
      <w:r>
        <w:rPr>
          <w:b/>
          <w:bCs/>
          <w:spacing w:val="-7"/>
        </w:rPr>
        <w:t> </w:t>
      </w:r>
      <w:r>
        <w:rPr>
          <w:b/>
          <w:bCs/>
        </w:rPr>
        <w:t>5:</w:t>
      </w:r>
      <w:r>
        <w:rPr>
          <w:b/>
          <w:bCs/>
          <w:spacing w:val="-7"/>
        </w:rPr>
        <w:t> </w:t>
      </w:r>
      <w:r>
        <w:rPr>
          <w:b/>
          <w:bCs/>
        </w:rPr>
        <w:t>ρ</w:t>
      </w:r>
      <w:r>
        <w:rPr>
          <w:b/>
          <w:bCs/>
          <w:spacing w:val="-8"/>
        </w:rPr>
        <w:t> </w:t>
      </w:r>
      <w:r>
        <w:rPr>
          <w:b/>
          <w:bCs/>
        </w:rPr>
        <w:t>→</w:t>
      </w:r>
      <w:r>
        <w:rPr>
          <w:b/>
          <w:bCs/>
          <w:spacing w:val="-7"/>
        </w:rPr>
        <w:t> </w:t>
      </w:r>
      <w:r>
        <w:rPr>
          <w:b/>
          <w:bCs/>
        </w:rPr>
        <w:t>0,</w:t>
      </w:r>
      <w:r>
        <w:rPr>
          <w:b/>
          <w:bCs/>
          <w:spacing w:val="-7"/>
        </w:rPr>
        <w:t> </w:t>
      </w:r>
      <w:r>
        <w:rPr>
          <w:b/>
          <w:bCs/>
        </w:rPr>
        <w:t>ϭ</w:t>
      </w:r>
      <w:r>
        <w:rPr>
          <w:b/>
          <w:bCs/>
          <w:spacing w:val="-6"/>
        </w:rPr>
        <w:t> </w:t>
      </w:r>
      <w:r>
        <w:rPr>
          <w:b/>
          <w:bCs/>
        </w:rPr>
        <w:t>→</w:t>
      </w:r>
      <w:r>
        <w:rPr>
          <w:b/>
          <w:bCs/>
          <w:spacing w:val="-7"/>
        </w:rPr>
        <w:t> </w:t>
      </w:r>
      <w:r>
        <w:rPr>
          <w:b/>
          <w:bCs/>
        </w:rPr>
        <w:t>∞;</w:t>
      </w:r>
      <w:r>
        <w:rPr>
          <w:b/>
          <w:bCs/>
          <w:spacing w:val="-7"/>
        </w:rPr>
        <w:t> </w:t>
      </w:r>
      <w:r>
        <w:rPr/>
        <w:t>en</w:t>
      </w:r>
      <w:r>
        <w:rPr>
          <w:spacing w:val="-7"/>
        </w:rPr>
        <w:t> </w:t>
      </w:r>
      <w:r>
        <w:rPr/>
        <w:t>el</w:t>
      </w:r>
      <w:r>
        <w:rPr>
          <w:spacing w:val="-7"/>
        </w:rPr>
        <w:t> </w:t>
      </w:r>
      <w:r>
        <w:rPr/>
        <w:t>límite</w:t>
      </w:r>
      <w:r>
        <w:rPr>
          <w:spacing w:val="-6"/>
        </w:rPr>
        <w:t> </w:t>
      </w:r>
      <w:r>
        <w:rPr/>
        <w:t>las</w:t>
      </w:r>
      <w:r>
        <w:rPr>
          <w:spacing w:val="-8"/>
        </w:rPr>
        <w:t> </w:t>
      </w:r>
      <w:r>
        <w:rPr/>
        <w:t>isocuantas</w:t>
      </w:r>
      <w:r>
        <w:rPr>
          <w:spacing w:val="-8"/>
        </w:rPr>
        <w:t> </w:t>
      </w:r>
      <w:r>
        <w:rPr/>
        <w:t>adoptan</w:t>
      </w:r>
      <w:r>
        <w:rPr>
          <w:spacing w:val="-7"/>
        </w:rPr>
        <w:t> </w:t>
      </w:r>
      <w:r>
        <w:rPr/>
        <w:t>la</w:t>
      </w:r>
      <w:r>
        <w:rPr>
          <w:spacing w:val="-6"/>
        </w:rPr>
        <w:t> </w:t>
      </w:r>
      <w:r>
        <w:rPr/>
        <w:t>forma</w:t>
      </w:r>
      <w:r>
        <w:rPr>
          <w:spacing w:val="-6"/>
        </w:rPr>
        <w:t> </w:t>
      </w:r>
      <w:r>
        <w:rPr/>
        <w:t>de</w:t>
      </w:r>
      <w:r>
        <w:rPr>
          <w:spacing w:val="-6"/>
        </w:rPr>
        <w:t> </w:t>
      </w:r>
      <w:r>
        <w:rPr/>
        <w:t>una</w:t>
      </w:r>
      <w:r>
        <w:rPr>
          <w:spacing w:val="-6"/>
        </w:rPr>
        <w:t> </w:t>
      </w:r>
      <w:r>
        <w:rPr/>
        <w:t>línea</w:t>
      </w:r>
      <w:r>
        <w:rPr>
          <w:spacing w:val="-6"/>
        </w:rPr>
        <w:t> </w:t>
      </w:r>
      <w:r>
        <w:rPr/>
        <w:t>recta,</w:t>
      </w:r>
      <w:r>
        <w:rPr>
          <w:spacing w:val="-7"/>
        </w:rPr>
        <w:t> </w:t>
      </w:r>
      <w:r>
        <w:rPr/>
        <w:t>indicando sustitución perfecta entre los</w:t>
      </w:r>
      <w:r>
        <w:rPr>
          <w:spacing w:val="-16"/>
        </w:rPr>
        <w:t> </w:t>
      </w:r>
      <w:r>
        <w:rPr/>
        <w:t>factores.</w:t>
      </w:r>
    </w:p>
    <w:p>
      <w:pPr>
        <w:pStyle w:val="BodyText"/>
        <w:spacing w:line="360" w:lineRule="auto" w:before="1"/>
        <w:ind w:left="122" w:right="121"/>
        <w:jc w:val="both"/>
      </w:pPr>
      <w:r>
        <w:rPr/>
        <w:t>La</w:t>
      </w:r>
      <w:r>
        <w:rPr>
          <w:spacing w:val="-1"/>
        </w:rPr>
        <w:t> </w:t>
      </w:r>
      <w:r>
        <w:rPr/>
        <w:t>función</w:t>
      </w:r>
      <w:r>
        <w:rPr>
          <w:spacing w:val="-3"/>
        </w:rPr>
        <w:t> </w:t>
      </w:r>
      <w:r>
        <w:rPr/>
        <w:t>de</w:t>
      </w:r>
      <w:r>
        <w:rPr>
          <w:spacing w:val="-2"/>
        </w:rPr>
        <w:t> </w:t>
      </w:r>
      <w:r>
        <w:rPr/>
        <w:t>producción</w:t>
      </w:r>
      <w:r>
        <w:rPr>
          <w:spacing w:val="-6"/>
        </w:rPr>
        <w:t> </w:t>
      </w:r>
      <w:r>
        <w:rPr/>
        <w:t>CES</w:t>
      </w:r>
      <w:r>
        <w:rPr>
          <w:spacing w:val="-4"/>
        </w:rPr>
        <w:t> </w:t>
      </w:r>
      <w:r>
        <w:rPr/>
        <w:t>puede</w:t>
      </w:r>
      <w:r>
        <w:rPr>
          <w:spacing w:val="-3"/>
        </w:rPr>
        <w:t> </w:t>
      </w:r>
      <w:r>
        <w:rPr/>
        <w:t>ser</w:t>
      </w:r>
      <w:r>
        <w:rPr>
          <w:spacing w:val="-3"/>
        </w:rPr>
        <w:t> </w:t>
      </w:r>
      <w:r>
        <w:rPr/>
        <w:t>generalizada</w:t>
      </w:r>
      <w:r>
        <w:rPr>
          <w:spacing w:val="-3"/>
        </w:rPr>
        <w:t> </w:t>
      </w:r>
      <w:r>
        <w:rPr/>
        <w:t>de</w:t>
      </w:r>
      <w:r>
        <w:rPr>
          <w:spacing w:val="-3"/>
        </w:rPr>
        <w:t> </w:t>
      </w:r>
      <w:r>
        <w:rPr/>
        <w:t>manera</w:t>
      </w:r>
      <w:r>
        <w:rPr>
          <w:spacing w:val="-3"/>
        </w:rPr>
        <w:t> </w:t>
      </w:r>
      <w:r>
        <w:rPr/>
        <w:t>que</w:t>
      </w:r>
      <w:r>
        <w:rPr>
          <w:spacing w:val="-5"/>
        </w:rPr>
        <w:t> </w:t>
      </w:r>
      <w:r>
        <w:rPr/>
        <w:t>admita</w:t>
      </w:r>
      <w:r>
        <w:rPr>
          <w:spacing w:val="-5"/>
        </w:rPr>
        <w:t> </w:t>
      </w:r>
      <w:r>
        <w:rPr/>
        <w:t>cualquier</w:t>
      </w:r>
      <w:r>
        <w:rPr>
          <w:spacing w:val="-3"/>
        </w:rPr>
        <w:t> </w:t>
      </w:r>
      <w:r>
        <w:rPr/>
        <w:t>grado</w:t>
      </w:r>
      <w:r>
        <w:rPr>
          <w:spacing w:val="-6"/>
        </w:rPr>
        <w:t> </w:t>
      </w:r>
      <w:r>
        <w:rPr/>
        <w:t>de homogeneidad y puede expresarse</w:t>
      </w:r>
      <w:r>
        <w:rPr>
          <w:spacing w:val="-15"/>
        </w:rPr>
        <w:t> </w:t>
      </w:r>
      <w:r>
        <w:rPr/>
        <w:t>como10/:</w:t>
      </w:r>
    </w:p>
    <w:p>
      <w:pPr>
        <w:spacing w:line="360" w:lineRule="auto" w:before="1"/>
        <w:ind w:left="122" w:right="121" w:firstLine="0"/>
        <w:jc w:val="both"/>
        <w:rPr>
          <w:sz w:val="23"/>
        </w:rPr>
      </w:pPr>
      <w:r>
        <w:rPr>
          <w:b/>
          <w:sz w:val="23"/>
        </w:rPr>
        <w:t>Q = A [δ K</w:t>
      </w:r>
      <w:r>
        <w:rPr>
          <w:b/>
          <w:position w:val="8"/>
          <w:sz w:val="15"/>
        </w:rPr>
        <w:t>-ρ </w:t>
      </w:r>
      <w:r>
        <w:rPr>
          <w:b/>
          <w:sz w:val="23"/>
        </w:rPr>
        <w:t>+ (1- δ) L</w:t>
      </w:r>
      <w:r>
        <w:rPr>
          <w:b/>
          <w:position w:val="8"/>
          <w:sz w:val="15"/>
        </w:rPr>
        <w:t>-ρ</w:t>
      </w:r>
      <w:r>
        <w:rPr>
          <w:b/>
          <w:sz w:val="23"/>
        </w:rPr>
        <w:t>]</w:t>
      </w:r>
      <w:r>
        <w:rPr>
          <w:b/>
          <w:position w:val="8"/>
          <w:sz w:val="15"/>
        </w:rPr>
        <w:t>-v/ρ </w:t>
      </w:r>
      <w:r>
        <w:rPr>
          <w:sz w:val="23"/>
        </w:rPr>
        <w:t>donde </w:t>
      </w:r>
      <w:r>
        <w:rPr>
          <w:b/>
          <w:sz w:val="23"/>
        </w:rPr>
        <w:t>V </w:t>
      </w:r>
      <w:r>
        <w:rPr>
          <w:sz w:val="23"/>
        </w:rPr>
        <w:t>muestra el grado de homogeneidad y el resto de los parámetros son los mismos de la ecuación.</w:t>
      </w:r>
    </w:p>
    <w:p>
      <w:pPr>
        <w:pStyle w:val="BodyText"/>
        <w:rPr>
          <w:sz w:val="20"/>
        </w:rPr>
      </w:pPr>
    </w:p>
    <w:p>
      <w:pPr>
        <w:pStyle w:val="BodyText"/>
        <w:spacing w:before="1"/>
        <w:rPr>
          <w:sz w:val="29"/>
        </w:rPr>
      </w:pPr>
      <w:r>
        <w:rPr/>
        <w:pict>
          <v:line style="position:absolute;mso-position-horizontal-relative:page;mso-position-vertical-relative:paragraph;z-index:2224;mso-wrap-distance-left:0;mso-wrap-distance-right:0" from="85.103996pt,18.879753pt" to="525.960017pt,18.879753pt" stroked="true" strokeweight=".36pt" strokecolor="#000000">
            <w10:wrap type="topAndBottom"/>
          </v:line>
        </w:pict>
      </w:r>
    </w:p>
    <w:p>
      <w:pPr>
        <w:tabs>
          <w:tab w:pos="4003" w:val="left" w:leader="none"/>
          <w:tab w:pos="8240" w:val="left" w:leader="none"/>
        </w:tabs>
        <w:spacing w:line="360" w:lineRule="auto" w:before="73" w:after="18"/>
        <w:ind w:left="510" w:right="123" w:hanging="389"/>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23 Estimación de una función de producción de bovinos carne en sistema extensivo en el sur del Estado de</w:t>
      </w:r>
      <w:r>
        <w:rPr>
          <w:spacing w:val="-26"/>
          <w:sz w:val="18"/>
        </w:rPr>
        <w:t> </w:t>
      </w:r>
      <w:r>
        <w:rPr>
          <w:sz w:val="18"/>
        </w:rPr>
        <w:t>México</w:t>
      </w: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spacing w:after="0" w:line="20" w:lineRule="exact"/>
        <w:rPr>
          <w:sz w:val="2"/>
        </w:rPr>
        <w:sectPr>
          <w:headerReference w:type="default" r:id="rId68"/>
          <w:footerReference w:type="default" r:id="rId69"/>
          <w:pgSz w:w="12240" w:h="15840"/>
          <w:pgMar w:header="0" w:footer="1995" w:top="1340" w:bottom="2180" w:left="1580" w:right="1580"/>
        </w:sectPr>
      </w:pPr>
    </w:p>
    <w:p>
      <w:pPr>
        <w:pStyle w:val="BodyText"/>
        <w:spacing w:line="357" w:lineRule="auto" w:before="50"/>
        <w:ind w:left="122" w:right="127"/>
        <w:jc w:val="both"/>
        <w:rPr>
          <w:b/>
        </w:rPr>
      </w:pPr>
      <w:r>
        <w:rPr/>
        <w:t>Esta función de producción se ha desarrollado para la estimación de las elasticidades de sustitución entre pares de insumos complementarios. Su especificación matemática toma la siguiente forma: </w:t>
      </w:r>
      <w:r>
        <w:rPr>
          <w:b/>
        </w:rPr>
        <w:t>Q = α L</w:t>
      </w:r>
      <w:r>
        <w:rPr>
          <w:b/>
          <w:position w:val="8"/>
          <w:sz w:val="15"/>
        </w:rPr>
        <w:t>β1  </w:t>
      </w:r>
      <w:r>
        <w:rPr>
          <w:b/>
        </w:rPr>
        <w:t>K </w:t>
      </w:r>
      <w:r>
        <w:rPr>
          <w:b/>
          <w:position w:val="8"/>
          <w:sz w:val="15"/>
        </w:rPr>
        <w:t>β2 </w:t>
      </w:r>
      <w:r>
        <w:rPr>
          <w:b/>
        </w:rPr>
        <w:t>e</w:t>
      </w:r>
      <w:r>
        <w:rPr>
          <w:b/>
          <w:position w:val="8"/>
          <w:sz w:val="15"/>
        </w:rPr>
        <w:t>π/2 </w:t>
      </w:r>
      <w:r>
        <w:rPr>
          <w:b/>
        </w:rPr>
        <w:t>lnL * lnK</w:t>
      </w:r>
    </w:p>
    <w:p>
      <w:pPr>
        <w:pStyle w:val="Heading5"/>
        <w:spacing w:before="6"/>
        <w:jc w:val="both"/>
      </w:pPr>
      <w:r>
        <w:rPr>
          <w:position w:val="2"/>
        </w:rPr>
        <w:t>lnQ =ln α + ß</w:t>
      </w:r>
      <w:r>
        <w:rPr>
          <w:sz w:val="15"/>
        </w:rPr>
        <w:t>1 </w:t>
      </w:r>
      <w:r>
        <w:rPr>
          <w:position w:val="2"/>
        </w:rPr>
        <w:t>lnL + ß</w:t>
      </w:r>
      <w:r>
        <w:rPr>
          <w:sz w:val="15"/>
        </w:rPr>
        <w:t>2  </w:t>
      </w:r>
      <w:r>
        <w:rPr>
          <w:position w:val="2"/>
        </w:rPr>
        <w:t>lnK +½ɤ lnL * lnK</w:t>
      </w:r>
    </w:p>
    <w:p>
      <w:pPr>
        <w:pStyle w:val="BodyText"/>
        <w:rPr>
          <w:b/>
          <w:sz w:val="22"/>
        </w:rPr>
      </w:pPr>
    </w:p>
    <w:p>
      <w:pPr>
        <w:pStyle w:val="BodyText"/>
        <w:spacing w:before="5"/>
        <w:rPr>
          <w:b/>
        </w:rPr>
      </w:pPr>
    </w:p>
    <w:p>
      <w:pPr>
        <w:pStyle w:val="BodyText"/>
        <w:spacing w:line="360" w:lineRule="auto"/>
        <w:ind w:left="122" w:right="123"/>
        <w:jc w:val="both"/>
      </w:pPr>
      <w:r>
        <w:rPr/>
        <w:t>Esta función es similar a la Cobb-Douglas, en el sentido de que nunca alcanza un máximo en la producción,</w:t>
      </w:r>
      <w:r>
        <w:rPr>
          <w:spacing w:val="-12"/>
        </w:rPr>
        <w:t> </w:t>
      </w:r>
      <w:r>
        <w:rPr/>
        <w:t>sin</w:t>
      </w:r>
      <w:r>
        <w:rPr>
          <w:spacing w:val="-12"/>
        </w:rPr>
        <w:t> </w:t>
      </w:r>
      <w:r>
        <w:rPr/>
        <w:t>embargo,</w:t>
      </w:r>
      <w:r>
        <w:rPr>
          <w:spacing w:val="-10"/>
        </w:rPr>
        <w:t> </w:t>
      </w:r>
      <w:r>
        <w:rPr/>
        <w:t>se</w:t>
      </w:r>
      <w:r>
        <w:rPr>
          <w:spacing w:val="-11"/>
        </w:rPr>
        <w:t> </w:t>
      </w:r>
      <w:r>
        <w:rPr/>
        <w:t>diferencia</w:t>
      </w:r>
      <w:r>
        <w:rPr>
          <w:spacing w:val="-11"/>
        </w:rPr>
        <w:t> </w:t>
      </w:r>
      <w:r>
        <w:rPr/>
        <w:t>en</w:t>
      </w:r>
      <w:r>
        <w:rPr>
          <w:spacing w:val="-12"/>
        </w:rPr>
        <w:t> </w:t>
      </w:r>
      <w:r>
        <w:rPr/>
        <w:t>que</w:t>
      </w:r>
      <w:r>
        <w:rPr>
          <w:spacing w:val="-11"/>
        </w:rPr>
        <w:t> </w:t>
      </w:r>
      <w:r>
        <w:rPr/>
        <w:t>ésta</w:t>
      </w:r>
      <w:r>
        <w:rPr>
          <w:spacing w:val="-11"/>
        </w:rPr>
        <w:t> </w:t>
      </w:r>
      <w:r>
        <w:rPr/>
        <w:t>no</w:t>
      </w:r>
      <w:r>
        <w:rPr>
          <w:spacing w:val="-12"/>
        </w:rPr>
        <w:t> </w:t>
      </w:r>
      <w:r>
        <w:rPr/>
        <w:t>siempre</w:t>
      </w:r>
      <w:r>
        <w:rPr>
          <w:spacing w:val="-11"/>
        </w:rPr>
        <w:t> </w:t>
      </w:r>
      <w:r>
        <w:rPr/>
        <w:t>genera</w:t>
      </w:r>
      <w:r>
        <w:rPr>
          <w:spacing w:val="-11"/>
        </w:rPr>
        <w:t> </w:t>
      </w:r>
      <w:r>
        <w:rPr/>
        <w:t>elasticidades</w:t>
      </w:r>
      <w:r>
        <w:rPr>
          <w:spacing w:val="-13"/>
        </w:rPr>
        <w:t> </w:t>
      </w:r>
      <w:r>
        <w:rPr/>
        <w:t>de</w:t>
      </w:r>
      <w:r>
        <w:rPr>
          <w:spacing w:val="-11"/>
        </w:rPr>
        <w:t> </w:t>
      </w:r>
      <w:r>
        <w:rPr/>
        <w:t>sustitución unitarias.</w:t>
      </w:r>
    </w:p>
    <w:p>
      <w:pPr>
        <w:pStyle w:val="BodyText"/>
        <w:spacing w:line="360" w:lineRule="auto" w:before="4"/>
        <w:ind w:left="122" w:right="115"/>
        <w:jc w:val="both"/>
      </w:pPr>
      <w:r>
        <w:rPr/>
        <w:t>La</w:t>
      </w:r>
      <w:r>
        <w:rPr>
          <w:spacing w:val="-5"/>
        </w:rPr>
        <w:t> </w:t>
      </w:r>
      <w:r>
        <w:rPr/>
        <w:t>forma</w:t>
      </w:r>
      <w:r>
        <w:rPr>
          <w:spacing w:val="-7"/>
        </w:rPr>
        <w:t> </w:t>
      </w:r>
      <w:r>
        <w:rPr/>
        <w:t>de</w:t>
      </w:r>
      <w:r>
        <w:rPr>
          <w:spacing w:val="-7"/>
        </w:rPr>
        <w:t> </w:t>
      </w:r>
      <w:r>
        <w:rPr/>
        <w:t>las</w:t>
      </w:r>
      <w:r>
        <w:rPr>
          <w:spacing w:val="-9"/>
        </w:rPr>
        <w:t> </w:t>
      </w:r>
      <w:r>
        <w:rPr/>
        <w:t>isocuantas</w:t>
      </w:r>
      <w:r>
        <w:rPr>
          <w:spacing w:val="-11"/>
        </w:rPr>
        <w:t> </w:t>
      </w:r>
      <w:r>
        <w:rPr/>
        <w:t>de</w:t>
      </w:r>
      <w:r>
        <w:rPr>
          <w:spacing w:val="-7"/>
        </w:rPr>
        <w:t> </w:t>
      </w:r>
      <w:r>
        <w:rPr/>
        <w:t>esta</w:t>
      </w:r>
      <w:r>
        <w:rPr>
          <w:spacing w:val="-10"/>
        </w:rPr>
        <w:t> </w:t>
      </w:r>
      <w:r>
        <w:rPr/>
        <w:t>clase</w:t>
      </w:r>
      <w:r>
        <w:rPr>
          <w:spacing w:val="-10"/>
        </w:rPr>
        <w:t> </w:t>
      </w:r>
      <w:r>
        <w:rPr/>
        <w:t>de</w:t>
      </w:r>
      <w:r>
        <w:rPr>
          <w:spacing w:val="-10"/>
        </w:rPr>
        <w:t> </w:t>
      </w:r>
      <w:r>
        <w:rPr/>
        <w:t>funciones</w:t>
      </w:r>
      <w:r>
        <w:rPr>
          <w:spacing w:val="-11"/>
        </w:rPr>
        <w:t> </w:t>
      </w:r>
      <w:r>
        <w:rPr/>
        <w:t>depende</w:t>
      </w:r>
      <w:r>
        <w:rPr>
          <w:spacing w:val="-7"/>
        </w:rPr>
        <w:t> </w:t>
      </w:r>
      <w:r>
        <w:rPr/>
        <w:t>del</w:t>
      </w:r>
      <w:r>
        <w:rPr>
          <w:spacing w:val="-10"/>
        </w:rPr>
        <w:t> </w:t>
      </w:r>
      <w:r>
        <w:rPr/>
        <w:t>parámetro </w:t>
      </w:r>
      <w:r>
        <w:rPr>
          <w:rFonts w:ascii="Symbol" w:hAnsi="Symbol"/>
        </w:rPr>
        <w:t></w:t>
      </w:r>
      <w:r>
        <w:rPr>
          <w:rFonts w:ascii="Arial" w:hAnsi="Arial"/>
        </w:rPr>
        <w:t>,</w:t>
      </w:r>
      <w:r>
        <w:rPr>
          <w:rFonts w:ascii="Arial" w:hAnsi="Arial"/>
          <w:spacing w:val="-11"/>
        </w:rPr>
        <w:t> </w:t>
      </w:r>
      <w:r>
        <w:rPr/>
        <w:t>el</w:t>
      </w:r>
      <w:r>
        <w:rPr>
          <w:spacing w:val="-10"/>
        </w:rPr>
        <w:t> </w:t>
      </w:r>
      <w:r>
        <w:rPr/>
        <w:t>cual</w:t>
      </w:r>
      <w:r>
        <w:rPr>
          <w:spacing w:val="-8"/>
        </w:rPr>
        <w:t> </w:t>
      </w:r>
      <w:r>
        <w:rPr/>
        <w:t>representa el porcentaje de participación conjunta de los factores de producción. Si </w:t>
      </w:r>
      <w:r>
        <w:rPr>
          <w:rFonts w:ascii="Symbol" w:hAnsi="Symbol"/>
        </w:rPr>
        <w:t></w:t>
      </w:r>
      <w:r>
        <w:rPr>
          <w:rFonts w:ascii="Arial" w:hAnsi="Arial"/>
        </w:rPr>
        <w:t>=0, </w:t>
      </w:r>
      <w:r>
        <w:rPr/>
        <w:t>la función genera isocuantas similares a la Cobb-Douglas, la tasa marginal de sustitución podría ser una función lineal de la relación de insumos (K/L), y la elasticidad de sustitución sería</w:t>
      </w:r>
      <w:r>
        <w:rPr>
          <w:spacing w:val="-35"/>
        </w:rPr>
        <w:t> </w:t>
      </w:r>
      <w:r>
        <w:rPr/>
        <w:t>unitaria.</w:t>
      </w:r>
    </w:p>
    <w:p>
      <w:pPr>
        <w:pStyle w:val="BodyText"/>
        <w:rPr>
          <w:sz w:val="22"/>
        </w:rPr>
      </w:pPr>
    </w:p>
    <w:p>
      <w:pPr>
        <w:pStyle w:val="BodyText"/>
        <w:spacing w:before="150"/>
        <w:ind w:left="122"/>
        <w:jc w:val="both"/>
      </w:pPr>
      <w:r>
        <w:rPr/>
        <w:t>En tanto </w:t>
      </w:r>
      <w:r>
        <w:rPr>
          <w:rFonts w:ascii="Symbol" w:hAnsi="Symbol"/>
        </w:rPr>
        <w:t></w:t>
      </w:r>
      <w:r>
        <w:rPr/>
        <w:t> se incrementa, las isocuantas presentan un arqueamiento hacia adentro, si el parámetro</w:t>
      </w:r>
    </w:p>
    <w:p>
      <w:pPr>
        <w:pStyle w:val="BodyText"/>
        <w:spacing w:line="360" w:lineRule="auto" w:before="140"/>
        <w:ind w:left="122" w:right="118"/>
        <w:jc w:val="both"/>
      </w:pPr>
      <w:r>
        <w:rPr>
          <w:rFonts w:ascii="Symbol" w:hAnsi="Symbol"/>
        </w:rPr>
        <w:t></w:t>
      </w:r>
      <w:r>
        <w:rPr>
          <w:spacing w:val="-3"/>
        </w:rPr>
        <w:t> </w:t>
      </w:r>
      <w:r>
        <w:rPr/>
        <w:t>se</w:t>
      </w:r>
      <w:r>
        <w:rPr>
          <w:spacing w:val="-2"/>
        </w:rPr>
        <w:t> </w:t>
      </w:r>
      <w:r>
        <w:rPr/>
        <w:t>incrementa</w:t>
      </w:r>
      <w:r>
        <w:rPr>
          <w:spacing w:val="-4"/>
        </w:rPr>
        <w:t> </w:t>
      </w:r>
      <w:r>
        <w:rPr/>
        <w:t>más,</w:t>
      </w:r>
      <w:r>
        <w:rPr>
          <w:spacing w:val="-5"/>
        </w:rPr>
        <w:t> </w:t>
      </w:r>
      <w:r>
        <w:rPr/>
        <w:t>éstas</w:t>
      </w:r>
      <w:r>
        <w:rPr>
          <w:spacing w:val="-6"/>
        </w:rPr>
        <w:t> </w:t>
      </w:r>
      <w:r>
        <w:rPr/>
        <w:t>forman</w:t>
      </w:r>
      <w:r>
        <w:rPr>
          <w:spacing w:val="-2"/>
        </w:rPr>
        <w:t> </w:t>
      </w:r>
      <w:r>
        <w:rPr/>
        <w:t>un</w:t>
      </w:r>
      <w:r>
        <w:rPr>
          <w:spacing w:val="-5"/>
        </w:rPr>
        <w:t> </w:t>
      </w:r>
      <w:r>
        <w:rPr/>
        <w:t>ángulo</w:t>
      </w:r>
      <w:r>
        <w:rPr>
          <w:spacing w:val="-2"/>
        </w:rPr>
        <w:t> </w:t>
      </w:r>
      <w:r>
        <w:rPr/>
        <w:t>recto,</w:t>
      </w:r>
      <w:r>
        <w:rPr>
          <w:spacing w:val="-2"/>
        </w:rPr>
        <w:t> </w:t>
      </w:r>
      <w:r>
        <w:rPr/>
        <w:t>y</w:t>
      </w:r>
      <w:r>
        <w:rPr>
          <w:spacing w:val="-5"/>
        </w:rPr>
        <w:t> </w:t>
      </w:r>
      <w:r>
        <w:rPr/>
        <w:t>la</w:t>
      </w:r>
      <w:r>
        <w:rPr>
          <w:spacing w:val="-4"/>
        </w:rPr>
        <w:t> </w:t>
      </w:r>
      <w:r>
        <w:rPr/>
        <w:t>elasticidad</w:t>
      </w:r>
      <w:r>
        <w:rPr>
          <w:spacing w:val="-5"/>
        </w:rPr>
        <w:t> </w:t>
      </w:r>
      <w:r>
        <w:rPr/>
        <w:t>de</w:t>
      </w:r>
      <w:r>
        <w:rPr>
          <w:spacing w:val="-2"/>
        </w:rPr>
        <w:t> </w:t>
      </w:r>
      <w:r>
        <w:rPr/>
        <w:t>sustitución</w:t>
      </w:r>
      <w:r>
        <w:rPr>
          <w:spacing w:val="-2"/>
        </w:rPr>
        <w:t> </w:t>
      </w:r>
      <w:r>
        <w:rPr/>
        <w:t>se</w:t>
      </w:r>
      <w:r>
        <w:rPr>
          <w:spacing w:val="-2"/>
        </w:rPr>
        <w:t> </w:t>
      </w:r>
      <w:r>
        <w:rPr/>
        <w:t>vuelve</w:t>
      </w:r>
      <w:r>
        <w:rPr>
          <w:spacing w:val="-2"/>
        </w:rPr>
        <w:t> </w:t>
      </w:r>
      <w:r>
        <w:rPr/>
        <w:t>cada vez</w:t>
      </w:r>
      <w:r>
        <w:rPr>
          <w:spacing w:val="-4"/>
        </w:rPr>
        <w:t> </w:t>
      </w:r>
      <w:r>
        <w:rPr/>
        <w:t>menor.</w:t>
      </w:r>
    </w:p>
    <w:p>
      <w:pPr>
        <w:pStyle w:val="BodyText"/>
        <w:rPr>
          <w:sz w:val="22"/>
        </w:rPr>
      </w:pPr>
    </w:p>
    <w:p>
      <w:pPr>
        <w:pStyle w:val="Heading3"/>
        <w:spacing w:before="155"/>
        <w:jc w:val="both"/>
      </w:pPr>
      <w:r>
        <w:rPr/>
        <w:t>5.3.3. Función de Producción Trascendental</w:t>
      </w:r>
    </w:p>
    <w:p>
      <w:pPr>
        <w:pStyle w:val="BodyText"/>
        <w:rPr>
          <w:b/>
          <w:sz w:val="24"/>
        </w:rPr>
      </w:pPr>
    </w:p>
    <w:p>
      <w:pPr>
        <w:pStyle w:val="BodyText"/>
        <w:spacing w:before="6"/>
        <w:rPr>
          <w:b/>
        </w:rPr>
      </w:pPr>
    </w:p>
    <w:p>
      <w:pPr>
        <w:pStyle w:val="BodyText"/>
        <w:spacing w:line="360" w:lineRule="auto"/>
        <w:ind w:left="122" w:right="118"/>
        <w:jc w:val="both"/>
      </w:pPr>
      <w:r>
        <w:rPr/>
        <w:t>Esta función surgió a partir de la Cobb-Douglas, y su principal objetivo fue representar las tres etapas de la producción de la función neoclásica, y obtener elasticidades variables en la producción. Su representación matemática para dos insumos es la siguiente:</w:t>
      </w:r>
    </w:p>
    <w:p>
      <w:pPr>
        <w:spacing w:before="3"/>
        <w:ind w:left="122" w:right="0" w:firstLine="0"/>
        <w:jc w:val="both"/>
        <w:rPr>
          <w:b/>
          <w:sz w:val="13"/>
        </w:rPr>
      </w:pPr>
      <w:r>
        <w:rPr>
          <w:b/>
          <w:sz w:val="23"/>
        </w:rPr>
        <w:t>Q = A L</w:t>
      </w:r>
      <w:r>
        <w:rPr>
          <w:b/>
          <w:position w:val="11"/>
          <w:sz w:val="19"/>
        </w:rPr>
        <w:t>α </w:t>
      </w:r>
      <w:r>
        <w:rPr>
          <w:b/>
          <w:sz w:val="23"/>
        </w:rPr>
        <w:t>K</w:t>
      </w:r>
      <w:r>
        <w:rPr>
          <w:b/>
          <w:position w:val="11"/>
          <w:sz w:val="19"/>
        </w:rPr>
        <w:t>β </w:t>
      </w:r>
      <w:r>
        <w:rPr>
          <w:b/>
          <w:sz w:val="30"/>
        </w:rPr>
        <w:t>e</w:t>
      </w:r>
      <w:r>
        <w:rPr>
          <w:b/>
          <w:position w:val="8"/>
          <w:sz w:val="15"/>
        </w:rPr>
        <w:t>ɤL </w:t>
      </w:r>
      <w:r>
        <w:rPr>
          <w:b/>
          <w:position w:val="7"/>
          <w:sz w:val="13"/>
        </w:rPr>
        <w:t>+  δK</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17"/>
        </w:rPr>
      </w:pPr>
      <w:r>
        <w:rPr/>
        <w:pict>
          <v:line style="position:absolute;mso-position-horizontal-relative:page;mso-position-vertical-relative:paragraph;z-index:2272;mso-wrap-distance-left:0;mso-wrap-distance-right:0" from="85.103996pt,12.313271pt" to="525.960017pt,12.313271pt" stroked="true" strokeweight=".36pt" strokecolor="#000000">
            <w10:wrap type="topAndBottom"/>
          </v:line>
        </w:pict>
      </w:r>
    </w:p>
    <w:p>
      <w:pPr>
        <w:tabs>
          <w:tab w:pos="4003" w:val="left" w:leader="none"/>
          <w:tab w:pos="8240" w:val="left" w:leader="none"/>
        </w:tabs>
        <w:spacing w:line="362" w:lineRule="auto" w:before="73" w:after="15"/>
        <w:ind w:left="510" w:right="123" w:hanging="389"/>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24 Estimación de una función de producción de bovinos carne en sistema extensivo en el sur del Estado de</w:t>
      </w:r>
      <w:r>
        <w:rPr>
          <w:spacing w:val="-26"/>
          <w:sz w:val="18"/>
        </w:rPr>
        <w:t> </w:t>
      </w:r>
      <w:r>
        <w:rPr>
          <w:sz w:val="18"/>
        </w:rPr>
        <w:t>México</w:t>
      </w: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spacing w:after="0" w:line="20" w:lineRule="exact"/>
        <w:rPr>
          <w:sz w:val="2"/>
        </w:rPr>
        <w:sectPr>
          <w:headerReference w:type="default" r:id="rId70"/>
          <w:footerReference w:type="default" r:id="rId71"/>
          <w:pgSz w:w="12240" w:h="15840"/>
          <w:pgMar w:header="0" w:footer="2530" w:top="1360" w:bottom="2720" w:left="1580" w:right="1580"/>
        </w:sectPr>
      </w:pPr>
    </w:p>
    <w:p>
      <w:pPr>
        <w:pStyle w:val="BodyText"/>
        <w:spacing w:line="360" w:lineRule="auto" w:before="50"/>
        <w:ind w:left="122" w:right="114"/>
        <w:jc w:val="both"/>
      </w:pPr>
      <w:r>
        <w:rPr/>
        <w:t>Esta es la función de producción más renombrada que se ha utilizado para representar procesos productivos.</w:t>
      </w:r>
      <w:r>
        <w:rPr>
          <w:spacing w:val="-14"/>
        </w:rPr>
        <w:t> </w:t>
      </w:r>
      <w:r>
        <w:rPr/>
        <w:t>Se</w:t>
      </w:r>
      <w:r>
        <w:rPr>
          <w:spacing w:val="-14"/>
        </w:rPr>
        <w:t> </w:t>
      </w:r>
      <w:r>
        <w:rPr/>
        <w:t>debe</w:t>
      </w:r>
      <w:r>
        <w:rPr>
          <w:spacing w:val="-14"/>
        </w:rPr>
        <w:t> </w:t>
      </w:r>
      <w:r>
        <w:rPr/>
        <w:t>su</w:t>
      </w:r>
      <w:r>
        <w:rPr>
          <w:spacing w:val="-14"/>
        </w:rPr>
        <w:t> </w:t>
      </w:r>
      <w:r>
        <w:rPr/>
        <w:t>existencia</w:t>
      </w:r>
      <w:r>
        <w:rPr>
          <w:spacing w:val="-16"/>
        </w:rPr>
        <w:t> </w:t>
      </w:r>
      <w:r>
        <w:rPr/>
        <w:t>a</w:t>
      </w:r>
      <w:r>
        <w:rPr>
          <w:spacing w:val="-14"/>
        </w:rPr>
        <w:t> </w:t>
      </w:r>
      <w:r>
        <w:rPr/>
        <w:t>Paul</w:t>
      </w:r>
      <w:r>
        <w:rPr>
          <w:spacing w:val="-16"/>
        </w:rPr>
        <w:t> </w:t>
      </w:r>
      <w:r>
        <w:rPr/>
        <w:t>Douglas</w:t>
      </w:r>
      <w:r>
        <w:rPr>
          <w:spacing w:val="-13"/>
        </w:rPr>
        <w:t> </w:t>
      </w:r>
      <w:r>
        <w:rPr/>
        <w:t>y</w:t>
      </w:r>
      <w:r>
        <w:rPr>
          <w:spacing w:val="-19"/>
        </w:rPr>
        <w:t> </w:t>
      </w:r>
      <w:r>
        <w:rPr/>
        <w:t>su</w:t>
      </w:r>
      <w:r>
        <w:rPr>
          <w:spacing w:val="-14"/>
        </w:rPr>
        <w:t> </w:t>
      </w:r>
      <w:r>
        <w:rPr/>
        <w:t>amigo</w:t>
      </w:r>
      <w:r>
        <w:rPr>
          <w:spacing w:val="-14"/>
        </w:rPr>
        <w:t> </w:t>
      </w:r>
      <w:r>
        <w:rPr/>
        <w:t>matemático</w:t>
      </w:r>
      <w:r>
        <w:rPr>
          <w:spacing w:val="-14"/>
        </w:rPr>
        <w:t> </w:t>
      </w:r>
      <w:r>
        <w:rPr/>
        <w:t>Charles</w:t>
      </w:r>
      <w:r>
        <w:rPr>
          <w:spacing w:val="-15"/>
        </w:rPr>
        <w:t> </w:t>
      </w:r>
      <w:r>
        <w:rPr/>
        <w:t>Cobb.</w:t>
      </w:r>
      <w:r>
        <w:rPr>
          <w:spacing w:val="-7"/>
        </w:rPr>
        <w:t> </w:t>
      </w:r>
      <w:r>
        <w:rPr/>
        <w:t>Douglas fue senador por Illinois desde 1949 hasta 1966, pero antes de dedicarse a la política, había sido profesor</w:t>
      </w:r>
      <w:r>
        <w:rPr>
          <w:spacing w:val="-5"/>
        </w:rPr>
        <w:t> </w:t>
      </w:r>
      <w:r>
        <w:rPr/>
        <w:t>de</w:t>
      </w:r>
      <w:r>
        <w:rPr>
          <w:spacing w:val="-4"/>
        </w:rPr>
        <w:t> </w:t>
      </w:r>
      <w:r>
        <w:rPr/>
        <w:t>economía.</w:t>
      </w:r>
      <w:r>
        <w:rPr>
          <w:spacing w:val="-7"/>
        </w:rPr>
        <w:t> </w:t>
      </w:r>
      <w:r>
        <w:rPr/>
        <w:t>En</w:t>
      </w:r>
      <w:r>
        <w:rPr>
          <w:spacing w:val="-7"/>
        </w:rPr>
        <w:t> </w:t>
      </w:r>
      <w:r>
        <w:rPr/>
        <w:t>1927</w:t>
      </w:r>
      <w:r>
        <w:rPr>
          <w:spacing w:val="-5"/>
        </w:rPr>
        <w:t> </w:t>
      </w:r>
      <w:r>
        <w:rPr/>
        <w:t>descubrió</w:t>
      </w:r>
      <w:r>
        <w:rPr>
          <w:spacing w:val="-5"/>
        </w:rPr>
        <w:t> </w:t>
      </w:r>
      <w:r>
        <w:rPr/>
        <w:t>un</w:t>
      </w:r>
      <w:r>
        <w:rPr>
          <w:spacing w:val="-7"/>
        </w:rPr>
        <w:t> </w:t>
      </w:r>
      <w:r>
        <w:rPr/>
        <w:t>hecho</w:t>
      </w:r>
      <w:r>
        <w:rPr>
          <w:spacing w:val="-5"/>
        </w:rPr>
        <w:t> </w:t>
      </w:r>
      <w:r>
        <w:rPr/>
        <w:t>realmente</w:t>
      </w:r>
      <w:r>
        <w:rPr>
          <w:spacing w:val="-4"/>
        </w:rPr>
        <w:t> </w:t>
      </w:r>
      <w:r>
        <w:rPr/>
        <w:t>sorprendente:</w:t>
      </w:r>
      <w:r>
        <w:rPr>
          <w:spacing w:val="-7"/>
        </w:rPr>
        <w:t> </w:t>
      </w:r>
      <w:r>
        <w:rPr/>
        <w:t>la</w:t>
      </w:r>
      <w:r>
        <w:rPr>
          <w:spacing w:val="-6"/>
        </w:rPr>
        <w:t> </w:t>
      </w:r>
      <w:r>
        <w:rPr/>
        <w:t>distribución</w:t>
      </w:r>
      <w:r>
        <w:rPr>
          <w:spacing w:val="-7"/>
        </w:rPr>
        <w:t> </w:t>
      </w:r>
      <w:r>
        <w:rPr/>
        <w:t>de</w:t>
      </w:r>
      <w:r>
        <w:rPr>
          <w:spacing w:val="-9"/>
        </w:rPr>
        <w:t> </w:t>
      </w:r>
      <w:r>
        <w:rPr/>
        <w:t>la renta entre el trabajo y el capital en EEUU se había mantenido más omenos constante a lo largo del tiempo. Concretamente el trabajo se llevaba el 70% de las rentas y el capital el 30%. Al observar esto acudió a su amigo matemático Cobb y le preguntó si había alguna función de producción que mantenía las participaciones constantes en los factores. La función que resultó fue la</w:t>
      </w:r>
      <w:r>
        <w:rPr>
          <w:spacing w:val="-7"/>
        </w:rPr>
        <w:t> </w:t>
      </w:r>
      <w:r>
        <w:rPr/>
        <w:t>siguiente:</w:t>
      </w:r>
    </w:p>
    <w:p>
      <w:pPr>
        <w:spacing w:line="357" w:lineRule="auto" w:before="0"/>
        <w:ind w:left="122" w:right="5884" w:firstLine="0"/>
        <w:jc w:val="left"/>
        <w:rPr>
          <w:sz w:val="23"/>
        </w:rPr>
      </w:pPr>
      <w:r>
        <w:rPr>
          <w:b/>
          <w:position w:val="2"/>
          <w:sz w:val="23"/>
        </w:rPr>
        <w:t>Y</w:t>
      </w:r>
      <w:r>
        <w:rPr>
          <w:b/>
          <w:sz w:val="15"/>
        </w:rPr>
        <w:t>t </w:t>
      </w:r>
      <w:r>
        <w:rPr>
          <w:b/>
          <w:position w:val="2"/>
          <w:sz w:val="23"/>
        </w:rPr>
        <w:t>= AK</w:t>
      </w:r>
      <w:r>
        <w:rPr>
          <w:b/>
          <w:sz w:val="15"/>
        </w:rPr>
        <w:t>t</w:t>
      </w:r>
      <w:r>
        <w:rPr>
          <w:b/>
          <w:position w:val="10"/>
          <w:sz w:val="15"/>
        </w:rPr>
        <w:t>α </w:t>
      </w:r>
      <w:r>
        <w:rPr>
          <w:b/>
          <w:position w:val="2"/>
          <w:sz w:val="23"/>
        </w:rPr>
        <w:t>L</w:t>
      </w:r>
      <w:r>
        <w:rPr>
          <w:b/>
          <w:sz w:val="15"/>
        </w:rPr>
        <w:t>t</w:t>
      </w:r>
      <w:r>
        <w:rPr>
          <w:b/>
          <w:position w:val="10"/>
          <w:sz w:val="15"/>
        </w:rPr>
        <w:t>β</w:t>
      </w:r>
      <w:r>
        <w:rPr>
          <w:position w:val="2"/>
          <w:sz w:val="23"/>
        </w:rPr>
        <w:t>; donde 0 &lt; α, β &lt; 1 Y</w:t>
      </w:r>
      <w:r>
        <w:rPr>
          <w:sz w:val="15"/>
        </w:rPr>
        <w:t>t</w:t>
      </w:r>
      <w:r>
        <w:rPr>
          <w:position w:val="2"/>
          <w:sz w:val="23"/>
        </w:rPr>
        <w:t>: Producción</w:t>
      </w:r>
    </w:p>
    <w:p>
      <w:pPr>
        <w:pStyle w:val="BodyText"/>
        <w:spacing w:before="6"/>
        <w:ind w:left="122"/>
        <w:jc w:val="both"/>
      </w:pPr>
      <w:r>
        <w:rPr/>
        <w:t>A: Progreso técnico exógeno</w:t>
      </w:r>
    </w:p>
    <w:p>
      <w:pPr>
        <w:pStyle w:val="BodyText"/>
        <w:spacing w:before="130"/>
        <w:ind w:left="122"/>
        <w:jc w:val="both"/>
      </w:pPr>
      <w:r>
        <w:rPr>
          <w:position w:val="2"/>
        </w:rPr>
        <w:t>L</w:t>
      </w:r>
      <w:r>
        <w:rPr>
          <w:sz w:val="15"/>
        </w:rPr>
        <w:t>t</w:t>
      </w:r>
      <w:r>
        <w:rPr>
          <w:position w:val="2"/>
        </w:rPr>
        <w:t>: Número de empleados en una economía</w:t>
      </w:r>
    </w:p>
    <w:p>
      <w:pPr>
        <w:pStyle w:val="BodyText"/>
        <w:rPr>
          <w:sz w:val="22"/>
        </w:rPr>
      </w:pPr>
    </w:p>
    <w:p>
      <w:pPr>
        <w:pStyle w:val="BodyText"/>
        <w:spacing w:before="10"/>
      </w:pPr>
    </w:p>
    <w:p>
      <w:pPr>
        <w:pStyle w:val="BodyText"/>
        <w:spacing w:line="360" w:lineRule="auto"/>
        <w:ind w:left="122" w:right="118"/>
        <w:jc w:val="both"/>
      </w:pPr>
      <w:r>
        <w:rPr/>
        <w:t>La función de producción original se asumió homogénea de grado 1 en ambos factores, o con rendimientos constantes a escala. Su principal limitación es que no representa las tres etapas de la función de producción neoclásica.</w:t>
      </w:r>
    </w:p>
    <w:p>
      <w:pPr>
        <w:pStyle w:val="BodyText"/>
        <w:spacing w:line="360" w:lineRule="auto" w:before="6"/>
        <w:ind w:left="122" w:right="119"/>
        <w:jc w:val="both"/>
      </w:pPr>
      <w:r>
        <w:rPr/>
        <w:t>En esta función de formalizada por Cobb-Douglas, α y β son los parámetros que representan el peso de los factores K y L  (Factores productivos) en la distribución de la renta.</w:t>
      </w:r>
    </w:p>
    <w:p>
      <w:pPr>
        <w:pStyle w:val="BodyText"/>
        <w:rPr>
          <w:sz w:val="22"/>
        </w:rPr>
      </w:pPr>
    </w:p>
    <w:p>
      <w:pPr>
        <w:pStyle w:val="BodyText"/>
        <w:spacing w:line="360" w:lineRule="auto" w:before="147"/>
        <w:ind w:left="122" w:right="119"/>
        <w:jc w:val="both"/>
      </w:pPr>
      <w:r>
        <w:rPr/>
        <w:t>A es el progreso técnico o productividad total de los factores (PTF). La PTF no es una variable directamente observable, pues representa un estado no cuantificable formado por factores tales como:</w:t>
      </w:r>
      <w:r>
        <w:rPr>
          <w:spacing w:val="-6"/>
        </w:rPr>
        <w:t> </w:t>
      </w:r>
      <w:r>
        <w:rPr/>
        <w:t>la</w:t>
      </w:r>
      <w:r>
        <w:rPr>
          <w:spacing w:val="-4"/>
        </w:rPr>
        <w:t> </w:t>
      </w:r>
      <w:r>
        <w:rPr/>
        <w:t>organización</w:t>
      </w:r>
      <w:r>
        <w:rPr>
          <w:spacing w:val="-7"/>
        </w:rPr>
        <w:t> </w:t>
      </w:r>
      <w:r>
        <w:rPr/>
        <w:t>empresarial,</w:t>
      </w:r>
      <w:r>
        <w:rPr>
          <w:spacing w:val="-7"/>
        </w:rPr>
        <w:t> </w:t>
      </w:r>
      <w:r>
        <w:rPr/>
        <w:t>los</w:t>
      </w:r>
      <w:r>
        <w:rPr>
          <w:spacing w:val="-6"/>
        </w:rPr>
        <w:t> </w:t>
      </w:r>
      <w:r>
        <w:rPr/>
        <w:t>coocimientos</w:t>
      </w:r>
      <w:r>
        <w:rPr>
          <w:spacing w:val="-8"/>
        </w:rPr>
        <w:t> </w:t>
      </w:r>
      <w:r>
        <w:rPr/>
        <w:t>de</w:t>
      </w:r>
      <w:r>
        <w:rPr>
          <w:spacing w:val="-6"/>
        </w:rPr>
        <w:t> </w:t>
      </w:r>
      <w:r>
        <w:rPr/>
        <w:t>los</w:t>
      </w:r>
      <w:r>
        <w:rPr>
          <w:spacing w:val="-6"/>
        </w:rPr>
        <w:t> </w:t>
      </w:r>
      <w:r>
        <w:rPr/>
        <w:t>empresarios</w:t>
      </w:r>
      <w:r>
        <w:rPr>
          <w:spacing w:val="-6"/>
        </w:rPr>
        <w:t> </w:t>
      </w:r>
      <w:r>
        <w:rPr/>
        <w:t>y</w:t>
      </w:r>
      <w:r>
        <w:rPr>
          <w:spacing w:val="-10"/>
        </w:rPr>
        <w:t> </w:t>
      </w:r>
      <w:r>
        <w:rPr/>
        <w:t>trabajadores</w:t>
      </w:r>
      <w:r>
        <w:rPr>
          <w:spacing w:val="-6"/>
        </w:rPr>
        <w:t> </w:t>
      </w:r>
      <w:r>
        <w:rPr/>
        <w:t>o</w:t>
      </w:r>
      <w:r>
        <w:rPr>
          <w:spacing w:val="-5"/>
        </w:rPr>
        <w:t> </w:t>
      </w:r>
      <w:r>
        <w:rPr/>
        <w:t>el</w:t>
      </w:r>
      <w:r>
        <w:rPr>
          <w:spacing w:val="-4"/>
        </w:rPr>
        <w:t> </w:t>
      </w:r>
      <w:r>
        <w:rPr/>
        <w:t>nivel de aplicación de</w:t>
      </w:r>
      <w:r>
        <w:rPr>
          <w:spacing w:val="-11"/>
        </w:rPr>
        <w:t> </w:t>
      </w:r>
      <w:r>
        <w:rPr/>
        <w:t>tecnología.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r>
        <w:rPr/>
        <w:pict>
          <v:group style="position:absolute;margin-left:84.903999pt;margin-top:12.403661pt;width:441.65pt;height:.4pt;mso-position-horizontal-relative:page;mso-position-vertical-relative:paragraph;z-index:2320;mso-wrap-distance-left:0;mso-wrap-distance-right:0" coordorigin="1698,248" coordsize="8833,8">
            <v:line style="position:absolute" from="1702,252" to="7731,252" stroked="true" strokeweight=".36pt" strokecolor="#000000"/>
            <v:line style="position:absolute" from="7737,252" to="10526,252" stroked="true" strokeweight=".36pt" strokecolor="#000000"/>
            <w10:wrap type="topAndBottom"/>
          </v:group>
        </w:pict>
      </w:r>
    </w:p>
    <w:p>
      <w:pPr>
        <w:tabs>
          <w:tab w:pos="4003" w:val="left" w:leader="none"/>
          <w:tab w:pos="8240" w:val="left" w:leader="none"/>
        </w:tabs>
        <w:spacing w:line="360" w:lineRule="auto" w:before="73" w:after="18"/>
        <w:ind w:left="510" w:right="123" w:hanging="389"/>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25 Estimación de una función de producción de bovinos carne en sistema extensivo en el sur del Estado de</w:t>
      </w:r>
      <w:r>
        <w:rPr>
          <w:spacing w:val="-26"/>
          <w:sz w:val="18"/>
        </w:rPr>
        <w:t> </w:t>
      </w:r>
      <w:r>
        <w:rPr>
          <w:sz w:val="18"/>
        </w:rPr>
        <w:t>México</w:t>
      </w: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pStyle w:val="BodyText"/>
        <w:rPr>
          <w:sz w:val="18"/>
        </w:rPr>
      </w:pPr>
    </w:p>
    <w:p>
      <w:pPr>
        <w:pStyle w:val="BodyText"/>
        <w:rPr>
          <w:sz w:val="18"/>
        </w:rPr>
      </w:pPr>
    </w:p>
    <w:p>
      <w:pPr>
        <w:pStyle w:val="BodyText"/>
        <w:spacing w:line="360" w:lineRule="auto" w:before="104"/>
        <w:ind w:left="122"/>
      </w:pPr>
      <w:r>
        <w:rPr/>
        <w:t>Por tanto, esta función de producción está compuesta por dos factores productivos que se mantienen constantes en el tiempo y un factor productivo (progreso técnico).</w:t>
      </w:r>
    </w:p>
    <w:p>
      <w:pPr>
        <w:spacing w:after="0" w:line="360" w:lineRule="auto"/>
        <w:sectPr>
          <w:headerReference w:type="default" r:id="rId72"/>
          <w:footerReference w:type="default" r:id="rId73"/>
          <w:pgSz w:w="12240" w:h="15840"/>
          <w:pgMar w:header="0" w:footer="0" w:top="1360" w:bottom="280" w:left="1580" w:right="1580"/>
        </w:sectPr>
      </w:pPr>
    </w:p>
    <w:p>
      <w:pPr>
        <w:pStyle w:val="BodyText"/>
        <w:spacing w:line="360" w:lineRule="auto" w:before="50"/>
        <w:ind w:left="122" w:right="118"/>
        <w:jc w:val="both"/>
      </w:pPr>
      <w:r>
        <w:rPr/>
        <w:t>Entre las principales características deseables que posee la función Cobb-Douglas estan el </w:t>
      </w:r>
      <w:r>
        <w:rPr>
          <w:spacing w:val="-2"/>
        </w:rPr>
        <w:t>ser </w:t>
      </w:r>
      <w:r>
        <w:rPr/>
        <w:t>homogénea</w:t>
      </w:r>
      <w:r>
        <w:rPr>
          <w:spacing w:val="-14"/>
        </w:rPr>
        <w:t> </w:t>
      </w:r>
      <w:r>
        <w:rPr/>
        <w:t>de</w:t>
      </w:r>
      <w:r>
        <w:rPr>
          <w:spacing w:val="-15"/>
        </w:rPr>
        <w:t> </w:t>
      </w:r>
      <w:r>
        <w:rPr/>
        <w:t>grado</w:t>
      </w:r>
      <w:r>
        <w:rPr>
          <w:spacing w:val="-13"/>
        </w:rPr>
        <w:t> </w:t>
      </w:r>
      <w:r>
        <w:rPr/>
        <w:t>1,</w:t>
      </w:r>
      <w:r>
        <w:rPr>
          <w:spacing w:val="-14"/>
        </w:rPr>
        <w:t> </w:t>
      </w:r>
      <w:r>
        <w:rPr/>
        <w:t>exhibir</w:t>
      </w:r>
      <w:r>
        <w:rPr>
          <w:spacing w:val="-13"/>
        </w:rPr>
        <w:t> </w:t>
      </w:r>
      <w:r>
        <w:rPr/>
        <w:t>rendimientos</w:t>
      </w:r>
      <w:r>
        <w:rPr>
          <w:spacing w:val="-16"/>
        </w:rPr>
        <w:t> </w:t>
      </w:r>
      <w:r>
        <w:rPr/>
        <w:t>marginales</w:t>
      </w:r>
      <w:r>
        <w:rPr>
          <w:spacing w:val="-11"/>
        </w:rPr>
        <w:t> </w:t>
      </w:r>
      <w:r>
        <w:rPr/>
        <w:t>decrecientes</w:t>
      </w:r>
      <w:r>
        <w:rPr>
          <w:spacing w:val="-14"/>
        </w:rPr>
        <w:t> </w:t>
      </w:r>
      <w:r>
        <w:rPr/>
        <w:t>para</w:t>
      </w:r>
      <w:r>
        <w:rPr>
          <w:spacing w:val="-14"/>
        </w:rPr>
        <w:t> </w:t>
      </w:r>
      <w:r>
        <w:rPr/>
        <w:t>cada</w:t>
      </w:r>
      <w:r>
        <w:rPr>
          <w:spacing w:val="-15"/>
        </w:rPr>
        <w:t> </w:t>
      </w:r>
      <w:r>
        <w:rPr/>
        <w:t>factor</w:t>
      </w:r>
      <w:r>
        <w:rPr>
          <w:spacing w:val="-13"/>
        </w:rPr>
        <w:t> </w:t>
      </w:r>
      <w:r>
        <w:rPr/>
        <w:t>productivo y su facilidad de</w:t>
      </w:r>
      <w:r>
        <w:rPr>
          <w:spacing w:val="-14"/>
        </w:rPr>
        <w:t> </w:t>
      </w:r>
      <w:r>
        <w:rPr/>
        <w:t>estimación.</w:t>
      </w:r>
    </w:p>
    <w:p>
      <w:pPr>
        <w:pStyle w:val="BodyText"/>
        <w:rPr>
          <w:sz w:val="22"/>
        </w:rPr>
      </w:pPr>
    </w:p>
    <w:p>
      <w:pPr>
        <w:pStyle w:val="BodyText"/>
        <w:spacing w:line="717" w:lineRule="auto" w:before="149"/>
        <w:ind w:left="923" w:right="251" w:hanging="802"/>
      </w:pPr>
      <w:r>
        <w:rPr/>
        <w:t>Bajo estos supuestos básicos la función de producción Cobb-Douglas toma la siguiente forma: Gráfica 01. Representación gráfica de la función de producción Cobb-Douglas</w:t>
      </w:r>
    </w:p>
    <w:p>
      <w:pPr>
        <w:pStyle w:val="BodyText"/>
        <w:spacing w:before="23"/>
        <w:ind w:right="1298"/>
        <w:jc w:val="center"/>
      </w:pPr>
      <w:r>
        <w:rPr/>
        <w:pict>
          <v:group style="position:absolute;margin-left:278.450012pt;margin-top:6.606308pt;width:143.15pt;height:138.050pt;mso-position-horizontal-relative:page;mso-position-vertical-relative:paragraph;z-index:-130120" coordorigin="5569,132" coordsize="2863,2761">
            <v:shape style="position:absolute;left:5569;top:132;width:2863;height:2761" coordorigin="5569,132" coordsize="2863,2761" path="m8432,2833l8422,2828,8312,2773,8312,2828,5634,2828,5634,252,5689,252,5679,232,5629,132,5569,252,5624,252,5624,2834,5627,2834,5627,2838,8312,2838,8312,2893,8422,2838,8432,2833e" filled="true" fillcolor="#000000" stroked="false">
              <v:path arrowok="t"/>
              <v:fill type="solid"/>
            </v:shape>
            <v:shape style="position:absolute;left:5639;top:910;width:2066;height:1925" coordorigin="5639,910" coordsize="2066,1925" path="m5639,2835l5668,2753,5698,2672,5727,2591,5757,2511,5787,2431,5818,2352,5849,2274,5880,2197,5912,2122,5945,2047,5978,1975,6012,1904,6047,1834,6083,1767,6120,1702,6158,1640,6197,1579,6238,1522,6280,1467,6323,1415,6368,1367,6414,1321,6761,1122,7188,995,7552,929,7705,910e" filled="false" stroked="true" strokeweight="1pt" strokecolor="#000000">
              <v:path arrowok="t"/>
            </v:shape>
            <v:shape style="position:absolute;left:5620;top:1463;width:681;height:1372" coordorigin="5620,1463" coordsize="681,1372" path="m6301,2835l6274,1463m6277,1469l5620,1479e" filled="false" stroked="true" strokeweight=".5pt" strokecolor="#000000">
              <v:path arrowok="t"/>
            </v:shape>
            <w10:wrap type="none"/>
          </v:group>
        </w:pict>
      </w:r>
      <w:r>
        <w:rPr>
          <w:w w:val="100"/>
        </w:rPr>
        <w:t>Y</w:t>
      </w:r>
    </w:p>
    <w:p>
      <w:pPr>
        <w:pStyle w:val="BodyText"/>
        <w:rPr>
          <w:sz w:val="22"/>
        </w:rPr>
      </w:pPr>
    </w:p>
    <w:p>
      <w:pPr>
        <w:pStyle w:val="BodyText"/>
        <w:rPr>
          <w:sz w:val="22"/>
        </w:rPr>
      </w:pPr>
    </w:p>
    <w:p>
      <w:pPr>
        <w:pStyle w:val="BodyText"/>
        <w:rPr>
          <w:sz w:val="22"/>
        </w:rPr>
      </w:pPr>
    </w:p>
    <w:p>
      <w:pPr>
        <w:pStyle w:val="BodyText"/>
        <w:tabs>
          <w:tab w:pos="6228" w:val="left" w:leader="none"/>
        </w:tabs>
        <w:spacing w:before="167"/>
        <w:ind w:left="3734"/>
      </w:pPr>
      <w:r>
        <w:rPr/>
        <w:t>Yo</w:t>
        <w:tab/>
        <w:t>F (A, K,</w:t>
      </w:r>
      <w:r>
        <w:rPr>
          <w:spacing w:val="-5"/>
        </w:rPr>
        <w:t> </w:t>
      </w:r>
      <w:r>
        <w:rPr/>
        <w:t>L)</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1"/>
        <w:rPr>
          <w:sz w:val="26"/>
        </w:rPr>
      </w:pPr>
    </w:p>
    <w:p>
      <w:pPr>
        <w:pStyle w:val="BodyText"/>
        <w:tabs>
          <w:tab w:pos="6864" w:val="left" w:leader="none"/>
        </w:tabs>
        <w:ind w:left="4716"/>
      </w:pPr>
      <w:r>
        <w:rPr/>
        <w:t>Ko</w:t>
        <w:tab/>
        <w:t>K,</w:t>
      </w:r>
      <w:r>
        <w:rPr>
          <w:spacing w:val="1"/>
        </w:rPr>
        <w:t> </w:t>
      </w:r>
      <w:r>
        <w:rPr/>
        <w:t>L</w:t>
      </w:r>
    </w:p>
    <w:p>
      <w:pPr>
        <w:pStyle w:val="BodyText"/>
        <w:spacing w:line="362" w:lineRule="auto" w:before="126"/>
        <w:ind w:left="122" w:right="116"/>
        <w:jc w:val="both"/>
      </w:pPr>
      <w:r>
        <w:rPr/>
        <w:t>La forma general de la función Cobb-Douglas puede escribirse como: </w:t>
      </w:r>
      <w:r>
        <w:rPr>
          <w:b/>
        </w:rPr>
        <w:t>Y=F (L, K) =A L</w:t>
      </w:r>
      <w:r>
        <w:rPr>
          <w:b/>
          <w:position w:val="8"/>
          <w:sz w:val="15"/>
        </w:rPr>
        <w:t>α</w:t>
      </w:r>
      <w:r>
        <w:rPr>
          <w:b/>
        </w:rPr>
        <w:t>K</w:t>
      </w:r>
      <w:r>
        <w:rPr>
          <w:b/>
          <w:position w:val="8"/>
          <w:sz w:val="15"/>
        </w:rPr>
        <w:t>β </w:t>
      </w:r>
      <w:r>
        <w:rPr/>
        <w:t>de forma que puede exhibir diferentes rendimientos a escala:</w:t>
      </w:r>
    </w:p>
    <w:p>
      <w:pPr>
        <w:pStyle w:val="BodyText"/>
        <w:spacing w:line="357" w:lineRule="auto" w:before="3"/>
        <w:ind w:left="122" w:right="116"/>
        <w:jc w:val="both"/>
      </w:pPr>
      <w:r>
        <w:rPr/>
        <w:t>Esto significa que si </w:t>
      </w:r>
      <w:r>
        <w:rPr>
          <w:b/>
        </w:rPr>
        <w:t>α +β &gt;1</w:t>
      </w:r>
      <w:r>
        <w:rPr>
          <w:rFonts w:ascii="Arial" w:hAnsi="Arial"/>
          <w:sz w:val="24"/>
        </w:rPr>
        <w:t>, </w:t>
      </w:r>
      <w:r>
        <w:rPr/>
        <w:t>los rendimientos son crecientes, mientras que si </w:t>
      </w:r>
      <w:r>
        <w:rPr>
          <w:b/>
        </w:rPr>
        <w:t>α +β &lt;1</w:t>
      </w:r>
      <w:r>
        <w:rPr/>
        <w:t>, estos rendimientos son decrecientes; y si </w:t>
      </w:r>
      <w:r>
        <w:rPr>
          <w:b/>
        </w:rPr>
        <w:t>α +β =1 </w:t>
      </w:r>
      <w:r>
        <w:rPr/>
        <w:t>existen rendimientos constantes a escala.</w:t>
      </w:r>
    </w:p>
    <w:p>
      <w:pPr>
        <w:pStyle w:val="BodyText"/>
        <w:spacing w:line="360" w:lineRule="auto" w:before="9"/>
        <w:ind w:left="122" w:right="120"/>
        <w:jc w:val="both"/>
      </w:pPr>
      <w:r>
        <w:rPr/>
        <w:t>Para la estimación del modelo por m.c.o. hay que partir de una función líneal en los parámetros. Dado</w:t>
      </w:r>
      <w:r>
        <w:rPr>
          <w:spacing w:val="-12"/>
        </w:rPr>
        <w:t> </w:t>
      </w:r>
      <w:r>
        <w:rPr/>
        <w:t>que</w:t>
      </w:r>
      <w:r>
        <w:rPr>
          <w:spacing w:val="-11"/>
        </w:rPr>
        <w:t> </w:t>
      </w:r>
      <w:r>
        <w:rPr/>
        <w:t>la</w:t>
      </w:r>
      <w:r>
        <w:rPr>
          <w:spacing w:val="-11"/>
        </w:rPr>
        <w:t> </w:t>
      </w:r>
      <w:r>
        <w:rPr/>
        <w:t>función</w:t>
      </w:r>
      <w:r>
        <w:rPr>
          <w:spacing w:val="-12"/>
        </w:rPr>
        <w:t> </w:t>
      </w:r>
      <w:r>
        <w:rPr/>
        <w:t>de</w:t>
      </w:r>
      <w:r>
        <w:rPr>
          <w:spacing w:val="-14"/>
        </w:rPr>
        <w:t> </w:t>
      </w:r>
      <w:r>
        <w:rPr/>
        <w:t>producción</w:t>
      </w:r>
      <w:r>
        <w:rPr>
          <w:spacing w:val="-12"/>
        </w:rPr>
        <w:t> </w:t>
      </w:r>
      <w:r>
        <w:rPr/>
        <w:t>Cobb-Douglas</w:t>
      </w:r>
      <w:r>
        <w:rPr>
          <w:spacing w:val="-13"/>
        </w:rPr>
        <w:t> </w:t>
      </w:r>
      <w:r>
        <w:rPr/>
        <w:t>no</w:t>
      </w:r>
      <w:r>
        <w:rPr>
          <w:spacing w:val="-12"/>
        </w:rPr>
        <w:t> </w:t>
      </w:r>
      <w:r>
        <w:rPr/>
        <w:t>cumple</w:t>
      </w:r>
      <w:r>
        <w:rPr>
          <w:spacing w:val="-11"/>
        </w:rPr>
        <w:t> </w:t>
      </w:r>
      <w:r>
        <w:rPr/>
        <w:t>esta</w:t>
      </w:r>
      <w:r>
        <w:rPr>
          <w:spacing w:val="-11"/>
        </w:rPr>
        <w:t> </w:t>
      </w:r>
      <w:r>
        <w:rPr/>
        <w:t>condición</w:t>
      </w:r>
      <w:r>
        <w:rPr>
          <w:spacing w:val="-12"/>
        </w:rPr>
        <w:t> </w:t>
      </w:r>
      <w:r>
        <w:rPr/>
        <w:t>es</w:t>
      </w:r>
      <w:r>
        <w:rPr>
          <w:spacing w:val="-15"/>
        </w:rPr>
        <w:t> </w:t>
      </w:r>
      <w:r>
        <w:rPr/>
        <w:t>necesario</w:t>
      </w:r>
      <w:r>
        <w:rPr>
          <w:spacing w:val="-12"/>
        </w:rPr>
        <w:t> </w:t>
      </w:r>
      <w:r>
        <w:rPr/>
        <w:t>realizar un proceso de linealización. La transformación más usual es tomar logaritmos en la</w:t>
      </w:r>
      <w:r>
        <w:rPr>
          <w:spacing w:val="-29"/>
        </w:rPr>
        <w:t> </w:t>
      </w:r>
      <w:r>
        <w:rPr/>
        <w:t>función.</w:t>
      </w:r>
    </w:p>
    <w:p>
      <w:pPr>
        <w:spacing w:line="271" w:lineRule="exact" w:before="0"/>
        <w:ind w:left="122" w:right="0" w:firstLine="0"/>
        <w:jc w:val="both"/>
        <w:rPr>
          <w:sz w:val="23"/>
        </w:rPr>
      </w:pPr>
      <w:r>
        <w:rPr>
          <w:b/>
          <w:position w:val="2"/>
          <w:sz w:val="23"/>
        </w:rPr>
        <w:t>Y</w:t>
      </w:r>
      <w:r>
        <w:rPr>
          <w:b/>
          <w:sz w:val="15"/>
        </w:rPr>
        <w:t>t </w:t>
      </w:r>
      <w:r>
        <w:rPr>
          <w:b/>
          <w:position w:val="2"/>
          <w:sz w:val="23"/>
        </w:rPr>
        <w:t>= AK</w:t>
      </w:r>
      <w:r>
        <w:rPr>
          <w:b/>
          <w:sz w:val="15"/>
        </w:rPr>
        <w:t>t</w:t>
      </w:r>
      <w:r>
        <w:rPr>
          <w:b/>
          <w:position w:val="10"/>
          <w:sz w:val="15"/>
        </w:rPr>
        <w:t>α </w:t>
      </w:r>
      <w:r>
        <w:rPr>
          <w:b/>
          <w:position w:val="2"/>
          <w:sz w:val="23"/>
        </w:rPr>
        <w:t>L</w:t>
      </w:r>
      <w:r>
        <w:rPr>
          <w:b/>
          <w:sz w:val="15"/>
        </w:rPr>
        <w:t>t</w:t>
      </w:r>
      <w:r>
        <w:rPr>
          <w:b/>
          <w:position w:val="10"/>
          <w:sz w:val="15"/>
        </w:rPr>
        <w:t>β</w:t>
      </w:r>
      <w:r>
        <w:rPr>
          <w:position w:val="2"/>
          <w:sz w:val="23"/>
        </w:rPr>
        <w:t>; donde 0 &lt; α, β &lt; 1</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4"/>
        </w:rPr>
      </w:pPr>
      <w:r>
        <w:rPr/>
        <w:pict>
          <v:line style="position:absolute;mso-position-horizontal-relative:page;mso-position-vertical-relative:paragraph;z-index:2368;mso-wrap-distance-left:0;mso-wrap-distance-right:0" from="85.103996pt,10.455589pt" to="525.960017pt,10.455589pt" stroked="true" strokeweight=".36pt" strokecolor="#000000">
            <w10:wrap type="topAndBottom"/>
          </v:line>
        </w:pict>
      </w:r>
    </w:p>
    <w:p>
      <w:pPr>
        <w:tabs>
          <w:tab w:pos="4003" w:val="left" w:leader="none"/>
          <w:tab w:pos="8240" w:val="left" w:leader="none"/>
        </w:tabs>
        <w:spacing w:line="360" w:lineRule="auto" w:before="75" w:after="18"/>
        <w:ind w:left="122" w:right="123" w:firstLine="0"/>
        <w:jc w:val="center"/>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26 Estimación de una función de producción de bovinos carne en sistema extensivo en el sur del Estado de</w:t>
      </w:r>
      <w:r>
        <w:rPr>
          <w:spacing w:val="-26"/>
          <w:sz w:val="18"/>
        </w:rPr>
        <w:t> </w:t>
      </w:r>
      <w:r>
        <w:rPr>
          <w:sz w:val="18"/>
        </w:rPr>
        <w:t>México</w:t>
      </w: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pStyle w:val="BodyText"/>
        <w:rPr>
          <w:sz w:val="18"/>
        </w:rPr>
      </w:pPr>
    </w:p>
    <w:p>
      <w:pPr>
        <w:pStyle w:val="BodyText"/>
        <w:spacing w:before="9"/>
        <w:rPr>
          <w:sz w:val="26"/>
        </w:rPr>
      </w:pPr>
    </w:p>
    <w:p>
      <w:pPr>
        <w:pStyle w:val="BodyText"/>
        <w:spacing w:line="362" w:lineRule="auto" w:before="1"/>
        <w:jc w:val="center"/>
      </w:pPr>
      <w:r>
        <w:rPr/>
        <w:t>Las funciones de producción establecen, básicamente, relaciones entre combinaciones de ciertos insumos relevantes con producción generada por éstos (Bichara, 1990). Existen tres clases de</w:t>
      </w:r>
    </w:p>
    <w:p>
      <w:pPr>
        <w:spacing w:after="0" w:line="362" w:lineRule="auto"/>
        <w:jc w:val="center"/>
        <w:sectPr>
          <w:headerReference w:type="default" r:id="rId74"/>
          <w:footerReference w:type="default" r:id="rId75"/>
          <w:pgSz w:w="12240" w:h="15840"/>
          <w:pgMar w:header="0" w:footer="0" w:top="1360" w:bottom="280" w:left="1580" w:right="1580"/>
        </w:sectPr>
      </w:pPr>
    </w:p>
    <w:p>
      <w:pPr>
        <w:pStyle w:val="BodyText"/>
        <w:spacing w:line="362" w:lineRule="auto" w:before="50"/>
        <w:ind w:left="122" w:right="128"/>
        <w:jc w:val="both"/>
      </w:pPr>
      <w:r>
        <w:rPr/>
        <w:t>métodos para encontrar el tipo de relación existente entre las variables utilizadas en la función de producción.</w:t>
      </w:r>
    </w:p>
    <w:p>
      <w:pPr>
        <w:pStyle w:val="ListParagraph"/>
        <w:numPr>
          <w:ilvl w:val="0"/>
          <w:numId w:val="6"/>
        </w:numPr>
        <w:tabs>
          <w:tab w:pos="372" w:val="left" w:leader="none"/>
        </w:tabs>
        <w:spacing w:line="240" w:lineRule="auto" w:before="1" w:after="0"/>
        <w:ind w:left="371" w:right="0" w:hanging="249"/>
        <w:jc w:val="both"/>
        <w:rPr>
          <w:sz w:val="23"/>
        </w:rPr>
      </w:pPr>
      <w:r>
        <w:rPr>
          <w:sz w:val="23"/>
        </w:rPr>
        <w:t>Método de series de</w:t>
      </w:r>
      <w:r>
        <w:rPr>
          <w:spacing w:val="-8"/>
          <w:sz w:val="23"/>
        </w:rPr>
        <w:t> </w:t>
      </w:r>
      <w:r>
        <w:rPr>
          <w:sz w:val="23"/>
        </w:rPr>
        <w:t>tiempo.</w:t>
      </w:r>
    </w:p>
    <w:p>
      <w:pPr>
        <w:pStyle w:val="BodyText"/>
        <w:spacing w:before="2"/>
        <w:rPr>
          <w:sz w:val="26"/>
        </w:rPr>
      </w:pPr>
    </w:p>
    <w:p>
      <w:pPr>
        <w:pStyle w:val="ListParagraph"/>
        <w:numPr>
          <w:ilvl w:val="0"/>
          <w:numId w:val="6"/>
        </w:numPr>
        <w:tabs>
          <w:tab w:pos="372" w:val="left" w:leader="none"/>
        </w:tabs>
        <w:spacing w:line="240" w:lineRule="auto" w:before="1" w:after="0"/>
        <w:ind w:left="371" w:right="0" w:hanging="249"/>
        <w:jc w:val="both"/>
        <w:rPr>
          <w:sz w:val="23"/>
        </w:rPr>
      </w:pPr>
      <w:r>
        <w:rPr>
          <w:sz w:val="23"/>
        </w:rPr>
        <w:t>Corte transversal o datos</w:t>
      </w:r>
      <w:r>
        <w:rPr>
          <w:spacing w:val="-13"/>
          <w:sz w:val="23"/>
        </w:rPr>
        <w:t> </w:t>
      </w:r>
      <w:r>
        <w:rPr>
          <w:sz w:val="23"/>
        </w:rPr>
        <w:t>atemporales.</w:t>
      </w:r>
    </w:p>
    <w:p>
      <w:pPr>
        <w:pStyle w:val="BodyText"/>
        <w:spacing w:before="2"/>
        <w:rPr>
          <w:sz w:val="26"/>
        </w:rPr>
      </w:pPr>
    </w:p>
    <w:p>
      <w:pPr>
        <w:pStyle w:val="ListParagraph"/>
        <w:numPr>
          <w:ilvl w:val="0"/>
          <w:numId w:val="6"/>
        </w:numPr>
        <w:tabs>
          <w:tab w:pos="372" w:val="left" w:leader="none"/>
        </w:tabs>
        <w:spacing w:line="240" w:lineRule="auto" w:before="1" w:after="0"/>
        <w:ind w:left="371" w:right="0" w:hanging="249"/>
        <w:jc w:val="both"/>
        <w:rPr>
          <w:sz w:val="23"/>
        </w:rPr>
      </w:pPr>
      <w:r>
        <w:rPr>
          <w:sz w:val="23"/>
        </w:rPr>
        <w:t>Por experimentación</w:t>
      </w:r>
      <w:r>
        <w:rPr>
          <w:spacing w:val="-11"/>
          <w:sz w:val="23"/>
        </w:rPr>
        <w:t> </w:t>
      </w:r>
      <w:r>
        <w:rPr>
          <w:sz w:val="23"/>
        </w:rPr>
        <w:t>controlada.</w:t>
      </w:r>
    </w:p>
    <w:p>
      <w:pPr>
        <w:pStyle w:val="BodyText"/>
        <w:rPr>
          <w:sz w:val="22"/>
        </w:rPr>
      </w:pPr>
    </w:p>
    <w:p>
      <w:pPr>
        <w:pStyle w:val="BodyText"/>
        <w:rPr>
          <w:sz w:val="24"/>
        </w:rPr>
      </w:pPr>
    </w:p>
    <w:p>
      <w:pPr>
        <w:pStyle w:val="BodyText"/>
        <w:spacing w:line="360" w:lineRule="auto" w:before="1"/>
        <w:ind w:left="122" w:right="115"/>
        <w:jc w:val="both"/>
      </w:pPr>
      <w:r>
        <w:rPr/>
        <w:t>El</w:t>
      </w:r>
      <w:r>
        <w:rPr>
          <w:spacing w:val="-15"/>
        </w:rPr>
        <w:t> </w:t>
      </w:r>
      <w:r>
        <w:rPr/>
        <w:t>primer</w:t>
      </w:r>
      <w:r>
        <w:rPr>
          <w:spacing w:val="-15"/>
        </w:rPr>
        <w:t> </w:t>
      </w:r>
      <w:r>
        <w:rPr/>
        <w:t>método</w:t>
      </w:r>
      <w:r>
        <w:rPr>
          <w:spacing w:val="-17"/>
        </w:rPr>
        <w:t> </w:t>
      </w:r>
      <w:r>
        <w:rPr/>
        <w:t>está</w:t>
      </w:r>
      <w:r>
        <w:rPr>
          <w:spacing w:val="-15"/>
        </w:rPr>
        <w:t> </w:t>
      </w:r>
      <w:r>
        <w:rPr/>
        <w:t>basado</w:t>
      </w:r>
      <w:r>
        <w:rPr>
          <w:spacing w:val="-15"/>
        </w:rPr>
        <w:t> </w:t>
      </w:r>
      <w:r>
        <w:rPr/>
        <w:t>en</w:t>
      </w:r>
      <w:r>
        <w:rPr>
          <w:spacing w:val="-15"/>
        </w:rPr>
        <w:t> </w:t>
      </w:r>
      <w:r>
        <w:rPr/>
        <w:t>un</w:t>
      </w:r>
      <w:r>
        <w:rPr>
          <w:spacing w:val="-17"/>
        </w:rPr>
        <w:t> </w:t>
      </w:r>
      <w:r>
        <w:rPr/>
        <w:t>análisis</w:t>
      </w:r>
      <w:r>
        <w:rPr>
          <w:spacing w:val="-18"/>
        </w:rPr>
        <w:t> </w:t>
      </w:r>
      <w:r>
        <w:rPr/>
        <w:t>estadístico</w:t>
      </w:r>
      <w:r>
        <w:rPr>
          <w:spacing w:val="-15"/>
        </w:rPr>
        <w:t> </w:t>
      </w:r>
      <w:r>
        <w:rPr/>
        <w:t>de</w:t>
      </w:r>
      <w:r>
        <w:rPr>
          <w:spacing w:val="-15"/>
        </w:rPr>
        <w:t> </w:t>
      </w:r>
      <w:r>
        <w:rPr/>
        <w:t>datos</w:t>
      </w:r>
      <w:r>
        <w:rPr>
          <w:spacing w:val="-18"/>
        </w:rPr>
        <w:t> </w:t>
      </w:r>
      <w:r>
        <w:rPr/>
        <w:t>en</w:t>
      </w:r>
      <w:r>
        <w:rPr>
          <w:spacing w:val="-15"/>
        </w:rPr>
        <w:t> </w:t>
      </w:r>
      <w:r>
        <w:rPr/>
        <w:t>el</w:t>
      </w:r>
      <w:r>
        <w:rPr>
          <w:spacing w:val="-15"/>
        </w:rPr>
        <w:t> </w:t>
      </w:r>
      <w:r>
        <w:rPr/>
        <w:t>tiempo,</w:t>
      </w:r>
      <w:r>
        <w:rPr>
          <w:spacing w:val="-15"/>
        </w:rPr>
        <w:t> </w:t>
      </w:r>
      <w:r>
        <w:rPr/>
        <w:t>para</w:t>
      </w:r>
      <w:r>
        <w:rPr>
          <w:spacing w:val="-15"/>
        </w:rPr>
        <w:t> </w:t>
      </w:r>
      <w:r>
        <w:rPr/>
        <w:t>varios</w:t>
      </w:r>
      <w:r>
        <w:rPr>
          <w:spacing w:val="-16"/>
        </w:rPr>
        <w:t> </w:t>
      </w:r>
      <w:r>
        <w:rPr/>
        <w:t>insumos utilizados,</w:t>
      </w:r>
      <w:r>
        <w:rPr>
          <w:spacing w:val="-7"/>
        </w:rPr>
        <w:t> </w:t>
      </w:r>
      <w:r>
        <w:rPr/>
        <w:t>y</w:t>
      </w:r>
      <w:r>
        <w:rPr>
          <w:spacing w:val="-14"/>
        </w:rPr>
        <w:t> </w:t>
      </w:r>
      <w:r>
        <w:rPr/>
        <w:t>la</w:t>
      </w:r>
      <w:r>
        <w:rPr>
          <w:spacing w:val="-9"/>
        </w:rPr>
        <w:t> </w:t>
      </w:r>
      <w:r>
        <w:rPr/>
        <w:t>producción</w:t>
      </w:r>
      <w:r>
        <w:rPr>
          <w:spacing w:val="-12"/>
        </w:rPr>
        <w:t> </w:t>
      </w:r>
      <w:r>
        <w:rPr/>
        <w:t>generada</w:t>
      </w:r>
      <w:r>
        <w:rPr>
          <w:spacing w:val="-9"/>
        </w:rPr>
        <w:t> </w:t>
      </w:r>
      <w:r>
        <w:rPr/>
        <w:t>en</w:t>
      </w:r>
      <w:r>
        <w:rPr>
          <w:spacing w:val="-10"/>
        </w:rPr>
        <w:t> </w:t>
      </w:r>
      <w:r>
        <w:rPr/>
        <w:t>cada</w:t>
      </w:r>
      <w:r>
        <w:rPr>
          <w:spacing w:val="-9"/>
        </w:rPr>
        <w:t> </w:t>
      </w:r>
      <w:r>
        <w:rPr/>
        <w:t>una</w:t>
      </w:r>
      <w:r>
        <w:rPr>
          <w:spacing w:val="-9"/>
        </w:rPr>
        <w:t> </w:t>
      </w:r>
      <w:r>
        <w:rPr/>
        <w:t>de</w:t>
      </w:r>
      <w:r>
        <w:rPr>
          <w:spacing w:val="-9"/>
        </w:rPr>
        <w:t> </w:t>
      </w:r>
      <w:r>
        <w:rPr/>
        <w:t>las</w:t>
      </w:r>
      <w:r>
        <w:rPr>
          <w:spacing w:val="-10"/>
        </w:rPr>
        <w:t> </w:t>
      </w:r>
      <w:r>
        <w:rPr/>
        <w:t>observaciones</w:t>
      </w:r>
      <w:r>
        <w:rPr>
          <w:spacing w:val="-10"/>
        </w:rPr>
        <w:t> </w:t>
      </w:r>
      <w:r>
        <w:rPr/>
        <w:t>del</w:t>
      </w:r>
      <w:r>
        <w:rPr>
          <w:spacing w:val="-9"/>
        </w:rPr>
        <w:t> </w:t>
      </w:r>
      <w:r>
        <w:rPr/>
        <w:t>periodo</w:t>
      </w:r>
      <w:r>
        <w:rPr>
          <w:spacing w:val="-10"/>
        </w:rPr>
        <w:t> </w:t>
      </w:r>
      <w:r>
        <w:rPr/>
        <w:t>de</w:t>
      </w:r>
      <w:r>
        <w:rPr>
          <w:spacing w:val="-9"/>
        </w:rPr>
        <w:t> </w:t>
      </w:r>
      <w:r>
        <w:rPr/>
        <w:t>tiempo</w:t>
      </w:r>
      <w:r>
        <w:rPr>
          <w:spacing w:val="-10"/>
        </w:rPr>
        <w:t> </w:t>
      </w:r>
      <w:r>
        <w:rPr/>
        <w:t>bajo estudio. El segundo método mencionado es un análisis estadístico que relaciona las variables tomando observaciones en un momento definido del tiempo. El último método puede ser utilizado para observaciones temporales o atemporales, con la diferencia de que la información se obtiene mediante experimentos sujetos a</w:t>
      </w:r>
      <w:r>
        <w:rPr>
          <w:spacing w:val="-20"/>
        </w:rPr>
        <w:t> </w:t>
      </w:r>
      <w:r>
        <w:rPr/>
        <w:t>control.</w:t>
      </w:r>
    </w:p>
    <w:p>
      <w:pPr>
        <w:pStyle w:val="BodyText"/>
        <w:rPr>
          <w:sz w:val="22"/>
        </w:rPr>
      </w:pPr>
    </w:p>
    <w:p>
      <w:pPr>
        <w:pStyle w:val="BodyText"/>
        <w:spacing w:line="360" w:lineRule="auto" w:before="149"/>
        <w:ind w:left="122" w:right="117"/>
        <w:jc w:val="both"/>
      </w:pPr>
      <w:r>
        <w:rPr/>
        <w:t>Por lo mismo, el método de experimentación controlada es el único en el cual se cumple el supuesto de modelo de regresión lineal que considera a variables independientes como no estocásticas. De manera general, la función de producción es un modelo que se utiliza para analizar la relación entre los insumos empleados en un proceso productivo y el producto final, además</w:t>
      </w:r>
      <w:r>
        <w:rPr>
          <w:spacing w:val="-9"/>
        </w:rPr>
        <w:t> </w:t>
      </w:r>
      <w:r>
        <w:rPr/>
        <w:t>describe</w:t>
      </w:r>
      <w:r>
        <w:rPr>
          <w:spacing w:val="-9"/>
        </w:rPr>
        <w:t> </w:t>
      </w:r>
      <w:r>
        <w:rPr/>
        <w:t>la</w:t>
      </w:r>
      <w:r>
        <w:rPr>
          <w:spacing w:val="-9"/>
        </w:rPr>
        <w:t> </w:t>
      </w:r>
      <w:r>
        <w:rPr/>
        <w:t>tasa</w:t>
      </w:r>
      <w:r>
        <w:rPr>
          <w:spacing w:val="-9"/>
        </w:rPr>
        <w:t> </w:t>
      </w:r>
      <w:r>
        <w:rPr/>
        <w:t>a</w:t>
      </w:r>
      <w:r>
        <w:rPr>
          <w:spacing w:val="-9"/>
        </w:rPr>
        <w:t> </w:t>
      </w:r>
      <w:r>
        <w:rPr/>
        <w:t>la</w:t>
      </w:r>
      <w:r>
        <w:rPr>
          <w:spacing w:val="-9"/>
        </w:rPr>
        <w:t> </w:t>
      </w:r>
      <w:r>
        <w:rPr/>
        <w:t>cual</w:t>
      </w:r>
      <w:r>
        <w:rPr>
          <w:spacing w:val="-9"/>
        </w:rPr>
        <w:t> </w:t>
      </w:r>
      <w:r>
        <w:rPr/>
        <w:t>los</w:t>
      </w:r>
      <w:r>
        <w:rPr>
          <w:spacing w:val="-9"/>
        </w:rPr>
        <w:t> </w:t>
      </w:r>
      <w:r>
        <w:rPr/>
        <w:t>recursos</w:t>
      </w:r>
      <w:r>
        <w:rPr>
          <w:spacing w:val="-9"/>
        </w:rPr>
        <w:t> </w:t>
      </w:r>
      <w:r>
        <w:rPr/>
        <w:t>son</w:t>
      </w:r>
      <w:r>
        <w:rPr>
          <w:spacing w:val="-9"/>
        </w:rPr>
        <w:t> </w:t>
      </w:r>
      <w:r>
        <w:rPr/>
        <w:t>transformados</w:t>
      </w:r>
      <w:r>
        <w:rPr>
          <w:spacing w:val="-9"/>
        </w:rPr>
        <w:t> </w:t>
      </w:r>
      <w:r>
        <w:rPr/>
        <w:t>en</w:t>
      </w:r>
      <w:r>
        <w:rPr>
          <w:spacing w:val="-9"/>
        </w:rPr>
        <w:t> </w:t>
      </w:r>
      <w:r>
        <w:rPr/>
        <w:t>un</w:t>
      </w:r>
      <w:r>
        <w:rPr>
          <w:spacing w:val="-9"/>
        </w:rPr>
        <w:t> </w:t>
      </w:r>
      <w:r>
        <w:rPr/>
        <w:t>producto.</w:t>
      </w:r>
      <w:r>
        <w:rPr>
          <w:spacing w:val="-9"/>
        </w:rPr>
        <w:t> </w:t>
      </w:r>
      <w:r>
        <w:rPr/>
        <w:t>Simbólicamente </w:t>
      </w:r>
      <w:r>
        <w:rPr>
          <w:position w:val="2"/>
        </w:rPr>
        <w:t>puede ser escrita de la siguiente manera (Romo, 1990): Y= F(X</w:t>
      </w:r>
      <w:r>
        <w:rPr>
          <w:sz w:val="15"/>
        </w:rPr>
        <w:t>1</w:t>
      </w:r>
      <w:r>
        <w:rPr>
          <w:position w:val="2"/>
        </w:rPr>
        <w:t>, X</w:t>
      </w:r>
      <w:r>
        <w:rPr>
          <w:sz w:val="15"/>
        </w:rPr>
        <w:t>2</w:t>
      </w:r>
      <w:r>
        <w:rPr>
          <w:position w:val="2"/>
        </w:rPr>
        <w:t>,…, X</w:t>
      </w:r>
      <w:r>
        <w:rPr>
          <w:sz w:val="15"/>
        </w:rPr>
        <w:t>n</w:t>
      </w:r>
      <w:r>
        <w:rPr>
          <w:position w:val="2"/>
        </w:rPr>
        <w:t>),</w:t>
      </w:r>
      <w:r>
        <w:rPr>
          <w:spacing w:val="-20"/>
          <w:position w:val="2"/>
        </w:rPr>
        <w:t> </w:t>
      </w:r>
      <w:r>
        <w:rPr>
          <w:position w:val="2"/>
        </w:rPr>
        <w:t>donde:</w:t>
      </w:r>
    </w:p>
    <w:p>
      <w:pPr>
        <w:pStyle w:val="BodyText"/>
        <w:spacing w:before="3"/>
        <w:ind w:left="122"/>
        <w:jc w:val="both"/>
      </w:pPr>
      <w:r>
        <w:rPr/>
        <w:t>Y: es el producto</w:t>
      </w:r>
    </w:p>
    <w:p>
      <w:pPr>
        <w:pStyle w:val="BodyText"/>
        <w:spacing w:before="130"/>
        <w:ind w:left="122"/>
        <w:jc w:val="both"/>
      </w:pPr>
      <w:r>
        <w:rPr>
          <w:position w:val="2"/>
        </w:rPr>
        <w:t>X</w:t>
      </w:r>
      <w:r>
        <w:rPr>
          <w:sz w:val="15"/>
        </w:rPr>
        <w:t>i</w:t>
      </w:r>
      <w:r>
        <w:rPr>
          <w:position w:val="2"/>
        </w:rPr>
        <w:t>: los diferentes insumos considerados, con i = 1,…, n.</w:t>
      </w:r>
    </w:p>
    <w:p>
      <w:pPr>
        <w:pStyle w:val="BodyText"/>
        <w:rPr>
          <w:sz w:val="22"/>
        </w:rPr>
      </w:pPr>
    </w:p>
    <w:p>
      <w:pPr>
        <w:pStyle w:val="BodyText"/>
        <w:spacing w:before="10"/>
      </w:pPr>
    </w:p>
    <w:p>
      <w:pPr>
        <w:pStyle w:val="BodyText"/>
        <w:spacing w:line="360" w:lineRule="auto"/>
        <w:ind w:left="122" w:right="126"/>
        <w:jc w:val="both"/>
      </w:pPr>
      <w:r>
        <w:rPr/>
        <w:t>Se supone además, que la función es continua y univoca, cuya primera y segunda derivadas existen y también son continuas.</w:t>
      </w:r>
    </w:p>
    <w:p>
      <w:pPr>
        <w:pStyle w:val="BodyText"/>
        <w:rPr>
          <w:sz w:val="20"/>
        </w:rPr>
      </w:pPr>
    </w:p>
    <w:p>
      <w:pPr>
        <w:pStyle w:val="BodyText"/>
        <w:spacing w:before="1"/>
        <w:rPr>
          <w:sz w:val="29"/>
        </w:rPr>
      </w:pPr>
      <w:r>
        <w:rPr/>
        <w:pict>
          <v:line style="position:absolute;mso-position-horizontal-relative:page;mso-position-vertical-relative:paragraph;z-index:2440;mso-wrap-distance-left:0;mso-wrap-distance-right:0" from="85.103996pt,18.879753pt" to="525.960017pt,18.879753pt" stroked="true" strokeweight=".36pt" strokecolor="#000000">
            <w10:wrap type="topAndBottom"/>
          </v:line>
        </w:pict>
      </w:r>
    </w:p>
    <w:p>
      <w:pPr>
        <w:tabs>
          <w:tab w:pos="4003" w:val="left" w:leader="none"/>
          <w:tab w:pos="8240" w:val="left" w:leader="none"/>
        </w:tabs>
        <w:spacing w:line="360" w:lineRule="auto" w:before="73" w:after="18"/>
        <w:ind w:left="510" w:right="123" w:hanging="389"/>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27 Estimación de una función de producción de bovinos carne en sistema extensivo en el sur del Estado de</w:t>
      </w:r>
      <w:r>
        <w:rPr>
          <w:spacing w:val="-26"/>
          <w:sz w:val="18"/>
        </w:rPr>
        <w:t> </w:t>
      </w:r>
      <w:r>
        <w:rPr>
          <w:sz w:val="18"/>
        </w:rPr>
        <w:t>México</w:t>
      </w: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pStyle w:val="BodyText"/>
        <w:rPr>
          <w:sz w:val="18"/>
        </w:rPr>
      </w:pPr>
    </w:p>
    <w:p>
      <w:pPr>
        <w:pStyle w:val="BodyText"/>
        <w:rPr>
          <w:sz w:val="18"/>
        </w:rPr>
      </w:pPr>
    </w:p>
    <w:p>
      <w:pPr>
        <w:pStyle w:val="BodyText"/>
        <w:spacing w:line="345" w:lineRule="auto" w:before="104"/>
        <w:ind w:left="122"/>
      </w:pPr>
      <w:r>
        <w:rPr/>
        <w:t>Una</w:t>
      </w:r>
      <w:r>
        <w:rPr>
          <w:spacing w:val="-9"/>
        </w:rPr>
        <w:t> </w:t>
      </w:r>
      <w:r>
        <w:rPr/>
        <w:t>forma</w:t>
      </w:r>
      <w:r>
        <w:rPr>
          <w:spacing w:val="-9"/>
        </w:rPr>
        <w:t> </w:t>
      </w:r>
      <w:r>
        <w:rPr/>
        <w:t>específica</w:t>
      </w:r>
      <w:r>
        <w:rPr>
          <w:spacing w:val="-9"/>
        </w:rPr>
        <w:t> </w:t>
      </w:r>
      <w:r>
        <w:rPr/>
        <w:t>de</w:t>
      </w:r>
      <w:r>
        <w:rPr>
          <w:spacing w:val="-11"/>
        </w:rPr>
        <w:t> </w:t>
      </w:r>
      <w:r>
        <w:rPr/>
        <w:t>la</w:t>
      </w:r>
      <w:r>
        <w:rPr>
          <w:spacing w:val="-11"/>
        </w:rPr>
        <w:t> </w:t>
      </w:r>
      <w:r>
        <w:rPr/>
        <w:t>relación</w:t>
      </w:r>
      <w:r>
        <w:rPr>
          <w:spacing w:val="-12"/>
        </w:rPr>
        <w:t> </w:t>
      </w:r>
      <w:r>
        <w:rPr/>
        <w:t>producto-insumos</w:t>
      </w:r>
      <w:r>
        <w:rPr>
          <w:spacing w:val="-10"/>
        </w:rPr>
        <w:t> </w:t>
      </w:r>
      <w:r>
        <w:rPr/>
        <w:t>se</w:t>
      </w:r>
      <w:r>
        <w:rPr>
          <w:spacing w:val="-9"/>
        </w:rPr>
        <w:t> </w:t>
      </w:r>
      <w:r>
        <w:rPr/>
        <w:t>puede</w:t>
      </w:r>
      <w:r>
        <w:rPr>
          <w:spacing w:val="-11"/>
        </w:rPr>
        <w:t> </w:t>
      </w:r>
      <w:r>
        <w:rPr/>
        <w:t>establecer</w:t>
      </w:r>
      <w:r>
        <w:rPr>
          <w:spacing w:val="-12"/>
        </w:rPr>
        <w:t> </w:t>
      </w:r>
      <w:r>
        <w:rPr/>
        <w:t>de</w:t>
      </w:r>
      <w:r>
        <w:rPr>
          <w:spacing w:val="-9"/>
        </w:rPr>
        <w:t> </w:t>
      </w:r>
      <w:r>
        <w:rPr/>
        <w:t>la</w:t>
      </w:r>
      <w:r>
        <w:rPr>
          <w:spacing w:val="-11"/>
        </w:rPr>
        <w:t> </w:t>
      </w:r>
      <w:r>
        <w:rPr/>
        <w:t>siguiente</w:t>
      </w:r>
      <w:r>
        <w:rPr>
          <w:spacing w:val="-11"/>
        </w:rPr>
        <w:t> </w:t>
      </w:r>
      <w:r>
        <w:rPr/>
        <w:t>manera </w:t>
      </w:r>
      <w:r>
        <w:rPr>
          <w:position w:val="2"/>
        </w:rPr>
        <w:t>(Bichara, 1990): Y= AX</w:t>
      </w:r>
      <w:r>
        <w:rPr>
          <w:sz w:val="15"/>
        </w:rPr>
        <w:t>1 </w:t>
      </w:r>
      <w:r>
        <w:rPr>
          <w:position w:val="11"/>
          <w:sz w:val="15"/>
        </w:rPr>
        <w:t>β1  </w:t>
      </w:r>
      <w:r>
        <w:rPr>
          <w:position w:val="2"/>
        </w:rPr>
        <w:t>X</w:t>
      </w:r>
      <w:r>
        <w:rPr>
          <w:sz w:val="15"/>
        </w:rPr>
        <w:t>2 </w:t>
      </w:r>
      <w:r>
        <w:rPr>
          <w:position w:val="11"/>
          <w:sz w:val="15"/>
        </w:rPr>
        <w:t>β2</w:t>
      </w:r>
      <w:r>
        <w:rPr>
          <w:position w:val="2"/>
        </w:rPr>
        <w:t>,…, X</w:t>
      </w:r>
      <w:r>
        <w:rPr>
          <w:sz w:val="15"/>
        </w:rPr>
        <w:t>n </w:t>
      </w:r>
      <w:r>
        <w:rPr>
          <w:position w:val="11"/>
          <w:sz w:val="15"/>
        </w:rPr>
        <w:t>βn   </w:t>
      </w:r>
      <w:r>
        <w:rPr>
          <w:spacing w:val="9"/>
          <w:position w:val="11"/>
          <w:sz w:val="15"/>
        </w:rPr>
        <w:t> </w:t>
      </w:r>
      <w:r>
        <w:rPr>
          <w:position w:val="2"/>
        </w:rPr>
        <w:t>(1)</w:t>
      </w:r>
    </w:p>
    <w:p>
      <w:pPr>
        <w:spacing w:after="0" w:line="345" w:lineRule="auto"/>
        <w:sectPr>
          <w:headerReference w:type="default" r:id="rId76"/>
          <w:footerReference w:type="default" r:id="rId77"/>
          <w:pgSz w:w="12240" w:h="15840"/>
          <w:pgMar w:header="0" w:footer="1663" w:top="1360" w:bottom="1860" w:left="1580" w:right="1580"/>
        </w:sectPr>
      </w:pPr>
    </w:p>
    <w:p>
      <w:pPr>
        <w:pStyle w:val="BodyText"/>
        <w:spacing w:before="50"/>
        <w:ind w:left="122"/>
        <w:jc w:val="both"/>
      </w:pPr>
      <w:r>
        <w:rPr/>
        <w:t>Y: es el producto</w:t>
      </w:r>
    </w:p>
    <w:p>
      <w:pPr>
        <w:pStyle w:val="BodyText"/>
        <w:spacing w:before="133"/>
        <w:ind w:left="122"/>
        <w:jc w:val="both"/>
      </w:pPr>
      <w:r>
        <w:rPr>
          <w:position w:val="2"/>
        </w:rPr>
        <w:t>X</w:t>
      </w:r>
      <w:r>
        <w:rPr>
          <w:sz w:val="15"/>
        </w:rPr>
        <w:t>i</w:t>
      </w:r>
      <w:r>
        <w:rPr>
          <w:position w:val="2"/>
        </w:rPr>
        <w:t>: los diferentes insumos considerados, con i = 1,…, n.</w:t>
      </w:r>
    </w:p>
    <w:p>
      <w:pPr>
        <w:pStyle w:val="BodyText"/>
        <w:spacing w:line="357" w:lineRule="auto" w:before="129"/>
        <w:ind w:left="122"/>
      </w:pPr>
      <w:r>
        <w:rPr/>
        <w:t>A: es un valor que viene determinado parcialmente por las unidades de medida de las variables </w:t>
      </w:r>
      <w:r>
        <w:rPr>
          <w:position w:val="2"/>
        </w:rPr>
        <w:t>consideradas (Y, X</w:t>
      </w:r>
      <w:r>
        <w:rPr>
          <w:sz w:val="15"/>
        </w:rPr>
        <w:t>1</w:t>
      </w:r>
      <w:r>
        <w:rPr>
          <w:position w:val="2"/>
        </w:rPr>
        <w:t>, X</w:t>
      </w:r>
      <w:r>
        <w:rPr>
          <w:sz w:val="15"/>
        </w:rPr>
        <w:t>2</w:t>
      </w:r>
      <w:r>
        <w:rPr>
          <w:position w:val="2"/>
        </w:rPr>
        <w:t>,…, X</w:t>
      </w:r>
      <w:r>
        <w:rPr>
          <w:sz w:val="15"/>
        </w:rPr>
        <w:t>n</w:t>
      </w:r>
      <w:r>
        <w:rPr>
          <w:position w:val="2"/>
        </w:rPr>
        <w:t>) y parcialmente por la eficiencia del proceso de producción.</w:t>
      </w:r>
    </w:p>
    <w:p>
      <w:pPr>
        <w:pStyle w:val="BodyText"/>
        <w:spacing w:line="360" w:lineRule="auto" w:before="5"/>
        <w:ind w:left="122" w:right="115"/>
        <w:jc w:val="both"/>
      </w:pPr>
      <w:r>
        <w:rPr>
          <w:position w:val="2"/>
        </w:rPr>
        <w:t>β</w:t>
      </w:r>
      <w:r>
        <w:rPr>
          <w:sz w:val="15"/>
        </w:rPr>
        <w:t>i</w:t>
      </w:r>
      <w:r>
        <w:rPr>
          <w:position w:val="2"/>
        </w:rPr>
        <w:t>: son los parámetros que representan el cambio porcentual en la producción al variar en uno </w:t>
      </w:r>
      <w:r>
        <w:rPr/>
        <w:t>porciento la cantidad del insumo correspondiente empleado, con i = 1,…, n. Trabajos desarrollados por investigadores han demostrado que, tomando únicamente un grupo reducido de insumos, éstos definen el valor del producto con un alto grado de exactitud.</w:t>
      </w:r>
    </w:p>
    <w:p>
      <w:pPr>
        <w:pStyle w:val="BodyText"/>
        <w:rPr>
          <w:sz w:val="22"/>
        </w:rPr>
      </w:pPr>
    </w:p>
    <w:p>
      <w:pPr>
        <w:pStyle w:val="BodyText"/>
        <w:tabs>
          <w:tab w:pos="4452" w:val="left" w:leader="none"/>
        </w:tabs>
        <w:spacing w:line="345" w:lineRule="auto" w:before="147"/>
        <w:ind w:left="122" w:right="125"/>
      </w:pPr>
      <w:r>
        <w:rPr/>
        <w:t>Suponiendo</w:t>
      </w:r>
      <w:r>
        <w:rPr>
          <w:spacing w:val="-12"/>
        </w:rPr>
        <w:t> </w:t>
      </w:r>
      <w:r>
        <w:rPr/>
        <w:t>el</w:t>
      </w:r>
      <w:r>
        <w:rPr>
          <w:spacing w:val="-12"/>
        </w:rPr>
        <w:t> </w:t>
      </w:r>
      <w:r>
        <w:rPr/>
        <w:t>caso</w:t>
      </w:r>
      <w:r>
        <w:rPr>
          <w:spacing w:val="-12"/>
        </w:rPr>
        <w:t> </w:t>
      </w:r>
      <w:r>
        <w:rPr/>
        <w:t>de</w:t>
      </w:r>
      <w:r>
        <w:rPr>
          <w:spacing w:val="-11"/>
        </w:rPr>
        <w:t> </w:t>
      </w:r>
      <w:r>
        <w:rPr/>
        <w:t>dos</w:t>
      </w:r>
      <w:r>
        <w:rPr>
          <w:spacing w:val="-13"/>
        </w:rPr>
        <w:t> </w:t>
      </w:r>
      <w:r>
        <w:rPr/>
        <w:t>factores,</w:t>
      </w:r>
      <w:r>
        <w:rPr>
          <w:spacing w:val="-12"/>
        </w:rPr>
        <w:t> </w:t>
      </w:r>
      <w:r>
        <w:rPr/>
        <w:t>este</w:t>
      </w:r>
      <w:r>
        <w:rPr>
          <w:spacing w:val="-11"/>
        </w:rPr>
        <w:t> </w:t>
      </w:r>
      <w:r>
        <w:rPr/>
        <w:t>tipo</w:t>
      </w:r>
      <w:r>
        <w:rPr>
          <w:spacing w:val="-12"/>
        </w:rPr>
        <w:t> </w:t>
      </w:r>
      <w:r>
        <w:rPr/>
        <w:t>de</w:t>
      </w:r>
      <w:r>
        <w:rPr>
          <w:spacing w:val="-11"/>
        </w:rPr>
        <w:t> </w:t>
      </w:r>
      <w:r>
        <w:rPr/>
        <w:t>función</w:t>
      </w:r>
      <w:r>
        <w:rPr>
          <w:spacing w:val="-12"/>
        </w:rPr>
        <w:t> </w:t>
      </w:r>
      <w:r>
        <w:rPr/>
        <w:t>quedaría</w:t>
      </w:r>
      <w:r>
        <w:rPr>
          <w:spacing w:val="-11"/>
        </w:rPr>
        <w:t> </w:t>
      </w:r>
      <w:r>
        <w:rPr/>
        <w:t>establecida</w:t>
      </w:r>
      <w:r>
        <w:rPr>
          <w:spacing w:val="-11"/>
        </w:rPr>
        <w:t> </w:t>
      </w:r>
      <w:r>
        <w:rPr/>
        <w:t>de</w:t>
      </w:r>
      <w:r>
        <w:rPr>
          <w:spacing w:val="-14"/>
        </w:rPr>
        <w:t> </w:t>
      </w:r>
      <w:r>
        <w:rPr/>
        <w:t>forma</w:t>
      </w:r>
      <w:r>
        <w:rPr>
          <w:spacing w:val="-11"/>
        </w:rPr>
        <w:t> </w:t>
      </w:r>
      <w:r>
        <w:rPr/>
        <w:t>algebraica de la siguiente manera: Y(K, L) = AK</w:t>
      </w:r>
      <w:r>
        <w:rPr>
          <w:position w:val="9"/>
          <w:sz w:val="15"/>
        </w:rPr>
        <w:t>β1</w:t>
      </w:r>
      <w:r>
        <w:rPr>
          <w:spacing w:val="14"/>
          <w:position w:val="9"/>
          <w:sz w:val="15"/>
        </w:rPr>
        <w:t> </w:t>
      </w:r>
      <w:r>
        <w:rPr/>
        <w:t>L</w:t>
      </w:r>
      <w:r>
        <w:rPr>
          <w:spacing w:val="-25"/>
        </w:rPr>
        <w:t> </w:t>
      </w:r>
      <w:r>
        <w:rPr>
          <w:position w:val="9"/>
          <w:sz w:val="15"/>
        </w:rPr>
        <w:t>β2</w:t>
        <w:tab/>
      </w:r>
      <w:r>
        <w:rPr/>
        <w:t>(2)</w:t>
      </w:r>
    </w:p>
    <w:p>
      <w:pPr>
        <w:pStyle w:val="BodyText"/>
        <w:spacing w:before="13"/>
        <w:ind w:left="122"/>
        <w:jc w:val="both"/>
      </w:pPr>
      <w:r>
        <w:rPr/>
        <w:t>Donde:</w:t>
      </w:r>
    </w:p>
    <w:p>
      <w:pPr>
        <w:pStyle w:val="BodyText"/>
        <w:spacing w:line="360" w:lineRule="auto" w:before="131"/>
        <w:ind w:left="122" w:right="6460"/>
      </w:pPr>
      <w:r>
        <w:rPr/>
        <w:t>Y: es el producto generado K: Es el capital invertido L: el trabajo empleado, y</w:t>
      </w:r>
    </w:p>
    <w:p>
      <w:pPr>
        <w:pStyle w:val="BodyText"/>
        <w:spacing w:before="3"/>
        <w:ind w:left="122"/>
        <w:jc w:val="both"/>
      </w:pPr>
      <w:r>
        <w:rPr>
          <w:position w:val="2"/>
        </w:rPr>
        <w:t>A y β</w:t>
      </w:r>
      <w:r>
        <w:rPr>
          <w:sz w:val="15"/>
        </w:rPr>
        <w:t>i </w:t>
      </w:r>
      <w:r>
        <w:rPr>
          <w:position w:val="2"/>
        </w:rPr>
        <w:t>expresan los mismos coeficientes dados por la función en (1), con i = 1, 2.</w:t>
      </w:r>
    </w:p>
    <w:p>
      <w:pPr>
        <w:pStyle w:val="BodyText"/>
        <w:rPr>
          <w:sz w:val="22"/>
        </w:rPr>
      </w:pPr>
    </w:p>
    <w:p>
      <w:pPr>
        <w:pStyle w:val="BodyText"/>
        <w:spacing w:before="10"/>
      </w:pPr>
    </w:p>
    <w:p>
      <w:pPr>
        <w:pStyle w:val="BodyText"/>
        <w:spacing w:line="360" w:lineRule="auto"/>
        <w:ind w:left="122"/>
      </w:pPr>
      <w:r>
        <w:rPr/>
        <w:t>Generalizando la fórmula anterior y cambiando las variables, matemáticamente, la función de producción de Cobb-Douglas tiene la siguiente forma (Castellanos, 2004):</w:t>
      </w:r>
    </w:p>
    <w:p>
      <w:pPr>
        <w:spacing w:line="271" w:lineRule="exact" w:before="0"/>
        <w:ind w:left="122" w:right="0" w:firstLine="0"/>
        <w:jc w:val="both"/>
        <w:rPr>
          <w:sz w:val="23"/>
        </w:rPr>
      </w:pPr>
      <w:r>
        <w:rPr>
          <w:position w:val="2"/>
          <w:sz w:val="23"/>
        </w:rPr>
        <w:t>Y= β</w:t>
      </w:r>
      <w:r>
        <w:rPr>
          <w:sz w:val="15"/>
        </w:rPr>
        <w:t>0</w:t>
      </w:r>
      <w:r>
        <w:rPr>
          <w:position w:val="2"/>
          <w:sz w:val="23"/>
        </w:rPr>
        <w:t>X</w:t>
      </w:r>
      <w:r>
        <w:rPr>
          <w:sz w:val="15"/>
        </w:rPr>
        <w:t>1</w:t>
      </w:r>
      <w:r>
        <w:rPr>
          <w:position w:val="11"/>
          <w:sz w:val="15"/>
        </w:rPr>
        <w:t>β1  </w:t>
      </w:r>
      <w:r>
        <w:rPr>
          <w:position w:val="2"/>
          <w:sz w:val="23"/>
        </w:rPr>
        <w:t>X</w:t>
      </w:r>
      <w:r>
        <w:rPr>
          <w:sz w:val="15"/>
        </w:rPr>
        <w:t>2</w:t>
      </w:r>
      <w:r>
        <w:rPr>
          <w:position w:val="11"/>
          <w:sz w:val="15"/>
        </w:rPr>
        <w:t>β2</w:t>
      </w:r>
      <w:r>
        <w:rPr>
          <w:position w:val="2"/>
          <w:sz w:val="23"/>
        </w:rPr>
        <w:t>,…, X</w:t>
      </w:r>
      <w:r>
        <w:rPr>
          <w:sz w:val="15"/>
        </w:rPr>
        <w:t>n </w:t>
      </w:r>
      <w:r>
        <w:rPr>
          <w:position w:val="11"/>
          <w:sz w:val="15"/>
        </w:rPr>
        <w:t>βn    </w:t>
      </w:r>
      <w:r>
        <w:rPr>
          <w:position w:val="2"/>
          <w:sz w:val="23"/>
        </w:rPr>
        <w:t>(3)</w:t>
      </w:r>
    </w:p>
    <w:p>
      <w:pPr>
        <w:pStyle w:val="BodyText"/>
        <w:spacing w:line="357" w:lineRule="auto" w:before="129"/>
        <w:ind w:left="122" w:right="115"/>
        <w:jc w:val="both"/>
      </w:pPr>
      <w:r>
        <w:rPr>
          <w:position w:val="2"/>
        </w:rPr>
        <w:t>Donde Y es un vector de dimensión n x 1 que denota la cantidad de producto obtenido, X= (X</w:t>
      </w:r>
      <w:r>
        <w:rPr>
          <w:sz w:val="15"/>
        </w:rPr>
        <w:t>1</w:t>
      </w:r>
      <w:r>
        <w:rPr>
          <w:position w:val="2"/>
        </w:rPr>
        <w:t>, X</w:t>
      </w:r>
      <w:r>
        <w:rPr>
          <w:sz w:val="15"/>
        </w:rPr>
        <w:t>2</w:t>
      </w:r>
      <w:r>
        <w:rPr>
          <w:position w:val="2"/>
        </w:rPr>
        <w:t>,…, X</w:t>
      </w:r>
      <w:r>
        <w:rPr>
          <w:sz w:val="15"/>
        </w:rPr>
        <w:t>n</w:t>
      </w:r>
      <w:r>
        <w:rPr>
          <w:position w:val="2"/>
        </w:rPr>
        <w:t>) un vector de n insumos y β = (β</w:t>
      </w:r>
      <w:r>
        <w:rPr>
          <w:sz w:val="15"/>
        </w:rPr>
        <w:t>0</w:t>
      </w:r>
      <w:r>
        <w:rPr>
          <w:position w:val="2"/>
        </w:rPr>
        <w:t>, β</w:t>
      </w:r>
      <w:r>
        <w:rPr>
          <w:sz w:val="15"/>
        </w:rPr>
        <w:t>1</w:t>
      </w:r>
      <w:r>
        <w:rPr>
          <w:position w:val="2"/>
        </w:rPr>
        <w:t>,…, β</w:t>
      </w:r>
      <w:r>
        <w:rPr>
          <w:sz w:val="15"/>
        </w:rPr>
        <w:t>n</w:t>
      </w:r>
      <w:r>
        <w:rPr>
          <w:position w:val="2"/>
        </w:rPr>
        <w:t>) un vector de n parámetros desconocidos. Así</w:t>
      </w:r>
      <w:r>
        <w:rPr>
          <w:spacing w:val="-15"/>
          <w:position w:val="2"/>
        </w:rPr>
        <w:t> </w:t>
      </w:r>
      <w:r>
        <w:rPr>
          <w:position w:val="2"/>
        </w:rPr>
        <w:t>puede</w:t>
      </w:r>
      <w:r>
        <w:rPr>
          <w:spacing w:val="-15"/>
          <w:position w:val="2"/>
        </w:rPr>
        <w:t> </w:t>
      </w:r>
      <w:r>
        <w:rPr>
          <w:position w:val="2"/>
        </w:rPr>
        <w:t>verse</w:t>
      </w:r>
      <w:r>
        <w:rPr>
          <w:spacing w:val="-15"/>
          <w:position w:val="2"/>
        </w:rPr>
        <w:t> </w:t>
      </w:r>
      <w:r>
        <w:rPr>
          <w:position w:val="2"/>
        </w:rPr>
        <w:t>que</w:t>
      </w:r>
      <w:r>
        <w:rPr>
          <w:spacing w:val="-15"/>
          <w:position w:val="2"/>
        </w:rPr>
        <w:t> </w:t>
      </w:r>
      <w:r>
        <w:rPr>
          <w:position w:val="2"/>
        </w:rPr>
        <w:t>si</w:t>
      </w:r>
      <w:r>
        <w:rPr>
          <w:spacing w:val="-14"/>
          <w:position w:val="2"/>
        </w:rPr>
        <w:t> </w:t>
      </w:r>
      <w:r>
        <w:rPr>
          <w:position w:val="2"/>
        </w:rPr>
        <w:t>(β</w:t>
      </w:r>
      <w:r>
        <w:rPr>
          <w:sz w:val="15"/>
        </w:rPr>
        <w:t>1</w:t>
      </w:r>
      <w:r>
        <w:rPr>
          <w:position w:val="2"/>
        </w:rPr>
        <w:t>+</w:t>
      </w:r>
      <w:r>
        <w:rPr>
          <w:spacing w:val="-16"/>
          <w:position w:val="2"/>
        </w:rPr>
        <w:t> </w:t>
      </w:r>
      <w:r>
        <w:rPr>
          <w:position w:val="2"/>
        </w:rPr>
        <w:t>β</w:t>
      </w:r>
      <w:r>
        <w:rPr>
          <w:sz w:val="15"/>
        </w:rPr>
        <w:t>2</w:t>
      </w:r>
      <w:r>
        <w:rPr>
          <w:spacing w:val="-9"/>
          <w:sz w:val="15"/>
        </w:rPr>
        <w:t> </w:t>
      </w:r>
      <w:r>
        <w:rPr>
          <w:position w:val="2"/>
        </w:rPr>
        <w:t>+,…,</w:t>
      </w:r>
      <w:r>
        <w:rPr>
          <w:spacing w:val="-16"/>
          <w:position w:val="2"/>
        </w:rPr>
        <w:t> </w:t>
      </w:r>
      <w:r>
        <w:rPr>
          <w:position w:val="2"/>
        </w:rPr>
        <w:t>+β</w:t>
      </w:r>
      <w:r>
        <w:rPr>
          <w:sz w:val="15"/>
        </w:rPr>
        <w:t>n</w:t>
      </w:r>
      <w:r>
        <w:rPr>
          <w:position w:val="2"/>
        </w:rPr>
        <w:t>)</w:t>
      </w:r>
      <w:r>
        <w:rPr>
          <w:spacing w:val="-16"/>
          <w:position w:val="2"/>
        </w:rPr>
        <w:t> </w:t>
      </w:r>
      <w:r>
        <w:rPr>
          <w:position w:val="2"/>
        </w:rPr>
        <w:t>=1</w:t>
      </w:r>
      <w:r>
        <w:rPr>
          <w:spacing w:val="26"/>
          <w:position w:val="2"/>
        </w:rPr>
        <w:t> </w:t>
      </w:r>
      <w:r>
        <w:rPr>
          <w:position w:val="2"/>
        </w:rPr>
        <w:t>en</w:t>
      </w:r>
      <w:r>
        <w:rPr>
          <w:spacing w:val="-16"/>
          <w:position w:val="2"/>
        </w:rPr>
        <w:t> </w:t>
      </w:r>
      <w:r>
        <w:rPr>
          <w:position w:val="2"/>
        </w:rPr>
        <w:t>la</w:t>
      </w:r>
      <w:r>
        <w:rPr>
          <w:spacing w:val="-15"/>
          <w:position w:val="2"/>
        </w:rPr>
        <w:t> </w:t>
      </w:r>
      <w:r>
        <w:rPr>
          <w:position w:val="2"/>
        </w:rPr>
        <w:t>expresión</w:t>
      </w:r>
      <w:r>
        <w:rPr>
          <w:spacing w:val="-16"/>
          <w:position w:val="2"/>
        </w:rPr>
        <w:t> </w:t>
      </w:r>
      <w:r>
        <w:rPr>
          <w:position w:val="2"/>
        </w:rPr>
        <w:t>anterior,</w:t>
      </w:r>
      <w:r>
        <w:rPr>
          <w:spacing w:val="-16"/>
          <w:position w:val="2"/>
        </w:rPr>
        <w:t> </w:t>
      </w:r>
      <w:r>
        <w:rPr>
          <w:position w:val="2"/>
        </w:rPr>
        <w:t>a</w:t>
      </w:r>
      <w:r>
        <w:rPr>
          <w:spacing w:val="-15"/>
          <w:position w:val="2"/>
        </w:rPr>
        <w:t> </w:t>
      </w:r>
      <w:r>
        <w:rPr>
          <w:position w:val="2"/>
        </w:rPr>
        <w:t>una</w:t>
      </w:r>
      <w:r>
        <w:rPr>
          <w:spacing w:val="-15"/>
          <w:position w:val="2"/>
        </w:rPr>
        <w:t> </w:t>
      </w:r>
      <w:r>
        <w:rPr>
          <w:position w:val="2"/>
        </w:rPr>
        <w:t>variación</w:t>
      </w:r>
      <w:r>
        <w:rPr>
          <w:spacing w:val="-16"/>
          <w:position w:val="2"/>
        </w:rPr>
        <w:t> </w:t>
      </w:r>
      <w:r>
        <w:rPr>
          <w:position w:val="2"/>
        </w:rPr>
        <w:t>proporcional </w:t>
      </w:r>
      <w:r>
        <w:rPr/>
        <w:t>en las cantidades de insumo, el producto varia en la misma proporción. Una función de este tipo se dice que es homogénea de grado</w:t>
      </w:r>
      <w:r>
        <w:rPr>
          <w:spacing w:val="-11"/>
        </w:rPr>
        <w:t> </w:t>
      </w:r>
      <w:r>
        <w:rPr/>
        <w:t>1.</w:t>
      </w:r>
    </w:p>
    <w:p>
      <w:pPr>
        <w:pStyle w:val="BodyText"/>
        <w:rPr>
          <w:sz w:val="20"/>
        </w:rPr>
      </w:pPr>
    </w:p>
    <w:p>
      <w:pPr>
        <w:pStyle w:val="BodyText"/>
        <w:rPr>
          <w:sz w:val="20"/>
        </w:rPr>
      </w:pPr>
    </w:p>
    <w:p>
      <w:pPr>
        <w:pStyle w:val="BodyText"/>
        <w:spacing w:before="3"/>
        <w:rPr>
          <w:sz w:val="22"/>
        </w:rPr>
      </w:pPr>
    </w:p>
    <w:p>
      <w:pPr>
        <w:tabs>
          <w:tab w:pos="4003" w:val="left" w:leader="none"/>
          <w:tab w:pos="8240" w:val="left" w:leader="none"/>
        </w:tabs>
        <w:spacing w:line="360" w:lineRule="auto" w:before="0"/>
        <w:ind w:left="510" w:right="123" w:hanging="389"/>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28 Estimación de una función de producción de bovinos carne en sistema extensivo en el sur del Estado de</w:t>
      </w:r>
      <w:r>
        <w:rPr>
          <w:spacing w:val="-26"/>
          <w:sz w:val="18"/>
        </w:rPr>
        <w:t> </w:t>
      </w:r>
      <w:r>
        <w:rPr>
          <w:sz w:val="18"/>
        </w:rPr>
        <w:t>México</w:t>
      </w:r>
    </w:p>
    <w:p>
      <w:pPr>
        <w:pStyle w:val="BodyText"/>
        <w:rPr>
          <w:sz w:val="18"/>
        </w:rPr>
      </w:pPr>
    </w:p>
    <w:p>
      <w:pPr>
        <w:pStyle w:val="BodyText"/>
        <w:rPr>
          <w:sz w:val="18"/>
        </w:rPr>
      </w:pPr>
    </w:p>
    <w:p>
      <w:pPr>
        <w:pStyle w:val="BodyText"/>
        <w:rPr>
          <w:sz w:val="18"/>
        </w:rPr>
      </w:pPr>
    </w:p>
    <w:p>
      <w:pPr>
        <w:pStyle w:val="BodyText"/>
        <w:spacing w:before="2"/>
        <w:rPr>
          <w:sz w:val="15"/>
        </w:rPr>
      </w:pPr>
    </w:p>
    <w:p>
      <w:pPr>
        <w:pStyle w:val="BodyText"/>
        <w:ind w:left="122"/>
      </w:pPr>
      <w:r>
        <w:rPr>
          <w:position w:val="2"/>
        </w:rPr>
        <w:t>Si ocurre que (β</w:t>
      </w:r>
      <w:r>
        <w:rPr>
          <w:sz w:val="15"/>
        </w:rPr>
        <w:t>1</w:t>
      </w:r>
      <w:r>
        <w:rPr>
          <w:position w:val="2"/>
        </w:rPr>
        <w:t>+ β</w:t>
      </w:r>
      <w:r>
        <w:rPr>
          <w:sz w:val="15"/>
        </w:rPr>
        <w:t>2 </w:t>
      </w:r>
      <w:r>
        <w:rPr>
          <w:position w:val="2"/>
        </w:rPr>
        <w:t>+,…, +β</w:t>
      </w:r>
      <w:r>
        <w:rPr>
          <w:sz w:val="15"/>
        </w:rPr>
        <w:t>n</w:t>
      </w:r>
      <w:r>
        <w:rPr>
          <w:position w:val="2"/>
        </w:rPr>
        <w:t>) &lt; 1, a un incremento proporcional a todos los insumos, el</w:t>
      </w:r>
    </w:p>
    <w:p>
      <w:pPr>
        <w:spacing w:after="0"/>
        <w:sectPr>
          <w:headerReference w:type="default" r:id="rId78"/>
          <w:footerReference w:type="default" r:id="rId79"/>
          <w:pgSz w:w="12240" w:h="15840"/>
          <w:pgMar w:header="0" w:footer="1864" w:top="1360" w:bottom="2060" w:left="1580" w:right="1580"/>
        </w:sectPr>
      </w:pPr>
    </w:p>
    <w:p>
      <w:pPr>
        <w:pStyle w:val="BodyText"/>
        <w:spacing w:line="360" w:lineRule="auto" w:before="49"/>
        <w:ind w:left="122" w:right="120"/>
        <w:jc w:val="both"/>
      </w:pPr>
      <w:r>
        <w:rPr>
          <w:position w:val="2"/>
        </w:rPr>
        <w:t>Finalmente, cuando (β</w:t>
      </w:r>
      <w:r>
        <w:rPr>
          <w:sz w:val="15"/>
        </w:rPr>
        <w:t>1</w:t>
      </w:r>
      <w:r>
        <w:rPr>
          <w:position w:val="2"/>
        </w:rPr>
        <w:t>+ β</w:t>
      </w:r>
      <w:r>
        <w:rPr>
          <w:sz w:val="15"/>
        </w:rPr>
        <w:t>2 </w:t>
      </w:r>
      <w:r>
        <w:rPr>
          <w:position w:val="2"/>
        </w:rPr>
        <w:t>+,…, +β</w:t>
      </w:r>
      <w:r>
        <w:rPr>
          <w:sz w:val="15"/>
        </w:rPr>
        <w:t>n</w:t>
      </w:r>
      <w:r>
        <w:rPr>
          <w:position w:val="2"/>
        </w:rPr>
        <w:t>) ˃ 1, a un incremento proporcional en los insumos, el </w:t>
      </w:r>
      <w:r>
        <w:rPr/>
        <w:t>producto aumenta en mayor proporción.</w:t>
      </w:r>
    </w:p>
    <w:p>
      <w:pPr>
        <w:pStyle w:val="BodyText"/>
        <w:rPr>
          <w:sz w:val="22"/>
        </w:rPr>
      </w:pPr>
    </w:p>
    <w:p>
      <w:pPr>
        <w:pStyle w:val="BodyText"/>
        <w:spacing w:line="360" w:lineRule="auto" w:before="147"/>
        <w:ind w:left="122" w:right="117"/>
        <w:jc w:val="both"/>
      </w:pPr>
      <w:r>
        <w:rPr/>
        <w:t>Para la función de producción anterior, el producto (Y) usualmente es el producto total medido como</w:t>
      </w:r>
      <w:r>
        <w:rPr>
          <w:spacing w:val="-14"/>
        </w:rPr>
        <w:t> </w:t>
      </w:r>
      <w:r>
        <w:rPr/>
        <w:t>valor</w:t>
      </w:r>
      <w:r>
        <w:rPr>
          <w:spacing w:val="-17"/>
        </w:rPr>
        <w:t> </w:t>
      </w:r>
      <w:r>
        <w:rPr/>
        <w:t>agregado</w:t>
      </w:r>
      <w:r>
        <w:rPr>
          <w:spacing w:val="-14"/>
        </w:rPr>
        <w:t> </w:t>
      </w:r>
      <w:r>
        <w:rPr/>
        <w:t>por</w:t>
      </w:r>
      <w:r>
        <w:rPr>
          <w:spacing w:val="-14"/>
        </w:rPr>
        <w:t> </w:t>
      </w:r>
      <w:r>
        <w:rPr/>
        <w:t>año,</w:t>
      </w:r>
      <w:r>
        <w:rPr>
          <w:spacing w:val="-14"/>
        </w:rPr>
        <w:t> </w:t>
      </w:r>
      <w:r>
        <w:rPr/>
        <w:t>aunque</w:t>
      </w:r>
      <w:r>
        <w:rPr>
          <w:spacing w:val="-16"/>
        </w:rPr>
        <w:t> </w:t>
      </w:r>
      <w:r>
        <w:rPr/>
        <w:t>también</w:t>
      </w:r>
      <w:r>
        <w:rPr>
          <w:spacing w:val="-14"/>
        </w:rPr>
        <w:t> </w:t>
      </w:r>
      <w:r>
        <w:rPr/>
        <w:t>puede</w:t>
      </w:r>
      <w:r>
        <w:rPr>
          <w:spacing w:val="-16"/>
        </w:rPr>
        <w:t> </w:t>
      </w:r>
      <w:r>
        <w:rPr/>
        <w:t>medirse</w:t>
      </w:r>
      <w:r>
        <w:rPr>
          <w:spacing w:val="-14"/>
        </w:rPr>
        <w:t> </w:t>
      </w:r>
      <w:r>
        <w:rPr/>
        <w:t>como</w:t>
      </w:r>
      <w:r>
        <w:rPr>
          <w:spacing w:val="-14"/>
        </w:rPr>
        <w:t> </w:t>
      </w:r>
      <w:r>
        <w:rPr/>
        <w:t>cantidad</w:t>
      </w:r>
      <w:r>
        <w:rPr>
          <w:spacing w:val="-14"/>
        </w:rPr>
        <w:t> </w:t>
      </w:r>
      <w:r>
        <w:rPr/>
        <w:t>física</w:t>
      </w:r>
      <w:r>
        <w:rPr>
          <w:spacing w:val="-7"/>
        </w:rPr>
        <w:t> </w:t>
      </w:r>
      <w:r>
        <w:rPr/>
        <w:t>de</w:t>
      </w:r>
      <w:r>
        <w:rPr>
          <w:spacing w:val="-16"/>
        </w:rPr>
        <w:t> </w:t>
      </w:r>
      <w:r>
        <w:rPr/>
        <w:t>producción </w:t>
      </w:r>
      <w:r>
        <w:rPr>
          <w:position w:val="2"/>
        </w:rPr>
        <w:t>por año; en tanto que los insumos (X</w:t>
      </w:r>
      <w:r>
        <w:rPr>
          <w:sz w:val="15"/>
        </w:rPr>
        <w:t>1</w:t>
      </w:r>
      <w:r>
        <w:rPr>
          <w:position w:val="2"/>
        </w:rPr>
        <w:t>, X</w:t>
      </w:r>
      <w:r>
        <w:rPr>
          <w:sz w:val="15"/>
        </w:rPr>
        <w:t>2</w:t>
      </w:r>
      <w:r>
        <w:rPr>
          <w:position w:val="2"/>
        </w:rPr>
        <w:t>,…, X</w:t>
      </w:r>
      <w:r>
        <w:rPr>
          <w:sz w:val="15"/>
        </w:rPr>
        <w:t>n</w:t>
      </w:r>
      <w:r>
        <w:rPr>
          <w:position w:val="2"/>
        </w:rPr>
        <w:t>) comúnmente son medidos como cantidades </w:t>
      </w:r>
      <w:r>
        <w:rPr/>
        <w:t>disponibles o usadas en el proceso de producción (Velazco,</w:t>
      </w:r>
      <w:r>
        <w:rPr>
          <w:spacing w:val="-18"/>
        </w:rPr>
        <w:t> </w:t>
      </w:r>
      <w:r>
        <w:rPr/>
        <w:t>1988).</w:t>
      </w:r>
    </w:p>
    <w:p>
      <w:pPr>
        <w:pStyle w:val="BodyText"/>
        <w:spacing w:line="360" w:lineRule="auto" w:before="6"/>
        <w:ind w:left="122" w:right="115"/>
        <w:jc w:val="both"/>
      </w:pPr>
      <w:r>
        <w:rPr/>
        <w:t>Los insumos que generalmente se consideran en una función de producción de Cobb-Douglas, son el capital y el trabajo, principalmente; aunque también pueden considerarse tierra, materias primas y combustible entre otros.</w:t>
      </w:r>
    </w:p>
    <w:p>
      <w:pPr>
        <w:pStyle w:val="BodyText"/>
        <w:spacing w:line="360" w:lineRule="auto" w:before="4"/>
        <w:ind w:left="122" w:right="120"/>
        <w:jc w:val="both"/>
      </w:pPr>
      <w:r>
        <w:rPr/>
        <w:t>De los insumos mencionados, la medición del capital presenta problemas, en virtud de que, los datos generalmente no se encuentran disponibles o son de dudosa confiabilidad; por lo que se recomienda evitar el uso de una medida explicita del abasto de capital.</w:t>
      </w:r>
    </w:p>
    <w:p>
      <w:pPr>
        <w:pStyle w:val="BodyText"/>
        <w:spacing w:line="360" w:lineRule="auto" w:before="4"/>
        <w:ind w:left="122" w:right="119"/>
        <w:jc w:val="both"/>
      </w:pPr>
      <w:r>
        <w:rPr/>
        <w:t>Transformando</w:t>
      </w:r>
      <w:r>
        <w:rPr>
          <w:spacing w:val="-14"/>
        </w:rPr>
        <w:t> </w:t>
      </w:r>
      <w:r>
        <w:rPr/>
        <w:t>el</w:t>
      </w:r>
      <w:r>
        <w:rPr>
          <w:spacing w:val="-14"/>
        </w:rPr>
        <w:t> </w:t>
      </w:r>
      <w:r>
        <w:rPr/>
        <w:t>modelo</w:t>
      </w:r>
      <w:r>
        <w:rPr>
          <w:spacing w:val="-17"/>
        </w:rPr>
        <w:t> </w:t>
      </w:r>
      <w:r>
        <w:rPr/>
        <w:t>de</w:t>
      </w:r>
      <w:r>
        <w:rPr>
          <w:spacing w:val="-11"/>
        </w:rPr>
        <w:t> </w:t>
      </w:r>
      <w:r>
        <w:rPr/>
        <w:t>Cobb-Douglas,</w:t>
      </w:r>
      <w:r>
        <w:rPr>
          <w:spacing w:val="-12"/>
        </w:rPr>
        <w:t> </w:t>
      </w:r>
      <w:r>
        <w:rPr/>
        <w:t>dado</w:t>
      </w:r>
      <w:r>
        <w:rPr>
          <w:spacing w:val="-12"/>
        </w:rPr>
        <w:t> </w:t>
      </w:r>
      <w:r>
        <w:rPr/>
        <w:t>por</w:t>
      </w:r>
      <w:r>
        <w:rPr>
          <w:spacing w:val="-12"/>
        </w:rPr>
        <w:t> </w:t>
      </w:r>
      <w:r>
        <w:rPr/>
        <w:t>la</w:t>
      </w:r>
      <w:r>
        <w:rPr>
          <w:spacing w:val="-13"/>
        </w:rPr>
        <w:t> </w:t>
      </w:r>
      <w:r>
        <w:rPr/>
        <w:t>ecuación</w:t>
      </w:r>
      <w:r>
        <w:rPr>
          <w:spacing w:val="-14"/>
        </w:rPr>
        <w:t> </w:t>
      </w:r>
      <w:r>
        <w:rPr/>
        <w:t>(3),</w:t>
      </w:r>
      <w:r>
        <w:rPr>
          <w:spacing w:val="-14"/>
        </w:rPr>
        <w:t> </w:t>
      </w:r>
      <w:r>
        <w:rPr/>
        <w:t>a</w:t>
      </w:r>
      <w:r>
        <w:rPr>
          <w:spacing w:val="-11"/>
        </w:rPr>
        <w:t> </w:t>
      </w:r>
      <w:r>
        <w:rPr/>
        <w:t>un</w:t>
      </w:r>
      <w:r>
        <w:rPr>
          <w:spacing w:val="-14"/>
        </w:rPr>
        <w:t> </w:t>
      </w:r>
      <w:r>
        <w:rPr/>
        <w:t>modelo</w:t>
      </w:r>
      <w:r>
        <w:rPr>
          <w:spacing w:val="-14"/>
        </w:rPr>
        <w:t> </w:t>
      </w:r>
      <w:r>
        <w:rPr/>
        <w:t>econométrico para su estimación, en donde es de suma importancia la forma, de cómo se especifica el error (Castellanos,</w:t>
      </w:r>
      <w:r>
        <w:rPr>
          <w:spacing w:val="-4"/>
        </w:rPr>
        <w:t> </w:t>
      </w:r>
      <w:r>
        <w:rPr/>
        <w:t>2004).</w:t>
      </w:r>
    </w:p>
    <w:p>
      <w:pPr>
        <w:pStyle w:val="BodyText"/>
        <w:rPr>
          <w:sz w:val="22"/>
        </w:rPr>
      </w:pPr>
    </w:p>
    <w:p>
      <w:pPr>
        <w:spacing w:before="134"/>
        <w:ind w:left="122" w:right="0" w:firstLine="0"/>
        <w:jc w:val="both"/>
        <w:rPr>
          <w:sz w:val="23"/>
        </w:rPr>
      </w:pPr>
      <w:r>
        <w:rPr/>
        <w:pict>
          <v:shape style="position:absolute;margin-left:350.589996pt;margin-top:7.578623pt;width:22.2pt;height:7.6pt;mso-position-horizontal-relative:page;mso-position-vertical-relative:paragraph;z-index:-130000" type="#_x0000_t202" filled="false" stroked="false">
            <v:textbox inset="0,0,0,0">
              <w:txbxContent>
                <w:p>
                  <w:pPr>
                    <w:spacing w:line="151" w:lineRule="exact" w:before="0"/>
                    <w:ind w:left="0" w:right="0" w:firstLine="0"/>
                    <w:jc w:val="left"/>
                    <w:rPr>
                      <w:sz w:val="15"/>
                    </w:rPr>
                  </w:pPr>
                  <w:r>
                    <w:rPr>
                      <w:sz w:val="15"/>
                    </w:rPr>
                    <w:t>βn    ui</w:t>
                  </w:r>
                </w:p>
              </w:txbxContent>
            </v:textbox>
            <w10:wrap type="none"/>
          </v:shape>
        </w:pict>
      </w:r>
      <w:r>
        <w:rPr>
          <w:position w:val="2"/>
          <w:sz w:val="23"/>
        </w:rPr>
        <w:t>El error puede ser multiplicativo: Y</w:t>
      </w:r>
      <w:r>
        <w:rPr>
          <w:sz w:val="15"/>
        </w:rPr>
        <w:t>i</w:t>
      </w:r>
      <w:r>
        <w:rPr>
          <w:position w:val="2"/>
          <w:sz w:val="23"/>
        </w:rPr>
        <w:t>= β</w:t>
      </w:r>
      <w:r>
        <w:rPr>
          <w:sz w:val="15"/>
        </w:rPr>
        <w:t>0</w:t>
      </w:r>
      <w:r>
        <w:rPr>
          <w:position w:val="2"/>
          <w:sz w:val="23"/>
        </w:rPr>
        <w:t>X</w:t>
      </w:r>
      <w:r>
        <w:rPr>
          <w:sz w:val="15"/>
        </w:rPr>
        <w:t>1i</w:t>
      </w:r>
      <w:r>
        <w:rPr>
          <w:position w:val="11"/>
          <w:sz w:val="15"/>
        </w:rPr>
        <w:t>β1  </w:t>
      </w:r>
      <w:r>
        <w:rPr>
          <w:position w:val="2"/>
          <w:sz w:val="23"/>
        </w:rPr>
        <w:t>X</w:t>
      </w:r>
      <w:r>
        <w:rPr>
          <w:sz w:val="15"/>
        </w:rPr>
        <w:t>2i</w:t>
      </w:r>
      <w:r>
        <w:rPr>
          <w:position w:val="11"/>
          <w:sz w:val="15"/>
        </w:rPr>
        <w:t>β2</w:t>
      </w:r>
      <w:r>
        <w:rPr>
          <w:position w:val="2"/>
          <w:sz w:val="23"/>
        </w:rPr>
        <w:t>,…, X</w:t>
      </w:r>
      <w:r>
        <w:rPr>
          <w:sz w:val="15"/>
        </w:rPr>
        <w:t>ni      </w:t>
      </w:r>
      <w:r>
        <w:rPr>
          <w:position w:val="2"/>
          <w:sz w:val="23"/>
        </w:rPr>
        <w:t>e       1 ≤ i ≤ k  (4)</w:t>
      </w:r>
    </w:p>
    <w:p>
      <w:pPr>
        <w:pStyle w:val="BodyText"/>
        <w:spacing w:line="360" w:lineRule="auto" w:before="129"/>
        <w:ind w:left="122" w:right="122"/>
        <w:jc w:val="both"/>
      </w:pPr>
      <w:r>
        <w:rPr/>
        <w:pict>
          <v:shape style="position:absolute;margin-left:213.289993pt;margin-top:46.143002pt;width:74pt;height:7.6pt;mso-position-horizontal-relative:page;mso-position-vertical-relative:paragraph;z-index:-129976" type="#_x0000_t202" filled="false" stroked="false">
            <v:textbox inset="0,0,0,0">
              <w:txbxContent>
                <w:p>
                  <w:pPr>
                    <w:tabs>
                      <w:tab w:pos="491" w:val="left" w:leader="none"/>
                      <w:tab w:pos="1329" w:val="left" w:leader="none"/>
                    </w:tabs>
                    <w:spacing w:line="151" w:lineRule="exact" w:before="0"/>
                    <w:ind w:left="0" w:right="0" w:firstLine="0"/>
                    <w:jc w:val="left"/>
                    <w:rPr>
                      <w:sz w:val="15"/>
                    </w:rPr>
                  </w:pPr>
                  <w:r>
                    <w:rPr>
                      <w:sz w:val="15"/>
                    </w:rPr>
                    <w:t>β1</w:t>
                    <w:tab/>
                    <w:t>β2</w:t>
                    <w:tab/>
                  </w:r>
                  <w:r>
                    <w:rPr>
                      <w:spacing w:val="-2"/>
                      <w:sz w:val="15"/>
                    </w:rPr>
                    <w:t>βn</w:t>
                  </w:r>
                </w:p>
              </w:txbxContent>
            </v:textbox>
            <w10:wrap type="none"/>
          </v:shape>
        </w:pict>
      </w:r>
      <w:r>
        <w:rPr/>
        <w:t>Donde</w:t>
      </w:r>
      <w:r>
        <w:rPr>
          <w:spacing w:val="-5"/>
        </w:rPr>
        <w:t> </w:t>
      </w:r>
      <w:r>
        <w:rPr/>
        <w:t>la</w:t>
      </w:r>
      <w:r>
        <w:rPr>
          <w:spacing w:val="-5"/>
        </w:rPr>
        <w:t> </w:t>
      </w:r>
      <w:r>
        <w:rPr>
          <w:b/>
        </w:rPr>
        <w:t>e</w:t>
      </w:r>
      <w:r>
        <w:rPr>
          <w:b/>
          <w:spacing w:val="-7"/>
        </w:rPr>
        <w:t> </w:t>
      </w:r>
      <w:r>
        <w:rPr/>
        <w:t>es</w:t>
      </w:r>
      <w:r>
        <w:rPr>
          <w:spacing w:val="-7"/>
        </w:rPr>
        <w:t> </w:t>
      </w:r>
      <w:r>
        <w:rPr/>
        <w:t>la</w:t>
      </w:r>
      <w:r>
        <w:rPr>
          <w:spacing w:val="-5"/>
        </w:rPr>
        <w:t> </w:t>
      </w:r>
      <w:r>
        <w:rPr/>
        <w:t>base</w:t>
      </w:r>
      <w:r>
        <w:rPr>
          <w:spacing w:val="-5"/>
        </w:rPr>
        <w:t> </w:t>
      </w:r>
      <w:r>
        <w:rPr/>
        <w:t>de</w:t>
      </w:r>
      <w:r>
        <w:rPr>
          <w:spacing w:val="-7"/>
        </w:rPr>
        <w:t> </w:t>
      </w:r>
      <w:r>
        <w:rPr/>
        <w:t>los</w:t>
      </w:r>
      <w:r>
        <w:rPr>
          <w:spacing w:val="-7"/>
        </w:rPr>
        <w:t> </w:t>
      </w:r>
      <w:r>
        <w:rPr/>
        <w:t>logaritmos</w:t>
      </w:r>
      <w:r>
        <w:rPr>
          <w:spacing w:val="-7"/>
        </w:rPr>
        <w:t> </w:t>
      </w:r>
      <w:r>
        <w:rPr/>
        <w:t>naturales,</w:t>
      </w:r>
      <w:r>
        <w:rPr>
          <w:spacing w:val="-6"/>
        </w:rPr>
        <w:t> </w:t>
      </w:r>
      <w:r>
        <w:rPr/>
        <w:t>entonces</w:t>
      </w:r>
      <w:r>
        <w:rPr>
          <w:spacing w:val="-7"/>
        </w:rPr>
        <w:t> </w:t>
      </w:r>
      <w:r>
        <w:rPr/>
        <w:t>la</w:t>
      </w:r>
      <w:r>
        <w:rPr>
          <w:spacing w:val="-5"/>
        </w:rPr>
        <w:t> </w:t>
      </w:r>
      <w:r>
        <w:rPr/>
        <w:t>función,</w:t>
      </w:r>
      <w:r>
        <w:rPr>
          <w:spacing w:val="-8"/>
        </w:rPr>
        <w:t> </w:t>
      </w:r>
      <w:r>
        <w:rPr/>
        <w:t>es</w:t>
      </w:r>
      <w:r>
        <w:rPr>
          <w:spacing w:val="-7"/>
        </w:rPr>
        <w:t> </w:t>
      </w:r>
      <w:r>
        <w:rPr/>
        <w:t>estimada,</w:t>
      </w:r>
      <w:r>
        <w:rPr>
          <w:spacing w:val="-6"/>
        </w:rPr>
        <w:t> </w:t>
      </w:r>
      <w:r>
        <w:rPr/>
        <w:t>por</w:t>
      </w:r>
      <w:r>
        <w:rPr>
          <w:spacing w:val="-6"/>
        </w:rPr>
        <w:t> </w:t>
      </w:r>
      <w:r>
        <w:rPr/>
        <w:t>regresión lineal</w:t>
      </w:r>
      <w:r>
        <w:rPr>
          <w:spacing w:val="-9"/>
        </w:rPr>
        <w:t> </w:t>
      </w:r>
      <w:r>
        <w:rPr/>
        <w:t>múltiple,</w:t>
      </w:r>
      <w:r>
        <w:rPr>
          <w:spacing w:val="-10"/>
        </w:rPr>
        <w:t> </w:t>
      </w:r>
      <w:r>
        <w:rPr/>
        <w:t>después</w:t>
      </w:r>
      <w:r>
        <w:rPr>
          <w:spacing w:val="-10"/>
        </w:rPr>
        <w:t> </w:t>
      </w:r>
      <w:r>
        <w:rPr/>
        <w:t>de</w:t>
      </w:r>
      <w:r>
        <w:rPr>
          <w:spacing w:val="-9"/>
        </w:rPr>
        <w:t> </w:t>
      </w:r>
      <w:r>
        <w:rPr/>
        <w:t>tomar</w:t>
      </w:r>
      <w:r>
        <w:rPr>
          <w:spacing w:val="-10"/>
        </w:rPr>
        <w:t> </w:t>
      </w:r>
      <w:r>
        <w:rPr/>
        <w:t>logaritmos</w:t>
      </w:r>
      <w:r>
        <w:rPr>
          <w:spacing w:val="-8"/>
        </w:rPr>
        <w:t> </w:t>
      </w:r>
      <w:r>
        <w:rPr/>
        <w:t>en</w:t>
      </w:r>
      <w:r>
        <w:rPr>
          <w:spacing w:val="-10"/>
        </w:rPr>
        <w:t> </w:t>
      </w:r>
      <w:r>
        <w:rPr/>
        <w:t>ambos</w:t>
      </w:r>
      <w:r>
        <w:rPr>
          <w:spacing w:val="-8"/>
        </w:rPr>
        <w:t> </w:t>
      </w:r>
      <w:r>
        <w:rPr/>
        <w:t>lados</w:t>
      </w:r>
      <w:r>
        <w:rPr>
          <w:spacing w:val="-8"/>
        </w:rPr>
        <w:t> </w:t>
      </w:r>
      <w:r>
        <w:rPr/>
        <w:t>de</w:t>
      </w:r>
      <w:r>
        <w:rPr>
          <w:spacing w:val="-6"/>
        </w:rPr>
        <w:t> </w:t>
      </w:r>
      <w:r>
        <w:rPr/>
        <w:t>la</w:t>
      </w:r>
      <w:r>
        <w:rPr>
          <w:spacing w:val="-9"/>
        </w:rPr>
        <w:t> </w:t>
      </w:r>
      <w:r>
        <w:rPr/>
        <w:t>ecuación</w:t>
      </w:r>
      <w:r>
        <w:rPr>
          <w:spacing w:val="-7"/>
        </w:rPr>
        <w:t> </w:t>
      </w:r>
      <w:r>
        <w:rPr/>
        <w:t>(4).</w:t>
      </w:r>
      <w:r>
        <w:rPr>
          <w:spacing w:val="-12"/>
        </w:rPr>
        <w:t> </w:t>
      </w:r>
      <w:r>
        <w:rPr/>
        <w:t>También</w:t>
      </w:r>
      <w:r>
        <w:rPr>
          <w:spacing w:val="-10"/>
        </w:rPr>
        <w:t> </w:t>
      </w:r>
      <w:r>
        <w:rPr/>
        <w:t>el</w:t>
      </w:r>
      <w:r>
        <w:rPr>
          <w:spacing w:val="-7"/>
        </w:rPr>
        <w:t> </w:t>
      </w:r>
      <w:r>
        <w:rPr/>
        <w:t>error </w:t>
      </w:r>
      <w:r>
        <w:rPr>
          <w:position w:val="2"/>
        </w:rPr>
        <w:t>puede ser aditivo: Y</w:t>
      </w:r>
      <w:r>
        <w:rPr>
          <w:sz w:val="15"/>
        </w:rPr>
        <w:t>i</w:t>
      </w:r>
      <w:r>
        <w:rPr>
          <w:position w:val="2"/>
        </w:rPr>
        <w:t>= β</w:t>
      </w:r>
      <w:r>
        <w:rPr>
          <w:sz w:val="15"/>
        </w:rPr>
        <w:t>0</w:t>
      </w:r>
      <w:r>
        <w:rPr>
          <w:position w:val="2"/>
        </w:rPr>
        <w:t>X</w:t>
      </w:r>
      <w:r>
        <w:rPr>
          <w:sz w:val="15"/>
        </w:rPr>
        <w:t>1i      </w:t>
      </w:r>
      <w:r>
        <w:rPr>
          <w:spacing w:val="-2"/>
          <w:position w:val="2"/>
        </w:rPr>
        <w:t>X</w:t>
      </w:r>
      <w:r>
        <w:rPr>
          <w:spacing w:val="-2"/>
          <w:sz w:val="15"/>
        </w:rPr>
        <w:t>2i    </w:t>
      </w:r>
      <w:r>
        <w:rPr>
          <w:position w:val="2"/>
        </w:rPr>
        <w:t>,…, X</w:t>
      </w:r>
      <w:r>
        <w:rPr>
          <w:sz w:val="15"/>
        </w:rPr>
        <w:t>ni     </w:t>
      </w:r>
      <w:r>
        <w:rPr>
          <w:position w:val="2"/>
        </w:rPr>
        <w:t>+ u</w:t>
      </w:r>
      <w:r>
        <w:rPr>
          <w:sz w:val="15"/>
        </w:rPr>
        <w:t>i        </w:t>
      </w:r>
      <w:r>
        <w:rPr>
          <w:position w:val="2"/>
        </w:rPr>
        <w:t>1 ≤ i ≤ k  </w:t>
      </w:r>
      <w:r>
        <w:rPr>
          <w:spacing w:val="4"/>
          <w:position w:val="2"/>
        </w:rPr>
        <w:t> </w:t>
      </w:r>
      <w:r>
        <w:rPr>
          <w:position w:val="2"/>
        </w:rPr>
        <w:t>(5)</w:t>
      </w:r>
    </w:p>
    <w:p>
      <w:pPr>
        <w:pStyle w:val="BodyText"/>
        <w:rPr>
          <w:sz w:val="22"/>
        </w:rPr>
      </w:pPr>
    </w:p>
    <w:p>
      <w:pPr>
        <w:pStyle w:val="BodyText"/>
        <w:spacing w:line="345" w:lineRule="auto" w:before="146"/>
        <w:ind w:left="122" w:right="125"/>
        <w:jc w:val="both"/>
      </w:pPr>
      <w:r>
        <w:rPr/>
        <w:t>En tal caso, la función es estimada por mínimos cuadrados no lineales. Tanto para los errores </w:t>
      </w:r>
      <w:r>
        <w:rPr>
          <w:position w:val="2"/>
        </w:rPr>
        <w:t>dados en (4) como en (5) se suponen: u</w:t>
      </w:r>
      <w:r>
        <w:rPr>
          <w:sz w:val="15"/>
          <w:szCs w:val="15"/>
        </w:rPr>
        <w:t>i </w:t>
      </w:r>
      <w:r>
        <w:rPr>
          <w:position w:val="2"/>
        </w:rPr>
        <w:t>~ N (0, ϭ</w:t>
      </w:r>
      <w:r>
        <w:rPr>
          <w:position w:val="11"/>
          <w:sz w:val="15"/>
          <w:szCs w:val="15"/>
        </w:rPr>
        <w:t>2</w:t>
      </w:r>
      <w:r>
        <w:rPr>
          <w:position w:val="2"/>
        </w:rPr>
        <w:t>)     1 ≤ i ≤ k   (6)</w:t>
      </w:r>
    </w:p>
    <w:p>
      <w:pPr>
        <w:pStyle w:val="BodyText"/>
        <w:spacing w:before="10"/>
        <w:ind w:left="122"/>
        <w:jc w:val="both"/>
      </w:pPr>
      <w:r>
        <w:rPr/>
        <w:t>Posteriormente se darán más detalles sobre las propiedades que tienen los errores.</w:t>
      </w:r>
    </w:p>
    <w:p>
      <w:pPr>
        <w:pStyle w:val="BodyText"/>
        <w:rPr>
          <w:sz w:val="20"/>
        </w:rPr>
      </w:pPr>
    </w:p>
    <w:p>
      <w:pPr>
        <w:pStyle w:val="BodyText"/>
        <w:rPr>
          <w:sz w:val="20"/>
        </w:rPr>
      </w:pPr>
    </w:p>
    <w:p>
      <w:pPr>
        <w:pStyle w:val="BodyText"/>
        <w:spacing w:before="11"/>
        <w:rPr>
          <w:sz w:val="19"/>
        </w:rPr>
      </w:pPr>
      <w:r>
        <w:rPr/>
        <w:pict>
          <v:line style="position:absolute;mso-position-horizontal-relative:page;mso-position-vertical-relative:paragraph;z-index:2488;mso-wrap-distance-left:0;mso-wrap-distance-right:0" from="85.103996pt,13.62841pt" to="525.960017pt,13.62841pt" stroked="true" strokeweight=".36pt" strokecolor="#000000">
            <w10:wrap type="topAndBottom"/>
          </v:line>
        </w:pict>
      </w:r>
    </w:p>
    <w:p>
      <w:pPr>
        <w:tabs>
          <w:tab w:pos="4003" w:val="left" w:leader="none"/>
          <w:tab w:pos="8240" w:val="left" w:leader="none"/>
        </w:tabs>
        <w:spacing w:line="360" w:lineRule="auto" w:before="75" w:after="18"/>
        <w:ind w:left="510" w:right="123" w:hanging="389"/>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29 Estimación de una función de producción de bovinos carne en sistema extensivo en el sur del Estado de</w:t>
      </w:r>
      <w:r>
        <w:rPr>
          <w:spacing w:val="-26"/>
          <w:sz w:val="18"/>
        </w:rPr>
        <w:t> </w:t>
      </w:r>
      <w:r>
        <w:rPr>
          <w:sz w:val="18"/>
        </w:rPr>
        <w:t>México</w:t>
      </w: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pStyle w:val="BodyText"/>
        <w:rPr>
          <w:sz w:val="18"/>
        </w:rPr>
      </w:pPr>
    </w:p>
    <w:p>
      <w:pPr>
        <w:pStyle w:val="BodyText"/>
        <w:rPr>
          <w:sz w:val="18"/>
        </w:rPr>
      </w:pPr>
    </w:p>
    <w:p>
      <w:pPr>
        <w:pStyle w:val="Heading5"/>
        <w:spacing w:before="107"/>
      </w:pPr>
      <w:r>
        <w:rPr/>
        <w:t>5.4.1. Propiedades de la función de producción Cobb-Douglas</w:t>
      </w:r>
    </w:p>
    <w:p>
      <w:pPr>
        <w:spacing w:after="0"/>
        <w:sectPr>
          <w:headerReference w:type="default" r:id="rId80"/>
          <w:footerReference w:type="default" r:id="rId81"/>
          <w:pgSz w:w="12240" w:h="15840"/>
          <w:pgMar w:header="0" w:footer="1601" w:top="1360" w:bottom="1800" w:left="1580" w:right="1580"/>
        </w:sectPr>
      </w:pPr>
    </w:p>
    <w:p>
      <w:pPr>
        <w:pStyle w:val="BodyText"/>
        <w:spacing w:before="8"/>
        <w:rPr>
          <w:b/>
          <w:sz w:val="20"/>
        </w:rPr>
      </w:pPr>
    </w:p>
    <w:p>
      <w:pPr>
        <w:pStyle w:val="BodyText"/>
        <w:spacing w:line="360" w:lineRule="auto" w:before="71"/>
        <w:ind w:left="122" w:right="64"/>
      </w:pPr>
      <w:r>
        <w:rPr/>
        <w:t>El producto medio de un insumo se define como el cociente de la producción total dividida por la cantidad del insumo (Romo, 1990); reduciendo la ecuación (3) a dos factores:</w:t>
      </w:r>
    </w:p>
    <w:p>
      <w:pPr>
        <w:spacing w:line="271" w:lineRule="exact" w:before="0"/>
        <w:ind w:left="122" w:right="0" w:firstLine="0"/>
        <w:jc w:val="both"/>
        <w:rPr>
          <w:sz w:val="23"/>
        </w:rPr>
      </w:pPr>
      <w:r>
        <w:rPr>
          <w:position w:val="2"/>
          <w:sz w:val="23"/>
        </w:rPr>
        <w:t>Y= β</w:t>
      </w:r>
      <w:r>
        <w:rPr>
          <w:sz w:val="15"/>
        </w:rPr>
        <w:t>0</w:t>
      </w:r>
      <w:r>
        <w:rPr>
          <w:position w:val="2"/>
          <w:sz w:val="23"/>
        </w:rPr>
        <w:t>X</w:t>
      </w:r>
      <w:r>
        <w:rPr>
          <w:sz w:val="15"/>
        </w:rPr>
        <w:t>1</w:t>
      </w:r>
      <w:r>
        <w:rPr>
          <w:position w:val="11"/>
          <w:sz w:val="15"/>
        </w:rPr>
        <w:t>β1  </w:t>
      </w:r>
      <w:r>
        <w:rPr>
          <w:position w:val="2"/>
          <w:sz w:val="23"/>
        </w:rPr>
        <w:t>X</w:t>
      </w:r>
      <w:r>
        <w:rPr>
          <w:sz w:val="15"/>
        </w:rPr>
        <w:t>2</w:t>
      </w:r>
      <w:r>
        <w:rPr>
          <w:position w:val="11"/>
          <w:sz w:val="15"/>
        </w:rPr>
        <w:t>β2    </w:t>
      </w:r>
      <w:r>
        <w:rPr>
          <w:position w:val="2"/>
          <w:sz w:val="23"/>
        </w:rPr>
        <w:t>(7)</w:t>
      </w:r>
    </w:p>
    <w:p>
      <w:pPr>
        <w:pStyle w:val="BodyText"/>
        <w:spacing w:line="812" w:lineRule="exact" w:before="93"/>
        <w:ind w:left="122" w:right="85"/>
      </w:pPr>
      <w:r>
        <w:rPr/>
        <w:t>El producto medio para cada uno, se representan por las siguientes expresiones (Bichara, 1990): </w:t>
      </w:r>
      <w:r>
        <w:rPr>
          <w:position w:val="2"/>
        </w:rPr>
        <w:t>Producto medio del factor X</w:t>
      </w:r>
      <w:r>
        <w:rPr>
          <w:sz w:val="15"/>
        </w:rPr>
        <w:t>1 </w:t>
      </w:r>
      <w:r>
        <w:rPr>
          <w:position w:val="2"/>
        </w:rPr>
        <w:t>(capital).</w:t>
      </w:r>
    </w:p>
    <w:p>
      <w:pPr>
        <w:tabs>
          <w:tab w:pos="4901" w:val="left" w:leader="none"/>
        </w:tabs>
        <w:spacing w:before="165"/>
        <w:ind w:left="122" w:right="0" w:firstLine="0"/>
        <w:jc w:val="both"/>
        <w:rPr>
          <w:sz w:val="23"/>
        </w:rPr>
      </w:pPr>
      <w:r>
        <w:rPr/>
        <w:pict>
          <v:shape style="position:absolute;margin-left:186.380005pt;margin-top:8.596369pt;width:124.6pt;height:8.85pt;mso-position-horizontal-relative:page;mso-position-vertical-relative:paragraph;z-index:-129904" type="#_x0000_t202" filled="false" stroked="false">
            <v:textbox inset="0,0,0,0">
              <w:txbxContent>
                <w:p>
                  <w:pPr>
                    <w:tabs>
                      <w:tab w:pos="437" w:val="left" w:leader="none"/>
                      <w:tab w:pos="1594" w:val="left" w:leader="none"/>
                      <w:tab w:pos="2093" w:val="left" w:leader="none"/>
                    </w:tabs>
                    <w:spacing w:line="176" w:lineRule="exact" w:before="0"/>
                    <w:ind w:left="0" w:right="0" w:firstLine="0"/>
                    <w:jc w:val="left"/>
                    <w:rPr>
                      <w:sz w:val="15"/>
                    </w:rPr>
                  </w:pPr>
                  <w:r>
                    <w:rPr>
                      <w:sz w:val="15"/>
                    </w:rPr>
                    <w:t>β</w:t>
                  </w:r>
                  <w:r>
                    <w:rPr>
                      <w:position w:val="-2"/>
                      <w:sz w:val="12"/>
                    </w:rPr>
                    <w:t>1</w:t>
                    <w:tab/>
                  </w:r>
                  <w:r>
                    <w:rPr>
                      <w:sz w:val="15"/>
                    </w:rPr>
                    <w:t>β</w:t>
                  </w:r>
                  <w:r>
                    <w:rPr>
                      <w:position w:val="-2"/>
                      <w:sz w:val="12"/>
                    </w:rPr>
                    <w:t>2</w:t>
                    <w:tab/>
                  </w:r>
                  <w:r>
                    <w:rPr>
                      <w:sz w:val="15"/>
                    </w:rPr>
                    <w:t>β</w:t>
                  </w:r>
                  <w:r>
                    <w:rPr>
                      <w:position w:val="-2"/>
                      <w:sz w:val="12"/>
                    </w:rPr>
                    <w:t>2</w:t>
                    <w:tab/>
                  </w:r>
                  <w:r>
                    <w:rPr>
                      <w:sz w:val="15"/>
                    </w:rPr>
                    <w:t>(1-</w:t>
                  </w:r>
                  <w:r>
                    <w:rPr>
                      <w:spacing w:val="-3"/>
                      <w:sz w:val="15"/>
                    </w:rPr>
                    <w:t> </w:t>
                  </w:r>
                  <w:r>
                    <w:rPr>
                      <w:sz w:val="15"/>
                    </w:rPr>
                    <w:t>β</w:t>
                  </w:r>
                  <w:r>
                    <w:rPr>
                      <w:position w:val="-2"/>
                      <w:sz w:val="12"/>
                    </w:rPr>
                    <w:t>1</w:t>
                  </w:r>
                  <w:r>
                    <w:rPr>
                      <w:sz w:val="15"/>
                    </w:rPr>
                    <w:t>)</w:t>
                  </w:r>
                </w:p>
              </w:txbxContent>
            </v:textbox>
            <w10:wrap type="none"/>
          </v:shape>
        </w:pict>
      </w:r>
      <w:r>
        <w:rPr>
          <w:rFonts w:ascii="Calibri" w:hAnsi="Calibri"/>
          <w:position w:val="2"/>
          <w:sz w:val="23"/>
        </w:rPr>
        <w:t>PMe</w:t>
      </w:r>
      <w:r>
        <w:rPr>
          <w:position w:val="2"/>
          <w:sz w:val="23"/>
        </w:rPr>
        <w:t>X</w:t>
      </w:r>
      <w:r>
        <w:rPr>
          <w:sz w:val="15"/>
        </w:rPr>
        <w:t>1 </w:t>
      </w:r>
      <w:r>
        <w:rPr>
          <w:position w:val="2"/>
          <w:sz w:val="23"/>
        </w:rPr>
        <w:t>= Y/X</w:t>
      </w:r>
      <w:r>
        <w:rPr>
          <w:sz w:val="15"/>
        </w:rPr>
        <w:t>1 </w:t>
      </w:r>
      <w:r>
        <w:rPr>
          <w:position w:val="2"/>
          <w:sz w:val="23"/>
        </w:rPr>
        <w:t>= β</w:t>
      </w:r>
      <w:r>
        <w:rPr>
          <w:sz w:val="15"/>
        </w:rPr>
        <w:t>0</w:t>
      </w:r>
      <w:r>
        <w:rPr>
          <w:position w:val="2"/>
          <w:sz w:val="23"/>
        </w:rPr>
        <w:t>X</w:t>
      </w:r>
      <w:r>
        <w:rPr>
          <w:sz w:val="15"/>
        </w:rPr>
        <w:t>1     </w:t>
      </w:r>
      <w:r>
        <w:rPr>
          <w:position w:val="2"/>
          <w:sz w:val="23"/>
        </w:rPr>
        <w:t>X</w:t>
      </w:r>
      <w:r>
        <w:rPr>
          <w:sz w:val="15"/>
        </w:rPr>
        <w:t>2    </w:t>
      </w:r>
      <w:r>
        <w:rPr>
          <w:position w:val="2"/>
          <w:sz w:val="23"/>
        </w:rPr>
        <w:t>/X</w:t>
      </w:r>
      <w:r>
        <w:rPr>
          <w:sz w:val="15"/>
        </w:rPr>
        <w:t>1 </w:t>
      </w:r>
      <w:r>
        <w:rPr>
          <w:position w:val="2"/>
          <w:sz w:val="23"/>
        </w:rPr>
        <w:t>= β</w:t>
      </w:r>
      <w:r>
        <w:rPr>
          <w:sz w:val="15"/>
        </w:rPr>
        <w:t>0  </w:t>
      </w:r>
      <w:r>
        <w:rPr>
          <w:position w:val="2"/>
          <w:sz w:val="23"/>
        </w:rPr>
        <w:t>X</w:t>
      </w:r>
      <w:r>
        <w:rPr>
          <w:sz w:val="15"/>
        </w:rPr>
        <w:t>2 </w:t>
      </w:r>
      <w:r>
        <w:rPr>
          <w:spacing w:val="29"/>
          <w:sz w:val="15"/>
        </w:rPr>
        <w:t> </w:t>
      </w:r>
      <w:r>
        <w:rPr>
          <w:position w:val="2"/>
          <w:sz w:val="23"/>
        </w:rPr>
        <w:t>/</w:t>
      </w:r>
      <w:r>
        <w:rPr>
          <w:spacing w:val="-1"/>
          <w:position w:val="2"/>
          <w:sz w:val="23"/>
        </w:rPr>
        <w:t> </w:t>
      </w:r>
      <w:r>
        <w:rPr>
          <w:position w:val="2"/>
          <w:sz w:val="23"/>
        </w:rPr>
        <w:t>X</w:t>
      </w:r>
      <w:r>
        <w:rPr>
          <w:sz w:val="15"/>
        </w:rPr>
        <w:t>1</w:t>
        <w:tab/>
      </w:r>
      <w:r>
        <w:rPr>
          <w:position w:val="2"/>
          <w:sz w:val="23"/>
        </w:rPr>
        <w:t>(8)</w:t>
      </w:r>
    </w:p>
    <w:p>
      <w:pPr>
        <w:pStyle w:val="BodyText"/>
        <w:spacing w:before="4"/>
        <w:rPr>
          <w:sz w:val="26"/>
        </w:rPr>
      </w:pPr>
    </w:p>
    <w:p>
      <w:pPr>
        <w:pStyle w:val="BodyText"/>
        <w:ind w:left="122"/>
        <w:jc w:val="both"/>
        <w:rPr>
          <w:rFonts w:ascii="Calibri"/>
        </w:rPr>
      </w:pPr>
      <w:r>
        <w:rPr>
          <w:rFonts w:ascii="Calibri"/>
          <w:position w:val="2"/>
        </w:rPr>
        <w:t>Producto medio del factor </w:t>
      </w:r>
      <w:r>
        <w:rPr>
          <w:position w:val="2"/>
        </w:rPr>
        <w:t>X</w:t>
      </w:r>
      <w:r>
        <w:rPr>
          <w:sz w:val="15"/>
        </w:rPr>
        <w:t>2 </w:t>
      </w:r>
      <w:r>
        <w:rPr>
          <w:rFonts w:ascii="Calibri"/>
          <w:position w:val="2"/>
        </w:rPr>
        <w:t>(trabajo).</w:t>
      </w:r>
    </w:p>
    <w:p>
      <w:pPr>
        <w:pStyle w:val="BodyText"/>
        <w:spacing w:before="7"/>
        <w:rPr>
          <w:rFonts w:ascii="Calibri"/>
          <w:sz w:val="24"/>
        </w:rPr>
      </w:pPr>
    </w:p>
    <w:p>
      <w:pPr>
        <w:tabs>
          <w:tab w:pos="4831" w:val="left" w:leader="none"/>
        </w:tabs>
        <w:spacing w:before="0"/>
        <w:ind w:left="122" w:right="0" w:firstLine="0"/>
        <w:jc w:val="both"/>
        <w:rPr>
          <w:sz w:val="23"/>
        </w:rPr>
      </w:pPr>
      <w:r>
        <w:rPr/>
        <w:pict>
          <v:shape style="position:absolute;margin-left:186.380005pt;margin-top:.346388pt;width:121.15pt;height:8.85pt;mso-position-horizontal-relative:page;mso-position-vertical-relative:paragraph;z-index:-129880" type="#_x0000_t202" filled="false" stroked="false">
            <v:textbox inset="0,0,0,0">
              <w:txbxContent>
                <w:p>
                  <w:pPr>
                    <w:tabs>
                      <w:tab w:pos="422" w:val="left" w:leader="none"/>
                      <w:tab w:pos="1582" w:val="left" w:leader="none"/>
                      <w:tab w:pos="2023" w:val="left" w:leader="none"/>
                    </w:tabs>
                    <w:spacing w:line="176" w:lineRule="exact" w:before="0"/>
                    <w:ind w:left="0" w:right="0" w:firstLine="0"/>
                    <w:jc w:val="left"/>
                    <w:rPr>
                      <w:sz w:val="15"/>
                    </w:rPr>
                  </w:pPr>
                  <w:r>
                    <w:rPr>
                      <w:sz w:val="15"/>
                    </w:rPr>
                    <w:t>β</w:t>
                  </w:r>
                  <w:r>
                    <w:rPr>
                      <w:position w:val="-2"/>
                      <w:sz w:val="12"/>
                    </w:rPr>
                    <w:t>1</w:t>
                    <w:tab/>
                  </w:r>
                  <w:r>
                    <w:rPr>
                      <w:sz w:val="15"/>
                    </w:rPr>
                    <w:t>β</w:t>
                  </w:r>
                  <w:r>
                    <w:rPr>
                      <w:position w:val="-2"/>
                      <w:sz w:val="12"/>
                    </w:rPr>
                    <w:t>2</w:t>
                    <w:tab/>
                  </w:r>
                  <w:r>
                    <w:rPr>
                      <w:sz w:val="15"/>
                    </w:rPr>
                    <w:t>β</w:t>
                  </w:r>
                  <w:r>
                    <w:rPr>
                      <w:position w:val="-2"/>
                      <w:sz w:val="12"/>
                    </w:rPr>
                    <w:t>2</w:t>
                    <w:tab/>
                  </w:r>
                  <w:r>
                    <w:rPr>
                      <w:sz w:val="15"/>
                    </w:rPr>
                    <w:t>(1-</w:t>
                  </w:r>
                  <w:r>
                    <w:rPr>
                      <w:spacing w:val="-3"/>
                      <w:sz w:val="15"/>
                    </w:rPr>
                    <w:t> </w:t>
                  </w:r>
                  <w:r>
                    <w:rPr>
                      <w:sz w:val="15"/>
                    </w:rPr>
                    <w:t>β</w:t>
                  </w:r>
                  <w:r>
                    <w:rPr>
                      <w:position w:val="-2"/>
                      <w:sz w:val="12"/>
                    </w:rPr>
                    <w:t>2</w:t>
                  </w:r>
                  <w:r>
                    <w:rPr>
                      <w:sz w:val="15"/>
                    </w:rPr>
                    <w:t>)</w:t>
                  </w:r>
                </w:p>
              </w:txbxContent>
            </v:textbox>
            <w10:wrap type="none"/>
          </v:shape>
        </w:pict>
      </w:r>
      <w:r>
        <w:rPr>
          <w:rFonts w:ascii="Calibri" w:hAnsi="Calibri"/>
          <w:position w:val="2"/>
          <w:sz w:val="23"/>
        </w:rPr>
        <w:t>PMe</w:t>
      </w:r>
      <w:r>
        <w:rPr>
          <w:position w:val="2"/>
          <w:sz w:val="23"/>
        </w:rPr>
        <w:t>X</w:t>
      </w:r>
      <w:r>
        <w:rPr>
          <w:sz w:val="15"/>
        </w:rPr>
        <w:t>2 </w:t>
      </w:r>
      <w:r>
        <w:rPr>
          <w:position w:val="2"/>
          <w:sz w:val="23"/>
        </w:rPr>
        <w:t>= Y/X</w:t>
      </w:r>
      <w:r>
        <w:rPr>
          <w:sz w:val="15"/>
        </w:rPr>
        <w:t>2 </w:t>
      </w:r>
      <w:r>
        <w:rPr>
          <w:position w:val="2"/>
          <w:sz w:val="23"/>
        </w:rPr>
        <w:t>= β</w:t>
      </w:r>
      <w:r>
        <w:rPr>
          <w:sz w:val="15"/>
        </w:rPr>
        <w:t>0</w:t>
      </w:r>
      <w:r>
        <w:rPr>
          <w:position w:val="2"/>
          <w:sz w:val="23"/>
        </w:rPr>
        <w:t>X</w:t>
      </w:r>
      <w:r>
        <w:rPr>
          <w:sz w:val="15"/>
        </w:rPr>
        <w:t>1     </w:t>
      </w:r>
      <w:r>
        <w:rPr>
          <w:position w:val="2"/>
          <w:sz w:val="23"/>
        </w:rPr>
        <w:t>X</w:t>
      </w:r>
      <w:r>
        <w:rPr>
          <w:sz w:val="15"/>
        </w:rPr>
        <w:t>2    </w:t>
      </w:r>
      <w:r>
        <w:rPr>
          <w:position w:val="2"/>
          <w:sz w:val="23"/>
        </w:rPr>
        <w:t>/X</w:t>
      </w:r>
      <w:r>
        <w:rPr>
          <w:sz w:val="15"/>
        </w:rPr>
        <w:t>2 </w:t>
      </w:r>
      <w:r>
        <w:rPr>
          <w:position w:val="2"/>
          <w:sz w:val="23"/>
        </w:rPr>
        <w:t>= β</w:t>
      </w:r>
      <w:r>
        <w:rPr>
          <w:sz w:val="15"/>
        </w:rPr>
        <w:t>0</w:t>
      </w:r>
      <w:r>
        <w:rPr>
          <w:spacing w:val="-7"/>
          <w:sz w:val="15"/>
        </w:rPr>
        <w:t> </w:t>
      </w:r>
      <w:r>
        <w:rPr>
          <w:position w:val="2"/>
          <w:sz w:val="23"/>
        </w:rPr>
        <w:t>X</w:t>
      </w:r>
      <w:r>
        <w:rPr>
          <w:sz w:val="15"/>
        </w:rPr>
        <w:t>1  </w:t>
      </w:r>
      <w:r>
        <w:rPr>
          <w:spacing w:val="22"/>
          <w:sz w:val="15"/>
        </w:rPr>
        <w:t> </w:t>
      </w:r>
      <w:r>
        <w:rPr>
          <w:position w:val="2"/>
          <w:sz w:val="23"/>
        </w:rPr>
        <w:t>/X</w:t>
      </w:r>
      <w:r>
        <w:rPr>
          <w:sz w:val="15"/>
        </w:rPr>
        <w:t>2</w:t>
        <w:tab/>
      </w:r>
      <w:r>
        <w:rPr>
          <w:position w:val="2"/>
          <w:sz w:val="23"/>
        </w:rPr>
        <w:t>(9)</w:t>
      </w:r>
    </w:p>
    <w:p>
      <w:pPr>
        <w:pStyle w:val="BodyText"/>
        <w:spacing w:before="8"/>
        <w:rPr>
          <w:sz w:val="25"/>
        </w:rPr>
      </w:pPr>
    </w:p>
    <w:p>
      <w:pPr>
        <w:pStyle w:val="BodyText"/>
        <w:spacing w:line="357" w:lineRule="auto"/>
        <w:ind w:left="122" w:right="64"/>
      </w:pPr>
      <w:r>
        <w:rPr/>
        <w:t>Restringiendo la función a lineal homogénea, lo cual implica que la suma de los exponentes es </w:t>
      </w:r>
      <w:r>
        <w:rPr>
          <w:position w:val="2"/>
        </w:rPr>
        <w:t>igual a la unidad, se tiene: β</w:t>
      </w:r>
      <w:r>
        <w:rPr>
          <w:sz w:val="15"/>
        </w:rPr>
        <w:t>1 </w:t>
      </w:r>
      <w:r>
        <w:rPr>
          <w:position w:val="2"/>
        </w:rPr>
        <w:t>= α, β</w:t>
      </w:r>
      <w:r>
        <w:rPr>
          <w:sz w:val="15"/>
        </w:rPr>
        <w:t>2 </w:t>
      </w:r>
      <w:r>
        <w:rPr>
          <w:position w:val="2"/>
        </w:rPr>
        <w:t>= (1-α).</w:t>
      </w:r>
    </w:p>
    <w:p>
      <w:pPr>
        <w:pStyle w:val="BodyText"/>
        <w:spacing w:before="164"/>
        <w:ind w:left="122"/>
        <w:jc w:val="both"/>
      </w:pPr>
      <w:r>
        <w:rPr/>
        <w:t>Sustituyendo en los productos medios:</w:t>
      </w:r>
    </w:p>
    <w:p>
      <w:pPr>
        <w:pStyle w:val="BodyText"/>
        <w:rPr>
          <w:sz w:val="26"/>
        </w:rPr>
      </w:pPr>
    </w:p>
    <w:p>
      <w:pPr>
        <w:spacing w:before="0"/>
        <w:ind w:left="122" w:right="0" w:firstLine="0"/>
        <w:jc w:val="both"/>
        <w:rPr>
          <w:sz w:val="23"/>
        </w:rPr>
      </w:pPr>
      <w:r>
        <w:rPr/>
        <w:pict>
          <v:shape style="position:absolute;margin-left:154.460007pt;margin-top:.346369pt;width:297.05pt;height:7.6pt;mso-position-horizontal-relative:page;mso-position-vertical-relative:paragraph;z-index:-129856" type="#_x0000_t202" filled="false" stroked="false">
            <v:textbox inset="0,0,0,0">
              <w:txbxContent>
                <w:p>
                  <w:pPr>
                    <w:tabs>
                      <w:tab w:pos="645" w:val="left" w:leader="none"/>
                      <w:tab w:pos="2174" w:val="left" w:leader="none"/>
                      <w:tab w:pos="4016" w:val="left" w:leader="none"/>
                      <w:tab w:pos="4397" w:val="left" w:leader="none"/>
                      <w:tab w:pos="5765" w:val="left" w:leader="none"/>
                    </w:tabs>
                    <w:spacing w:line="151" w:lineRule="exact" w:before="0"/>
                    <w:ind w:left="0" w:right="0" w:firstLine="0"/>
                    <w:jc w:val="left"/>
                    <w:rPr>
                      <w:sz w:val="15"/>
                    </w:rPr>
                  </w:pPr>
                  <w:r>
                    <w:rPr>
                      <w:sz w:val="15"/>
                    </w:rPr>
                    <w:t>(1-</w:t>
                  </w:r>
                  <w:r>
                    <w:rPr>
                      <w:spacing w:val="-2"/>
                      <w:sz w:val="15"/>
                    </w:rPr>
                    <w:t> </w:t>
                  </w:r>
                  <w:r>
                    <w:rPr>
                      <w:sz w:val="15"/>
                    </w:rPr>
                    <w:t>β)</w:t>
                    <w:tab/>
                    <w:t>(1-</w:t>
                  </w:r>
                  <w:r>
                    <w:rPr>
                      <w:spacing w:val="-2"/>
                      <w:sz w:val="15"/>
                    </w:rPr>
                    <w:t> </w:t>
                  </w:r>
                  <w:r>
                    <w:rPr>
                      <w:sz w:val="15"/>
                    </w:rPr>
                    <w:t>β)</w:t>
                    <w:tab/>
                    <w:t>(1-</w:t>
                  </w:r>
                  <w:r>
                    <w:rPr>
                      <w:spacing w:val="-2"/>
                      <w:sz w:val="15"/>
                    </w:rPr>
                    <w:t> </w:t>
                  </w:r>
                  <w:r>
                    <w:rPr>
                      <w:sz w:val="15"/>
                    </w:rPr>
                    <w:t>β)</w:t>
                    <w:tab/>
                    <w:t>β</w:t>
                    <w:tab/>
                    <w:t>(β)</w:t>
                    <w:tab/>
                  </w:r>
                  <w:r>
                    <w:rPr>
                      <w:spacing w:val="-1"/>
                      <w:sz w:val="15"/>
                    </w:rPr>
                    <w:t>(β)</w:t>
                  </w:r>
                </w:p>
              </w:txbxContent>
            </v:textbox>
            <w10:wrap type="none"/>
          </v:shape>
        </w:pict>
      </w:r>
      <w:r>
        <w:rPr>
          <w:rFonts w:ascii="Calibri" w:hAnsi="Calibri"/>
          <w:position w:val="2"/>
          <w:sz w:val="23"/>
        </w:rPr>
        <w:t>PMe</w:t>
      </w:r>
      <w:r>
        <w:rPr>
          <w:position w:val="2"/>
          <w:sz w:val="23"/>
        </w:rPr>
        <w:t>X</w:t>
      </w:r>
      <w:r>
        <w:rPr>
          <w:sz w:val="15"/>
        </w:rPr>
        <w:t>1 </w:t>
      </w:r>
      <w:r>
        <w:rPr>
          <w:position w:val="2"/>
          <w:sz w:val="23"/>
        </w:rPr>
        <w:t>= β</w:t>
      </w:r>
      <w:r>
        <w:rPr>
          <w:sz w:val="15"/>
        </w:rPr>
        <w:t>0  </w:t>
      </w:r>
      <w:r>
        <w:rPr>
          <w:position w:val="2"/>
          <w:sz w:val="23"/>
        </w:rPr>
        <w:t>X</w:t>
      </w:r>
      <w:r>
        <w:rPr>
          <w:sz w:val="15"/>
        </w:rPr>
        <w:t>2         </w:t>
      </w:r>
      <w:r>
        <w:rPr>
          <w:position w:val="2"/>
          <w:sz w:val="23"/>
        </w:rPr>
        <w:t>/X</w:t>
      </w:r>
      <w:r>
        <w:rPr>
          <w:sz w:val="15"/>
        </w:rPr>
        <w:t>1          </w:t>
      </w:r>
      <w:r>
        <w:rPr>
          <w:position w:val="2"/>
          <w:sz w:val="23"/>
        </w:rPr>
        <w:t>= β</w:t>
      </w:r>
      <w:r>
        <w:rPr>
          <w:sz w:val="15"/>
        </w:rPr>
        <w:t>0 </w:t>
      </w:r>
      <w:r>
        <w:rPr>
          <w:position w:val="2"/>
          <w:sz w:val="23"/>
        </w:rPr>
        <w:t>(X</w:t>
      </w:r>
      <w:r>
        <w:rPr>
          <w:sz w:val="15"/>
        </w:rPr>
        <w:t>2</w:t>
      </w:r>
      <w:r>
        <w:rPr>
          <w:position w:val="2"/>
          <w:sz w:val="23"/>
        </w:rPr>
        <w:t>/X</w:t>
      </w:r>
      <w:r>
        <w:rPr>
          <w:sz w:val="15"/>
        </w:rPr>
        <w:t>1</w:t>
      </w:r>
      <w:r>
        <w:rPr>
          <w:position w:val="2"/>
          <w:sz w:val="23"/>
        </w:rPr>
        <w:t>)       , </w:t>
      </w:r>
      <w:r>
        <w:rPr>
          <w:rFonts w:ascii="Calibri" w:hAnsi="Calibri"/>
          <w:position w:val="2"/>
          <w:sz w:val="23"/>
        </w:rPr>
        <w:t>PMe</w:t>
      </w:r>
      <w:r>
        <w:rPr>
          <w:position w:val="2"/>
          <w:sz w:val="23"/>
        </w:rPr>
        <w:t>X</w:t>
      </w:r>
      <w:r>
        <w:rPr>
          <w:sz w:val="15"/>
        </w:rPr>
        <w:t>2 </w:t>
      </w:r>
      <w:r>
        <w:rPr>
          <w:position w:val="2"/>
          <w:sz w:val="23"/>
        </w:rPr>
        <w:t>= β</w:t>
      </w:r>
      <w:r>
        <w:rPr>
          <w:sz w:val="15"/>
        </w:rPr>
        <w:t>0  </w:t>
      </w:r>
      <w:r>
        <w:rPr>
          <w:position w:val="2"/>
          <w:sz w:val="23"/>
        </w:rPr>
        <w:t>X</w:t>
      </w:r>
      <w:r>
        <w:rPr>
          <w:sz w:val="15"/>
        </w:rPr>
        <w:t>1  </w:t>
      </w:r>
      <w:r>
        <w:rPr>
          <w:position w:val="2"/>
          <w:sz w:val="23"/>
        </w:rPr>
        <w:t>/X</w:t>
      </w:r>
      <w:r>
        <w:rPr>
          <w:sz w:val="15"/>
        </w:rPr>
        <w:t>2      </w:t>
      </w:r>
      <w:r>
        <w:rPr>
          <w:position w:val="2"/>
          <w:sz w:val="23"/>
        </w:rPr>
        <w:t>= β</w:t>
      </w:r>
      <w:r>
        <w:rPr>
          <w:sz w:val="15"/>
        </w:rPr>
        <w:t>0 </w:t>
      </w:r>
      <w:r>
        <w:rPr>
          <w:position w:val="2"/>
          <w:sz w:val="23"/>
        </w:rPr>
        <w:t>(X</w:t>
      </w:r>
      <w:r>
        <w:rPr>
          <w:sz w:val="15"/>
        </w:rPr>
        <w:t>1</w:t>
      </w:r>
      <w:r>
        <w:rPr>
          <w:position w:val="2"/>
          <w:sz w:val="23"/>
        </w:rPr>
        <w:t>/X</w:t>
      </w:r>
      <w:r>
        <w:rPr>
          <w:sz w:val="15"/>
        </w:rPr>
        <w:t>2</w:t>
      </w:r>
      <w:r>
        <w:rPr>
          <w:position w:val="2"/>
          <w:sz w:val="23"/>
        </w:rPr>
        <w:t>)      (10)</w:t>
      </w:r>
    </w:p>
    <w:p>
      <w:pPr>
        <w:pStyle w:val="BodyText"/>
        <w:spacing w:before="8"/>
        <w:rPr>
          <w:sz w:val="25"/>
        </w:rPr>
      </w:pPr>
    </w:p>
    <w:p>
      <w:pPr>
        <w:pStyle w:val="BodyText"/>
        <w:spacing w:line="362" w:lineRule="auto"/>
        <w:ind w:left="122" w:right="103"/>
      </w:pPr>
      <w:r>
        <w:rPr/>
        <w:t>La productividad media de un insumo nos indica el producto por unidad de este insumo (Romo, 1990).</w:t>
      </w:r>
    </w:p>
    <w:p>
      <w:pPr>
        <w:pStyle w:val="BodyText"/>
        <w:spacing w:line="357" w:lineRule="auto" w:before="1"/>
        <w:ind w:left="122" w:right="102"/>
        <w:jc w:val="both"/>
      </w:pPr>
      <w:r>
        <w:rPr/>
        <w:t>Se observa que cuando la función no es lineal homogénea, el producto medio está en función de </w:t>
      </w:r>
      <w:r>
        <w:rPr>
          <w:position w:val="2"/>
        </w:rPr>
        <w:t>las magnitudes absolutas de X</w:t>
      </w:r>
      <w:r>
        <w:rPr>
          <w:sz w:val="15"/>
        </w:rPr>
        <w:t>1 </w:t>
      </w:r>
      <w:r>
        <w:rPr>
          <w:position w:val="2"/>
        </w:rPr>
        <w:t>y X</w:t>
      </w:r>
      <w:r>
        <w:rPr>
          <w:sz w:val="15"/>
        </w:rPr>
        <w:t>2 </w:t>
      </w:r>
      <w:r>
        <w:rPr>
          <w:position w:val="2"/>
        </w:rPr>
        <w:t>a diferencia de cuando sí lo es, en el que producto medio, </w:t>
      </w:r>
      <w:r>
        <w:rPr/>
        <w:t>está en función únicamente de la relación capital-trabajo (Bichara, 1990).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5"/>
        </w:rPr>
      </w:pPr>
      <w:r>
        <w:rPr/>
        <w:pict>
          <v:line style="position:absolute;mso-position-horizontal-relative:page;mso-position-vertical-relative:paragraph;z-index:2584;mso-wrap-distance-left:0;mso-wrap-distance-right:0" from="85.103996pt,16.930996pt" to="525.960017pt,16.930996pt" stroked="true" strokeweight=".36pt" strokecolor="#000000">
            <w10:wrap type="topAndBottom"/>
          </v:line>
        </w:pict>
      </w:r>
    </w:p>
    <w:p>
      <w:pPr>
        <w:tabs>
          <w:tab w:pos="4003" w:val="left" w:leader="none"/>
          <w:tab w:pos="8240" w:val="left" w:leader="none"/>
        </w:tabs>
        <w:spacing w:line="360" w:lineRule="auto" w:before="75" w:after="18"/>
        <w:ind w:left="510" w:right="104" w:hanging="389"/>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6"/>
          <w:sz w:val="18"/>
        </w:rPr>
        <w:t> </w:t>
      </w:r>
      <w:r>
        <w:rPr>
          <w:sz w:val="18"/>
        </w:rPr>
        <w:t>30</w:t>
      </w:r>
      <w:r>
        <w:rPr>
          <w:spacing w:val="-2"/>
          <w:sz w:val="18"/>
        </w:rPr>
        <w:t> </w:t>
      </w:r>
      <w:r>
        <w:rPr>
          <w:sz w:val="18"/>
        </w:rPr>
        <w:t>Estimación de una función de producción de bovinos carne en sistema extensivo en el sur del Estado de</w:t>
      </w:r>
      <w:r>
        <w:rPr>
          <w:spacing w:val="-26"/>
          <w:sz w:val="18"/>
        </w:rPr>
        <w:t> </w:t>
      </w:r>
      <w:r>
        <w:rPr>
          <w:sz w:val="18"/>
        </w:rPr>
        <w:t>México</w:t>
      </w: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spacing w:after="0" w:line="20" w:lineRule="exact"/>
        <w:rPr>
          <w:sz w:val="2"/>
        </w:rPr>
        <w:sectPr>
          <w:headerReference w:type="default" r:id="rId82"/>
          <w:footerReference w:type="default" r:id="rId83"/>
          <w:pgSz w:w="12240" w:h="15840"/>
          <w:pgMar w:header="0" w:footer="2287" w:top="1500" w:bottom="2480" w:left="1580" w:right="1600"/>
        </w:sectPr>
      </w:pPr>
    </w:p>
    <w:p>
      <w:pPr>
        <w:pStyle w:val="BodyText"/>
        <w:spacing w:line="360" w:lineRule="auto" w:before="50"/>
        <w:ind w:left="122" w:right="105"/>
        <w:jc w:val="both"/>
      </w:pPr>
      <w:r>
        <w:rPr/>
        <w:t>El producto marginal de un insumo se define como la adición en el producto total atribuible a la adición de una unidad de insumo variable en el proceso productivo, cuando los demás insumos permanecen constantes (Romo, 1990).</w:t>
      </w:r>
    </w:p>
    <w:p>
      <w:pPr>
        <w:pStyle w:val="BodyText"/>
        <w:spacing w:line="360" w:lineRule="auto" w:before="4"/>
        <w:ind w:left="122" w:right="102"/>
        <w:jc w:val="both"/>
      </w:pPr>
      <w:r>
        <w:rPr/>
        <w:t>O</w:t>
      </w:r>
      <w:r>
        <w:rPr>
          <w:spacing w:val="-4"/>
        </w:rPr>
        <w:t> </w:t>
      </w:r>
      <w:r>
        <w:rPr/>
        <w:t>bien</w:t>
      </w:r>
      <w:r>
        <w:rPr>
          <w:spacing w:val="-4"/>
        </w:rPr>
        <w:t> </w:t>
      </w:r>
      <w:r>
        <w:rPr/>
        <w:t>se</w:t>
      </w:r>
      <w:r>
        <w:rPr>
          <w:spacing w:val="-3"/>
        </w:rPr>
        <w:t> </w:t>
      </w:r>
      <w:r>
        <w:rPr/>
        <w:t>define</w:t>
      </w:r>
      <w:r>
        <w:rPr>
          <w:spacing w:val="-3"/>
        </w:rPr>
        <w:t> </w:t>
      </w:r>
      <w:r>
        <w:rPr/>
        <w:t>como</w:t>
      </w:r>
      <w:r>
        <w:rPr>
          <w:spacing w:val="-4"/>
        </w:rPr>
        <w:t> </w:t>
      </w:r>
      <w:r>
        <w:rPr/>
        <w:t>el</w:t>
      </w:r>
      <w:r>
        <w:rPr>
          <w:spacing w:val="-3"/>
        </w:rPr>
        <w:t> </w:t>
      </w:r>
      <w:r>
        <w:rPr/>
        <w:t>cambio</w:t>
      </w:r>
      <w:r>
        <w:rPr>
          <w:spacing w:val="-6"/>
        </w:rPr>
        <w:t> </w:t>
      </w:r>
      <w:r>
        <w:rPr/>
        <w:t>en</w:t>
      </w:r>
      <w:r>
        <w:rPr>
          <w:spacing w:val="-4"/>
        </w:rPr>
        <w:t> </w:t>
      </w:r>
      <w:r>
        <w:rPr/>
        <w:t>el</w:t>
      </w:r>
      <w:r>
        <w:rPr>
          <w:spacing w:val="-3"/>
        </w:rPr>
        <w:t> </w:t>
      </w:r>
      <w:r>
        <w:rPr/>
        <w:t>producto</w:t>
      </w:r>
      <w:r>
        <w:rPr>
          <w:spacing w:val="-6"/>
        </w:rPr>
        <w:t> </w:t>
      </w:r>
      <w:r>
        <w:rPr/>
        <w:t>total</w:t>
      </w:r>
      <w:r>
        <w:rPr>
          <w:spacing w:val="-5"/>
        </w:rPr>
        <w:t> </w:t>
      </w:r>
      <w:r>
        <w:rPr/>
        <w:t>al</w:t>
      </w:r>
      <w:r>
        <w:rPr>
          <w:spacing w:val="-3"/>
        </w:rPr>
        <w:t> </w:t>
      </w:r>
      <w:r>
        <w:rPr/>
        <w:t>cambiar</w:t>
      </w:r>
      <w:r>
        <w:rPr>
          <w:spacing w:val="-4"/>
        </w:rPr>
        <w:t> </w:t>
      </w:r>
      <w:r>
        <w:rPr/>
        <w:t>en</w:t>
      </w:r>
      <w:r>
        <w:rPr>
          <w:spacing w:val="-4"/>
        </w:rPr>
        <w:t> </w:t>
      </w:r>
      <w:r>
        <w:rPr/>
        <w:t>una</w:t>
      </w:r>
      <w:r>
        <w:rPr>
          <w:spacing w:val="-3"/>
        </w:rPr>
        <w:t> </w:t>
      </w:r>
      <w:r>
        <w:rPr/>
        <w:t>unidad</w:t>
      </w:r>
      <w:r>
        <w:rPr>
          <w:spacing w:val="-6"/>
        </w:rPr>
        <w:t> </w:t>
      </w:r>
      <w:r>
        <w:rPr/>
        <w:t>el</w:t>
      </w:r>
      <w:r>
        <w:rPr>
          <w:spacing w:val="-3"/>
        </w:rPr>
        <w:t> </w:t>
      </w:r>
      <w:r>
        <w:rPr/>
        <w:t>empleo</w:t>
      </w:r>
      <w:r>
        <w:rPr>
          <w:spacing w:val="-4"/>
        </w:rPr>
        <w:t> </w:t>
      </w:r>
      <w:r>
        <w:rPr/>
        <w:t>de</w:t>
      </w:r>
      <w:r>
        <w:rPr>
          <w:spacing w:val="-3"/>
        </w:rPr>
        <w:t> </w:t>
      </w:r>
      <w:r>
        <w:rPr/>
        <w:t>uno de los factores productivos manteniendo constante la cantidad utilizada del otro factor productivo.</w:t>
      </w:r>
    </w:p>
    <w:p>
      <w:pPr>
        <w:pStyle w:val="BodyText"/>
        <w:spacing w:line="362" w:lineRule="auto" w:before="4"/>
        <w:ind w:left="122" w:right="64"/>
      </w:pPr>
      <w:r>
        <w:rPr/>
        <w:t>Éste</w:t>
      </w:r>
      <w:r>
        <w:rPr>
          <w:spacing w:val="-14"/>
        </w:rPr>
        <w:t> </w:t>
      </w:r>
      <w:r>
        <w:rPr/>
        <w:t>se</w:t>
      </w:r>
      <w:r>
        <w:rPr>
          <w:spacing w:val="-14"/>
        </w:rPr>
        <w:t> </w:t>
      </w:r>
      <w:r>
        <w:rPr/>
        <w:t>representa</w:t>
      </w:r>
      <w:r>
        <w:rPr>
          <w:spacing w:val="-14"/>
        </w:rPr>
        <w:t> </w:t>
      </w:r>
      <w:r>
        <w:rPr/>
        <w:t>por</w:t>
      </w:r>
      <w:r>
        <w:rPr>
          <w:spacing w:val="-14"/>
        </w:rPr>
        <w:t> </w:t>
      </w:r>
      <w:r>
        <w:rPr/>
        <w:t>medio</w:t>
      </w:r>
      <w:r>
        <w:rPr>
          <w:spacing w:val="-14"/>
        </w:rPr>
        <w:t> </w:t>
      </w:r>
      <w:r>
        <w:rPr/>
        <w:t>de</w:t>
      </w:r>
      <w:r>
        <w:rPr>
          <w:spacing w:val="-14"/>
        </w:rPr>
        <w:t> </w:t>
      </w:r>
      <w:r>
        <w:rPr/>
        <w:t>la</w:t>
      </w:r>
      <w:r>
        <w:rPr>
          <w:spacing w:val="-14"/>
        </w:rPr>
        <w:t> </w:t>
      </w:r>
      <w:r>
        <w:rPr/>
        <w:t>derivada</w:t>
      </w:r>
      <w:r>
        <w:rPr>
          <w:spacing w:val="-14"/>
        </w:rPr>
        <w:t> </w:t>
      </w:r>
      <w:r>
        <w:rPr/>
        <w:t>parcial</w:t>
      </w:r>
      <w:r>
        <w:rPr>
          <w:spacing w:val="-14"/>
        </w:rPr>
        <w:t> </w:t>
      </w:r>
      <w:r>
        <w:rPr/>
        <w:t>de</w:t>
      </w:r>
      <w:r>
        <w:rPr>
          <w:spacing w:val="-16"/>
        </w:rPr>
        <w:t> </w:t>
      </w:r>
      <w:r>
        <w:rPr/>
        <w:t>la</w:t>
      </w:r>
      <w:r>
        <w:rPr>
          <w:spacing w:val="-14"/>
        </w:rPr>
        <w:t> </w:t>
      </w:r>
      <w:r>
        <w:rPr/>
        <w:t>función</w:t>
      </w:r>
      <w:r>
        <w:rPr>
          <w:spacing w:val="-14"/>
        </w:rPr>
        <w:t> </w:t>
      </w:r>
      <w:r>
        <w:rPr/>
        <w:t>con</w:t>
      </w:r>
      <w:r>
        <w:rPr>
          <w:spacing w:val="-14"/>
        </w:rPr>
        <w:t> </w:t>
      </w:r>
      <w:r>
        <w:rPr/>
        <w:t>respecto</w:t>
      </w:r>
      <w:r>
        <w:rPr>
          <w:spacing w:val="-14"/>
        </w:rPr>
        <w:t> </w:t>
      </w:r>
      <w:r>
        <w:rPr/>
        <w:t>al</w:t>
      </w:r>
      <w:r>
        <w:rPr>
          <w:spacing w:val="-14"/>
        </w:rPr>
        <w:t> </w:t>
      </w:r>
      <w:r>
        <w:rPr/>
        <w:t>factor</w:t>
      </w:r>
      <w:r>
        <w:rPr>
          <w:spacing w:val="-14"/>
        </w:rPr>
        <w:t> </w:t>
      </w:r>
      <w:r>
        <w:rPr/>
        <w:t>productivo en cuestión (Bichara,</w:t>
      </w:r>
      <w:r>
        <w:rPr>
          <w:spacing w:val="-12"/>
        </w:rPr>
        <w:t> </w:t>
      </w:r>
      <w:r>
        <w:rPr/>
        <w:t>1990).</w:t>
      </w:r>
    </w:p>
    <w:p>
      <w:pPr>
        <w:pStyle w:val="BodyText"/>
        <w:spacing w:line="266" w:lineRule="exact"/>
        <w:ind w:left="122"/>
        <w:jc w:val="both"/>
      </w:pPr>
      <w:r>
        <w:rPr>
          <w:position w:val="2"/>
        </w:rPr>
        <w:t>Para el factor X</w:t>
      </w:r>
      <w:r>
        <w:rPr>
          <w:sz w:val="15"/>
        </w:rPr>
        <w:t>1 </w:t>
      </w:r>
      <w:r>
        <w:rPr>
          <w:position w:val="2"/>
        </w:rPr>
        <w:t>(capital) es:</w:t>
      </w:r>
    </w:p>
    <w:p>
      <w:pPr>
        <w:pStyle w:val="BodyText"/>
        <w:spacing w:before="10"/>
        <w:rPr>
          <w:sz w:val="25"/>
        </w:rPr>
      </w:pPr>
    </w:p>
    <w:p>
      <w:pPr>
        <w:spacing w:before="0"/>
        <w:ind w:left="122" w:right="0" w:firstLine="0"/>
        <w:jc w:val="both"/>
        <w:rPr>
          <w:sz w:val="23"/>
        </w:rPr>
      </w:pPr>
      <w:r>
        <w:rPr/>
        <w:pict>
          <v:shape style="position:absolute;margin-left:206.089996pt;margin-top:.346357pt;width:315.650pt;height:8.85pt;mso-position-horizontal-relative:page;mso-position-vertical-relative:paragraph;z-index:-129784" type="#_x0000_t202" filled="false" stroked="false">
            <v:textbox inset="0,0,0,0">
              <w:txbxContent>
                <w:p>
                  <w:pPr>
                    <w:tabs>
                      <w:tab w:pos="424" w:val="left" w:leader="none"/>
                      <w:tab w:pos="1766" w:val="left" w:leader="none"/>
                      <w:tab w:pos="2498" w:val="left" w:leader="none"/>
                      <w:tab w:pos="3775" w:val="left" w:leader="none"/>
                      <w:tab w:pos="4322" w:val="left" w:leader="none"/>
                      <w:tab w:pos="5609" w:val="left" w:leader="none"/>
                      <w:tab w:pos="6051" w:val="left" w:leader="none"/>
                    </w:tabs>
                    <w:spacing w:line="176" w:lineRule="exact" w:before="0"/>
                    <w:ind w:left="0" w:right="0" w:firstLine="0"/>
                    <w:jc w:val="left"/>
                    <w:rPr>
                      <w:sz w:val="12"/>
                    </w:rPr>
                  </w:pPr>
                  <w:r>
                    <w:rPr>
                      <w:sz w:val="15"/>
                    </w:rPr>
                    <w:t>β</w:t>
                  </w:r>
                  <w:r>
                    <w:rPr>
                      <w:position w:val="-2"/>
                      <w:sz w:val="12"/>
                    </w:rPr>
                    <w:t>1</w:t>
                    <w:tab/>
                  </w:r>
                  <w:r>
                    <w:rPr>
                      <w:sz w:val="15"/>
                    </w:rPr>
                    <w:t>β</w:t>
                  </w:r>
                  <w:r>
                    <w:rPr>
                      <w:position w:val="-2"/>
                      <w:sz w:val="12"/>
                    </w:rPr>
                    <w:t>2</w:t>
                    <w:tab/>
                  </w:r>
                  <w:r>
                    <w:rPr>
                      <w:sz w:val="15"/>
                    </w:rPr>
                    <w:t>β</w:t>
                  </w:r>
                  <w:r>
                    <w:rPr>
                      <w:position w:val="-2"/>
                      <w:sz w:val="12"/>
                    </w:rPr>
                    <w:t>2</w:t>
                    <w:tab/>
                  </w:r>
                  <w:r>
                    <w:rPr>
                      <w:sz w:val="15"/>
                    </w:rPr>
                    <w:t>β</w:t>
                  </w:r>
                  <w:r>
                    <w:rPr>
                      <w:position w:val="-2"/>
                      <w:sz w:val="12"/>
                    </w:rPr>
                    <w:t>1-1</w:t>
                    <w:tab/>
                  </w:r>
                  <w:r>
                    <w:rPr>
                      <w:sz w:val="15"/>
                    </w:rPr>
                    <w:t>β</w:t>
                  </w:r>
                  <w:r>
                    <w:rPr>
                      <w:position w:val="-2"/>
                      <w:sz w:val="12"/>
                    </w:rPr>
                    <w:t>2</w:t>
                    <w:tab/>
                  </w:r>
                  <w:r>
                    <w:rPr>
                      <w:sz w:val="15"/>
                    </w:rPr>
                    <w:t>1-β</w:t>
                  </w:r>
                  <w:r>
                    <w:rPr>
                      <w:position w:val="-2"/>
                      <w:sz w:val="12"/>
                    </w:rPr>
                    <w:t>1</w:t>
                    <w:tab/>
                  </w:r>
                  <w:r>
                    <w:rPr>
                      <w:sz w:val="15"/>
                    </w:rPr>
                    <w:t>β</w:t>
                  </w:r>
                  <w:r>
                    <w:rPr>
                      <w:position w:val="-2"/>
                      <w:sz w:val="12"/>
                    </w:rPr>
                    <w:t>2</w:t>
                    <w:tab/>
                  </w:r>
                  <w:r>
                    <w:rPr>
                      <w:spacing w:val="-1"/>
                      <w:sz w:val="15"/>
                    </w:rPr>
                    <w:t>1-β</w:t>
                  </w:r>
                  <w:r>
                    <w:rPr>
                      <w:spacing w:val="-1"/>
                      <w:position w:val="-2"/>
                      <w:sz w:val="12"/>
                    </w:rPr>
                    <w:t>1</w:t>
                  </w:r>
                </w:p>
              </w:txbxContent>
            </v:textbox>
            <w10:wrap type="none"/>
          </v:shape>
        </w:pict>
      </w:r>
      <w:r>
        <w:rPr>
          <w:rFonts w:ascii="Calibri" w:hAnsi="Calibri"/>
          <w:position w:val="2"/>
          <w:sz w:val="23"/>
        </w:rPr>
        <w:t>PMg</w:t>
      </w:r>
      <w:r>
        <w:rPr>
          <w:position w:val="2"/>
          <w:sz w:val="23"/>
        </w:rPr>
        <w:t>X</w:t>
      </w:r>
      <w:r>
        <w:rPr>
          <w:sz w:val="15"/>
        </w:rPr>
        <w:t>1 </w:t>
      </w:r>
      <w:r>
        <w:rPr>
          <w:position w:val="2"/>
          <w:sz w:val="23"/>
        </w:rPr>
        <w:t>= δY/δX</w:t>
      </w:r>
      <w:r>
        <w:rPr>
          <w:sz w:val="15"/>
        </w:rPr>
        <w:t>1 </w:t>
      </w:r>
      <w:r>
        <w:rPr>
          <w:position w:val="2"/>
          <w:sz w:val="23"/>
        </w:rPr>
        <w:t>= δ(β</w:t>
      </w:r>
      <w:r>
        <w:rPr>
          <w:sz w:val="15"/>
        </w:rPr>
        <w:t>0</w:t>
      </w:r>
      <w:r>
        <w:rPr>
          <w:position w:val="2"/>
          <w:sz w:val="23"/>
        </w:rPr>
        <w:t>X</w:t>
      </w:r>
      <w:r>
        <w:rPr>
          <w:sz w:val="15"/>
        </w:rPr>
        <w:t>1     </w:t>
      </w:r>
      <w:r>
        <w:rPr>
          <w:position w:val="2"/>
          <w:sz w:val="23"/>
        </w:rPr>
        <w:t>X</w:t>
      </w:r>
      <w:r>
        <w:rPr>
          <w:sz w:val="15"/>
        </w:rPr>
        <w:t>2    </w:t>
      </w:r>
      <w:r>
        <w:rPr>
          <w:position w:val="2"/>
          <w:sz w:val="23"/>
        </w:rPr>
        <w:t>)/δX</w:t>
      </w:r>
      <w:r>
        <w:rPr>
          <w:sz w:val="15"/>
        </w:rPr>
        <w:t>1 </w:t>
      </w:r>
      <w:r>
        <w:rPr>
          <w:position w:val="2"/>
          <w:sz w:val="23"/>
        </w:rPr>
        <w:t>= β</w:t>
      </w:r>
      <w:r>
        <w:rPr>
          <w:sz w:val="15"/>
        </w:rPr>
        <w:t>0  </w:t>
      </w:r>
      <w:r>
        <w:rPr>
          <w:position w:val="2"/>
          <w:sz w:val="23"/>
        </w:rPr>
        <w:t>X</w:t>
      </w:r>
      <w:r>
        <w:rPr>
          <w:sz w:val="15"/>
        </w:rPr>
        <w:t>2     </w:t>
      </w:r>
      <w:r>
        <w:rPr>
          <w:position w:val="2"/>
          <w:sz w:val="23"/>
        </w:rPr>
        <w:t>β</w:t>
      </w:r>
      <w:r>
        <w:rPr>
          <w:sz w:val="15"/>
        </w:rPr>
        <w:t>1 </w:t>
      </w:r>
      <w:r>
        <w:rPr>
          <w:position w:val="2"/>
          <w:sz w:val="23"/>
        </w:rPr>
        <w:t>(X</w:t>
      </w:r>
      <w:r>
        <w:rPr>
          <w:sz w:val="15"/>
        </w:rPr>
        <w:t>1      </w:t>
      </w:r>
      <w:r>
        <w:rPr>
          <w:position w:val="2"/>
          <w:sz w:val="23"/>
        </w:rPr>
        <w:t>) =  β</w:t>
      </w:r>
      <w:r>
        <w:rPr>
          <w:sz w:val="15"/>
        </w:rPr>
        <w:t>0  </w:t>
      </w:r>
      <w:r>
        <w:rPr>
          <w:position w:val="2"/>
          <w:sz w:val="23"/>
        </w:rPr>
        <w:t>β</w:t>
      </w:r>
      <w:r>
        <w:rPr>
          <w:sz w:val="15"/>
        </w:rPr>
        <w:t>1</w:t>
      </w:r>
      <w:r>
        <w:rPr>
          <w:position w:val="2"/>
          <w:sz w:val="23"/>
        </w:rPr>
        <w:t>X</w:t>
      </w:r>
      <w:r>
        <w:rPr>
          <w:sz w:val="15"/>
        </w:rPr>
        <w:t>2    </w:t>
      </w:r>
      <w:r>
        <w:rPr>
          <w:position w:val="2"/>
          <w:sz w:val="23"/>
        </w:rPr>
        <w:t>/ (X</w:t>
      </w:r>
      <w:r>
        <w:rPr>
          <w:sz w:val="15"/>
        </w:rPr>
        <w:t>1       </w:t>
      </w:r>
      <w:r>
        <w:rPr>
          <w:position w:val="2"/>
          <w:sz w:val="23"/>
        </w:rPr>
        <w:t>) = β</w:t>
      </w:r>
      <w:r>
        <w:rPr>
          <w:sz w:val="15"/>
        </w:rPr>
        <w:t>1</w:t>
      </w:r>
      <w:r>
        <w:rPr>
          <w:position w:val="2"/>
          <w:sz w:val="23"/>
        </w:rPr>
        <w:t>[β</w:t>
      </w:r>
      <w:r>
        <w:rPr>
          <w:sz w:val="15"/>
        </w:rPr>
        <w:t>0</w:t>
      </w:r>
      <w:r>
        <w:rPr>
          <w:position w:val="2"/>
          <w:sz w:val="23"/>
        </w:rPr>
        <w:t>X</w:t>
      </w:r>
      <w:r>
        <w:rPr>
          <w:sz w:val="15"/>
        </w:rPr>
        <w:t>2    </w:t>
      </w:r>
      <w:r>
        <w:rPr>
          <w:position w:val="2"/>
          <w:sz w:val="23"/>
        </w:rPr>
        <w:t>/X</w:t>
      </w:r>
      <w:r>
        <w:rPr>
          <w:sz w:val="15"/>
        </w:rPr>
        <w:t>1   </w:t>
      </w:r>
      <w:r>
        <w:rPr>
          <w:position w:val="2"/>
          <w:sz w:val="23"/>
        </w:rPr>
        <w:t>]</w:t>
      </w:r>
    </w:p>
    <w:p>
      <w:pPr>
        <w:pStyle w:val="BodyText"/>
        <w:spacing w:before="1"/>
        <w:rPr>
          <w:sz w:val="26"/>
        </w:rPr>
      </w:pPr>
    </w:p>
    <w:p>
      <w:pPr>
        <w:pStyle w:val="BodyText"/>
        <w:tabs>
          <w:tab w:pos="5856" w:val="left" w:leader="none"/>
        </w:tabs>
        <w:spacing w:line="489" w:lineRule="auto"/>
        <w:ind w:left="122" w:right="2819"/>
      </w:pPr>
      <w:r>
        <w:rPr>
          <w:position w:val="2"/>
        </w:rPr>
        <w:t>Por la ecuación (8), entonces se tiene: </w:t>
      </w:r>
      <w:r>
        <w:rPr>
          <w:rFonts w:ascii="Calibri" w:hAnsi="Calibri"/>
          <w:position w:val="2"/>
        </w:rPr>
        <w:t>PMg</w:t>
      </w:r>
      <w:r>
        <w:rPr>
          <w:position w:val="2"/>
        </w:rPr>
        <w:t>X</w:t>
      </w:r>
      <w:r>
        <w:rPr>
          <w:sz w:val="15"/>
        </w:rPr>
        <w:t>1</w:t>
      </w:r>
      <w:r>
        <w:rPr>
          <w:spacing w:val="-9"/>
          <w:sz w:val="15"/>
        </w:rPr>
        <w:t> </w:t>
      </w:r>
      <w:r>
        <w:rPr>
          <w:position w:val="2"/>
        </w:rPr>
        <w:t>=</w:t>
      </w:r>
      <w:r>
        <w:rPr>
          <w:spacing w:val="-5"/>
          <w:position w:val="2"/>
        </w:rPr>
        <w:t> </w:t>
      </w:r>
      <w:r>
        <w:rPr>
          <w:position w:val="2"/>
        </w:rPr>
        <w:t>β</w:t>
      </w:r>
      <w:r>
        <w:rPr>
          <w:sz w:val="15"/>
        </w:rPr>
        <w:t>1</w:t>
      </w:r>
      <w:r>
        <w:rPr>
          <w:position w:val="2"/>
        </w:rPr>
        <w:t>(</w:t>
      </w:r>
      <w:r>
        <w:rPr>
          <w:rFonts w:ascii="Calibri" w:hAnsi="Calibri"/>
          <w:position w:val="2"/>
        </w:rPr>
        <w:t>PMe</w:t>
      </w:r>
      <w:r>
        <w:rPr>
          <w:position w:val="2"/>
        </w:rPr>
        <w:t>X</w:t>
      </w:r>
      <w:r>
        <w:rPr>
          <w:sz w:val="15"/>
        </w:rPr>
        <w:t>1</w:t>
      </w:r>
      <w:r>
        <w:rPr>
          <w:position w:val="2"/>
        </w:rPr>
        <w:t>)</w:t>
        <w:tab/>
      </w:r>
      <w:r>
        <w:rPr>
          <w:spacing w:val="-1"/>
          <w:position w:val="2"/>
        </w:rPr>
        <w:t>(11) </w:t>
      </w:r>
      <w:r>
        <w:rPr/>
        <w:t>Y por la ecuación</w:t>
      </w:r>
      <w:r>
        <w:rPr>
          <w:spacing w:val="-5"/>
        </w:rPr>
        <w:t> </w:t>
      </w:r>
      <w:r>
        <w:rPr/>
        <w:t>(10)</w:t>
      </w:r>
    </w:p>
    <w:p>
      <w:pPr>
        <w:spacing w:before="11"/>
        <w:ind w:left="122" w:right="0" w:firstLine="0"/>
        <w:jc w:val="both"/>
        <w:rPr>
          <w:sz w:val="23"/>
        </w:rPr>
      </w:pPr>
      <w:r>
        <w:rPr/>
        <w:pict>
          <v:shape style="position:absolute;margin-left:189.740005pt;margin-top:1.448626pt;width:181.05pt;height:8.85pt;mso-position-horizontal-relative:page;mso-position-vertical-relative:paragraph;z-index:-129760" type="#_x0000_t202" filled="false" stroked="false">
            <v:textbox inset="0,0,0,0">
              <w:txbxContent>
                <w:p>
                  <w:pPr>
                    <w:tabs>
                      <w:tab w:pos="1289" w:val="left" w:leader="none"/>
                      <w:tab w:pos="1798" w:val="left" w:leader="none"/>
                      <w:tab w:pos="2914" w:val="left" w:leader="none"/>
                      <w:tab w:pos="3416" w:val="left" w:leader="none"/>
                    </w:tabs>
                    <w:spacing w:line="176" w:lineRule="exact" w:before="0"/>
                    <w:ind w:left="0" w:right="0" w:firstLine="0"/>
                    <w:jc w:val="left"/>
                    <w:rPr>
                      <w:sz w:val="15"/>
                    </w:rPr>
                  </w:pPr>
                  <w:r>
                    <w:rPr>
                      <w:sz w:val="15"/>
                    </w:rPr>
                    <w:t>1-β</w:t>
                  </w:r>
                  <w:r>
                    <w:rPr>
                      <w:position w:val="-2"/>
                      <w:sz w:val="12"/>
                    </w:rPr>
                    <w:t>1</w:t>
                    <w:tab/>
                  </w:r>
                  <w:r>
                    <w:rPr>
                      <w:sz w:val="15"/>
                    </w:rPr>
                    <w:t>1-α</w:t>
                    <w:tab/>
                    <w:t>1-α</w:t>
                    <w:tab/>
                    <w:t>α-1</w:t>
                    <w:tab/>
                  </w:r>
                  <w:r>
                    <w:rPr>
                      <w:spacing w:val="-1"/>
                      <w:sz w:val="15"/>
                    </w:rPr>
                    <w:t>1-α</w:t>
                  </w:r>
                </w:p>
              </w:txbxContent>
            </v:textbox>
            <w10:wrap type="none"/>
          </v:shape>
        </w:pict>
      </w:r>
      <w:r>
        <w:rPr>
          <w:position w:val="2"/>
          <w:sz w:val="23"/>
        </w:rPr>
        <w:t>δY/δX</w:t>
      </w:r>
      <w:r>
        <w:rPr>
          <w:sz w:val="15"/>
        </w:rPr>
        <w:t>1 </w:t>
      </w:r>
      <w:r>
        <w:rPr>
          <w:position w:val="2"/>
          <w:sz w:val="23"/>
        </w:rPr>
        <w:t>= β</w:t>
      </w:r>
      <w:r>
        <w:rPr>
          <w:sz w:val="15"/>
        </w:rPr>
        <w:t>1 </w:t>
      </w:r>
      <w:r>
        <w:rPr>
          <w:position w:val="2"/>
          <w:sz w:val="23"/>
        </w:rPr>
        <w:t>[β</w:t>
      </w:r>
      <w:r>
        <w:rPr>
          <w:sz w:val="15"/>
        </w:rPr>
        <w:t>0</w:t>
      </w:r>
      <w:r>
        <w:rPr>
          <w:position w:val="2"/>
          <w:sz w:val="23"/>
        </w:rPr>
        <w:t>X</w:t>
      </w:r>
      <w:r>
        <w:rPr>
          <w:sz w:val="15"/>
        </w:rPr>
        <w:t>2</w:t>
      </w:r>
      <w:r>
        <w:rPr>
          <w:position w:val="11"/>
          <w:sz w:val="15"/>
        </w:rPr>
        <w:t>β</w:t>
      </w:r>
      <w:r>
        <w:rPr>
          <w:position w:val="8"/>
          <w:sz w:val="12"/>
        </w:rPr>
        <w:t>2</w:t>
      </w:r>
      <w:r>
        <w:rPr>
          <w:position w:val="2"/>
          <w:sz w:val="23"/>
        </w:rPr>
        <w:t>/X</w:t>
      </w:r>
      <w:r>
        <w:rPr>
          <w:sz w:val="15"/>
        </w:rPr>
        <w:t>1       </w:t>
      </w:r>
      <w:r>
        <w:rPr>
          <w:position w:val="2"/>
          <w:sz w:val="23"/>
        </w:rPr>
        <w:t>] = α [β</w:t>
      </w:r>
      <w:r>
        <w:rPr>
          <w:sz w:val="15"/>
        </w:rPr>
        <w:t>0</w:t>
      </w:r>
      <w:r>
        <w:rPr>
          <w:position w:val="2"/>
          <w:sz w:val="23"/>
        </w:rPr>
        <w:t>X</w:t>
      </w:r>
      <w:r>
        <w:rPr>
          <w:sz w:val="15"/>
        </w:rPr>
        <w:t>2     </w:t>
      </w:r>
      <w:r>
        <w:rPr>
          <w:position w:val="2"/>
          <w:sz w:val="23"/>
        </w:rPr>
        <w:t>/X</w:t>
      </w:r>
      <w:r>
        <w:rPr>
          <w:sz w:val="15"/>
        </w:rPr>
        <w:t>1     </w:t>
      </w:r>
      <w:r>
        <w:rPr>
          <w:position w:val="2"/>
          <w:sz w:val="23"/>
        </w:rPr>
        <w:t>] = α β</w:t>
      </w:r>
      <w:r>
        <w:rPr>
          <w:sz w:val="15"/>
        </w:rPr>
        <w:t>0</w:t>
      </w:r>
      <w:r>
        <w:rPr>
          <w:position w:val="2"/>
          <w:sz w:val="23"/>
        </w:rPr>
        <w:t>X</w:t>
      </w:r>
      <w:r>
        <w:rPr>
          <w:sz w:val="15"/>
        </w:rPr>
        <w:t>1       </w:t>
      </w:r>
      <w:r>
        <w:rPr>
          <w:position w:val="2"/>
          <w:sz w:val="23"/>
        </w:rPr>
        <w:t>X</w:t>
      </w:r>
      <w:r>
        <w:rPr>
          <w:sz w:val="15"/>
        </w:rPr>
        <w:t>2       </w:t>
      </w:r>
      <w:r>
        <w:rPr>
          <w:position w:val="2"/>
          <w:sz w:val="23"/>
        </w:rPr>
        <w:t>˃ 0</w:t>
      </w:r>
    </w:p>
    <w:p>
      <w:pPr>
        <w:pStyle w:val="BodyText"/>
        <w:rPr>
          <w:sz w:val="26"/>
        </w:rPr>
      </w:pPr>
    </w:p>
    <w:p>
      <w:pPr>
        <w:pStyle w:val="BodyText"/>
        <w:spacing w:before="9"/>
        <w:rPr>
          <w:sz w:val="33"/>
        </w:rPr>
      </w:pPr>
    </w:p>
    <w:p>
      <w:pPr>
        <w:pStyle w:val="BodyText"/>
        <w:ind w:left="122"/>
        <w:jc w:val="both"/>
      </w:pPr>
      <w:r>
        <w:rPr>
          <w:position w:val="2"/>
        </w:rPr>
        <w:t>Para el factor X</w:t>
      </w:r>
      <w:r>
        <w:rPr>
          <w:sz w:val="15"/>
        </w:rPr>
        <w:t>2 </w:t>
      </w:r>
      <w:r>
        <w:rPr>
          <w:position w:val="2"/>
        </w:rPr>
        <w:t>(trabajo) es:</w:t>
      </w:r>
    </w:p>
    <w:p>
      <w:pPr>
        <w:pStyle w:val="BodyText"/>
        <w:rPr>
          <w:sz w:val="22"/>
        </w:rPr>
      </w:pPr>
    </w:p>
    <w:p>
      <w:pPr>
        <w:pStyle w:val="BodyText"/>
        <w:spacing w:before="4"/>
        <w:rPr>
          <w:sz w:val="24"/>
        </w:rPr>
      </w:pPr>
    </w:p>
    <w:p>
      <w:pPr>
        <w:spacing w:before="0"/>
        <w:ind w:left="122" w:right="0" w:firstLine="0"/>
        <w:jc w:val="both"/>
        <w:rPr>
          <w:sz w:val="23"/>
        </w:rPr>
      </w:pPr>
      <w:r>
        <w:rPr/>
        <w:pict>
          <v:shape style="position:absolute;margin-left:206.089996pt;margin-top:.346369pt;width:315.650pt;height:8.85pt;mso-position-horizontal-relative:page;mso-position-vertical-relative:paragraph;z-index:-129712" type="#_x0000_t202" filled="false" stroked="false">
            <v:textbox inset="0,0,0,0">
              <w:txbxContent>
                <w:p>
                  <w:pPr>
                    <w:tabs>
                      <w:tab w:pos="424" w:val="left" w:leader="none"/>
                      <w:tab w:pos="1766" w:val="left" w:leader="none"/>
                      <w:tab w:pos="2498" w:val="left" w:leader="none"/>
                      <w:tab w:pos="3775" w:val="left" w:leader="none"/>
                      <w:tab w:pos="4322" w:val="left" w:leader="none"/>
                      <w:tab w:pos="5609" w:val="left" w:leader="none"/>
                      <w:tab w:pos="6051" w:val="left" w:leader="none"/>
                    </w:tabs>
                    <w:spacing w:line="176" w:lineRule="exact" w:before="0"/>
                    <w:ind w:left="0" w:right="0" w:firstLine="0"/>
                    <w:jc w:val="left"/>
                    <w:rPr>
                      <w:sz w:val="12"/>
                    </w:rPr>
                  </w:pPr>
                  <w:r>
                    <w:rPr>
                      <w:sz w:val="15"/>
                    </w:rPr>
                    <w:t>β</w:t>
                  </w:r>
                  <w:r>
                    <w:rPr>
                      <w:position w:val="-2"/>
                      <w:sz w:val="12"/>
                    </w:rPr>
                    <w:t>1</w:t>
                    <w:tab/>
                  </w:r>
                  <w:r>
                    <w:rPr>
                      <w:sz w:val="15"/>
                    </w:rPr>
                    <w:t>β</w:t>
                  </w:r>
                  <w:r>
                    <w:rPr>
                      <w:position w:val="-2"/>
                      <w:sz w:val="12"/>
                    </w:rPr>
                    <w:t>2</w:t>
                    <w:tab/>
                  </w:r>
                  <w:r>
                    <w:rPr>
                      <w:sz w:val="15"/>
                    </w:rPr>
                    <w:t>β</w:t>
                  </w:r>
                  <w:r>
                    <w:rPr>
                      <w:position w:val="-2"/>
                      <w:sz w:val="12"/>
                    </w:rPr>
                    <w:t>1</w:t>
                    <w:tab/>
                  </w:r>
                  <w:r>
                    <w:rPr>
                      <w:sz w:val="15"/>
                    </w:rPr>
                    <w:t>β</w:t>
                  </w:r>
                  <w:r>
                    <w:rPr>
                      <w:position w:val="-2"/>
                      <w:sz w:val="12"/>
                    </w:rPr>
                    <w:t>2-1</w:t>
                    <w:tab/>
                  </w:r>
                  <w:r>
                    <w:rPr>
                      <w:sz w:val="15"/>
                    </w:rPr>
                    <w:t>β</w:t>
                  </w:r>
                  <w:r>
                    <w:rPr>
                      <w:position w:val="-2"/>
                      <w:sz w:val="12"/>
                    </w:rPr>
                    <w:t>1</w:t>
                    <w:tab/>
                  </w:r>
                  <w:r>
                    <w:rPr>
                      <w:sz w:val="15"/>
                    </w:rPr>
                    <w:t>1-β</w:t>
                  </w:r>
                  <w:r>
                    <w:rPr>
                      <w:position w:val="-2"/>
                      <w:sz w:val="12"/>
                    </w:rPr>
                    <w:t>2</w:t>
                    <w:tab/>
                  </w:r>
                  <w:r>
                    <w:rPr>
                      <w:sz w:val="15"/>
                    </w:rPr>
                    <w:t>β</w:t>
                  </w:r>
                  <w:r>
                    <w:rPr>
                      <w:position w:val="-2"/>
                      <w:sz w:val="12"/>
                    </w:rPr>
                    <w:t>1</w:t>
                    <w:tab/>
                  </w:r>
                  <w:r>
                    <w:rPr>
                      <w:spacing w:val="-1"/>
                      <w:sz w:val="15"/>
                    </w:rPr>
                    <w:t>1-β</w:t>
                  </w:r>
                  <w:r>
                    <w:rPr>
                      <w:spacing w:val="-1"/>
                      <w:position w:val="-2"/>
                      <w:sz w:val="12"/>
                    </w:rPr>
                    <w:t>2</w:t>
                  </w:r>
                </w:p>
              </w:txbxContent>
            </v:textbox>
            <w10:wrap type="none"/>
          </v:shape>
        </w:pict>
      </w:r>
      <w:r>
        <w:rPr>
          <w:rFonts w:ascii="Calibri" w:hAnsi="Calibri"/>
          <w:position w:val="2"/>
          <w:sz w:val="23"/>
        </w:rPr>
        <w:t>PMg</w:t>
      </w:r>
      <w:r>
        <w:rPr>
          <w:position w:val="2"/>
          <w:sz w:val="23"/>
        </w:rPr>
        <w:t>X</w:t>
      </w:r>
      <w:r>
        <w:rPr>
          <w:sz w:val="15"/>
        </w:rPr>
        <w:t>2 </w:t>
      </w:r>
      <w:r>
        <w:rPr>
          <w:position w:val="2"/>
          <w:sz w:val="23"/>
        </w:rPr>
        <w:t>= δY/δX</w:t>
      </w:r>
      <w:r>
        <w:rPr>
          <w:sz w:val="15"/>
        </w:rPr>
        <w:t>2 </w:t>
      </w:r>
      <w:r>
        <w:rPr>
          <w:position w:val="2"/>
          <w:sz w:val="23"/>
        </w:rPr>
        <w:t>= δ(β</w:t>
      </w:r>
      <w:r>
        <w:rPr>
          <w:sz w:val="15"/>
        </w:rPr>
        <w:t>0</w:t>
      </w:r>
      <w:r>
        <w:rPr>
          <w:position w:val="2"/>
          <w:sz w:val="23"/>
        </w:rPr>
        <w:t>X</w:t>
      </w:r>
      <w:r>
        <w:rPr>
          <w:sz w:val="15"/>
        </w:rPr>
        <w:t>1     </w:t>
      </w:r>
      <w:r>
        <w:rPr>
          <w:position w:val="2"/>
          <w:sz w:val="23"/>
        </w:rPr>
        <w:t>X</w:t>
      </w:r>
      <w:r>
        <w:rPr>
          <w:sz w:val="15"/>
        </w:rPr>
        <w:t>2    </w:t>
      </w:r>
      <w:r>
        <w:rPr>
          <w:position w:val="2"/>
          <w:sz w:val="23"/>
        </w:rPr>
        <w:t>)/δX</w:t>
      </w:r>
      <w:r>
        <w:rPr>
          <w:sz w:val="15"/>
        </w:rPr>
        <w:t>2 </w:t>
      </w:r>
      <w:r>
        <w:rPr>
          <w:position w:val="2"/>
          <w:sz w:val="23"/>
        </w:rPr>
        <w:t>= β</w:t>
      </w:r>
      <w:r>
        <w:rPr>
          <w:sz w:val="15"/>
        </w:rPr>
        <w:t>0  </w:t>
      </w:r>
      <w:r>
        <w:rPr>
          <w:position w:val="2"/>
          <w:sz w:val="23"/>
        </w:rPr>
        <w:t>X</w:t>
      </w:r>
      <w:r>
        <w:rPr>
          <w:sz w:val="15"/>
        </w:rPr>
        <w:t>1     </w:t>
      </w:r>
      <w:r>
        <w:rPr>
          <w:position w:val="2"/>
          <w:sz w:val="23"/>
        </w:rPr>
        <w:t>β</w:t>
      </w:r>
      <w:r>
        <w:rPr>
          <w:sz w:val="15"/>
        </w:rPr>
        <w:t>2 </w:t>
      </w:r>
      <w:r>
        <w:rPr>
          <w:position w:val="2"/>
          <w:sz w:val="23"/>
        </w:rPr>
        <w:t>(X</w:t>
      </w:r>
      <w:r>
        <w:rPr>
          <w:sz w:val="15"/>
        </w:rPr>
        <w:t>1      </w:t>
      </w:r>
      <w:r>
        <w:rPr>
          <w:position w:val="2"/>
          <w:sz w:val="23"/>
        </w:rPr>
        <w:t>) =  β</w:t>
      </w:r>
      <w:r>
        <w:rPr>
          <w:sz w:val="15"/>
        </w:rPr>
        <w:t>0  </w:t>
      </w:r>
      <w:r>
        <w:rPr>
          <w:position w:val="2"/>
          <w:sz w:val="23"/>
        </w:rPr>
        <w:t>β</w:t>
      </w:r>
      <w:r>
        <w:rPr>
          <w:sz w:val="15"/>
        </w:rPr>
        <w:t>2</w:t>
      </w:r>
      <w:r>
        <w:rPr>
          <w:position w:val="2"/>
          <w:sz w:val="23"/>
        </w:rPr>
        <w:t>X</w:t>
      </w:r>
      <w:r>
        <w:rPr>
          <w:sz w:val="15"/>
        </w:rPr>
        <w:t>1    </w:t>
      </w:r>
      <w:r>
        <w:rPr>
          <w:position w:val="2"/>
          <w:sz w:val="23"/>
        </w:rPr>
        <w:t>/ (X</w:t>
      </w:r>
      <w:r>
        <w:rPr>
          <w:sz w:val="15"/>
        </w:rPr>
        <w:t>2       </w:t>
      </w:r>
      <w:r>
        <w:rPr>
          <w:position w:val="2"/>
          <w:sz w:val="23"/>
        </w:rPr>
        <w:t>) = β</w:t>
      </w:r>
      <w:r>
        <w:rPr>
          <w:sz w:val="15"/>
        </w:rPr>
        <w:t>2</w:t>
      </w:r>
      <w:r>
        <w:rPr>
          <w:position w:val="2"/>
          <w:sz w:val="23"/>
        </w:rPr>
        <w:t>[β</w:t>
      </w:r>
      <w:r>
        <w:rPr>
          <w:sz w:val="15"/>
        </w:rPr>
        <w:t>0</w:t>
      </w:r>
      <w:r>
        <w:rPr>
          <w:position w:val="2"/>
          <w:sz w:val="23"/>
        </w:rPr>
        <w:t>X</w:t>
      </w:r>
      <w:r>
        <w:rPr>
          <w:sz w:val="15"/>
        </w:rPr>
        <w:t>1    </w:t>
      </w:r>
      <w:r>
        <w:rPr>
          <w:position w:val="2"/>
          <w:sz w:val="23"/>
        </w:rPr>
        <w:t>/X</w:t>
      </w:r>
      <w:r>
        <w:rPr>
          <w:sz w:val="15"/>
        </w:rPr>
        <w:t>2   </w:t>
      </w:r>
      <w:r>
        <w:rPr>
          <w:position w:val="2"/>
          <w:sz w:val="23"/>
        </w:rPr>
        <w:t>]</w:t>
      </w:r>
    </w:p>
    <w:p>
      <w:pPr>
        <w:pStyle w:val="BodyText"/>
        <w:tabs>
          <w:tab w:pos="4992" w:val="left" w:leader="none"/>
        </w:tabs>
        <w:spacing w:line="357" w:lineRule="auto" w:before="139"/>
        <w:ind w:left="122" w:right="3681"/>
      </w:pPr>
      <w:r>
        <w:rPr>
          <w:position w:val="2"/>
        </w:rPr>
        <w:t>Por la ecuación (9), se tiene: </w:t>
      </w:r>
      <w:r>
        <w:rPr>
          <w:rFonts w:ascii="Calibri" w:hAnsi="Calibri"/>
          <w:position w:val="2"/>
        </w:rPr>
        <w:t>PMg</w:t>
      </w:r>
      <w:r>
        <w:rPr>
          <w:position w:val="2"/>
        </w:rPr>
        <w:t>X</w:t>
      </w:r>
      <w:r>
        <w:rPr>
          <w:sz w:val="15"/>
        </w:rPr>
        <w:t>2</w:t>
      </w:r>
      <w:r>
        <w:rPr>
          <w:spacing w:val="-8"/>
          <w:sz w:val="15"/>
        </w:rPr>
        <w:t> </w:t>
      </w:r>
      <w:r>
        <w:rPr>
          <w:position w:val="2"/>
        </w:rPr>
        <w:t>=</w:t>
      </w:r>
      <w:r>
        <w:rPr>
          <w:spacing w:val="-2"/>
          <w:position w:val="2"/>
        </w:rPr>
        <w:t> </w:t>
      </w:r>
      <w:r>
        <w:rPr>
          <w:position w:val="2"/>
        </w:rPr>
        <w:t>β</w:t>
      </w:r>
      <w:r>
        <w:rPr>
          <w:sz w:val="15"/>
        </w:rPr>
        <w:t>2</w:t>
      </w:r>
      <w:r>
        <w:rPr>
          <w:position w:val="2"/>
        </w:rPr>
        <w:t>(</w:t>
      </w:r>
      <w:r>
        <w:rPr>
          <w:rFonts w:ascii="Calibri" w:hAnsi="Calibri"/>
          <w:position w:val="2"/>
        </w:rPr>
        <w:t>PMe</w:t>
      </w:r>
      <w:r>
        <w:rPr>
          <w:position w:val="2"/>
        </w:rPr>
        <w:t>X</w:t>
      </w:r>
      <w:r>
        <w:rPr>
          <w:sz w:val="15"/>
        </w:rPr>
        <w:t>2</w:t>
      </w:r>
      <w:r>
        <w:rPr>
          <w:position w:val="2"/>
        </w:rPr>
        <w:t>)</w:t>
        <w:tab/>
        <w:t>(12) </w:t>
      </w:r>
      <w:r>
        <w:rPr/>
        <w:t>Y por la ecuación</w:t>
      </w:r>
      <w:r>
        <w:rPr>
          <w:spacing w:val="-5"/>
        </w:rPr>
        <w:t> </w:t>
      </w:r>
      <w:r>
        <w:rPr/>
        <w:t>(10).</w:t>
      </w:r>
    </w:p>
    <w:p>
      <w:pPr>
        <w:tabs>
          <w:tab w:pos="4660" w:val="left" w:leader="none"/>
        </w:tabs>
        <w:spacing w:line="271" w:lineRule="exact" w:before="0"/>
        <w:ind w:left="122" w:right="0" w:firstLine="0"/>
        <w:jc w:val="both"/>
        <w:rPr>
          <w:sz w:val="23"/>
        </w:rPr>
      </w:pPr>
      <w:r>
        <w:rPr/>
        <w:pict>
          <v:shape style="position:absolute;margin-left:189.740005pt;margin-top:.308798pt;width:214.3pt;height:8.85pt;mso-position-horizontal-relative:page;mso-position-vertical-relative:paragraph;z-index:-129736" type="#_x0000_t202" filled="false" stroked="false">
            <v:textbox inset="0,0,0,0">
              <w:txbxContent>
                <w:p>
                  <w:pPr>
                    <w:tabs>
                      <w:tab w:pos="1634" w:val="left" w:leader="none"/>
                      <w:tab w:pos="2018" w:val="left" w:leader="none"/>
                      <w:tab w:pos="3780" w:val="left" w:leader="none"/>
                      <w:tab w:pos="4157" w:val="left" w:leader="none"/>
                    </w:tabs>
                    <w:spacing w:line="176" w:lineRule="exact" w:before="0"/>
                    <w:ind w:left="0" w:right="0" w:firstLine="0"/>
                    <w:jc w:val="left"/>
                    <w:rPr>
                      <w:sz w:val="15"/>
                    </w:rPr>
                  </w:pPr>
                  <w:r>
                    <w:rPr>
                      <w:sz w:val="15"/>
                    </w:rPr>
                    <w:t>1-β</w:t>
                  </w:r>
                  <w:r>
                    <w:rPr>
                      <w:position w:val="-2"/>
                      <w:sz w:val="12"/>
                    </w:rPr>
                    <w:t>2</w:t>
                    <w:tab/>
                  </w:r>
                  <w:r>
                    <w:rPr>
                      <w:sz w:val="15"/>
                    </w:rPr>
                    <w:t>α</w:t>
                    <w:tab/>
                    <w:t>1-(1-α)</w:t>
                    <w:tab/>
                    <w:t>α</w:t>
                    <w:tab/>
                  </w:r>
                  <w:r>
                    <w:rPr>
                      <w:spacing w:val="-1"/>
                      <w:sz w:val="15"/>
                    </w:rPr>
                    <w:t>-α</w:t>
                  </w:r>
                </w:p>
              </w:txbxContent>
            </v:textbox>
            <w10:wrap type="none"/>
          </v:shape>
        </w:pict>
      </w:r>
      <w:r>
        <w:rPr>
          <w:position w:val="2"/>
          <w:sz w:val="23"/>
        </w:rPr>
        <w:t>δY/δX</w:t>
      </w:r>
      <w:r>
        <w:rPr>
          <w:sz w:val="15"/>
        </w:rPr>
        <w:t>2 </w:t>
      </w:r>
      <w:r>
        <w:rPr>
          <w:position w:val="2"/>
          <w:sz w:val="23"/>
        </w:rPr>
        <w:t>= β</w:t>
      </w:r>
      <w:r>
        <w:rPr>
          <w:sz w:val="15"/>
        </w:rPr>
        <w:t>2 </w:t>
      </w:r>
      <w:r>
        <w:rPr>
          <w:position w:val="2"/>
          <w:sz w:val="23"/>
        </w:rPr>
        <w:t>[β</w:t>
      </w:r>
      <w:r>
        <w:rPr>
          <w:sz w:val="15"/>
        </w:rPr>
        <w:t>0</w:t>
      </w:r>
      <w:r>
        <w:rPr>
          <w:position w:val="2"/>
          <w:sz w:val="23"/>
        </w:rPr>
        <w:t>X</w:t>
      </w:r>
      <w:r>
        <w:rPr>
          <w:sz w:val="15"/>
        </w:rPr>
        <w:t>1</w:t>
      </w:r>
      <w:r>
        <w:rPr>
          <w:position w:val="11"/>
          <w:sz w:val="15"/>
        </w:rPr>
        <w:t>β</w:t>
      </w:r>
      <w:r>
        <w:rPr>
          <w:position w:val="8"/>
          <w:sz w:val="12"/>
        </w:rPr>
        <w:t>1</w:t>
      </w:r>
      <w:r>
        <w:rPr>
          <w:position w:val="2"/>
          <w:sz w:val="23"/>
        </w:rPr>
        <w:t>/X</w:t>
      </w:r>
      <w:r>
        <w:rPr>
          <w:sz w:val="15"/>
        </w:rPr>
        <w:t>2      </w:t>
      </w:r>
      <w:r>
        <w:rPr>
          <w:position w:val="2"/>
          <w:sz w:val="23"/>
        </w:rPr>
        <w:t>] = (1-α )</w:t>
      </w:r>
      <w:r>
        <w:rPr>
          <w:spacing w:val="-12"/>
          <w:position w:val="2"/>
          <w:sz w:val="23"/>
        </w:rPr>
        <w:t> </w:t>
      </w:r>
      <w:r>
        <w:rPr>
          <w:position w:val="2"/>
          <w:sz w:val="23"/>
        </w:rPr>
        <w:t>[β</w:t>
      </w:r>
      <w:r>
        <w:rPr>
          <w:sz w:val="15"/>
        </w:rPr>
        <w:t>0</w:t>
      </w:r>
      <w:r>
        <w:rPr>
          <w:position w:val="2"/>
          <w:sz w:val="23"/>
        </w:rPr>
        <w:t>X</w:t>
      </w:r>
      <w:r>
        <w:rPr>
          <w:sz w:val="15"/>
        </w:rPr>
        <w:t>1 </w:t>
      </w:r>
      <w:r>
        <w:rPr>
          <w:spacing w:val="1"/>
          <w:sz w:val="15"/>
        </w:rPr>
        <w:t> </w:t>
      </w:r>
      <w:r>
        <w:rPr>
          <w:position w:val="2"/>
          <w:sz w:val="23"/>
        </w:rPr>
        <w:t>/X</w:t>
      </w:r>
      <w:r>
        <w:rPr>
          <w:sz w:val="15"/>
        </w:rPr>
        <w:t>2</w:t>
        <w:tab/>
      </w:r>
      <w:r>
        <w:rPr>
          <w:position w:val="2"/>
          <w:sz w:val="23"/>
        </w:rPr>
        <w:t>] = (1-α ) β</w:t>
      </w:r>
      <w:r>
        <w:rPr>
          <w:sz w:val="15"/>
        </w:rPr>
        <w:t>0</w:t>
      </w:r>
      <w:r>
        <w:rPr>
          <w:position w:val="2"/>
          <w:sz w:val="23"/>
        </w:rPr>
        <w:t>X</w:t>
      </w:r>
      <w:r>
        <w:rPr>
          <w:sz w:val="15"/>
        </w:rPr>
        <w:t>1    </w:t>
      </w:r>
      <w:r>
        <w:rPr>
          <w:position w:val="2"/>
          <w:sz w:val="23"/>
        </w:rPr>
        <w:t>X</w:t>
      </w:r>
      <w:r>
        <w:rPr>
          <w:sz w:val="15"/>
        </w:rPr>
        <w:t>2     </w:t>
      </w:r>
      <w:r>
        <w:rPr>
          <w:position w:val="2"/>
          <w:sz w:val="23"/>
        </w:rPr>
        <w:t>˃</w:t>
      </w:r>
      <w:r>
        <w:rPr>
          <w:spacing w:val="14"/>
          <w:position w:val="2"/>
          <w:sz w:val="23"/>
        </w:rPr>
        <w:t> </w:t>
      </w:r>
      <w:r>
        <w:rPr>
          <w:position w:val="2"/>
          <w:sz w:val="23"/>
        </w:rPr>
        <w:t>0</w:t>
      </w:r>
    </w:p>
    <w:p>
      <w:pPr>
        <w:pStyle w:val="BodyText"/>
        <w:spacing w:before="2"/>
        <w:rPr>
          <w:sz w:val="25"/>
        </w:rPr>
      </w:pPr>
    </w:p>
    <w:p>
      <w:pPr>
        <w:pStyle w:val="BodyText"/>
        <w:ind w:left="122"/>
        <w:jc w:val="both"/>
      </w:pPr>
      <w:r>
        <w:rPr>
          <w:position w:val="2"/>
        </w:rPr>
        <w:t>Restringiendo las funciones de los factores X</w:t>
      </w:r>
      <w:r>
        <w:rPr>
          <w:sz w:val="15"/>
        </w:rPr>
        <w:t>1 </w:t>
      </w:r>
      <w:r>
        <w:rPr>
          <w:position w:val="2"/>
        </w:rPr>
        <w:t>y X</w:t>
      </w:r>
      <w:r>
        <w:rPr>
          <w:sz w:val="15"/>
        </w:rPr>
        <w:t>2 </w:t>
      </w:r>
      <w:r>
        <w:rPr>
          <w:position w:val="2"/>
        </w:rPr>
        <w:t>a lineal homogénea, tenemos que:</w:t>
      </w:r>
    </w:p>
    <w:p>
      <w:pPr>
        <w:pStyle w:val="BodyText"/>
        <w:spacing w:before="10"/>
        <w:rPr>
          <w:sz w:val="24"/>
        </w:rPr>
      </w:pPr>
    </w:p>
    <w:p>
      <w:pPr>
        <w:spacing w:before="0"/>
        <w:ind w:left="122" w:right="0" w:firstLine="0"/>
        <w:jc w:val="both"/>
        <w:rPr>
          <w:sz w:val="15"/>
        </w:rPr>
      </w:pPr>
      <w:r>
        <w:rPr/>
        <w:pict>
          <v:shape style="position:absolute;margin-left:181.220001pt;margin-top:.898624pt;width:153.450pt;height:8.85pt;mso-position-horizontal-relative:page;mso-position-vertical-relative:paragraph;z-index:-129688" type="#_x0000_t202" filled="false" stroked="false">
            <v:textbox inset="0,0,0,0">
              <w:txbxContent>
                <w:p>
                  <w:pPr>
                    <w:tabs>
                      <w:tab w:pos="2369" w:val="left" w:leader="none"/>
                      <w:tab w:pos="2808" w:val="left" w:leader="none"/>
                    </w:tabs>
                    <w:spacing w:line="176" w:lineRule="exact" w:before="0"/>
                    <w:ind w:left="0" w:right="0" w:firstLine="0"/>
                    <w:jc w:val="left"/>
                    <w:rPr>
                      <w:sz w:val="12"/>
                    </w:rPr>
                  </w:pPr>
                  <w:r>
                    <w:rPr>
                      <w:sz w:val="15"/>
                    </w:rPr>
                    <w:t>1-β</w:t>
                  </w:r>
                  <w:r>
                    <w:rPr>
                      <w:position w:val="-2"/>
                      <w:sz w:val="12"/>
                    </w:rPr>
                    <w:t>1</w:t>
                    <w:tab/>
                  </w:r>
                  <w:r>
                    <w:rPr>
                      <w:sz w:val="15"/>
                    </w:rPr>
                    <w:t>β</w:t>
                  </w:r>
                  <w:r>
                    <w:rPr>
                      <w:position w:val="-2"/>
                      <w:sz w:val="12"/>
                    </w:rPr>
                    <w:t>1</w:t>
                    <w:tab/>
                  </w:r>
                  <w:r>
                    <w:rPr>
                      <w:spacing w:val="-1"/>
                      <w:sz w:val="15"/>
                    </w:rPr>
                    <w:t>1-β</w:t>
                  </w:r>
                  <w:r>
                    <w:rPr>
                      <w:spacing w:val="-1"/>
                      <w:position w:val="-2"/>
                      <w:sz w:val="12"/>
                    </w:rPr>
                    <w:t>2</w:t>
                  </w:r>
                </w:p>
              </w:txbxContent>
            </v:textbox>
            <w10:wrap type="none"/>
          </v:shape>
        </w:pict>
      </w:r>
      <w:r>
        <w:rPr>
          <w:rFonts w:ascii="Calibri" w:hAnsi="Calibri"/>
          <w:position w:val="2"/>
          <w:sz w:val="23"/>
        </w:rPr>
        <w:t>PMg</w:t>
      </w:r>
      <w:r>
        <w:rPr>
          <w:position w:val="2"/>
          <w:sz w:val="23"/>
        </w:rPr>
        <w:t>X</w:t>
      </w:r>
      <w:r>
        <w:rPr>
          <w:sz w:val="15"/>
        </w:rPr>
        <w:t>1 </w:t>
      </w:r>
      <w:r>
        <w:rPr>
          <w:position w:val="2"/>
          <w:sz w:val="23"/>
        </w:rPr>
        <w:t>= α β</w:t>
      </w:r>
      <w:r>
        <w:rPr>
          <w:sz w:val="15"/>
        </w:rPr>
        <w:t>0</w:t>
      </w:r>
      <w:r>
        <w:rPr>
          <w:position w:val="2"/>
          <w:sz w:val="23"/>
        </w:rPr>
        <w:t>X</w:t>
      </w:r>
      <w:r>
        <w:rPr>
          <w:sz w:val="15"/>
        </w:rPr>
        <w:t>2</w:t>
      </w:r>
      <w:r>
        <w:rPr>
          <w:position w:val="11"/>
          <w:sz w:val="15"/>
        </w:rPr>
        <w:t>β</w:t>
      </w:r>
      <w:r>
        <w:rPr>
          <w:position w:val="8"/>
          <w:sz w:val="12"/>
        </w:rPr>
        <w:t>2</w:t>
      </w:r>
      <w:r>
        <w:rPr>
          <w:position w:val="2"/>
          <w:sz w:val="23"/>
        </w:rPr>
        <w:t>/X</w:t>
      </w:r>
      <w:r>
        <w:rPr>
          <w:sz w:val="15"/>
        </w:rPr>
        <w:t>1        </w:t>
      </w:r>
      <w:r>
        <w:rPr>
          <w:position w:val="2"/>
          <w:sz w:val="23"/>
        </w:rPr>
        <w:t>y </w:t>
      </w:r>
      <w:r>
        <w:rPr>
          <w:rFonts w:ascii="Calibri" w:hAnsi="Calibri"/>
          <w:position w:val="2"/>
          <w:sz w:val="23"/>
        </w:rPr>
        <w:t>PMg</w:t>
      </w:r>
      <w:r>
        <w:rPr>
          <w:position w:val="2"/>
          <w:sz w:val="23"/>
        </w:rPr>
        <w:t>X</w:t>
      </w:r>
      <w:r>
        <w:rPr>
          <w:sz w:val="15"/>
        </w:rPr>
        <w:t>2 </w:t>
      </w:r>
      <w:r>
        <w:rPr>
          <w:position w:val="2"/>
          <w:sz w:val="23"/>
        </w:rPr>
        <w:t>= (1-α ) β</w:t>
      </w:r>
      <w:r>
        <w:rPr>
          <w:sz w:val="15"/>
        </w:rPr>
        <w:t>0</w:t>
      </w:r>
      <w:r>
        <w:rPr>
          <w:position w:val="2"/>
          <w:sz w:val="23"/>
        </w:rPr>
        <w:t>X</w:t>
      </w:r>
      <w:r>
        <w:rPr>
          <w:sz w:val="15"/>
        </w:rPr>
        <w:t>1  </w:t>
      </w:r>
      <w:r>
        <w:rPr>
          <w:position w:val="2"/>
          <w:sz w:val="23"/>
        </w:rPr>
        <w:t>/X</w:t>
      </w:r>
      <w:r>
        <w:rPr>
          <w:sz w:val="15"/>
        </w:rPr>
        <w:t>2</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4"/>
        </w:rPr>
      </w:pPr>
      <w:r>
        <w:rPr/>
        <w:pict>
          <v:line style="position:absolute;mso-position-horizontal-relative:page;mso-position-vertical-relative:paragraph;z-index:2704;mso-wrap-distance-left:0;mso-wrap-distance-right:0" from="85.103996pt,10.709526pt" to="525.960017pt,10.709526pt" stroked="true" strokeweight=".36pt" strokecolor="#000000">
            <w10:wrap type="topAndBottom"/>
          </v:line>
        </w:pict>
      </w:r>
    </w:p>
    <w:p>
      <w:pPr>
        <w:tabs>
          <w:tab w:pos="4003" w:val="left" w:leader="none"/>
          <w:tab w:pos="8240" w:val="left" w:leader="none"/>
        </w:tabs>
        <w:spacing w:line="360" w:lineRule="auto" w:before="75" w:after="17"/>
        <w:ind w:left="510" w:right="103" w:hanging="389"/>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31 Estimación de una función de producción de bovinos carne en sistema extensivo en el sur del Estado de</w:t>
      </w:r>
      <w:r>
        <w:rPr>
          <w:spacing w:val="-26"/>
          <w:sz w:val="18"/>
        </w:rPr>
        <w:t> </w:t>
      </w:r>
      <w:r>
        <w:rPr>
          <w:sz w:val="18"/>
        </w:rPr>
        <w:t>México</w:t>
      </w: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spacing w:after="0" w:line="20" w:lineRule="exact"/>
        <w:rPr>
          <w:sz w:val="2"/>
        </w:rPr>
        <w:sectPr>
          <w:headerReference w:type="default" r:id="rId84"/>
          <w:footerReference w:type="default" r:id="rId85"/>
          <w:pgSz w:w="12240" w:h="15840"/>
          <w:pgMar w:header="0" w:footer="0" w:top="1360" w:bottom="280" w:left="1580" w:right="1600"/>
        </w:sectPr>
      </w:pPr>
    </w:p>
    <w:p>
      <w:pPr>
        <w:pStyle w:val="BodyText"/>
        <w:spacing w:line="360" w:lineRule="auto" w:before="50"/>
        <w:ind w:left="122" w:right="116"/>
        <w:jc w:val="both"/>
      </w:pPr>
      <w:r>
        <w:rPr/>
        <w:t>Se</w:t>
      </w:r>
      <w:r>
        <w:rPr>
          <w:spacing w:val="-12"/>
        </w:rPr>
        <w:t> </w:t>
      </w:r>
      <w:r>
        <w:rPr/>
        <w:t>dice</w:t>
      </w:r>
      <w:r>
        <w:rPr>
          <w:spacing w:val="-12"/>
        </w:rPr>
        <w:t> </w:t>
      </w:r>
      <w:r>
        <w:rPr/>
        <w:t>que</w:t>
      </w:r>
      <w:r>
        <w:rPr>
          <w:spacing w:val="-11"/>
        </w:rPr>
        <w:t> </w:t>
      </w:r>
      <w:r>
        <w:rPr/>
        <w:t>existen</w:t>
      </w:r>
      <w:r>
        <w:rPr>
          <w:spacing w:val="-13"/>
        </w:rPr>
        <w:t> </w:t>
      </w:r>
      <w:r>
        <w:rPr/>
        <w:t>rendimientos</w:t>
      </w:r>
      <w:r>
        <w:rPr>
          <w:spacing w:val="-16"/>
        </w:rPr>
        <w:t> </w:t>
      </w:r>
      <w:r>
        <w:rPr/>
        <w:t>marginales</w:t>
      </w:r>
      <w:r>
        <w:rPr>
          <w:spacing w:val="-14"/>
        </w:rPr>
        <w:t> </w:t>
      </w:r>
      <w:r>
        <w:rPr/>
        <w:t>decrecientes</w:t>
      </w:r>
      <w:r>
        <w:rPr>
          <w:spacing w:val="-14"/>
        </w:rPr>
        <w:t> </w:t>
      </w:r>
      <w:r>
        <w:rPr/>
        <w:t>cuando</w:t>
      </w:r>
      <w:r>
        <w:rPr>
          <w:spacing w:val="-15"/>
        </w:rPr>
        <w:t> </w:t>
      </w:r>
      <w:r>
        <w:rPr/>
        <w:t>al</w:t>
      </w:r>
      <w:r>
        <w:rPr>
          <w:spacing w:val="-15"/>
        </w:rPr>
        <w:t> </w:t>
      </w:r>
      <w:r>
        <w:rPr/>
        <w:t>agregar</w:t>
      </w:r>
      <w:r>
        <w:rPr>
          <w:spacing w:val="-13"/>
        </w:rPr>
        <w:t> </w:t>
      </w:r>
      <w:r>
        <w:rPr/>
        <w:t>unidades</w:t>
      </w:r>
      <w:r>
        <w:rPr>
          <w:spacing w:val="-14"/>
        </w:rPr>
        <w:t> </w:t>
      </w:r>
      <w:r>
        <w:rPr/>
        <w:t>adicionales de un insumo, manteniendo la cantidad de los demás insumos constantes, el producto total aumenta pero cada vez en menor cantidad o, lo que es lo mismo, cuando el producto marginal </w:t>
      </w:r>
      <w:r>
        <w:rPr>
          <w:position w:val="2"/>
        </w:rPr>
        <w:t>disminuye. Esto se da fundamentalmente cuando: 0 &lt; β</w:t>
      </w:r>
      <w:r>
        <w:rPr>
          <w:sz w:val="15"/>
        </w:rPr>
        <w:t>i </w:t>
      </w:r>
      <w:r>
        <w:rPr>
          <w:position w:val="2"/>
        </w:rPr>
        <w:t>&lt;</w:t>
      </w:r>
      <w:r>
        <w:rPr>
          <w:spacing w:val="-10"/>
          <w:position w:val="2"/>
        </w:rPr>
        <w:t> </w:t>
      </w:r>
      <w:r>
        <w:rPr>
          <w:position w:val="2"/>
        </w:rPr>
        <w:t>1</w:t>
      </w:r>
    </w:p>
    <w:p>
      <w:pPr>
        <w:pStyle w:val="BodyText"/>
        <w:rPr>
          <w:sz w:val="22"/>
        </w:rPr>
      </w:pPr>
    </w:p>
    <w:p>
      <w:pPr>
        <w:pStyle w:val="BodyText"/>
        <w:spacing w:line="360" w:lineRule="auto" w:before="145"/>
        <w:ind w:left="122" w:right="118"/>
        <w:jc w:val="both"/>
      </w:pPr>
      <w:r>
        <w:rPr>
          <w:position w:val="2"/>
        </w:rPr>
        <w:t>Cuando X</w:t>
      </w:r>
      <w:r>
        <w:rPr>
          <w:sz w:val="15"/>
        </w:rPr>
        <w:t>2</w:t>
      </w:r>
      <w:r>
        <w:rPr>
          <w:position w:val="2"/>
        </w:rPr>
        <w:t>→∞ la función, sí está sujeta a la restricción de ser lineal homogénea el producto </w:t>
      </w:r>
      <w:r>
        <w:rPr/>
        <w:t>marginal estará en función únicamente de la relación capital-trabajo, independientemente de las magnitudes de capital y trabajo.</w:t>
      </w:r>
    </w:p>
    <w:p>
      <w:pPr>
        <w:pStyle w:val="BodyText"/>
        <w:spacing w:line="360" w:lineRule="auto" w:before="4"/>
        <w:ind w:left="122" w:right="115"/>
        <w:jc w:val="both"/>
      </w:pPr>
      <w:r>
        <w:rPr/>
        <w:t>Cuando, su producto medio tiende a cero. Como el producto marginal está en función del </w:t>
      </w:r>
      <w:r>
        <w:rPr>
          <w:position w:val="2"/>
        </w:rPr>
        <w:t>producto</w:t>
      </w:r>
      <w:r>
        <w:rPr>
          <w:spacing w:val="-12"/>
          <w:position w:val="2"/>
        </w:rPr>
        <w:t> </w:t>
      </w:r>
      <w:r>
        <w:rPr>
          <w:position w:val="2"/>
        </w:rPr>
        <w:t>medio</w:t>
      </w:r>
      <w:r>
        <w:rPr>
          <w:spacing w:val="-10"/>
          <w:position w:val="2"/>
        </w:rPr>
        <w:t> </w:t>
      </w:r>
      <w:r>
        <w:rPr>
          <w:position w:val="2"/>
        </w:rPr>
        <w:t>de</w:t>
      </w:r>
      <w:r>
        <w:rPr>
          <w:spacing w:val="-11"/>
          <w:position w:val="2"/>
        </w:rPr>
        <w:t> </w:t>
      </w:r>
      <w:r>
        <w:rPr>
          <w:position w:val="2"/>
        </w:rPr>
        <w:t>acuerdo</w:t>
      </w:r>
      <w:r>
        <w:rPr>
          <w:spacing w:val="-10"/>
          <w:position w:val="2"/>
        </w:rPr>
        <w:t> </w:t>
      </w:r>
      <w:r>
        <w:rPr>
          <w:position w:val="2"/>
        </w:rPr>
        <w:t>a</w:t>
      </w:r>
      <w:r>
        <w:rPr>
          <w:spacing w:val="-9"/>
          <w:position w:val="2"/>
        </w:rPr>
        <w:t> </w:t>
      </w:r>
      <w:r>
        <w:rPr>
          <w:position w:val="2"/>
        </w:rPr>
        <w:t>la</w:t>
      </w:r>
      <w:r>
        <w:rPr>
          <w:spacing w:val="-9"/>
          <w:position w:val="2"/>
        </w:rPr>
        <w:t> </w:t>
      </w:r>
      <w:r>
        <w:rPr>
          <w:position w:val="2"/>
        </w:rPr>
        <w:t>formulación</w:t>
      </w:r>
      <w:r>
        <w:rPr>
          <w:spacing w:val="-10"/>
          <w:position w:val="2"/>
        </w:rPr>
        <w:t> </w:t>
      </w:r>
      <w:r>
        <w:rPr>
          <w:position w:val="2"/>
        </w:rPr>
        <w:t>anterior,</w:t>
      </w:r>
      <w:r>
        <w:rPr>
          <w:spacing w:val="-10"/>
          <w:position w:val="2"/>
        </w:rPr>
        <w:t> </w:t>
      </w:r>
      <w:r>
        <w:rPr>
          <w:position w:val="2"/>
        </w:rPr>
        <w:t>éste</w:t>
      </w:r>
      <w:r>
        <w:rPr>
          <w:spacing w:val="-9"/>
          <w:position w:val="2"/>
        </w:rPr>
        <w:t> </w:t>
      </w:r>
      <w:r>
        <w:rPr>
          <w:position w:val="2"/>
        </w:rPr>
        <w:t>tenderá</w:t>
      </w:r>
      <w:r>
        <w:rPr>
          <w:spacing w:val="-9"/>
          <w:position w:val="2"/>
        </w:rPr>
        <w:t> </w:t>
      </w:r>
      <w:r>
        <w:rPr>
          <w:position w:val="2"/>
        </w:rPr>
        <w:t>también</w:t>
      </w:r>
      <w:r>
        <w:rPr>
          <w:spacing w:val="-12"/>
          <w:position w:val="2"/>
        </w:rPr>
        <w:t> </w:t>
      </w:r>
      <w:r>
        <w:rPr>
          <w:position w:val="2"/>
        </w:rPr>
        <w:t>a</w:t>
      </w:r>
      <w:r>
        <w:rPr>
          <w:spacing w:val="-9"/>
          <w:position w:val="2"/>
        </w:rPr>
        <w:t> </w:t>
      </w:r>
      <w:r>
        <w:rPr>
          <w:position w:val="2"/>
        </w:rPr>
        <w:t>cero</w:t>
      </w:r>
      <w:r>
        <w:rPr>
          <w:spacing w:val="-10"/>
          <w:position w:val="2"/>
        </w:rPr>
        <w:t> </w:t>
      </w:r>
      <w:r>
        <w:rPr>
          <w:position w:val="2"/>
        </w:rPr>
        <w:t>cuando</w:t>
      </w:r>
      <w:r>
        <w:rPr>
          <w:spacing w:val="-3"/>
          <w:position w:val="2"/>
        </w:rPr>
        <w:t> </w:t>
      </w:r>
      <w:r>
        <w:rPr>
          <w:position w:val="2"/>
        </w:rPr>
        <w:t>X</w:t>
      </w:r>
      <w:r>
        <w:rPr>
          <w:sz w:val="15"/>
        </w:rPr>
        <w:t>2</w:t>
      </w:r>
      <w:r>
        <w:rPr>
          <w:position w:val="2"/>
        </w:rPr>
        <w:t>→∞. </w:t>
      </w:r>
      <w:r>
        <w:rPr/>
        <w:t>El</w:t>
      </w:r>
      <w:r>
        <w:rPr>
          <w:spacing w:val="-15"/>
        </w:rPr>
        <w:t> </w:t>
      </w:r>
      <w:r>
        <w:rPr/>
        <w:t>producto</w:t>
      </w:r>
      <w:r>
        <w:rPr>
          <w:spacing w:val="-16"/>
        </w:rPr>
        <w:t> </w:t>
      </w:r>
      <w:r>
        <w:rPr/>
        <w:t>marginal</w:t>
      </w:r>
      <w:r>
        <w:rPr>
          <w:spacing w:val="-15"/>
        </w:rPr>
        <w:t> </w:t>
      </w:r>
      <w:r>
        <w:rPr/>
        <w:t>por</w:t>
      </w:r>
      <w:r>
        <w:rPr>
          <w:spacing w:val="-16"/>
        </w:rPr>
        <w:t> </w:t>
      </w:r>
      <w:r>
        <w:rPr/>
        <w:t>tanto,</w:t>
      </w:r>
      <w:r>
        <w:rPr>
          <w:spacing w:val="-16"/>
        </w:rPr>
        <w:t> </w:t>
      </w:r>
      <w:r>
        <w:rPr/>
        <w:t>y</w:t>
      </w:r>
      <w:r>
        <w:rPr>
          <w:spacing w:val="-21"/>
        </w:rPr>
        <w:t> </w:t>
      </w:r>
      <w:r>
        <w:rPr/>
        <w:t>basándose</w:t>
      </w:r>
      <w:r>
        <w:rPr>
          <w:spacing w:val="-15"/>
        </w:rPr>
        <w:t> </w:t>
      </w:r>
      <w:r>
        <w:rPr/>
        <w:t>en</w:t>
      </w:r>
      <w:r>
        <w:rPr>
          <w:spacing w:val="-16"/>
        </w:rPr>
        <w:t> </w:t>
      </w:r>
      <w:r>
        <w:rPr/>
        <w:t>la</w:t>
      </w:r>
      <w:r>
        <w:rPr>
          <w:spacing w:val="-15"/>
        </w:rPr>
        <w:t> </w:t>
      </w:r>
      <w:r>
        <w:rPr/>
        <w:t>función</w:t>
      </w:r>
      <w:r>
        <w:rPr>
          <w:spacing w:val="-16"/>
        </w:rPr>
        <w:t> </w:t>
      </w:r>
      <w:r>
        <w:rPr/>
        <w:t>de</w:t>
      </w:r>
      <w:r>
        <w:rPr>
          <w:spacing w:val="-15"/>
        </w:rPr>
        <w:t> </w:t>
      </w:r>
      <w:r>
        <w:rPr/>
        <w:t>producción</w:t>
      </w:r>
      <w:r>
        <w:rPr>
          <w:spacing w:val="-16"/>
        </w:rPr>
        <w:t> </w:t>
      </w:r>
      <w:r>
        <w:rPr/>
        <w:t>de</w:t>
      </w:r>
      <w:r>
        <w:rPr>
          <w:spacing w:val="-15"/>
        </w:rPr>
        <w:t> </w:t>
      </w:r>
      <w:r>
        <w:rPr/>
        <w:t>Cobb-Douglas,</w:t>
      </w:r>
      <w:r>
        <w:rPr>
          <w:spacing w:val="-16"/>
        </w:rPr>
        <w:t> </w:t>
      </w:r>
      <w:r>
        <w:rPr/>
        <w:t>nunca será</w:t>
      </w:r>
      <w:r>
        <w:rPr>
          <w:spacing w:val="-7"/>
        </w:rPr>
        <w:t> </w:t>
      </w:r>
      <w:r>
        <w:rPr/>
        <w:t>negativo.</w:t>
      </w:r>
    </w:p>
    <w:p>
      <w:pPr>
        <w:pStyle w:val="BodyText"/>
        <w:spacing w:before="3"/>
        <w:ind w:left="122"/>
        <w:jc w:val="both"/>
      </w:pPr>
      <w:r>
        <w:rPr>
          <w:position w:val="2"/>
        </w:rPr>
        <w:t>Para el producto marginal del factor X</w:t>
      </w:r>
      <w:r>
        <w:rPr>
          <w:sz w:val="15"/>
        </w:rPr>
        <w:t>1  </w:t>
      </w:r>
      <w:r>
        <w:rPr>
          <w:position w:val="2"/>
        </w:rPr>
        <w:t>(Sala, 2000).</w:t>
      </w:r>
    </w:p>
    <w:p>
      <w:pPr>
        <w:tabs>
          <w:tab w:pos="3705" w:val="left" w:leader="none"/>
          <w:tab w:pos="3792" w:val="left" w:leader="none"/>
        </w:tabs>
        <w:spacing w:line="360" w:lineRule="auto" w:before="113"/>
        <w:ind w:left="122" w:right="1950" w:firstLine="115"/>
        <w:jc w:val="left"/>
        <w:rPr>
          <w:sz w:val="23"/>
        </w:rPr>
      </w:pPr>
      <w:r>
        <w:rPr>
          <w:position w:val="2"/>
          <w:sz w:val="23"/>
        </w:rPr>
        <w:t>Lim  δY/δX</w:t>
      </w:r>
      <w:r>
        <w:rPr>
          <w:sz w:val="15"/>
        </w:rPr>
        <w:t>1 </w:t>
      </w:r>
      <w:r>
        <w:rPr>
          <w:position w:val="2"/>
          <w:sz w:val="23"/>
        </w:rPr>
        <w:t>= α β</w:t>
      </w:r>
      <w:r>
        <w:rPr>
          <w:sz w:val="15"/>
        </w:rPr>
        <w:t>0</w:t>
      </w:r>
      <w:r>
        <w:rPr>
          <w:position w:val="2"/>
          <w:sz w:val="23"/>
        </w:rPr>
        <w:t>X</w:t>
      </w:r>
      <w:r>
        <w:rPr>
          <w:sz w:val="15"/>
        </w:rPr>
        <w:t>1</w:t>
      </w:r>
      <w:r>
        <w:rPr>
          <w:position w:val="11"/>
          <w:sz w:val="15"/>
        </w:rPr>
        <w:t>(α-1)</w:t>
      </w:r>
      <w:r>
        <w:rPr>
          <w:position w:val="2"/>
          <w:sz w:val="23"/>
        </w:rPr>
        <w:t>X</w:t>
      </w:r>
      <w:r>
        <w:rPr>
          <w:sz w:val="15"/>
        </w:rPr>
        <w:t>2</w:t>
      </w:r>
      <w:r>
        <w:rPr>
          <w:position w:val="11"/>
          <w:sz w:val="15"/>
        </w:rPr>
        <w:t>(1- α)</w:t>
      </w:r>
      <w:r>
        <w:rPr>
          <w:spacing w:val="31"/>
          <w:position w:val="11"/>
          <w:sz w:val="15"/>
        </w:rPr>
        <w:t> </w:t>
      </w:r>
      <w:r>
        <w:rPr>
          <w:position w:val="2"/>
          <w:sz w:val="23"/>
        </w:rPr>
        <w:t>=</w:t>
      </w:r>
      <w:r>
        <w:rPr>
          <w:spacing w:val="-1"/>
          <w:position w:val="2"/>
          <w:sz w:val="23"/>
        </w:rPr>
        <w:t> </w:t>
      </w:r>
      <w:r>
        <w:rPr>
          <w:position w:val="2"/>
          <w:sz w:val="23"/>
        </w:rPr>
        <w:t>0,</w:t>
        <w:tab/>
        <w:tab/>
        <w:t>Lim  δY/δX</w:t>
      </w:r>
      <w:r>
        <w:rPr>
          <w:sz w:val="15"/>
        </w:rPr>
        <w:t>1 </w:t>
      </w:r>
      <w:r>
        <w:rPr>
          <w:position w:val="2"/>
          <w:sz w:val="23"/>
        </w:rPr>
        <w:t>= α β</w:t>
      </w:r>
      <w:r>
        <w:rPr>
          <w:sz w:val="15"/>
        </w:rPr>
        <w:t>0</w:t>
      </w:r>
      <w:r>
        <w:rPr>
          <w:position w:val="2"/>
          <w:sz w:val="23"/>
        </w:rPr>
        <w:t>X</w:t>
      </w:r>
      <w:r>
        <w:rPr>
          <w:sz w:val="15"/>
        </w:rPr>
        <w:t>1</w:t>
      </w:r>
      <w:r>
        <w:rPr>
          <w:position w:val="11"/>
          <w:sz w:val="15"/>
        </w:rPr>
        <w:t>(α-1)</w:t>
      </w:r>
      <w:r>
        <w:rPr>
          <w:position w:val="2"/>
          <w:sz w:val="23"/>
        </w:rPr>
        <w:t>X</w:t>
      </w:r>
      <w:r>
        <w:rPr>
          <w:sz w:val="15"/>
        </w:rPr>
        <w:t>2</w:t>
      </w:r>
      <w:r>
        <w:rPr>
          <w:position w:val="11"/>
          <w:sz w:val="15"/>
        </w:rPr>
        <w:t>(1- α)</w:t>
      </w:r>
      <w:r>
        <w:rPr>
          <w:spacing w:val="28"/>
          <w:position w:val="11"/>
          <w:sz w:val="15"/>
        </w:rPr>
        <w:t> </w:t>
      </w:r>
      <w:r>
        <w:rPr>
          <w:position w:val="2"/>
          <w:sz w:val="23"/>
        </w:rPr>
        <w:t>=</w:t>
      </w:r>
      <w:r>
        <w:rPr>
          <w:spacing w:val="-1"/>
          <w:position w:val="2"/>
          <w:sz w:val="23"/>
        </w:rPr>
        <w:t> </w:t>
      </w:r>
      <w:r>
        <w:rPr>
          <w:position w:val="2"/>
          <w:sz w:val="23"/>
        </w:rPr>
        <w:t>∞</w:t>
      </w:r>
      <w:r>
        <w:rPr>
          <w:w w:val="100"/>
          <w:position w:val="2"/>
          <w:sz w:val="23"/>
        </w:rPr>
        <w:t> </w:t>
      </w:r>
      <w:r>
        <w:rPr>
          <w:position w:val="2"/>
          <w:sz w:val="23"/>
        </w:rPr>
        <w:t>X</w:t>
      </w:r>
      <w:r>
        <w:rPr>
          <w:sz w:val="15"/>
        </w:rPr>
        <w:t>2</w:t>
      </w:r>
      <w:r>
        <w:rPr>
          <w:position w:val="2"/>
          <w:sz w:val="23"/>
        </w:rPr>
        <w:t>→∞</w:t>
        <w:tab/>
        <w:t>X</w:t>
      </w:r>
      <w:r>
        <w:rPr>
          <w:sz w:val="15"/>
        </w:rPr>
        <w:t>2</w:t>
      </w:r>
      <w:r>
        <w:rPr>
          <w:position w:val="2"/>
          <w:sz w:val="23"/>
        </w:rPr>
        <w:t>→∞</w:t>
      </w:r>
    </w:p>
    <w:p>
      <w:pPr>
        <w:pStyle w:val="BodyText"/>
        <w:rPr>
          <w:sz w:val="22"/>
        </w:rPr>
      </w:pPr>
    </w:p>
    <w:p>
      <w:pPr>
        <w:pStyle w:val="BodyText"/>
        <w:spacing w:before="148"/>
        <w:ind w:left="122"/>
        <w:jc w:val="both"/>
        <w:rPr>
          <w:rFonts w:ascii="Calibri"/>
        </w:rPr>
      </w:pPr>
      <w:r>
        <w:rPr>
          <w:position w:val="2"/>
        </w:rPr>
        <w:t>Para el producto marginal del factor X</w:t>
      </w:r>
      <w:r>
        <w:rPr>
          <w:sz w:val="15"/>
        </w:rPr>
        <w:t>2</w:t>
      </w:r>
      <w:r>
        <w:rPr>
          <w:rFonts w:ascii="Calibri"/>
          <w:position w:val="2"/>
        </w:rPr>
        <w:t>.</w:t>
      </w:r>
    </w:p>
    <w:p>
      <w:pPr>
        <w:pStyle w:val="BodyText"/>
        <w:rPr>
          <w:rFonts w:ascii="Calibri"/>
          <w:sz w:val="24"/>
        </w:rPr>
      </w:pPr>
    </w:p>
    <w:p>
      <w:pPr>
        <w:pStyle w:val="BodyText"/>
        <w:spacing w:before="4"/>
        <w:rPr>
          <w:rFonts w:ascii="Calibri"/>
          <w:sz w:val="18"/>
        </w:rPr>
      </w:pPr>
    </w:p>
    <w:p>
      <w:pPr>
        <w:tabs>
          <w:tab w:pos="3705" w:val="left" w:leader="none"/>
          <w:tab w:pos="3739" w:val="left" w:leader="none"/>
        </w:tabs>
        <w:spacing w:line="357" w:lineRule="auto" w:before="0"/>
        <w:ind w:left="122" w:right="2058" w:firstLine="115"/>
        <w:jc w:val="left"/>
        <w:rPr>
          <w:sz w:val="23"/>
        </w:rPr>
      </w:pPr>
      <w:r>
        <w:rPr>
          <w:position w:val="2"/>
          <w:sz w:val="23"/>
        </w:rPr>
        <w:t>Lim   δY/δX</w:t>
      </w:r>
      <w:r>
        <w:rPr>
          <w:sz w:val="15"/>
        </w:rPr>
        <w:t>1 </w:t>
      </w:r>
      <w:r>
        <w:rPr>
          <w:position w:val="2"/>
          <w:sz w:val="23"/>
        </w:rPr>
        <w:t>= (1-α) β</w:t>
      </w:r>
      <w:r>
        <w:rPr>
          <w:sz w:val="15"/>
        </w:rPr>
        <w:t>0</w:t>
      </w:r>
      <w:r>
        <w:rPr>
          <w:position w:val="2"/>
          <w:sz w:val="23"/>
        </w:rPr>
        <w:t>X</w:t>
      </w:r>
      <w:r>
        <w:rPr>
          <w:sz w:val="15"/>
        </w:rPr>
        <w:t>1</w:t>
      </w:r>
      <w:r>
        <w:rPr>
          <w:position w:val="11"/>
          <w:sz w:val="15"/>
        </w:rPr>
        <w:t>α</w:t>
      </w:r>
      <w:r>
        <w:rPr>
          <w:position w:val="2"/>
          <w:sz w:val="23"/>
        </w:rPr>
        <w:t>X</w:t>
      </w:r>
      <w:r>
        <w:rPr>
          <w:sz w:val="15"/>
        </w:rPr>
        <w:t>2</w:t>
      </w:r>
      <w:r>
        <w:rPr>
          <w:position w:val="11"/>
          <w:sz w:val="15"/>
        </w:rPr>
        <w:t>- α</w:t>
      </w:r>
      <w:r>
        <w:rPr>
          <w:spacing w:val="-25"/>
          <w:position w:val="11"/>
          <w:sz w:val="15"/>
        </w:rPr>
        <w:t> </w:t>
      </w:r>
      <w:r>
        <w:rPr>
          <w:position w:val="2"/>
          <w:sz w:val="23"/>
        </w:rPr>
        <w:t>=</w:t>
      </w:r>
      <w:r>
        <w:rPr>
          <w:spacing w:val="-1"/>
          <w:position w:val="2"/>
          <w:sz w:val="23"/>
        </w:rPr>
        <w:t> </w:t>
      </w:r>
      <w:r>
        <w:rPr>
          <w:position w:val="2"/>
          <w:sz w:val="23"/>
        </w:rPr>
        <w:t>0,</w:t>
        <w:tab/>
        <w:tab/>
        <w:t>Lim  δY/δX</w:t>
      </w:r>
      <w:r>
        <w:rPr>
          <w:sz w:val="15"/>
        </w:rPr>
        <w:t>1 </w:t>
      </w:r>
      <w:r>
        <w:rPr>
          <w:position w:val="2"/>
          <w:sz w:val="23"/>
        </w:rPr>
        <w:t>= (1-α) β</w:t>
      </w:r>
      <w:r>
        <w:rPr>
          <w:sz w:val="15"/>
        </w:rPr>
        <w:t>0</w:t>
      </w:r>
      <w:r>
        <w:rPr>
          <w:position w:val="2"/>
          <w:sz w:val="23"/>
        </w:rPr>
        <w:t>X</w:t>
      </w:r>
      <w:r>
        <w:rPr>
          <w:sz w:val="15"/>
        </w:rPr>
        <w:t>1</w:t>
      </w:r>
      <w:r>
        <w:rPr>
          <w:position w:val="11"/>
          <w:sz w:val="15"/>
        </w:rPr>
        <w:t>α</w:t>
      </w:r>
      <w:r>
        <w:rPr>
          <w:position w:val="2"/>
          <w:sz w:val="23"/>
        </w:rPr>
        <w:t>X</w:t>
      </w:r>
      <w:r>
        <w:rPr>
          <w:sz w:val="15"/>
        </w:rPr>
        <w:t>2</w:t>
      </w:r>
      <w:r>
        <w:rPr>
          <w:position w:val="11"/>
          <w:sz w:val="15"/>
        </w:rPr>
        <w:t>- α</w:t>
      </w:r>
      <w:r>
        <w:rPr>
          <w:spacing w:val="28"/>
          <w:position w:val="11"/>
          <w:sz w:val="15"/>
        </w:rPr>
        <w:t> </w:t>
      </w:r>
      <w:r>
        <w:rPr>
          <w:position w:val="2"/>
          <w:sz w:val="23"/>
        </w:rPr>
        <w:t>=</w:t>
      </w:r>
      <w:r>
        <w:rPr>
          <w:spacing w:val="-1"/>
          <w:position w:val="2"/>
          <w:sz w:val="23"/>
        </w:rPr>
        <w:t> </w:t>
      </w:r>
      <w:r>
        <w:rPr>
          <w:position w:val="2"/>
          <w:sz w:val="23"/>
        </w:rPr>
        <w:t>∞</w:t>
      </w:r>
      <w:r>
        <w:rPr>
          <w:w w:val="100"/>
          <w:position w:val="2"/>
          <w:sz w:val="23"/>
        </w:rPr>
        <w:t> </w:t>
      </w:r>
      <w:r>
        <w:rPr>
          <w:position w:val="2"/>
          <w:sz w:val="23"/>
        </w:rPr>
        <w:t>X</w:t>
      </w:r>
      <w:r>
        <w:rPr>
          <w:sz w:val="15"/>
        </w:rPr>
        <w:t>2</w:t>
      </w:r>
      <w:r>
        <w:rPr>
          <w:position w:val="2"/>
          <w:sz w:val="23"/>
        </w:rPr>
        <w:t>→∞</w:t>
        <w:tab/>
        <w:t>X</w:t>
      </w:r>
      <w:r>
        <w:rPr>
          <w:sz w:val="15"/>
        </w:rPr>
        <w:t>2</w:t>
      </w:r>
      <w:r>
        <w:rPr>
          <w:position w:val="2"/>
          <w:sz w:val="23"/>
        </w:rPr>
        <w:t>→∞</w:t>
      </w:r>
    </w:p>
    <w:p>
      <w:pPr>
        <w:pStyle w:val="BodyText"/>
        <w:rPr>
          <w:sz w:val="22"/>
        </w:rPr>
      </w:pPr>
    </w:p>
    <w:p>
      <w:pPr>
        <w:pStyle w:val="BodyText"/>
        <w:spacing w:line="357" w:lineRule="auto" w:before="153"/>
        <w:ind w:left="122" w:right="116"/>
        <w:jc w:val="both"/>
      </w:pPr>
      <w:r>
        <w:rPr>
          <w:position w:val="2"/>
        </w:rPr>
        <w:t>Esto implica que un aumento de la cantidad de capital eleva el </w:t>
      </w:r>
      <w:r>
        <w:rPr>
          <w:rFonts w:ascii="Calibri" w:hAnsi="Calibri"/>
          <w:position w:val="2"/>
        </w:rPr>
        <w:t>PMg</w:t>
      </w:r>
      <w:r>
        <w:rPr>
          <w:position w:val="2"/>
        </w:rPr>
        <w:t>X</w:t>
      </w:r>
      <w:r>
        <w:rPr>
          <w:sz w:val="15"/>
        </w:rPr>
        <w:t>2 </w:t>
      </w:r>
      <w:r>
        <w:rPr>
          <w:position w:val="2"/>
        </w:rPr>
        <w:t>y reduce el </w:t>
      </w:r>
      <w:r>
        <w:rPr>
          <w:rFonts w:ascii="Calibri" w:hAnsi="Calibri"/>
          <w:position w:val="2"/>
        </w:rPr>
        <w:t>PMg</w:t>
      </w:r>
      <w:r>
        <w:rPr>
          <w:position w:val="2"/>
        </w:rPr>
        <w:t>X</w:t>
      </w:r>
      <w:r>
        <w:rPr>
          <w:sz w:val="15"/>
        </w:rPr>
        <w:t>1</w:t>
      </w:r>
      <w:r>
        <w:rPr>
          <w:position w:val="2"/>
        </w:rPr>
        <w:t>. Así mismo, un aumento de la cantidad de trabajo reduce el </w:t>
      </w:r>
      <w:r>
        <w:rPr>
          <w:rFonts w:ascii="Calibri" w:hAnsi="Calibri"/>
          <w:position w:val="2"/>
        </w:rPr>
        <w:t>PMg</w:t>
      </w:r>
      <w:r>
        <w:rPr>
          <w:position w:val="2"/>
        </w:rPr>
        <w:t>X</w:t>
      </w:r>
      <w:r>
        <w:rPr>
          <w:sz w:val="15"/>
        </w:rPr>
        <w:t>2 </w:t>
      </w:r>
      <w:r>
        <w:rPr>
          <w:position w:val="2"/>
        </w:rPr>
        <w:t>y eleva el </w:t>
      </w:r>
      <w:r>
        <w:rPr>
          <w:rFonts w:ascii="Calibri" w:hAnsi="Calibri"/>
          <w:position w:val="2"/>
        </w:rPr>
        <w:t>PMg</w:t>
      </w:r>
      <w:r>
        <w:rPr>
          <w:position w:val="2"/>
        </w:rPr>
        <w:t>X</w:t>
      </w:r>
      <w:r>
        <w:rPr>
          <w:sz w:val="15"/>
        </w:rPr>
        <w:t>1</w:t>
      </w:r>
      <w:r>
        <w:rPr>
          <w:position w:val="2"/>
        </w:rPr>
        <w:t>. Un avance tecnológico que aumenta el parámetro β</w:t>
      </w:r>
      <w:r>
        <w:rPr>
          <w:sz w:val="15"/>
        </w:rPr>
        <w:t>0 </w:t>
      </w:r>
      <w:r>
        <w:rPr>
          <w:position w:val="2"/>
        </w:rPr>
        <w:t>eleva el producto marginal de ambos factores </w:t>
      </w:r>
      <w:r>
        <w:rPr/>
        <w:t>proporcionalmente.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r>
        <w:rPr/>
        <w:pict>
          <v:line style="position:absolute;mso-position-horizontal-relative:page;mso-position-vertical-relative:paragraph;z-index:2872;mso-wrap-distance-left:0;mso-wrap-distance-right:0" from="85.103996pt,12.611004pt" to="525.960017pt,12.611004pt" stroked="true" strokeweight=".36pt" strokecolor="#000000">
            <w10:wrap type="topAndBottom"/>
          </v:line>
        </w:pict>
      </w:r>
    </w:p>
    <w:p>
      <w:pPr>
        <w:tabs>
          <w:tab w:pos="3881" w:val="left" w:leader="none"/>
          <w:tab w:pos="8118" w:val="left" w:leader="none"/>
        </w:tabs>
        <w:spacing w:before="75"/>
        <w:ind w:left="0" w:right="1" w:firstLine="0"/>
        <w:jc w:val="center"/>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32</w:t>
      </w:r>
    </w:p>
    <w:p>
      <w:pPr>
        <w:pStyle w:val="BodyText"/>
        <w:rPr>
          <w:sz w:val="18"/>
        </w:rPr>
      </w:pPr>
    </w:p>
    <w:p>
      <w:pPr>
        <w:pStyle w:val="BodyText"/>
        <w:spacing w:before="4"/>
        <w:rPr>
          <w:sz w:val="25"/>
        </w:rPr>
      </w:pPr>
    </w:p>
    <w:p>
      <w:pPr>
        <w:spacing w:before="0"/>
        <w:ind w:left="122" w:right="121" w:firstLine="0"/>
        <w:jc w:val="center"/>
        <w:rPr>
          <w:sz w:val="18"/>
        </w:rPr>
      </w:pPr>
      <w:r>
        <w:rPr/>
        <w:pict>
          <v:line style="position:absolute;mso-position-horizontal-relative:page;mso-position-vertical-relative:paragraph;z-index:2896;mso-wrap-distance-left:0;mso-wrap-distance-right:0" from="102pt,16.509348pt" to="508.5pt,16.509348pt" stroked="true" strokeweight=".5pt" strokecolor="#000000">
            <w10:wrap type="topAndBottom"/>
          </v:line>
        </w:pict>
      </w:r>
      <w:r>
        <w:rPr>
          <w:sz w:val="18"/>
        </w:rPr>
        <w:t>Estimación de una función de producción de bovinos carne en sistema extensivo en el sur del Estado de México</w:t>
      </w:r>
    </w:p>
    <w:p>
      <w:pPr>
        <w:spacing w:after="0"/>
        <w:jc w:val="center"/>
        <w:rPr>
          <w:sz w:val="18"/>
        </w:rPr>
        <w:sectPr>
          <w:headerReference w:type="default" r:id="rId86"/>
          <w:footerReference w:type="default" r:id="rId87"/>
          <w:pgSz w:w="12240" w:h="15840"/>
          <w:pgMar w:header="0" w:footer="0" w:top="1360" w:bottom="280" w:left="1580" w:right="1580"/>
        </w:sectPr>
      </w:pPr>
    </w:p>
    <w:p>
      <w:pPr>
        <w:pStyle w:val="BodyText"/>
        <w:spacing w:before="50"/>
        <w:ind w:left="122"/>
        <w:jc w:val="both"/>
      </w:pPr>
      <w:r>
        <w:rPr/>
        <w:t>Conocida como la función de producción de Cobb Douglas.</w:t>
      </w:r>
    </w:p>
    <w:p>
      <w:pPr>
        <w:pStyle w:val="BodyText"/>
        <w:spacing w:line="360" w:lineRule="auto" w:before="134"/>
        <w:ind w:left="122" w:right="64"/>
      </w:pPr>
      <w:r>
        <w:rPr/>
        <w:t>Para estimar esta función se puede utilizar la transformación logarítmica: Lon Y = Lo g A + α Lo g L + β Lo g K.</w:t>
      </w:r>
    </w:p>
    <w:p>
      <w:pPr>
        <w:pStyle w:val="BodyText"/>
        <w:rPr>
          <w:sz w:val="22"/>
        </w:rPr>
      </w:pPr>
    </w:p>
    <w:p>
      <w:pPr>
        <w:pStyle w:val="Heading5"/>
        <w:numPr>
          <w:ilvl w:val="0"/>
          <w:numId w:val="7"/>
        </w:numPr>
        <w:tabs>
          <w:tab w:pos="353" w:val="left" w:leader="none"/>
        </w:tabs>
        <w:spacing w:line="240" w:lineRule="auto" w:before="154" w:after="0"/>
        <w:ind w:left="352" w:right="0" w:hanging="230"/>
        <w:jc w:val="both"/>
      </w:pPr>
      <w:r>
        <w:rPr/>
        <w:t>Etapas de</w:t>
      </w:r>
      <w:r>
        <w:rPr>
          <w:spacing w:val="-4"/>
        </w:rPr>
        <w:t> </w:t>
      </w:r>
      <w:r>
        <w:rPr/>
        <w:t>Producción</w:t>
      </w:r>
    </w:p>
    <w:p>
      <w:pPr>
        <w:pStyle w:val="BodyText"/>
        <w:rPr>
          <w:b/>
          <w:sz w:val="22"/>
        </w:rPr>
      </w:pPr>
    </w:p>
    <w:p>
      <w:pPr>
        <w:pStyle w:val="BodyText"/>
        <w:spacing w:line="360" w:lineRule="auto" w:before="152"/>
        <w:ind w:left="122" w:right="64"/>
      </w:pPr>
      <w:r>
        <w:rPr/>
        <w:t>Las empresas utilizan factores de producción, también llamados insumos o inputs, para obtener un producto, también llamado output.</w:t>
      </w:r>
    </w:p>
    <w:p>
      <w:pPr>
        <w:pStyle w:val="BodyText"/>
        <w:spacing w:before="11"/>
        <w:rPr>
          <w:sz w:val="24"/>
        </w:rPr>
      </w:pPr>
    </w:p>
    <w:p>
      <w:pPr>
        <w:pStyle w:val="BodyText"/>
        <w:spacing w:line="357" w:lineRule="auto"/>
        <w:ind w:left="122" w:right="64"/>
      </w:pPr>
      <w:r>
        <w:rPr/>
        <w:t>La función de producción, describe la relación que existe entre la cantidad de insumos y la cantidad de producto. La función de producción supone como dada una cierta tecnología.</w:t>
      </w:r>
    </w:p>
    <w:p>
      <w:pPr>
        <w:pStyle w:val="BodyText"/>
        <w:spacing w:before="2"/>
        <w:rPr>
          <w:sz w:val="25"/>
        </w:rPr>
      </w:pPr>
    </w:p>
    <w:p>
      <w:pPr>
        <w:pStyle w:val="BodyText"/>
        <w:spacing w:line="357" w:lineRule="auto"/>
        <w:ind w:left="122" w:right="64"/>
      </w:pPr>
      <w:r>
        <w:rPr/>
        <w:t>La relación definida por la función de producción, se puede graficar poniendo en el eje Y la cantidad producida, y en el eje X la cantidad utilizada de un insumo.</w:t>
      </w:r>
    </w:p>
    <w:p>
      <w:pPr>
        <w:pStyle w:val="BodyText"/>
        <w:spacing w:before="2"/>
        <w:rPr>
          <w:sz w:val="25"/>
        </w:rPr>
      </w:pPr>
    </w:p>
    <w:p>
      <w:pPr>
        <w:pStyle w:val="BodyText"/>
        <w:spacing w:line="360" w:lineRule="auto"/>
        <w:ind w:left="122" w:right="99"/>
        <w:jc w:val="both"/>
      </w:pPr>
      <w:r>
        <w:rPr/>
        <w:t>Esta</w:t>
      </w:r>
      <w:r>
        <w:rPr>
          <w:spacing w:val="-9"/>
        </w:rPr>
        <w:t> </w:t>
      </w:r>
      <w:r>
        <w:rPr/>
        <w:t>situación</w:t>
      </w:r>
      <w:r>
        <w:rPr>
          <w:spacing w:val="-12"/>
        </w:rPr>
        <w:t> </w:t>
      </w:r>
      <w:r>
        <w:rPr/>
        <w:t>se</w:t>
      </w:r>
      <w:r>
        <w:rPr>
          <w:spacing w:val="-9"/>
        </w:rPr>
        <w:t> </w:t>
      </w:r>
      <w:r>
        <w:rPr/>
        <w:t>denomina</w:t>
      </w:r>
      <w:r>
        <w:rPr>
          <w:spacing w:val="-9"/>
        </w:rPr>
        <w:t> </w:t>
      </w:r>
      <w:r>
        <w:rPr/>
        <w:t>“de</w:t>
      </w:r>
      <w:r>
        <w:rPr>
          <w:spacing w:val="-11"/>
        </w:rPr>
        <w:t> </w:t>
      </w:r>
      <w:r>
        <w:rPr/>
        <w:t>corto</w:t>
      </w:r>
      <w:r>
        <w:rPr>
          <w:spacing w:val="-9"/>
        </w:rPr>
        <w:t> </w:t>
      </w:r>
      <w:r>
        <w:rPr/>
        <w:t>plazo”,</w:t>
      </w:r>
      <w:r>
        <w:rPr>
          <w:spacing w:val="-10"/>
        </w:rPr>
        <w:t> </w:t>
      </w:r>
      <w:r>
        <w:rPr/>
        <w:t>porque</w:t>
      </w:r>
      <w:r>
        <w:rPr>
          <w:spacing w:val="-11"/>
        </w:rPr>
        <w:t> </w:t>
      </w:r>
      <w:r>
        <w:rPr/>
        <w:t>en</w:t>
      </w:r>
      <w:r>
        <w:rPr>
          <w:spacing w:val="-10"/>
        </w:rPr>
        <w:t> </w:t>
      </w:r>
      <w:r>
        <w:rPr/>
        <w:t>el</w:t>
      </w:r>
      <w:r>
        <w:rPr>
          <w:spacing w:val="-12"/>
        </w:rPr>
        <w:t> </w:t>
      </w:r>
      <w:r>
        <w:rPr/>
        <w:t>largo</w:t>
      </w:r>
      <w:r>
        <w:rPr>
          <w:spacing w:val="-10"/>
        </w:rPr>
        <w:t> </w:t>
      </w:r>
      <w:r>
        <w:rPr/>
        <w:t>plazo,</w:t>
      </w:r>
      <w:r>
        <w:rPr>
          <w:spacing w:val="-10"/>
        </w:rPr>
        <w:t> </w:t>
      </w:r>
      <w:r>
        <w:rPr/>
        <w:t>se</w:t>
      </w:r>
      <w:r>
        <w:rPr>
          <w:spacing w:val="-9"/>
        </w:rPr>
        <w:t> </w:t>
      </w:r>
      <w:r>
        <w:rPr/>
        <w:t>puede</w:t>
      </w:r>
      <w:r>
        <w:rPr>
          <w:spacing w:val="-14"/>
        </w:rPr>
        <w:t> </w:t>
      </w:r>
      <w:r>
        <w:rPr/>
        <w:t>variar</w:t>
      </w:r>
      <w:r>
        <w:rPr>
          <w:spacing w:val="-10"/>
        </w:rPr>
        <w:t> </w:t>
      </w:r>
      <w:r>
        <w:rPr/>
        <w:t>la</w:t>
      </w:r>
      <w:r>
        <w:rPr>
          <w:spacing w:val="-11"/>
        </w:rPr>
        <w:t> </w:t>
      </w:r>
      <w:r>
        <w:rPr/>
        <w:t>cantidad de todos los insumos, mientras que en el corto plazo, hay sólo algunos insumos que se pueden modificar. Un ejemplo que se utilizan habitualmente es: el trabajo es variable en el corto plazo mientras que el capital y la tierra son fijos en el corto</w:t>
      </w:r>
      <w:r>
        <w:rPr>
          <w:spacing w:val="-25"/>
        </w:rPr>
        <w:t> </w:t>
      </w:r>
      <w:r>
        <w:rPr/>
        <w:t>plazo.</w:t>
      </w:r>
    </w:p>
    <w:p>
      <w:pPr>
        <w:pStyle w:val="BodyText"/>
        <w:rPr>
          <w:sz w:val="25"/>
        </w:rPr>
      </w:pPr>
    </w:p>
    <w:p>
      <w:pPr>
        <w:pStyle w:val="BodyText"/>
        <w:spacing w:line="360" w:lineRule="auto"/>
        <w:ind w:left="122" w:right="64"/>
      </w:pPr>
      <w:r>
        <w:rPr/>
        <w:t>Para ejemplificar, utilizamos como ejemplo una plantación, donde los insumos son tierra y trabajo.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4"/>
        </w:rPr>
      </w:pPr>
      <w:r>
        <w:rPr/>
        <w:pict>
          <v:line style="position:absolute;mso-position-horizontal-relative:page;mso-position-vertical-relative:paragraph;z-index:2920;mso-wrap-distance-left:0;mso-wrap-distance-right:0" from="85.103996pt,10.371452pt" to="525.960017pt,10.371452pt" stroked="true" strokeweight=".36pt" strokecolor="#000000">
            <w10:wrap type="topAndBottom"/>
          </v:line>
        </w:pict>
      </w:r>
    </w:p>
    <w:p>
      <w:pPr>
        <w:tabs>
          <w:tab w:pos="4003" w:val="left" w:leader="none"/>
          <w:tab w:pos="8240" w:val="left" w:leader="none"/>
        </w:tabs>
        <w:spacing w:line="360" w:lineRule="auto" w:before="75" w:after="18"/>
        <w:ind w:left="510" w:right="103" w:hanging="389"/>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33 Estimación de una función de producción de bovinos carne en sistema extensivo en el sur del Estado de</w:t>
      </w:r>
      <w:r>
        <w:rPr>
          <w:spacing w:val="-26"/>
          <w:sz w:val="18"/>
        </w:rPr>
        <w:t> </w:t>
      </w:r>
      <w:r>
        <w:rPr>
          <w:sz w:val="18"/>
        </w:rPr>
        <w:t>México</w:t>
      </w: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pStyle w:val="BodyText"/>
        <w:rPr>
          <w:sz w:val="18"/>
        </w:rPr>
      </w:pPr>
    </w:p>
    <w:p>
      <w:pPr>
        <w:pStyle w:val="BodyText"/>
        <w:rPr>
          <w:sz w:val="18"/>
        </w:rPr>
      </w:pPr>
    </w:p>
    <w:p>
      <w:pPr>
        <w:pStyle w:val="BodyText"/>
        <w:spacing w:before="1"/>
        <w:rPr>
          <w:sz w:val="20"/>
        </w:rPr>
      </w:pPr>
    </w:p>
    <w:p>
      <w:pPr>
        <w:pStyle w:val="Heading5"/>
        <w:ind w:right="64"/>
      </w:pPr>
      <w:r>
        <w:rPr/>
        <w:t>Etapa I</w:t>
      </w:r>
    </w:p>
    <w:p>
      <w:pPr>
        <w:spacing w:after="0"/>
        <w:sectPr>
          <w:headerReference w:type="default" r:id="rId88"/>
          <w:footerReference w:type="default" r:id="rId89"/>
          <w:pgSz w:w="12240" w:h="15840"/>
          <w:pgMar w:header="0" w:footer="0" w:top="1360" w:bottom="280" w:left="1580" w:right="1600"/>
        </w:sectPr>
      </w:pPr>
    </w:p>
    <w:p>
      <w:pPr>
        <w:pStyle w:val="BodyText"/>
        <w:spacing w:line="360" w:lineRule="auto" w:before="50"/>
        <w:ind w:left="122" w:right="123"/>
        <w:jc w:val="both"/>
      </w:pPr>
      <w:r>
        <w:rPr/>
        <w:t>Supongamos que en un comienzo, no hay trabajadores, por lo que la producción es cero. A medida que se incorporan trabajadores, la producción aumenta. Pensemos que, en el comienzo, un</w:t>
      </w:r>
      <w:r>
        <w:rPr>
          <w:spacing w:val="-3"/>
        </w:rPr>
        <w:t> </w:t>
      </w:r>
      <w:r>
        <w:rPr/>
        <w:t>solo</w:t>
      </w:r>
      <w:r>
        <w:rPr>
          <w:spacing w:val="-3"/>
        </w:rPr>
        <w:t> </w:t>
      </w:r>
      <w:r>
        <w:rPr/>
        <w:t>trabajador</w:t>
      </w:r>
      <w:r>
        <w:rPr>
          <w:spacing w:val="-3"/>
        </w:rPr>
        <w:t> </w:t>
      </w:r>
      <w:r>
        <w:rPr/>
        <w:t>debe</w:t>
      </w:r>
      <w:r>
        <w:rPr>
          <w:spacing w:val="-3"/>
        </w:rPr>
        <w:t> </w:t>
      </w:r>
      <w:r>
        <w:rPr/>
        <w:t>realizar</w:t>
      </w:r>
      <w:r>
        <w:rPr>
          <w:spacing w:val="-6"/>
        </w:rPr>
        <w:t> </w:t>
      </w:r>
      <w:r>
        <w:rPr/>
        <w:t>muchas</w:t>
      </w:r>
      <w:r>
        <w:rPr>
          <w:spacing w:val="-4"/>
        </w:rPr>
        <w:t> </w:t>
      </w:r>
      <w:r>
        <w:rPr/>
        <w:t>tareas</w:t>
      </w:r>
      <w:r>
        <w:rPr>
          <w:spacing w:val="-4"/>
        </w:rPr>
        <w:t> </w:t>
      </w:r>
      <w:r>
        <w:rPr/>
        <w:t>sin</w:t>
      </w:r>
      <w:r>
        <w:rPr>
          <w:spacing w:val="-6"/>
        </w:rPr>
        <w:t> </w:t>
      </w:r>
      <w:r>
        <w:rPr/>
        <w:t>especializarse</w:t>
      </w:r>
      <w:r>
        <w:rPr>
          <w:spacing w:val="-3"/>
        </w:rPr>
        <w:t> </w:t>
      </w:r>
      <w:r>
        <w:rPr/>
        <w:t>en</w:t>
      </w:r>
      <w:r>
        <w:rPr>
          <w:spacing w:val="-3"/>
        </w:rPr>
        <w:t> </w:t>
      </w:r>
      <w:r>
        <w:rPr/>
        <w:t>ninguna,</w:t>
      </w:r>
      <w:r>
        <w:rPr>
          <w:spacing w:val="-3"/>
        </w:rPr>
        <w:t> </w:t>
      </w:r>
      <w:r>
        <w:rPr/>
        <w:t>como</w:t>
      </w:r>
      <w:r>
        <w:rPr>
          <w:spacing w:val="-3"/>
        </w:rPr>
        <w:t> </w:t>
      </w:r>
      <w:r>
        <w:rPr/>
        <w:t>mantener</w:t>
      </w:r>
      <w:r>
        <w:rPr>
          <w:spacing w:val="-6"/>
        </w:rPr>
        <w:t> </w:t>
      </w:r>
      <w:r>
        <w:rPr/>
        <w:t>las herramientas, cosechar, cargar la cosecha en un camión, transportar,</w:t>
      </w:r>
      <w:r>
        <w:rPr>
          <w:spacing w:val="-24"/>
        </w:rPr>
        <w:t> </w:t>
      </w:r>
      <w:r>
        <w:rPr/>
        <w:t>etc.</w:t>
      </w:r>
    </w:p>
    <w:p>
      <w:pPr>
        <w:pStyle w:val="BodyText"/>
        <w:spacing w:before="11"/>
        <w:rPr>
          <w:sz w:val="24"/>
        </w:rPr>
      </w:pPr>
    </w:p>
    <w:p>
      <w:pPr>
        <w:pStyle w:val="BodyText"/>
        <w:spacing w:line="360" w:lineRule="auto"/>
        <w:ind w:left="122" w:right="118"/>
        <w:jc w:val="both"/>
      </w:pPr>
      <w:r>
        <w:rPr/>
        <w:t>A medida que se van agregando más trabajadores, estos se van especializando en tareas para las que son más capaces. Algunos se especializan en cosechar, otros en mantener las herramientas, otros en transportar la mercadería. Es por esto que la producción aumenta rápidamente. Por ejemplo, 20 trabajadores podrían producir más que el doble de lo que producen 10 trabajadores. Es decir, el promedio producido por cada trabajador aumenta.</w:t>
      </w:r>
    </w:p>
    <w:p>
      <w:pPr>
        <w:pStyle w:val="BodyText"/>
        <w:spacing w:before="4"/>
        <w:rPr>
          <w:sz w:val="25"/>
        </w:rPr>
      </w:pPr>
    </w:p>
    <w:p>
      <w:pPr>
        <w:pStyle w:val="Heading5"/>
        <w:jc w:val="both"/>
      </w:pPr>
      <w:r>
        <w:rPr/>
        <w:t>Etapa II</w:t>
      </w:r>
    </w:p>
    <w:p>
      <w:pPr>
        <w:pStyle w:val="BodyText"/>
        <w:rPr>
          <w:b/>
          <w:sz w:val="22"/>
        </w:rPr>
      </w:pPr>
    </w:p>
    <w:p>
      <w:pPr>
        <w:pStyle w:val="BodyText"/>
        <w:spacing w:line="360" w:lineRule="auto" w:before="154"/>
        <w:ind w:left="122" w:right="119"/>
        <w:jc w:val="both"/>
      </w:pPr>
      <w:r>
        <w:rPr/>
        <w:t>Sin embargo, llega un punto en el que mas trabajadores siguen aportando a la producción, pero cada vez menos. Algunos deben esperar que otros dejen de utilizar alguna herramienta para comenzar a trabajar, otros se comienzan a estorbar entre sí, etc. Recordemos que la tierra y el resto de los insumos (herramientas, etc.), se mantienen constantes.</w:t>
      </w:r>
    </w:p>
    <w:p>
      <w:pPr>
        <w:pStyle w:val="BodyText"/>
        <w:spacing w:before="11"/>
        <w:rPr>
          <w:sz w:val="24"/>
        </w:rPr>
      </w:pPr>
    </w:p>
    <w:p>
      <w:pPr>
        <w:pStyle w:val="BodyText"/>
        <w:spacing w:line="360" w:lineRule="auto"/>
        <w:ind w:left="122" w:right="117"/>
        <w:jc w:val="both"/>
      </w:pPr>
      <w:r>
        <w:rPr/>
        <w:t>De este modo, llega un momento en el que el promedio de los que produce cada trabajador, disminuye. Por ejemplo, si 20 trabajadores producían 20.000 kilos de papas en una hectárea, puede suceder que 40 trabajadores produzcan 35.000 kilos de papas en la misma tierra y con las mismas herramientas. Es decir, que con 20 trabajadores, cada uno producía en promedio 1.000 kilos, y con 40 trabajadores, cada uno produce 875 kilos en lugar de 1.000.</w:t>
      </w:r>
    </w:p>
    <w:p>
      <w:pPr>
        <w:pStyle w:val="BodyText"/>
        <w:spacing w:before="2"/>
        <w:rPr>
          <w:sz w:val="25"/>
        </w:rPr>
      </w:pPr>
    </w:p>
    <w:p>
      <w:pPr>
        <w:pStyle w:val="Heading5"/>
        <w:jc w:val="both"/>
      </w:pPr>
      <w:r>
        <w:rPr/>
        <w:t>Etapa III</w:t>
      </w:r>
    </w:p>
    <w:p>
      <w:pPr>
        <w:pStyle w:val="BodyText"/>
        <w:rPr>
          <w:b/>
          <w:sz w:val="22"/>
        </w:rPr>
      </w:pPr>
    </w:p>
    <w:p>
      <w:pPr>
        <w:pStyle w:val="BodyText"/>
        <w:spacing w:line="362" w:lineRule="auto" w:before="157"/>
        <w:ind w:left="122" w:right="125"/>
        <w:jc w:val="both"/>
      </w:pPr>
      <w:r>
        <w:rPr/>
        <w:t>Si se siguen incorporando trabajadores a la misma hectárea, llegará un punto en el que los trabajadores se estorbarán tanto entre sí, que la producción total disminuirá.</w:t>
      </w:r>
    </w:p>
    <w:p>
      <w:pPr>
        <w:pStyle w:val="BodyText"/>
        <w:rPr>
          <w:sz w:val="20"/>
        </w:rPr>
      </w:pPr>
    </w:p>
    <w:p>
      <w:pPr>
        <w:pStyle w:val="BodyText"/>
        <w:spacing w:before="7"/>
        <w:rPr>
          <w:sz w:val="28"/>
        </w:rPr>
      </w:pPr>
      <w:r>
        <w:rPr/>
        <w:pict>
          <v:group style="position:absolute;margin-left:84.903999pt;margin-top:18.432405pt;width:441.55pt;height:.4pt;mso-position-horizontal-relative:page;mso-position-vertical-relative:paragraph;z-index:2968;mso-wrap-distance-left:0;mso-wrap-distance-right:0" coordorigin="1698,369" coordsize="8831,8">
            <v:line style="position:absolute" from="1702,373" to="6110,373" stroked="true" strokeweight=".36pt" strokecolor="#000000"/>
            <v:line style="position:absolute" from="6116,373" to="10524,373" stroked="true" strokeweight=".36pt" strokecolor="#000000"/>
            <w10:wrap type="topAndBottom"/>
          </v:group>
        </w:pict>
      </w:r>
    </w:p>
    <w:p>
      <w:pPr>
        <w:tabs>
          <w:tab w:pos="4003" w:val="left" w:leader="none"/>
          <w:tab w:pos="8240" w:val="left" w:leader="none"/>
        </w:tabs>
        <w:spacing w:line="717" w:lineRule="auto" w:before="75"/>
        <w:ind w:left="122" w:right="123" w:firstLine="0"/>
        <w:jc w:val="center"/>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34 Estimación de una función de producción de bovinos carne en sistema extensivo en el sur del Estado de</w:t>
      </w:r>
      <w:r>
        <w:rPr>
          <w:spacing w:val="-25"/>
          <w:sz w:val="18"/>
        </w:rPr>
        <w:t> </w:t>
      </w:r>
      <w:r>
        <w:rPr>
          <w:sz w:val="18"/>
        </w:rPr>
        <w:t>México</w:t>
      </w:r>
    </w:p>
    <w:p>
      <w:pPr>
        <w:pStyle w:val="BodyText"/>
        <w:rPr>
          <w:sz w:val="18"/>
        </w:rPr>
      </w:pPr>
    </w:p>
    <w:p>
      <w:pPr>
        <w:pStyle w:val="BodyText"/>
        <w:spacing w:before="7"/>
        <w:rPr>
          <w:sz w:val="16"/>
        </w:rPr>
      </w:pPr>
    </w:p>
    <w:p>
      <w:pPr>
        <w:pStyle w:val="BodyText"/>
        <w:ind w:left="122" w:right="121"/>
        <w:jc w:val="center"/>
      </w:pPr>
      <w:r>
        <w:rPr/>
        <w:pict>
          <v:line style="position:absolute;mso-position-horizontal-relative:page;mso-position-vertical-relative:paragraph;z-index:-129544" from="102pt,-33.589668pt" to="508.5pt,-33.589668pt" stroked="true" strokeweight=".5pt" strokecolor="#000000">
            <w10:wrap type="none"/>
          </v:line>
        </w:pict>
      </w:r>
      <w:r>
        <w:rPr/>
        <w:t>Gráfica 02. Las tres etapas de la produccion</w:t>
      </w:r>
    </w:p>
    <w:p>
      <w:pPr>
        <w:spacing w:after="0"/>
        <w:jc w:val="center"/>
        <w:sectPr>
          <w:headerReference w:type="default" r:id="rId90"/>
          <w:footerReference w:type="default" r:id="rId91"/>
          <w:pgSz w:w="12240" w:h="15840"/>
          <w:pgMar w:header="0" w:footer="0" w:top="1360" w:bottom="280" w:left="1580" w:right="1580"/>
        </w:sectPr>
      </w:pPr>
    </w:p>
    <w:p>
      <w:pPr>
        <w:pStyle w:val="BodyText"/>
        <w:ind w:left="1971"/>
        <w:rPr>
          <w:sz w:val="20"/>
        </w:rPr>
      </w:pPr>
      <w:r>
        <w:rPr>
          <w:sz w:val="20"/>
        </w:rPr>
        <w:drawing>
          <wp:inline distT="0" distB="0" distL="0" distR="0">
            <wp:extent cx="3248814" cy="3016377"/>
            <wp:effectExtent l="0" t="0" r="0" b="0"/>
            <wp:docPr id="5" name="image13.png" descr=""/>
            <wp:cNvGraphicFramePr>
              <a:graphicFrameLocks noChangeAspect="1"/>
            </wp:cNvGraphicFramePr>
            <a:graphic>
              <a:graphicData uri="http://schemas.openxmlformats.org/drawingml/2006/picture">
                <pic:pic>
                  <pic:nvPicPr>
                    <pic:cNvPr id="6" name="image13.png"/>
                    <pic:cNvPicPr/>
                  </pic:nvPicPr>
                  <pic:blipFill>
                    <a:blip r:embed="rId94" cstate="print"/>
                    <a:stretch>
                      <a:fillRect/>
                    </a:stretch>
                  </pic:blipFill>
                  <pic:spPr>
                    <a:xfrm>
                      <a:off x="0" y="0"/>
                      <a:ext cx="3248814" cy="3016377"/>
                    </a:xfrm>
                    <a:prstGeom prst="rect">
                      <a:avLst/>
                    </a:prstGeom>
                  </pic:spPr>
                </pic:pic>
              </a:graphicData>
            </a:graphic>
          </wp:inline>
        </w:drawing>
      </w:r>
      <w:r>
        <w:rPr>
          <w:sz w:val="20"/>
        </w:rPr>
      </w:r>
    </w:p>
    <w:p>
      <w:pPr>
        <w:pStyle w:val="BodyText"/>
        <w:rPr>
          <w:sz w:val="20"/>
        </w:rPr>
      </w:pPr>
    </w:p>
    <w:p>
      <w:pPr>
        <w:pStyle w:val="BodyText"/>
        <w:spacing w:before="191"/>
        <w:ind w:left="122" w:right="64"/>
      </w:pPr>
      <w:r>
        <w:rPr/>
        <w:t>Las distintas etapas se pueden analizar fácilmente desde el punto de vista matemático.</w:t>
      </w:r>
    </w:p>
    <w:p>
      <w:pPr>
        <w:pStyle w:val="BodyText"/>
        <w:rPr>
          <w:sz w:val="22"/>
        </w:rPr>
      </w:pPr>
    </w:p>
    <w:p>
      <w:pPr>
        <w:pStyle w:val="Heading5"/>
        <w:numPr>
          <w:ilvl w:val="0"/>
          <w:numId w:val="7"/>
        </w:numPr>
        <w:tabs>
          <w:tab w:pos="353" w:val="left" w:leader="none"/>
        </w:tabs>
        <w:spacing w:line="240" w:lineRule="auto" w:before="166" w:after="0"/>
        <w:ind w:left="352" w:right="0" w:hanging="230"/>
        <w:jc w:val="left"/>
      </w:pPr>
      <w:r>
        <w:rPr/>
        <w:t>Costo Medio</w:t>
      </w:r>
      <w:r>
        <w:rPr>
          <w:spacing w:val="-4"/>
        </w:rPr>
        <w:t> </w:t>
      </w:r>
      <w:r>
        <w:rPr/>
        <w:t>CMe</w:t>
      </w:r>
    </w:p>
    <w:p>
      <w:pPr>
        <w:pStyle w:val="BodyText"/>
        <w:spacing w:before="126"/>
        <w:ind w:left="122" w:right="64"/>
      </w:pPr>
      <w:r>
        <w:rPr/>
        <w:t>Es el costo total de la empresa divido por su nivel de producción.</w:t>
      </w:r>
    </w:p>
    <w:p>
      <w:pPr>
        <w:pStyle w:val="BodyText"/>
        <w:rPr>
          <w:sz w:val="22"/>
        </w:rPr>
      </w:pPr>
    </w:p>
    <w:p>
      <w:pPr>
        <w:pStyle w:val="BodyText"/>
        <w:spacing w:before="6"/>
        <w:rPr>
          <w:sz w:val="24"/>
        </w:rPr>
      </w:pPr>
    </w:p>
    <w:p>
      <w:pPr>
        <w:pStyle w:val="Heading5"/>
        <w:numPr>
          <w:ilvl w:val="0"/>
          <w:numId w:val="7"/>
        </w:numPr>
        <w:tabs>
          <w:tab w:pos="353" w:val="left" w:leader="none"/>
        </w:tabs>
        <w:spacing w:line="240" w:lineRule="auto" w:before="0" w:after="0"/>
        <w:ind w:left="352" w:right="0" w:hanging="230"/>
        <w:jc w:val="left"/>
      </w:pPr>
      <w:r>
        <w:rPr/>
        <w:t>Costo</w:t>
      </w:r>
      <w:r>
        <w:rPr>
          <w:spacing w:val="-4"/>
        </w:rPr>
        <w:t> </w:t>
      </w:r>
      <w:r>
        <w:rPr/>
        <w:t>Marginal</w:t>
      </w:r>
    </w:p>
    <w:p>
      <w:pPr>
        <w:pStyle w:val="BodyText"/>
        <w:spacing w:before="126"/>
        <w:ind w:left="122" w:right="64"/>
      </w:pPr>
      <w:r>
        <w:rPr/>
        <w:t>Es el aumento que experimenta el costo cuando se produce una unidad más.</w:t>
      </w:r>
    </w:p>
    <w:p>
      <w:pPr>
        <w:pStyle w:val="BodyText"/>
        <w:rPr>
          <w:sz w:val="22"/>
        </w:rPr>
      </w:pPr>
    </w:p>
    <w:p>
      <w:pPr>
        <w:pStyle w:val="BodyText"/>
        <w:rPr>
          <w:sz w:val="22"/>
        </w:rPr>
      </w:pPr>
    </w:p>
    <w:p>
      <w:pPr>
        <w:pStyle w:val="BodyText"/>
        <w:rPr>
          <w:sz w:val="22"/>
        </w:rPr>
      </w:pPr>
    </w:p>
    <w:p>
      <w:pPr>
        <w:pStyle w:val="BodyText"/>
        <w:spacing w:before="8"/>
        <w:rPr>
          <w:sz w:val="28"/>
        </w:rPr>
      </w:pPr>
    </w:p>
    <w:p>
      <w:pPr>
        <w:pStyle w:val="BodyText"/>
        <w:spacing w:line="357" w:lineRule="auto"/>
        <w:ind w:left="122" w:right="64" w:firstLine="60"/>
      </w:pPr>
      <w:r>
        <w:rPr/>
        <w:t>La primera etapa de producción, etapa I, se caracteriza porque el producto medio (PMe) es creciente. El producto marginal (PMa) es superior al producto medio (PMe): PMa &gt; PMe.</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3"/>
        </w:rPr>
      </w:pPr>
      <w:r>
        <w:rPr/>
        <w:pict>
          <v:line style="position:absolute;mso-position-horizontal-relative:page;mso-position-vertical-relative:paragraph;z-index:3016;mso-wrap-distance-left:0;mso-wrap-distance-right:0" from="85.103996pt,9.830044pt" to="525.960017pt,9.830044pt" stroked="true" strokeweight=".36pt" strokecolor="#000000">
            <w10:wrap type="topAndBottom"/>
          </v:line>
        </w:pict>
      </w:r>
    </w:p>
    <w:p>
      <w:pPr>
        <w:tabs>
          <w:tab w:pos="4003" w:val="left" w:leader="none"/>
          <w:tab w:pos="8240" w:val="left" w:leader="none"/>
        </w:tabs>
        <w:spacing w:line="360" w:lineRule="auto" w:before="75" w:after="17"/>
        <w:ind w:left="510" w:right="103" w:hanging="389"/>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35 Estimación de una función de producción de bovinos carne en sistema extensivo en el sur del Estado de</w:t>
      </w:r>
      <w:r>
        <w:rPr>
          <w:spacing w:val="-26"/>
          <w:sz w:val="18"/>
        </w:rPr>
        <w:t> </w:t>
      </w:r>
      <w:r>
        <w:rPr>
          <w:sz w:val="18"/>
        </w:rPr>
        <w:t>México</w:t>
      </w: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pStyle w:val="BodyText"/>
        <w:rPr>
          <w:sz w:val="18"/>
        </w:rPr>
      </w:pPr>
    </w:p>
    <w:p>
      <w:pPr>
        <w:pStyle w:val="BodyText"/>
        <w:rPr>
          <w:sz w:val="18"/>
        </w:rPr>
      </w:pPr>
    </w:p>
    <w:p>
      <w:pPr>
        <w:pStyle w:val="BodyText"/>
        <w:rPr>
          <w:sz w:val="18"/>
        </w:rPr>
      </w:pPr>
    </w:p>
    <w:p>
      <w:pPr>
        <w:pStyle w:val="BodyText"/>
        <w:spacing w:before="1"/>
        <w:rPr>
          <w:sz w:val="15"/>
        </w:rPr>
      </w:pPr>
    </w:p>
    <w:p>
      <w:pPr>
        <w:pStyle w:val="BodyText"/>
        <w:spacing w:line="360" w:lineRule="auto"/>
        <w:ind w:left="122" w:right="64"/>
      </w:pPr>
      <w:r>
        <w:rPr/>
        <w:t>La</w:t>
      </w:r>
      <w:r>
        <w:rPr>
          <w:spacing w:val="-12"/>
        </w:rPr>
        <w:t> </w:t>
      </w:r>
      <w:r>
        <w:rPr/>
        <w:t>segunda</w:t>
      </w:r>
      <w:r>
        <w:rPr>
          <w:spacing w:val="-12"/>
        </w:rPr>
        <w:t> </w:t>
      </w:r>
      <w:r>
        <w:rPr/>
        <w:t>etapa</w:t>
      </w:r>
      <w:r>
        <w:rPr>
          <w:spacing w:val="-12"/>
        </w:rPr>
        <w:t> </w:t>
      </w:r>
      <w:r>
        <w:rPr/>
        <w:t>de</w:t>
      </w:r>
      <w:r>
        <w:rPr>
          <w:spacing w:val="-12"/>
        </w:rPr>
        <w:t> </w:t>
      </w:r>
      <w:r>
        <w:rPr/>
        <w:t>producción,</w:t>
      </w:r>
      <w:r>
        <w:rPr>
          <w:spacing w:val="-15"/>
        </w:rPr>
        <w:t> </w:t>
      </w:r>
      <w:r>
        <w:rPr/>
        <w:t>etapa</w:t>
      </w:r>
      <w:r>
        <w:rPr>
          <w:spacing w:val="-12"/>
        </w:rPr>
        <w:t> </w:t>
      </w:r>
      <w:r>
        <w:rPr/>
        <w:t>II,</w:t>
      </w:r>
      <w:r>
        <w:rPr>
          <w:spacing w:val="-13"/>
        </w:rPr>
        <w:t> </w:t>
      </w:r>
      <w:r>
        <w:rPr/>
        <w:t>se</w:t>
      </w:r>
      <w:r>
        <w:rPr>
          <w:spacing w:val="-12"/>
        </w:rPr>
        <w:t> </w:t>
      </w:r>
      <w:r>
        <w:rPr/>
        <w:t>caracteriza</w:t>
      </w:r>
      <w:r>
        <w:rPr>
          <w:spacing w:val="-12"/>
        </w:rPr>
        <w:t> </w:t>
      </w:r>
      <w:r>
        <w:rPr/>
        <w:t>porque</w:t>
      </w:r>
      <w:r>
        <w:rPr>
          <w:spacing w:val="-12"/>
        </w:rPr>
        <w:t> </w:t>
      </w:r>
      <w:r>
        <w:rPr/>
        <w:t>el</w:t>
      </w:r>
      <w:r>
        <w:rPr>
          <w:spacing w:val="-13"/>
        </w:rPr>
        <w:t> </w:t>
      </w:r>
      <w:r>
        <w:rPr/>
        <w:t>producto</w:t>
      </w:r>
      <w:r>
        <w:rPr>
          <w:spacing w:val="-13"/>
        </w:rPr>
        <w:t> </w:t>
      </w:r>
      <w:r>
        <w:rPr/>
        <w:t>medio</w:t>
      </w:r>
      <w:r>
        <w:rPr>
          <w:spacing w:val="-13"/>
        </w:rPr>
        <w:t> </w:t>
      </w:r>
      <w:r>
        <w:rPr/>
        <w:t>es</w:t>
      </w:r>
      <w:r>
        <w:rPr>
          <w:spacing w:val="-14"/>
        </w:rPr>
        <w:t> </w:t>
      </w:r>
      <w:r>
        <w:rPr/>
        <w:t>decreciente, el producto marginal es inferior al producto medio (PMa</w:t>
      </w:r>
      <w:r>
        <w:rPr>
          <w:spacing w:val="-24"/>
        </w:rPr>
        <w:t> </w:t>
      </w:r>
      <w:r>
        <w:rPr/>
        <w:t>0).</w:t>
      </w:r>
    </w:p>
    <w:p>
      <w:pPr>
        <w:spacing w:after="0" w:line="360" w:lineRule="auto"/>
        <w:sectPr>
          <w:headerReference w:type="default" r:id="rId92"/>
          <w:footerReference w:type="default" r:id="rId93"/>
          <w:pgSz w:w="12240" w:h="15840"/>
          <w:pgMar w:header="0" w:footer="0" w:top="1420" w:bottom="280" w:left="1580" w:right="1600"/>
        </w:sectPr>
      </w:pPr>
    </w:p>
    <w:p>
      <w:pPr>
        <w:pStyle w:val="BodyText"/>
        <w:spacing w:line="360" w:lineRule="auto" w:before="50"/>
        <w:ind w:left="142" w:right="30"/>
      </w:pPr>
      <w:r>
        <w:rPr/>
        <w:pict>
          <v:group style="position:absolute;margin-left:83.900002pt;margin-top:33.546337pt;width:442.3pt;height:567.85pt;mso-position-horizontal-relative:page;mso-position-vertical-relative:paragraph;z-index:-129472" coordorigin="1678,671" coordsize="8846,11357">
            <v:shape style="position:absolute;left:1688;top:681;width:8690;height:11337" coordorigin="1688,681" coordsize="8690,11337" path="m1688,2129l1690,2052,1696,1977,1706,1902,1719,1828,1737,1756,1757,1685,1781,1616,1809,1549,1840,1483,1874,1419,1911,1357,1951,1297,1993,1239,2039,1184,2087,1131,2138,1080,2191,1032,2247,986,2304,944,2364,904,2426,867,2490,833,2556,802,2623,774,2693,750,2763,729,2835,712,2909,699,2984,689,3059,683,3136,681,8930,681,9007,683,9082,689,9157,699,9231,712,9303,729,9373,750,9443,774,9510,802,9576,833,9640,867,9702,904,9762,944,9819,986,9875,1032,9928,1080,9979,1131,10027,1184,10073,1239,10115,1297,10155,1357,10192,1419,10226,1483,10257,1549,10285,1616,10309,1685,10329,1756,10347,1828,10360,1902,10370,1977,10376,2052,10378,2129,10378,10570,10376,10646,10370,10722,10360,10797,10347,10871,10329,10943,10309,11013,10285,11083,10257,11150,10226,11216,10192,11280,10155,11342,10115,11402,10073,11459,10027,11515,9979,11568,9928,11619,9875,11667,9819,11712,9762,11755,9702,11795,9640,11832,9576,11866,9510,11897,9443,11924,9373,11949,9303,11969,9231,11987,9157,12000,9082,12010,9007,12016,8930,12018,3136,12018,3059,12016,2984,12010,2909,12000,2835,11987,2763,11969,2693,11949,2623,11924,2556,11897,2490,11866,2426,11832,2364,11795,2304,11755,2247,11712,2191,11667,2138,11619,2087,11568,2039,11515,1993,11459,1951,11402,1911,11342,1874,11280,1840,11216,1809,11150,1781,11083,1757,11013,1737,10943,1719,10871,1706,10797,1696,10722,1690,10646,1688,10570,1688,2129xe" filled="false" stroked="true" strokeweight="1pt" strokecolor="#000000">
              <v:path arrowok="t"/>
            </v:shape>
            <v:line style="position:absolute" from="2040,11282" to="10170,11282" stroked="true" strokeweight=".5pt" strokecolor="#000000"/>
            <v:line style="position:absolute" from="1702,10449" to="10519,10449" stroked="true" strokeweight=".36pt" strokecolor="#000000"/>
            <w10:wrap type="none"/>
          </v:group>
        </w:pict>
      </w:r>
      <w:r>
        <w:rPr/>
        <w:t>La tercera etapa de producción, etapa III, se caracteriza porque el producto marginal es negativo. (PMa) Pindyck, 2009.</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tabs>
          <w:tab w:pos="3897" w:val="left" w:leader="none"/>
          <w:tab w:pos="8134" w:val="left" w:leader="none"/>
        </w:tabs>
        <w:spacing w:before="77"/>
        <w:ind w:left="16" w:right="0" w:firstLine="0"/>
        <w:jc w:val="center"/>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36</w:t>
      </w:r>
    </w:p>
    <w:p>
      <w:pPr>
        <w:spacing w:before="106"/>
        <w:ind w:left="16" w:right="110" w:firstLine="0"/>
        <w:jc w:val="center"/>
        <w:rPr>
          <w:rFonts w:ascii="Calibri" w:hAnsi="Calibri"/>
          <w:sz w:val="18"/>
        </w:rPr>
      </w:pPr>
      <w:r>
        <w:rPr>
          <w:rFonts w:ascii="Calibri" w:hAnsi="Calibri"/>
          <w:sz w:val="18"/>
        </w:rPr>
        <w:t>Estimación de una función de producción de bovinos carne en sistema extensivo en el sur del Estado de México</w:t>
      </w:r>
    </w:p>
    <w:p>
      <w:pPr>
        <w:spacing w:after="0"/>
        <w:jc w:val="center"/>
        <w:rPr>
          <w:rFonts w:ascii="Calibri" w:hAnsi="Calibri"/>
          <w:sz w:val="18"/>
        </w:rPr>
        <w:sectPr>
          <w:headerReference w:type="default" r:id="rId95"/>
          <w:footerReference w:type="default" r:id="rId96"/>
          <w:pgSz w:w="12240" w:h="15840"/>
          <w:pgMar w:header="0" w:footer="0" w:top="1360" w:bottom="280" w:left="1560" w:right="158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Heading1"/>
        <w:numPr>
          <w:ilvl w:val="1"/>
          <w:numId w:val="1"/>
        </w:numPr>
        <w:tabs>
          <w:tab w:pos="2300" w:val="left" w:leader="none"/>
        </w:tabs>
        <w:spacing w:line="240" w:lineRule="auto" w:before="142" w:after="0"/>
        <w:ind w:left="2299" w:right="0" w:hanging="1201"/>
        <w:jc w:val="left"/>
      </w:pPr>
      <w:bookmarkStart w:name="_TOC_250005" w:id="6"/>
      <w:bookmarkEnd w:id="6"/>
      <w:r>
        <w:rPr/>
        <w:t>JUSTIFICACIÓN</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20"/>
        </w:rPr>
      </w:pPr>
      <w:r>
        <w:rPr/>
        <w:pict>
          <v:line style="position:absolute;mso-position-horizontal-relative:page;mso-position-vertical-relative:paragraph;z-index:3088;mso-wrap-distance-left:0;mso-wrap-distance-right:0" from="85.103996pt,14.15934pt" to="525.960017pt,14.15934pt" stroked="true" strokeweight=".36pt" strokecolor="#000000">
            <w10:wrap type="topAndBottom"/>
          </v:line>
        </w:pict>
      </w:r>
    </w:p>
    <w:p>
      <w:pPr>
        <w:tabs>
          <w:tab w:pos="4003" w:val="left" w:leader="none"/>
          <w:tab w:pos="8240" w:val="left" w:leader="none"/>
        </w:tabs>
        <w:spacing w:line="360" w:lineRule="auto" w:before="74" w:after="18"/>
        <w:ind w:left="122" w:right="104" w:firstLine="0"/>
        <w:jc w:val="center"/>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6"/>
          <w:sz w:val="18"/>
        </w:rPr>
        <w:t> </w:t>
      </w:r>
      <w:r>
        <w:rPr>
          <w:sz w:val="18"/>
        </w:rPr>
        <w:t>37</w:t>
      </w:r>
      <w:r>
        <w:rPr>
          <w:spacing w:val="-2"/>
          <w:sz w:val="18"/>
        </w:rPr>
        <w:t> </w:t>
      </w:r>
      <w:r>
        <w:rPr>
          <w:sz w:val="18"/>
        </w:rPr>
        <w:t>Estimación de una función de producción de bovinos carne en sistema extensivo en el sur del Estado de</w:t>
      </w:r>
      <w:r>
        <w:rPr>
          <w:spacing w:val="-26"/>
          <w:sz w:val="18"/>
        </w:rPr>
        <w:t> </w:t>
      </w:r>
      <w:r>
        <w:rPr>
          <w:sz w:val="18"/>
        </w:rPr>
        <w:t>México</w:t>
      </w: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pStyle w:val="BodyText"/>
        <w:rPr>
          <w:sz w:val="18"/>
        </w:rPr>
      </w:pPr>
    </w:p>
    <w:p>
      <w:pPr>
        <w:pStyle w:val="BodyText"/>
        <w:rPr>
          <w:sz w:val="18"/>
        </w:rPr>
      </w:pPr>
    </w:p>
    <w:p>
      <w:pPr>
        <w:pStyle w:val="BodyText"/>
        <w:spacing w:line="360" w:lineRule="auto" w:before="104"/>
        <w:ind w:left="97" w:right="78"/>
        <w:jc w:val="center"/>
      </w:pPr>
      <w:r>
        <w:rPr/>
        <w:t>Actualmente en el sur del Estado de México se produce ganado bovino de carne bajo un sistema extensivo, el  cual  aporta al  mercado una  cantidad importante  de carne  que  contribuye  a  la</w:t>
      </w:r>
    </w:p>
    <w:p>
      <w:pPr>
        <w:spacing w:after="0" w:line="360" w:lineRule="auto"/>
        <w:jc w:val="center"/>
        <w:sectPr>
          <w:headerReference w:type="default" r:id="rId97"/>
          <w:footerReference w:type="default" r:id="rId98"/>
          <w:pgSz w:w="12240" w:h="15840"/>
          <w:pgMar w:header="0" w:footer="0" w:top="1500" w:bottom="280" w:left="1580" w:right="1600"/>
        </w:sectPr>
      </w:pPr>
    </w:p>
    <w:p>
      <w:pPr>
        <w:pStyle w:val="BodyText"/>
        <w:spacing w:line="362" w:lineRule="auto" w:before="50"/>
        <w:ind w:left="122" w:right="98"/>
        <w:jc w:val="both"/>
      </w:pPr>
      <w:r>
        <w:rPr/>
        <w:t>alimentación de los habitantes de esta región, en la que existen condiciones agroecológicas que permiten una explotación extensiva adecuada de bovinos carne.</w:t>
      </w:r>
    </w:p>
    <w:p>
      <w:pPr>
        <w:pStyle w:val="BodyText"/>
        <w:spacing w:line="360" w:lineRule="auto" w:before="1"/>
        <w:ind w:left="122" w:right="98"/>
        <w:jc w:val="both"/>
      </w:pPr>
      <w:r>
        <w:rPr/>
        <w:t>En la presente investigación se aplicó la teoría de la producción, específicamente la función de producción obtenida en la explotación de bovinos carne en cuatro municipios del Estado de México,</w:t>
      </w:r>
      <w:r>
        <w:rPr>
          <w:spacing w:val="-6"/>
        </w:rPr>
        <w:t> </w:t>
      </w:r>
      <w:r>
        <w:rPr/>
        <w:t>con</w:t>
      </w:r>
      <w:r>
        <w:rPr>
          <w:spacing w:val="-6"/>
        </w:rPr>
        <w:t> </w:t>
      </w:r>
      <w:r>
        <w:rPr/>
        <w:t>la</w:t>
      </w:r>
      <w:r>
        <w:rPr>
          <w:spacing w:val="-5"/>
        </w:rPr>
        <w:t> </w:t>
      </w:r>
      <w:r>
        <w:rPr/>
        <w:t>finalidad</w:t>
      </w:r>
      <w:r>
        <w:rPr>
          <w:spacing w:val="-3"/>
        </w:rPr>
        <w:t> </w:t>
      </w:r>
      <w:r>
        <w:rPr/>
        <w:t>de</w:t>
      </w:r>
      <w:r>
        <w:rPr>
          <w:spacing w:val="-3"/>
        </w:rPr>
        <w:t> </w:t>
      </w:r>
      <w:r>
        <w:rPr/>
        <w:t>conocer</w:t>
      </w:r>
      <w:r>
        <w:rPr>
          <w:spacing w:val="-6"/>
        </w:rPr>
        <w:t> </w:t>
      </w:r>
      <w:r>
        <w:rPr/>
        <w:t>el</w:t>
      </w:r>
      <w:r>
        <w:rPr>
          <w:spacing w:val="-3"/>
        </w:rPr>
        <w:t> </w:t>
      </w:r>
      <w:r>
        <w:rPr/>
        <w:t>aspecto</w:t>
      </w:r>
      <w:r>
        <w:rPr>
          <w:spacing w:val="-6"/>
        </w:rPr>
        <w:t> </w:t>
      </w:r>
      <w:r>
        <w:rPr/>
        <w:t>técnico</w:t>
      </w:r>
      <w:r>
        <w:rPr>
          <w:spacing w:val="-3"/>
        </w:rPr>
        <w:t> </w:t>
      </w:r>
      <w:r>
        <w:rPr/>
        <w:t>y</w:t>
      </w:r>
      <w:r>
        <w:rPr>
          <w:spacing w:val="-8"/>
        </w:rPr>
        <w:t> </w:t>
      </w:r>
      <w:r>
        <w:rPr/>
        <w:t>económico,</w:t>
      </w:r>
      <w:r>
        <w:rPr>
          <w:spacing w:val="-3"/>
        </w:rPr>
        <w:t> </w:t>
      </w:r>
      <w:r>
        <w:rPr/>
        <w:t>estos</w:t>
      </w:r>
      <w:r>
        <w:rPr>
          <w:spacing w:val="-4"/>
        </w:rPr>
        <w:t> </w:t>
      </w:r>
      <w:r>
        <w:rPr/>
        <w:t>aspectos</w:t>
      </w:r>
      <w:r>
        <w:rPr>
          <w:spacing w:val="-4"/>
        </w:rPr>
        <w:t> </w:t>
      </w:r>
      <w:r>
        <w:rPr/>
        <w:t>desempeñan un papel muy importante para lograr la eficiencia y la optimización en el uso de los insumos (recursos), que permiten mejorar la producción de ganado bovino, verificando que bajo este método se pueden controlar de una manera adecuada todos los</w:t>
      </w:r>
      <w:r>
        <w:rPr>
          <w:spacing w:val="-29"/>
        </w:rPr>
        <w:t> </w:t>
      </w:r>
      <w:r>
        <w:rPr/>
        <w:t>costos.</w:t>
      </w:r>
    </w:p>
    <w:p>
      <w:pPr>
        <w:pStyle w:val="BodyText"/>
        <w:spacing w:line="360" w:lineRule="auto" w:before="4"/>
        <w:ind w:left="122" w:right="99"/>
        <w:jc w:val="both"/>
      </w:pPr>
      <w:r>
        <w:rPr/>
        <w:t>El presente trabajo tiene repercusión práctica sobre los productores de bovinos carne del sur del Estado de México, ya que la información que obtenida sirve para aumentar su productividad, conocer el nivel de utilización de los recursos e insumos que se emplean en el proceso de producción e incrementar su competitividad, márgenes de producción y ganancia.</w:t>
      </w:r>
    </w:p>
    <w:p>
      <w:pPr>
        <w:pStyle w:val="BodyText"/>
        <w:rPr>
          <w:sz w:val="22"/>
        </w:rPr>
      </w:pPr>
    </w:p>
    <w:p>
      <w:pPr>
        <w:pStyle w:val="BodyText"/>
        <w:spacing w:line="362" w:lineRule="auto" w:before="147"/>
        <w:ind w:left="122" w:right="99"/>
        <w:jc w:val="both"/>
      </w:pPr>
      <w:r>
        <w:rPr/>
        <w:t>Existen algunos estudios acerca de la función de producción Cobb-Douglas aplicada al sector agropecuario.</w:t>
      </w:r>
    </w:p>
    <w:p>
      <w:pPr>
        <w:pStyle w:val="BodyText"/>
        <w:spacing w:line="360" w:lineRule="auto" w:before="1"/>
        <w:ind w:left="122" w:right="105"/>
        <w:jc w:val="both"/>
      </w:pPr>
      <w:r>
        <w:rPr/>
        <w:t>Anido</w:t>
      </w:r>
      <w:r>
        <w:rPr>
          <w:spacing w:val="-12"/>
        </w:rPr>
        <w:t> </w:t>
      </w:r>
      <w:r>
        <w:rPr/>
        <w:t>et</w:t>
      </w:r>
      <w:r>
        <w:rPr>
          <w:spacing w:val="-12"/>
        </w:rPr>
        <w:t> </w:t>
      </w:r>
      <w:r>
        <w:rPr/>
        <w:t>al.</w:t>
      </w:r>
      <w:r>
        <w:rPr>
          <w:spacing w:val="-12"/>
        </w:rPr>
        <w:t> </w:t>
      </w:r>
      <w:r>
        <w:rPr/>
        <w:t>(1996),</w:t>
      </w:r>
      <w:r>
        <w:rPr>
          <w:spacing w:val="-12"/>
        </w:rPr>
        <w:t> </w:t>
      </w:r>
      <w:r>
        <w:rPr/>
        <w:t>presentan</w:t>
      </w:r>
      <w:r>
        <w:rPr>
          <w:spacing w:val="-12"/>
        </w:rPr>
        <w:t> </w:t>
      </w:r>
      <w:r>
        <w:rPr/>
        <w:t>un</w:t>
      </w:r>
      <w:r>
        <w:rPr>
          <w:spacing w:val="-12"/>
        </w:rPr>
        <w:t> </w:t>
      </w:r>
      <w:r>
        <w:rPr/>
        <w:t>análisis</w:t>
      </w:r>
      <w:r>
        <w:rPr>
          <w:spacing w:val="-13"/>
        </w:rPr>
        <w:t> </w:t>
      </w:r>
      <w:r>
        <w:rPr/>
        <w:t>empírico</w:t>
      </w:r>
      <w:r>
        <w:rPr>
          <w:spacing w:val="-12"/>
        </w:rPr>
        <w:t> </w:t>
      </w:r>
      <w:r>
        <w:rPr/>
        <w:t>de</w:t>
      </w:r>
      <w:r>
        <w:rPr>
          <w:spacing w:val="-14"/>
        </w:rPr>
        <w:t> </w:t>
      </w:r>
      <w:r>
        <w:rPr/>
        <w:t>la</w:t>
      </w:r>
      <w:r>
        <w:rPr>
          <w:spacing w:val="-11"/>
        </w:rPr>
        <w:t> </w:t>
      </w:r>
      <w:r>
        <w:rPr/>
        <w:t>producción</w:t>
      </w:r>
      <w:r>
        <w:rPr>
          <w:spacing w:val="-12"/>
        </w:rPr>
        <w:t> </w:t>
      </w:r>
      <w:r>
        <w:rPr/>
        <w:t>de</w:t>
      </w:r>
      <w:r>
        <w:rPr>
          <w:spacing w:val="-11"/>
        </w:rPr>
        <w:t> </w:t>
      </w:r>
      <w:r>
        <w:rPr/>
        <w:t>maíz</w:t>
      </w:r>
      <w:r>
        <w:rPr>
          <w:spacing w:val="-13"/>
        </w:rPr>
        <w:t> </w:t>
      </w:r>
      <w:r>
        <w:rPr/>
        <w:t>en</w:t>
      </w:r>
      <w:r>
        <w:rPr>
          <w:spacing w:val="-14"/>
        </w:rPr>
        <w:t> </w:t>
      </w:r>
      <w:r>
        <w:rPr/>
        <w:t>el</w:t>
      </w:r>
      <w:r>
        <w:rPr>
          <w:spacing w:val="-12"/>
        </w:rPr>
        <w:t> </w:t>
      </w:r>
      <w:r>
        <w:rPr/>
        <w:t>estado</w:t>
      </w:r>
      <w:r>
        <w:rPr>
          <w:spacing w:val="-12"/>
        </w:rPr>
        <w:t> </w:t>
      </w:r>
      <w:r>
        <w:rPr/>
        <w:t>Barinas, Venezuela, empleando la función econométrica de</w:t>
      </w:r>
      <w:r>
        <w:rPr>
          <w:spacing w:val="-22"/>
        </w:rPr>
        <w:t> </w:t>
      </w:r>
      <w:r>
        <w:rPr/>
        <w:t>Cobb-Douglas.</w:t>
      </w:r>
    </w:p>
    <w:p>
      <w:pPr>
        <w:pStyle w:val="BodyText"/>
        <w:rPr>
          <w:sz w:val="22"/>
        </w:rPr>
      </w:pPr>
    </w:p>
    <w:p>
      <w:pPr>
        <w:pStyle w:val="BodyText"/>
        <w:spacing w:line="360" w:lineRule="auto" w:before="150"/>
        <w:ind w:left="122" w:right="107"/>
        <w:jc w:val="both"/>
      </w:pPr>
      <w:r>
        <w:rPr/>
        <w:t>Bichara (1990), presenta información y aspectos relevante en cuanto a la utilización de esta función de producción.</w:t>
      </w:r>
    </w:p>
    <w:p>
      <w:pPr>
        <w:pStyle w:val="BodyText"/>
        <w:rPr>
          <w:sz w:val="22"/>
        </w:rPr>
      </w:pPr>
    </w:p>
    <w:p>
      <w:pPr>
        <w:pStyle w:val="BodyText"/>
        <w:spacing w:line="360" w:lineRule="auto" w:before="149"/>
        <w:ind w:left="122" w:right="100"/>
        <w:jc w:val="both"/>
      </w:pPr>
      <w:r>
        <w:rPr/>
        <w:t>Castellanos (2004), realiza un estudio de la región confidencial para la obtención del óptimo económico de una función de producción de Cobb-Douglas bivariada, empleando la técnica de Wald descrita en Gallant (1987).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r>
        <w:rPr/>
        <w:pict>
          <v:line style="position:absolute;mso-position-horizontal-relative:page;mso-position-vertical-relative:paragraph;z-index:3136;mso-wrap-distance-left:0;mso-wrap-distance-right:0" from="85.103996pt,12.603661pt" to="525.960017pt,12.603661pt" stroked="true" strokeweight=".36pt" strokecolor="#000000">
            <w10:wrap type="topAndBottom"/>
          </v:line>
        </w:pict>
      </w:r>
    </w:p>
    <w:p>
      <w:pPr>
        <w:tabs>
          <w:tab w:pos="4003" w:val="left" w:leader="none"/>
          <w:tab w:pos="8240" w:val="left" w:leader="none"/>
        </w:tabs>
        <w:spacing w:line="720" w:lineRule="auto" w:before="73"/>
        <w:ind w:left="510" w:right="104" w:hanging="389"/>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6"/>
          <w:sz w:val="18"/>
        </w:rPr>
        <w:t> </w:t>
      </w:r>
      <w:r>
        <w:rPr>
          <w:sz w:val="18"/>
        </w:rPr>
        <w:t>38</w:t>
      </w:r>
      <w:r>
        <w:rPr>
          <w:spacing w:val="-2"/>
          <w:sz w:val="18"/>
        </w:rPr>
        <w:t> </w:t>
      </w:r>
      <w:r>
        <w:rPr>
          <w:sz w:val="18"/>
        </w:rPr>
        <w:t>Estimación de una función de producción de bovinos carne en sistema extensivo en el sur del Estado de</w:t>
      </w:r>
      <w:r>
        <w:rPr>
          <w:spacing w:val="-26"/>
          <w:sz w:val="18"/>
        </w:rPr>
        <w:t> </w:t>
      </w:r>
      <w:r>
        <w:rPr>
          <w:sz w:val="18"/>
        </w:rPr>
        <w:t>México</w:t>
      </w:r>
    </w:p>
    <w:p>
      <w:pPr>
        <w:pStyle w:val="BodyText"/>
        <w:spacing w:before="98"/>
        <w:ind w:left="122" w:right="64"/>
      </w:pPr>
      <w:r>
        <w:rPr/>
        <w:pict>
          <v:line style="position:absolute;mso-position-horizontal-relative:page;mso-position-vertical-relative:paragraph;z-index:-129376" from="102pt,-13.899674pt" to="508.5pt,-13.899674pt" stroked="true" strokeweight=".5pt" strokecolor="#000000">
            <w10:wrap type="none"/>
          </v:line>
        </w:pict>
      </w:r>
      <w:r>
        <w:rPr/>
        <w:t>Mankiw (2004), hace referencia sobre algunas propiedades de la función de producción.</w:t>
      </w:r>
    </w:p>
    <w:p>
      <w:pPr>
        <w:spacing w:after="0"/>
        <w:sectPr>
          <w:headerReference w:type="default" r:id="rId99"/>
          <w:footerReference w:type="default" r:id="rId100"/>
          <w:pgSz w:w="12240" w:h="15840"/>
          <w:pgMar w:header="0" w:footer="0" w:top="1360" w:bottom="280" w:left="1580" w:right="1600"/>
        </w:sectPr>
      </w:pPr>
    </w:p>
    <w:p>
      <w:pPr>
        <w:pStyle w:val="BodyText"/>
        <w:spacing w:before="8"/>
        <w:rPr>
          <w:sz w:val="20"/>
        </w:rPr>
      </w:pPr>
      <w:r>
        <w:rPr/>
        <w:pict>
          <v:group style="position:absolute;margin-left:84.550003pt;margin-top:102.550003pt;width:442.1pt;height:539.85pt;mso-position-horizontal-relative:page;mso-position-vertical-relative:page;z-index:-129304" coordorigin="1691,2051" coordsize="8842,10797">
            <v:shape style="position:absolute;left:1701;top:2061;width:8690;height:10777" coordorigin="1701,2061" coordsize="8690,10777" path="m1701,3509l1703,3432,1709,3357,1719,3282,1732,3208,1750,3136,1770,3066,1794,2996,1822,2929,1853,2863,1887,2799,1924,2737,1964,2677,2006,2620,2052,2564,2100,2511,2151,2460,2204,2412,2260,2366,2317,2324,2377,2284,2439,2247,2503,2213,2569,2182,2636,2154,2706,2130,2776,2110,2848,2092,2922,2079,2997,2069,3072,2063,3149,2061,8943,2061,9020,2063,9095,2069,9170,2079,9244,2092,9316,2110,9386,2130,9456,2154,9523,2182,9589,2213,9653,2247,9715,2284,9775,2324,9832,2366,9888,2412,9941,2460,9992,2511,10040,2564,10086,2620,10128,2677,10168,2737,10205,2799,10239,2863,10270,2929,10298,2996,10322,3066,10342,3136,10360,3208,10373,3282,10383,3357,10389,3432,10391,3509,10391,11390,10389,11467,10383,11542,10373,11617,10360,11691,10342,11763,10322,11833,10298,11903,10270,11970,10239,12036,10205,12100,10168,12162,10128,12222,10086,12279,10040,12335,9992,12388,9941,12439,9888,12487,9832,12533,9775,12575,9715,12615,9653,12652,9589,12686,9523,12717,9456,12745,9386,12769,9316,12789,9244,12807,9170,12820,9095,12830,9020,12836,8943,12838,3149,12838,3072,12836,2997,12830,2922,12820,2848,12807,2776,12789,2706,12769,2636,12745,2569,12717,2503,12686,2439,12652,2377,12615,2317,12575,2260,12533,2204,12487,2151,12439,2100,12388,2052,12335,2006,12279,1964,12222,1924,12162,1887,12100,1853,12036,1822,11970,1794,11903,1770,11833,1750,11763,1732,11691,1719,11617,1709,11542,1703,11467,1701,11390,1701,3509xe" filled="false" stroked="true" strokeweight="1pt" strokecolor="#000000">
              <v:path arrowok="t"/>
            </v:shape>
            <v:line style="position:absolute" from="1702,12553" to="10519,12553" stroked="true" strokeweight=".36pt" strokecolor="#000000"/>
            <v:shape style="position:absolute;left:1702;top:2234;width:7448;height:231" type="#_x0000_t202" filled="false" stroked="false">
              <v:textbox inset="0,0,0,0">
                <w:txbxContent>
                  <w:p>
                    <w:pPr>
                      <w:spacing w:line="230" w:lineRule="exact" w:before="0"/>
                      <w:ind w:left="0" w:right="0" w:firstLine="0"/>
                      <w:jc w:val="left"/>
                      <w:rPr>
                        <w:sz w:val="23"/>
                      </w:rPr>
                    </w:pPr>
                    <w:r>
                      <w:rPr>
                        <w:sz w:val="23"/>
                      </w:rPr>
                      <w:t>asignación optima de los recursos en los viveros forestales del estado de</w:t>
                    </w:r>
                    <w:r>
                      <w:rPr>
                        <w:spacing w:val="-36"/>
                        <w:sz w:val="23"/>
                      </w:rPr>
                      <w:t> </w:t>
                    </w:r>
                    <w:r>
                      <w:rPr>
                        <w:sz w:val="23"/>
                      </w:rPr>
                      <w:t>México.</w:t>
                    </w:r>
                  </w:p>
                </w:txbxContent>
              </v:textbox>
              <w10:wrap type="none"/>
            </v:shape>
            <v:shape style="position:absolute;left:1702;top:2942;width:8831;height:1023" type="#_x0000_t202" filled="false" stroked="false">
              <v:textbox inset="0,0,0,0">
                <w:txbxContent>
                  <w:p>
                    <w:pPr>
                      <w:spacing w:line="235" w:lineRule="exact" w:before="0"/>
                      <w:ind w:left="0" w:right="0" w:firstLine="0"/>
                      <w:jc w:val="left"/>
                      <w:rPr>
                        <w:sz w:val="23"/>
                      </w:rPr>
                    </w:pPr>
                    <w:r>
                      <w:rPr>
                        <w:sz w:val="23"/>
                      </w:rPr>
                      <w:t>Gujarati (2004), hace uso del modelo y realiza la estimación de los parámetros con información</w:t>
                    </w:r>
                  </w:p>
                  <w:p>
                    <w:pPr>
                      <w:spacing w:line="390" w:lineRule="atLeast" w:before="6"/>
                      <w:ind w:left="0" w:right="0" w:firstLine="0"/>
                      <w:jc w:val="left"/>
                      <w:rPr>
                        <w:sz w:val="23"/>
                      </w:rPr>
                    </w:pPr>
                    <w:r>
                      <w:rPr>
                        <w:sz w:val="23"/>
                      </w:rPr>
                      <w:t>referente a la producción de Taiwán. Representando sus resultados a través del paquete estadístico SAS (2004).</w:t>
                    </w:r>
                  </w:p>
                </w:txbxContent>
              </v:textbox>
              <w10:wrap type="none"/>
            </v:shape>
            <w10:wrap type="none"/>
          </v:group>
        </w:pict>
      </w:r>
    </w:p>
    <w:p>
      <w:pPr>
        <w:pStyle w:val="BodyText"/>
        <w:spacing w:before="71"/>
        <w:ind w:left="122" w:right="64"/>
      </w:pPr>
      <w:r>
        <w:rPr/>
        <w:t>Romo (1990), emplea a la función de producción de Cobb-Douglas en el estudio sobre la</w:t>
      </w:r>
    </w:p>
    <w:p>
      <w:pPr>
        <w:spacing w:after="0"/>
        <w:sectPr>
          <w:headerReference w:type="default" r:id="rId101"/>
          <w:footerReference w:type="default" r:id="rId102"/>
          <w:pgSz w:w="12240" w:h="15840"/>
          <w:pgMar w:header="0" w:footer="2732" w:top="1500" w:bottom="2920" w:left="1580" w:right="1600"/>
          <w:pgNumType w:start="39"/>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1"/>
          <w:numId w:val="1"/>
        </w:numPr>
        <w:tabs>
          <w:tab w:pos="3181" w:val="left" w:leader="none"/>
        </w:tabs>
        <w:spacing w:line="240" w:lineRule="auto" w:before="142" w:after="0"/>
        <w:ind w:left="3180" w:right="0" w:hanging="1162"/>
        <w:jc w:val="left"/>
      </w:pPr>
      <w:bookmarkStart w:name="_TOC_250004" w:id="7"/>
      <w:bookmarkEnd w:id="7"/>
      <w:r>
        <w:rPr/>
        <w:t>HIPÓTESIS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12"/>
        </w:rPr>
      </w:pPr>
      <w:r>
        <w:rPr/>
        <w:pict>
          <v:line style="position:absolute;mso-position-horizontal-relative:page;mso-position-vertical-relative:paragraph;z-index:3256;mso-wrap-distance-left:0;mso-wrap-distance-right:0" from="85.103996pt,9.071297pt" to="525.960017pt,9.071297pt" stroked="true" strokeweight=".36pt" strokecolor="#000000">
            <w10:wrap type="topAndBottom"/>
          </v:line>
        </w:pict>
      </w:r>
    </w:p>
    <w:p>
      <w:pPr>
        <w:spacing w:after="0"/>
        <w:rPr>
          <w:sz w:val="12"/>
        </w:rPr>
        <w:sectPr>
          <w:headerReference w:type="default" r:id="rId103"/>
          <w:footerReference w:type="default" r:id="rId104"/>
          <w:pgSz w:w="12240" w:h="15840"/>
          <w:pgMar w:header="0" w:footer="2969" w:top="1500" w:bottom="3160" w:left="1580" w:right="1600"/>
          <w:pgNumType w:start="40"/>
        </w:sectPr>
      </w:pPr>
    </w:p>
    <w:p>
      <w:pPr>
        <w:pStyle w:val="BodyText"/>
        <w:spacing w:line="362" w:lineRule="auto" w:before="50"/>
        <w:ind w:left="122" w:right="64"/>
      </w:pPr>
      <w:r>
        <w:rPr/>
        <w:t>El incremento porcentual de los insumos en la ganadería de carne del sur del Estado de México ofrece rendimientos crecientes a escala de la producción.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r>
        <w:rPr/>
        <w:pict>
          <v:line style="position:absolute;mso-position-horizontal-relative:page;mso-position-vertical-relative:paragraph;z-index:3280;mso-wrap-distance-left:0;mso-wrap-distance-right:0" from="85.103996pt,14.184391pt" to="525.960017pt,14.184391pt" stroked="true" strokeweight=".36pt" strokecolor="#000000">
            <w10:wrap type="topAndBottom"/>
          </v:line>
        </w:pict>
      </w:r>
    </w:p>
    <w:p>
      <w:pPr>
        <w:tabs>
          <w:tab w:pos="4003" w:val="left" w:leader="none"/>
          <w:tab w:pos="8240" w:val="left" w:leader="none"/>
        </w:tabs>
        <w:spacing w:before="73"/>
        <w:ind w:left="122" w:right="64"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41</w:t>
      </w:r>
    </w:p>
    <w:p>
      <w:pPr>
        <w:spacing w:after="0"/>
        <w:jc w:val="left"/>
        <w:rPr>
          <w:sz w:val="18"/>
        </w:rPr>
        <w:sectPr>
          <w:headerReference w:type="default" r:id="rId105"/>
          <w:footerReference w:type="default" r:id="rId106"/>
          <w:pgSz w:w="12240" w:h="15840"/>
          <w:pgMar w:header="0" w:footer="1973" w:top="1360" w:bottom="2160" w:left="1580" w:right="1600"/>
        </w:sectPr>
      </w:pPr>
    </w:p>
    <w:p>
      <w:pPr>
        <w:pStyle w:val="BodyText"/>
        <w:rPr>
          <w:sz w:val="20"/>
        </w:rPr>
      </w:pPr>
      <w:r>
        <w:rPr/>
        <w:pict>
          <v:group style="position:absolute;margin-left:84.550003pt;margin-top:96.199997pt;width:441.65pt;height:577.5pt;mso-position-horizontal-relative:page;mso-position-vertical-relative:page;z-index:-129232" coordorigin="1691,1924" coordsize="8833,11550">
            <v:shape style="position:absolute;left:1701;top:1934;width:8690;height:11530" coordorigin="1701,1934" coordsize="8690,11530" path="m1701,3382l1703,3305,1709,3230,1719,3155,1732,3081,1750,3009,1770,2939,1794,2869,1822,2802,1853,2736,1887,2672,1924,2610,1964,2550,2006,2493,2052,2437,2100,2384,2151,2333,2204,2285,2260,2239,2317,2197,2377,2157,2439,2120,2503,2086,2569,2055,2636,2027,2706,2003,2776,1983,2848,1965,2922,1952,2997,1942,3072,1936,3149,1934,8943,1934,9020,1936,9095,1942,9170,1952,9244,1965,9316,1983,9386,2003,9456,2027,9523,2055,9589,2086,9653,2120,9715,2157,9775,2197,9832,2239,9888,2285,9941,2333,9992,2384,10040,2437,10086,2493,10128,2550,10168,2610,10205,2672,10239,2736,10270,2802,10298,2869,10322,2939,10342,3009,10360,3081,10373,3155,10383,3230,10389,3305,10391,3382,10391,12016,10389,12093,10383,12168,10373,12243,10360,12317,10342,12389,10322,12459,10298,12529,10270,12596,10239,12662,10205,12726,10168,12788,10128,12848,10086,12905,10040,12961,9992,13014,9941,13065,9888,13113,9832,13159,9775,13201,9715,13241,9653,13278,9589,13312,9523,13343,9456,13371,9386,13395,9316,13415,9244,13433,9170,13446,9095,13456,9020,13462,8943,13464,3149,13464,3072,13462,2997,13456,2922,13446,2848,13433,2776,13415,2706,13395,2636,13371,2569,13343,2503,13312,2439,13278,2377,13241,2317,13201,2260,13159,2204,13113,2151,13065,2100,13014,2052,12961,2006,12905,1964,12848,1924,12788,1887,12726,1853,12662,1822,12596,1794,12529,1770,12459,1750,12389,1732,12317,1719,12243,1709,12168,1703,12093,1701,12016,1701,3382xe" filled="false" stroked="true" strokeweight="1pt" strokecolor="#000000">
              <v:path arrowok="t"/>
            </v:shape>
            <v:line style="position:absolute" from="1702,13196" to="10519,13196" stroked="true" strokeweight=".36pt" strokecolor="#000000"/>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22"/>
        <w:ind w:left="2099" w:right="64" w:firstLine="0"/>
      </w:pPr>
      <w:r>
        <w:rPr/>
        <w:t>IV. OBJETIVO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17"/>
        </w:rPr>
      </w:pPr>
    </w:p>
    <w:p>
      <w:pPr>
        <w:tabs>
          <w:tab w:pos="4003" w:val="left" w:leader="none"/>
          <w:tab w:pos="8240" w:val="left" w:leader="none"/>
        </w:tabs>
        <w:spacing w:before="77"/>
        <w:ind w:left="122" w:right="64"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42</w:t>
      </w:r>
    </w:p>
    <w:p>
      <w:pPr>
        <w:spacing w:after="0"/>
        <w:jc w:val="left"/>
        <w:rPr>
          <w:sz w:val="18"/>
        </w:rPr>
        <w:sectPr>
          <w:headerReference w:type="default" r:id="rId107"/>
          <w:footerReference w:type="default" r:id="rId108"/>
          <w:pgSz w:w="12240" w:h="15840"/>
          <w:pgMar w:header="0" w:footer="2002" w:top="1500" w:bottom="2200" w:left="1580" w:right="1600"/>
        </w:sectPr>
      </w:pPr>
    </w:p>
    <w:p>
      <w:pPr>
        <w:pStyle w:val="BodyText"/>
        <w:spacing w:line="360" w:lineRule="auto" w:before="50"/>
        <w:ind w:left="122" w:right="119"/>
        <w:jc w:val="both"/>
      </w:pPr>
      <w:r>
        <w:rPr/>
        <w:t>Estimar</w:t>
      </w:r>
      <w:r>
        <w:rPr>
          <w:spacing w:val="-5"/>
        </w:rPr>
        <w:t> </w:t>
      </w:r>
      <w:r>
        <w:rPr/>
        <w:t>una</w:t>
      </w:r>
      <w:r>
        <w:rPr>
          <w:spacing w:val="-4"/>
        </w:rPr>
        <w:t> </w:t>
      </w:r>
      <w:r>
        <w:rPr/>
        <w:t>función</w:t>
      </w:r>
      <w:r>
        <w:rPr>
          <w:spacing w:val="-7"/>
        </w:rPr>
        <w:t> </w:t>
      </w:r>
      <w:r>
        <w:rPr/>
        <w:t>de</w:t>
      </w:r>
      <w:r>
        <w:rPr>
          <w:spacing w:val="-6"/>
        </w:rPr>
        <w:t> </w:t>
      </w:r>
      <w:r>
        <w:rPr/>
        <w:t>producción</w:t>
      </w:r>
      <w:r>
        <w:rPr>
          <w:spacing w:val="-5"/>
        </w:rPr>
        <w:t> </w:t>
      </w:r>
      <w:r>
        <w:rPr/>
        <w:t>de</w:t>
      </w:r>
      <w:r>
        <w:rPr>
          <w:spacing w:val="-4"/>
        </w:rPr>
        <w:t> </w:t>
      </w:r>
      <w:r>
        <w:rPr/>
        <w:t>Cobb-Douglas</w:t>
      </w:r>
      <w:r>
        <w:rPr>
          <w:spacing w:val="-6"/>
        </w:rPr>
        <w:t> </w:t>
      </w:r>
      <w:r>
        <w:rPr/>
        <w:t>en</w:t>
      </w:r>
      <w:r>
        <w:rPr>
          <w:spacing w:val="-5"/>
        </w:rPr>
        <w:t> </w:t>
      </w:r>
      <w:r>
        <w:rPr/>
        <w:t>la</w:t>
      </w:r>
      <w:r>
        <w:rPr>
          <w:spacing w:val="-4"/>
        </w:rPr>
        <w:t> </w:t>
      </w:r>
      <w:r>
        <w:rPr/>
        <w:t>ganadería</w:t>
      </w:r>
      <w:r>
        <w:rPr>
          <w:spacing w:val="-4"/>
        </w:rPr>
        <w:t> </w:t>
      </w:r>
      <w:r>
        <w:rPr/>
        <w:t>de</w:t>
      </w:r>
      <w:r>
        <w:rPr>
          <w:spacing w:val="-6"/>
        </w:rPr>
        <w:t> </w:t>
      </w:r>
      <w:r>
        <w:rPr/>
        <w:t>carne</w:t>
      </w:r>
      <w:r>
        <w:rPr>
          <w:spacing w:val="-9"/>
        </w:rPr>
        <w:t> </w:t>
      </w:r>
      <w:r>
        <w:rPr/>
        <w:t>del</w:t>
      </w:r>
      <w:r>
        <w:rPr>
          <w:spacing w:val="-4"/>
        </w:rPr>
        <w:t> </w:t>
      </w:r>
      <w:r>
        <w:rPr/>
        <w:t>sur</w:t>
      </w:r>
      <w:r>
        <w:rPr>
          <w:spacing w:val="-5"/>
        </w:rPr>
        <w:t> </w:t>
      </w:r>
      <w:r>
        <w:rPr/>
        <w:t>del</w:t>
      </w:r>
      <w:r>
        <w:rPr>
          <w:spacing w:val="-6"/>
        </w:rPr>
        <w:t> </w:t>
      </w:r>
      <w:r>
        <w:rPr/>
        <w:t>Estado de México, para conocer los rendimientos a escala de la producción, que resulten de la suma de las elasticidades parciales de cada una de las variables de</w:t>
      </w:r>
      <w:r>
        <w:rPr>
          <w:spacing w:val="-30"/>
        </w:rPr>
        <w:t> </w:t>
      </w:r>
      <w:r>
        <w:rPr/>
        <w:t>estudio.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r>
        <w:rPr/>
        <w:pict>
          <v:line style="position:absolute;mso-position-horizontal-relative:page;mso-position-vertical-relative:paragraph;z-index:3328;mso-wrap-distance-left:0;mso-wrap-distance-right:0" from="85.103996pt,12.892738pt" to="525.960017pt,12.892738pt" stroked="true" strokeweight=".36pt" strokecolor="#000000">
            <w10:wrap type="topAndBottom"/>
          </v:line>
        </w:pict>
      </w:r>
    </w:p>
    <w:p>
      <w:pPr>
        <w:tabs>
          <w:tab w:pos="4003" w:val="left" w:leader="none"/>
          <w:tab w:pos="8240" w:val="left" w:leader="none"/>
        </w:tabs>
        <w:spacing w:before="75"/>
        <w:ind w:left="122" w:right="0"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43</w:t>
      </w:r>
    </w:p>
    <w:p>
      <w:pPr>
        <w:spacing w:before="104"/>
        <w:ind w:left="122" w:right="0" w:firstLine="0"/>
        <w:jc w:val="left"/>
        <w:rPr>
          <w:rFonts w:ascii="Calibri" w:hAnsi="Calibri"/>
          <w:sz w:val="18"/>
        </w:rPr>
      </w:pPr>
      <w:r>
        <w:rPr>
          <w:rFonts w:ascii="Calibri" w:hAnsi="Calibri"/>
          <w:sz w:val="18"/>
        </w:rPr>
        <w:t>Estimación de una función de producción de bovinos carne en sistema extensivo en el sur del Estado de México</w:t>
      </w:r>
    </w:p>
    <w:p>
      <w:pPr>
        <w:spacing w:after="0"/>
        <w:jc w:val="left"/>
        <w:rPr>
          <w:rFonts w:ascii="Calibri" w:hAnsi="Calibri"/>
          <w:sz w:val="18"/>
        </w:rPr>
        <w:sectPr>
          <w:headerReference w:type="default" r:id="rId109"/>
          <w:footerReference w:type="default" r:id="rId110"/>
          <w:pgSz w:w="12240" w:h="15840"/>
          <w:pgMar w:header="0" w:footer="0" w:top="1360" w:bottom="280" w:left="1580" w:right="158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Heading1"/>
        <w:numPr>
          <w:ilvl w:val="0"/>
          <w:numId w:val="8"/>
        </w:numPr>
        <w:tabs>
          <w:tab w:pos="2790" w:val="left" w:leader="none"/>
        </w:tabs>
        <w:spacing w:line="360" w:lineRule="auto" w:before="149" w:after="0"/>
        <w:ind w:left="2899" w:right="1609" w:hanging="1270"/>
        <w:jc w:val="left"/>
      </w:pPr>
      <w:r>
        <w:rPr/>
        <w:pict>
          <v:group style="position:absolute;margin-left:84.550003pt;margin-top:-235.670624pt;width:441.65pt;height:559.8pt;mso-position-horizontal-relative:page;mso-position-vertical-relative:paragraph;z-index:-129184" coordorigin="1691,-4713" coordsize="8833,11196">
            <v:shape style="position:absolute;left:1701;top:-4703;width:8690;height:11176" coordorigin="1701,-4703" coordsize="8690,11176" path="m1701,-3255l1703,-3332,1709,-3408,1719,-3483,1732,-3556,1750,-3628,1770,-3699,1794,-3768,1822,-3836,1853,-3901,1887,-3965,1924,-4027,1964,-4087,2006,-4145,2052,-4200,2100,-4254,2151,-4304,2204,-4352,2260,-4398,2317,-4441,2377,-4481,2439,-4518,2503,-4552,2569,-4582,2636,-4610,2706,-4634,2776,-4655,2848,-4672,2922,-4686,2997,-4695,3072,-4701,3149,-4703,8943,-4703,9020,-4701,9095,-4695,9170,-4686,9244,-4672,9316,-4655,9386,-4634,9456,-4610,9523,-4582,9589,-4552,9653,-4518,9715,-4481,9775,-4441,9832,-4398,9888,-4352,9941,-4304,9992,-4254,10040,-4200,10086,-4145,10128,-4087,10168,-4027,10205,-3965,10239,-3901,10270,-3836,10298,-3768,10322,-3699,10342,-3628,10360,-3556,10373,-3483,10383,-3408,10389,-3332,10391,-3255,10391,5024,10389,5101,10383,5177,10373,5252,10360,5325,10342,5397,10322,5468,10298,5537,10270,5605,10239,5670,10205,5734,10168,5796,10128,5856,10086,5914,10040,5970,9992,6023,9941,6073,9888,6122,9832,6167,9775,6210,9715,6250,9653,6287,9589,6321,9523,6352,9456,6379,9386,6403,9316,6424,9244,6441,9170,6455,9095,6465,9020,6471,8943,6473,3149,6473,3072,6471,2997,6465,2922,6455,2848,6441,2776,6424,2706,6403,2636,6379,2569,6352,2503,6321,2439,6287,2377,6250,2317,6210,2260,6167,2204,6122,2151,6073,2100,6023,2052,5970,2006,5914,1964,5856,1924,5796,1887,5734,1853,5670,1822,5605,1794,5537,1770,5468,1750,5397,1732,5325,1719,5252,1709,5177,1703,5101,1701,5024,1701,-3255xe" filled="false" stroked="true" strokeweight="1pt" strokecolor="#000000">
              <v:path arrowok="t"/>
            </v:shape>
            <v:line style="position:absolute" from="1702,6421" to="10519,6421" stroked="true" strokeweight=".36pt" strokecolor="#000000"/>
            <w10:wrap type="none"/>
          </v:group>
        </w:pict>
      </w:r>
      <w:bookmarkStart w:name="_TOC_250003" w:id="8"/>
      <w:r>
        <w:rPr/>
        <w:t>MATERIAL</w:t>
      </w:r>
      <w:r>
        <w:rPr>
          <w:spacing w:val="-2"/>
        </w:rPr>
        <w:t> </w:t>
      </w:r>
      <w:bookmarkEnd w:id="8"/>
      <w:r>
        <w:rPr/>
        <w:t>Y MÉTODO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9"/>
        </w:rPr>
      </w:pPr>
    </w:p>
    <w:p>
      <w:pPr>
        <w:tabs>
          <w:tab w:pos="4003" w:val="left" w:leader="none"/>
          <w:tab w:pos="8240" w:val="left" w:leader="none"/>
        </w:tabs>
        <w:spacing w:before="0"/>
        <w:ind w:left="122" w:right="64"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44</w:t>
      </w:r>
    </w:p>
    <w:p>
      <w:pPr>
        <w:pStyle w:val="BodyText"/>
        <w:rPr>
          <w:sz w:val="18"/>
        </w:rPr>
      </w:pPr>
    </w:p>
    <w:p>
      <w:pPr>
        <w:pStyle w:val="BodyText"/>
        <w:rPr>
          <w:sz w:val="18"/>
        </w:rPr>
      </w:pPr>
    </w:p>
    <w:p>
      <w:pPr>
        <w:pStyle w:val="BodyText"/>
        <w:spacing w:before="9"/>
        <w:rPr>
          <w:sz w:val="15"/>
        </w:rPr>
      </w:pPr>
    </w:p>
    <w:p>
      <w:pPr>
        <w:spacing w:before="0"/>
        <w:ind w:left="122" w:right="64" w:firstLine="0"/>
        <w:jc w:val="left"/>
        <w:rPr>
          <w:rFonts w:ascii="Calibri" w:hAnsi="Calibri"/>
          <w:sz w:val="18"/>
        </w:rPr>
      </w:pPr>
      <w:r>
        <w:rPr>
          <w:rFonts w:ascii="Calibri" w:hAnsi="Calibri"/>
          <w:sz w:val="18"/>
        </w:rPr>
        <w:t>Estimación de una función de producción de bovinos carne en sistema extensivo en el sur del Estado de México</w:t>
      </w:r>
    </w:p>
    <w:p>
      <w:pPr>
        <w:spacing w:after="0"/>
        <w:jc w:val="left"/>
        <w:rPr>
          <w:rFonts w:ascii="Calibri" w:hAnsi="Calibri"/>
          <w:sz w:val="18"/>
        </w:rPr>
        <w:sectPr>
          <w:headerReference w:type="default" r:id="rId111"/>
          <w:footerReference w:type="default" r:id="rId112"/>
          <w:pgSz w:w="12240" w:h="15840"/>
          <w:pgMar w:header="1238" w:footer="0" w:top="1420" w:bottom="280" w:left="1580" w:right="1600"/>
        </w:sectPr>
      </w:pPr>
    </w:p>
    <w:p>
      <w:pPr>
        <w:pStyle w:val="BodyText"/>
        <w:rPr>
          <w:rFonts w:ascii="Calibri"/>
          <w:sz w:val="20"/>
        </w:rPr>
      </w:pPr>
    </w:p>
    <w:p>
      <w:pPr>
        <w:pStyle w:val="BodyText"/>
        <w:spacing w:before="2"/>
        <w:rPr>
          <w:rFonts w:ascii="Calibri"/>
          <w:sz w:val="17"/>
        </w:rPr>
      </w:pPr>
    </w:p>
    <w:p>
      <w:pPr>
        <w:pStyle w:val="BodyText"/>
        <w:spacing w:line="360" w:lineRule="auto" w:before="71"/>
        <w:ind w:left="122" w:right="115"/>
        <w:jc w:val="both"/>
      </w:pPr>
      <w:r>
        <w:rPr/>
        <w:t>La investigación se realizó de febrero a julio de 2015 en la parte sur del Estado de México, específicamente</w:t>
      </w:r>
      <w:r>
        <w:rPr>
          <w:spacing w:val="-12"/>
        </w:rPr>
        <w:t> </w:t>
      </w:r>
      <w:r>
        <w:rPr/>
        <w:t>en</w:t>
      </w:r>
      <w:r>
        <w:rPr>
          <w:spacing w:val="-13"/>
        </w:rPr>
        <w:t> </w:t>
      </w:r>
      <w:r>
        <w:rPr/>
        <w:t>los</w:t>
      </w:r>
      <w:r>
        <w:rPr>
          <w:spacing w:val="-14"/>
        </w:rPr>
        <w:t> </w:t>
      </w:r>
      <w:r>
        <w:rPr/>
        <w:t>municipios</w:t>
      </w:r>
      <w:r>
        <w:rPr>
          <w:spacing w:val="-14"/>
        </w:rPr>
        <w:t> </w:t>
      </w:r>
      <w:r>
        <w:rPr/>
        <w:t>de</w:t>
      </w:r>
      <w:r>
        <w:rPr>
          <w:spacing w:val="-12"/>
        </w:rPr>
        <w:t> </w:t>
      </w:r>
      <w:r>
        <w:rPr/>
        <w:t>Tlatlaya,</w:t>
      </w:r>
      <w:r>
        <w:rPr>
          <w:spacing w:val="-13"/>
        </w:rPr>
        <w:t> </w:t>
      </w:r>
      <w:r>
        <w:rPr/>
        <w:t>Amatepec,</w:t>
      </w:r>
      <w:r>
        <w:rPr>
          <w:spacing w:val="-13"/>
        </w:rPr>
        <w:t> </w:t>
      </w:r>
      <w:r>
        <w:rPr/>
        <w:t>Luvianos</w:t>
      </w:r>
      <w:r>
        <w:rPr>
          <w:spacing w:val="-11"/>
        </w:rPr>
        <w:t> </w:t>
      </w:r>
      <w:r>
        <w:rPr/>
        <w:t>y</w:t>
      </w:r>
      <w:r>
        <w:rPr>
          <w:spacing w:val="-15"/>
        </w:rPr>
        <w:t> </w:t>
      </w:r>
      <w:r>
        <w:rPr/>
        <w:t>Tejupilco.</w:t>
      </w:r>
      <w:r>
        <w:rPr>
          <w:spacing w:val="-13"/>
        </w:rPr>
        <w:t> </w:t>
      </w:r>
      <w:r>
        <w:rPr/>
        <w:t>Esta</w:t>
      </w:r>
      <w:r>
        <w:rPr>
          <w:spacing w:val="-12"/>
        </w:rPr>
        <w:t> </w:t>
      </w:r>
      <w:r>
        <w:rPr/>
        <w:t>región</w:t>
      </w:r>
      <w:r>
        <w:rPr>
          <w:spacing w:val="-13"/>
        </w:rPr>
        <w:t> </w:t>
      </w:r>
      <w:r>
        <w:rPr/>
        <w:t>está ubicada en el subtrópico mexicano, entre las coordenadas 18° 21’ y 19° 34’ latitud norte y 99° 16’ y 100°36’ longitud oeste. Políticamente, este espacio geográfico tiene límites con tres estados del país (Morelos, Guerrero y Michoacán) hacia el Sur y Sureste, limita con los estados de Morelos y Guerrero, y finalmente, al Oeste tiene límites con el estado de Michoacán y porciones</w:t>
      </w:r>
      <w:r>
        <w:rPr>
          <w:spacing w:val="-10"/>
        </w:rPr>
        <w:t> </w:t>
      </w:r>
      <w:r>
        <w:rPr/>
        <w:t>de</w:t>
      </w:r>
      <w:r>
        <w:rPr>
          <w:spacing w:val="-11"/>
        </w:rPr>
        <w:t> </w:t>
      </w:r>
      <w:r>
        <w:rPr/>
        <w:t>Guerrero</w:t>
      </w:r>
      <w:r>
        <w:rPr>
          <w:spacing w:val="-10"/>
        </w:rPr>
        <w:t> </w:t>
      </w:r>
      <w:r>
        <w:rPr/>
        <w:t>(Franco,</w:t>
      </w:r>
      <w:r>
        <w:rPr>
          <w:spacing w:val="-12"/>
        </w:rPr>
        <w:t> </w:t>
      </w:r>
      <w:r>
        <w:rPr/>
        <w:t>et</w:t>
      </w:r>
      <w:r>
        <w:rPr>
          <w:spacing w:val="-11"/>
        </w:rPr>
        <w:t> </w:t>
      </w:r>
      <w:r>
        <w:rPr/>
        <w:t>al.,</w:t>
      </w:r>
      <w:r>
        <w:rPr>
          <w:spacing w:val="-10"/>
        </w:rPr>
        <w:t> </w:t>
      </w:r>
      <w:r>
        <w:rPr/>
        <w:t>1992).</w:t>
      </w:r>
      <w:r>
        <w:rPr>
          <w:spacing w:val="-12"/>
        </w:rPr>
        <w:t> </w:t>
      </w:r>
      <w:r>
        <w:rPr/>
        <w:t>Según</w:t>
      </w:r>
      <w:r>
        <w:rPr>
          <w:spacing w:val="-12"/>
        </w:rPr>
        <w:t> </w:t>
      </w:r>
      <w:r>
        <w:rPr/>
        <w:t>datos</w:t>
      </w:r>
      <w:r>
        <w:rPr>
          <w:spacing w:val="-10"/>
        </w:rPr>
        <w:t> </w:t>
      </w:r>
      <w:r>
        <w:rPr/>
        <w:t>de</w:t>
      </w:r>
      <w:r>
        <w:rPr>
          <w:spacing w:val="-9"/>
        </w:rPr>
        <w:t> </w:t>
      </w:r>
      <w:r>
        <w:rPr/>
        <w:t>(SIAP-SAGARPA,</w:t>
      </w:r>
      <w:r>
        <w:rPr>
          <w:spacing w:val="-10"/>
        </w:rPr>
        <w:t> </w:t>
      </w:r>
      <w:r>
        <w:rPr/>
        <w:t>2014)</w:t>
      </w:r>
      <w:r>
        <w:rPr>
          <w:spacing w:val="-10"/>
        </w:rPr>
        <w:t> </w:t>
      </w:r>
      <w:r>
        <w:rPr/>
        <w:t>los</w:t>
      </w:r>
      <w:r>
        <w:rPr>
          <w:spacing w:val="-13"/>
        </w:rPr>
        <w:t> </w:t>
      </w:r>
      <w:r>
        <w:rPr/>
        <w:t>cuales aportan el 81% de la producción distrital de carne de bovino. La obtención de los datos se llevó a cabo a través de una encuesta dirigida (Cochran, 1985) a 200 socios ganaderos, de un total de 1080, los cuales pertenecen a diferentes Asociaciones Ganaderas Locales, las cuales, integran la Unión Ganadera Regional del Sur del Estado de</w:t>
      </w:r>
      <w:r>
        <w:rPr>
          <w:spacing w:val="-17"/>
        </w:rPr>
        <w:t> </w:t>
      </w:r>
      <w:r>
        <w:rPr/>
        <w:t>México.</w:t>
      </w:r>
    </w:p>
    <w:p>
      <w:pPr>
        <w:pStyle w:val="BodyText"/>
        <w:spacing w:line="360" w:lineRule="auto" w:before="6"/>
        <w:ind w:left="122" w:right="117"/>
        <w:jc w:val="both"/>
      </w:pPr>
      <w:r>
        <w:rPr/>
        <w:t>Las encuestas se aplicaron en las reuniones mensuales, con los socios ganaderos que acudieron y que estuvieron dispuestos a proporcionar información del número de hectáreas de pastizal natural</w:t>
      </w:r>
      <w:r>
        <w:rPr>
          <w:spacing w:val="-4"/>
        </w:rPr>
        <w:t> </w:t>
      </w:r>
      <w:r>
        <w:rPr/>
        <w:t>(X</w:t>
      </w:r>
      <w:r>
        <w:rPr>
          <w:rFonts w:ascii="Cambria Math" w:hAnsi="Cambria Math"/>
        </w:rPr>
        <w:t>₁</w:t>
      </w:r>
      <w:r>
        <w:rPr/>
        <w:t>),</w:t>
      </w:r>
      <w:r>
        <w:rPr>
          <w:spacing w:val="-7"/>
        </w:rPr>
        <w:t> </w:t>
      </w:r>
      <w:r>
        <w:rPr/>
        <w:t>del</w:t>
      </w:r>
      <w:r>
        <w:rPr>
          <w:spacing w:val="-4"/>
        </w:rPr>
        <w:t> </w:t>
      </w:r>
      <w:r>
        <w:rPr/>
        <w:t>total</w:t>
      </w:r>
      <w:r>
        <w:rPr>
          <w:spacing w:val="-4"/>
        </w:rPr>
        <w:t> </w:t>
      </w:r>
      <w:r>
        <w:rPr/>
        <w:t>de</w:t>
      </w:r>
      <w:r>
        <w:rPr>
          <w:spacing w:val="-6"/>
        </w:rPr>
        <w:t> </w:t>
      </w:r>
      <w:r>
        <w:rPr/>
        <w:t>animales</w:t>
      </w:r>
      <w:r>
        <w:rPr>
          <w:spacing w:val="-8"/>
        </w:rPr>
        <w:t> </w:t>
      </w:r>
      <w:r>
        <w:rPr/>
        <w:t>en</w:t>
      </w:r>
      <w:r>
        <w:rPr>
          <w:spacing w:val="-5"/>
        </w:rPr>
        <w:t> </w:t>
      </w:r>
      <w:r>
        <w:rPr/>
        <w:t>producción(X</w:t>
      </w:r>
      <w:r>
        <w:rPr>
          <w:rFonts w:ascii="Cambria Math" w:hAnsi="Cambria Math"/>
        </w:rPr>
        <w:t>₂</w:t>
      </w:r>
      <w:r>
        <w:rPr/>
        <w:t>)</w:t>
      </w:r>
      <w:r>
        <w:rPr>
          <w:spacing w:val="-5"/>
        </w:rPr>
        <w:t> </w:t>
      </w:r>
      <w:r>
        <w:rPr/>
        <w:t>y</w:t>
      </w:r>
      <w:r>
        <w:rPr>
          <w:spacing w:val="-10"/>
        </w:rPr>
        <w:t> </w:t>
      </w:r>
      <w:r>
        <w:rPr/>
        <w:t>de</w:t>
      </w:r>
      <w:r>
        <w:rPr>
          <w:spacing w:val="-4"/>
        </w:rPr>
        <w:t> </w:t>
      </w:r>
      <w:r>
        <w:rPr/>
        <w:t>los</w:t>
      </w:r>
      <w:r>
        <w:rPr>
          <w:spacing w:val="-6"/>
        </w:rPr>
        <w:t> </w:t>
      </w:r>
      <w:r>
        <w:rPr/>
        <w:t>gastos</w:t>
      </w:r>
      <w:r>
        <w:rPr>
          <w:spacing w:val="-6"/>
        </w:rPr>
        <w:t> </w:t>
      </w:r>
      <w:r>
        <w:rPr/>
        <w:t>en</w:t>
      </w:r>
      <w:r>
        <w:rPr>
          <w:spacing w:val="-7"/>
        </w:rPr>
        <w:t> </w:t>
      </w:r>
      <w:r>
        <w:rPr/>
        <w:t>alimentación</w:t>
      </w:r>
      <w:r>
        <w:rPr>
          <w:spacing w:val="-5"/>
        </w:rPr>
        <w:t> </w:t>
      </w:r>
      <w:r>
        <w:rPr/>
        <w:t>del</w:t>
      </w:r>
      <w:r>
        <w:rPr>
          <w:spacing w:val="-4"/>
        </w:rPr>
        <w:t> </w:t>
      </w:r>
      <w:r>
        <w:rPr/>
        <w:t>ganado (X</w:t>
      </w:r>
      <w:r>
        <w:rPr>
          <w:rFonts w:ascii="Cambria Math" w:hAnsi="Cambria Math"/>
        </w:rPr>
        <w:t>₃</w:t>
      </w:r>
      <w:r>
        <w:rPr/>
        <w:t>).</w:t>
      </w:r>
    </w:p>
    <w:p>
      <w:pPr>
        <w:pStyle w:val="BodyText"/>
        <w:spacing w:line="362" w:lineRule="auto" w:before="4"/>
        <w:ind w:left="122" w:right="121"/>
        <w:jc w:val="both"/>
      </w:pPr>
      <w:r>
        <w:rPr/>
        <w:t>Una vez que se obtuvieron los datos se capturaron en una hoja de Excel, donde se ordenaron como variables independientes X</w:t>
      </w:r>
      <w:r>
        <w:rPr>
          <w:rFonts w:ascii="Cambria Math" w:hAnsi="Cambria Math"/>
        </w:rPr>
        <w:t>₁</w:t>
      </w:r>
      <w:r>
        <w:rPr/>
        <w:t>, X</w:t>
      </w:r>
      <w:r>
        <w:rPr>
          <w:rFonts w:ascii="Cambria Math" w:hAnsi="Cambria Math"/>
        </w:rPr>
        <w:t>₂</w:t>
      </w:r>
      <w:r>
        <w:rPr/>
        <w:t>, X</w:t>
      </w:r>
      <w:r>
        <w:rPr>
          <w:rFonts w:ascii="Cambria Math" w:hAnsi="Cambria Math"/>
        </w:rPr>
        <w:t>₃ </w:t>
      </w:r>
      <w:r>
        <w:rPr/>
        <w:t>y variable dependiente la producción total de   carne</w:t>
      </w:r>
    </w:p>
    <w:p>
      <w:pPr>
        <w:pStyle w:val="BodyText"/>
        <w:spacing w:line="360" w:lineRule="auto" w:before="2"/>
        <w:ind w:left="122" w:right="117"/>
        <w:jc w:val="both"/>
      </w:pPr>
      <w:r>
        <w:rPr/>
        <w:t>(Y) (Pech, et., 2002). De manera general, la función de producción es un modelo que se utiliza para analizar la relación entre los insumos empleados en un proceso productivo y el producto final, además describe la tasa a la cual los recursos son transformados en un producto. Simbólicamente puede ser escrita de la siguiente manera (Romo, 1990): Y= F(X</w:t>
      </w:r>
      <w:r>
        <w:rPr>
          <w:rFonts w:ascii="Cambria Math" w:hAnsi="Cambria Math" w:cs="Cambria Math" w:eastAsia="Cambria Math"/>
        </w:rPr>
        <w:t>₁</w:t>
      </w:r>
      <w:r>
        <w:rPr/>
        <w:t>, X</w:t>
      </w:r>
      <w:r>
        <w:rPr>
          <w:rFonts w:ascii="Cambria Math" w:hAnsi="Cambria Math" w:cs="Cambria Math" w:eastAsia="Cambria Math"/>
        </w:rPr>
        <w:t>₂</w:t>
      </w:r>
      <w:r>
        <w:rPr/>
        <w:t>,…, Xn), donde Y: es el producto, Xᵢ: los diferentes insumos considerados, con i= 1,…, 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r>
        <w:rPr/>
        <w:pict>
          <v:line style="position:absolute;mso-position-horizontal-relative:page;mso-position-vertical-relative:paragraph;z-index:3376;mso-wrap-distance-left:0;mso-wrap-distance-right:0" from="85.103996pt,14.508553pt" to="525.960017pt,14.508553pt" stroked="true" strokeweight=".36pt" strokecolor="#000000">
            <w10:wrap type="topAndBottom"/>
          </v:line>
        </w:pict>
      </w:r>
    </w:p>
    <w:p>
      <w:pPr>
        <w:tabs>
          <w:tab w:pos="4003" w:val="left" w:leader="none"/>
          <w:tab w:pos="8240" w:val="left" w:leader="none"/>
        </w:tabs>
        <w:spacing w:before="73"/>
        <w:ind w:left="122" w:right="0"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45</w:t>
      </w:r>
    </w:p>
    <w:p>
      <w:pPr>
        <w:spacing w:after="0"/>
        <w:jc w:val="left"/>
        <w:rPr>
          <w:sz w:val="18"/>
        </w:rPr>
        <w:sectPr>
          <w:headerReference w:type="default" r:id="rId113"/>
          <w:footerReference w:type="default" r:id="rId114"/>
          <w:pgSz w:w="12240" w:h="15840"/>
          <w:pgMar w:header="1238" w:footer="0" w:top="1420" w:bottom="280" w:left="1580" w:right="1580"/>
        </w:sectPr>
      </w:pPr>
    </w:p>
    <w:p>
      <w:pPr>
        <w:spacing w:before="51"/>
        <w:ind w:left="510" w:right="0" w:firstLine="0"/>
        <w:jc w:val="left"/>
        <w:rPr>
          <w:sz w:val="18"/>
        </w:rPr>
      </w:pPr>
      <w:r>
        <w:rPr/>
        <w:pict>
          <v:line style="position:absolute;mso-position-horizontal-relative:page;mso-position-vertical-relative:paragraph;z-index:3400;mso-wrap-distance-left:0;mso-wrap-distance-right:0" from="102pt,19.162321pt" to="508.5pt,19.162321pt" stroked="true" strokeweight=".5pt" strokecolor="#000000">
            <w10:wrap type="topAndBottom"/>
          </v:line>
        </w:pict>
      </w:r>
      <w:r>
        <w:rPr>
          <w:sz w:val="18"/>
        </w:rPr>
        <w:t>Estimación de una función de producción de bovinos carne en sistema extensivo en el sur del Estado de México</w:t>
      </w:r>
    </w:p>
    <w:p>
      <w:pPr>
        <w:pStyle w:val="BodyText"/>
        <w:rPr>
          <w:sz w:val="18"/>
        </w:rPr>
      </w:pPr>
    </w:p>
    <w:p>
      <w:pPr>
        <w:pStyle w:val="BodyText"/>
        <w:spacing w:before="2"/>
        <w:rPr>
          <w:sz w:val="25"/>
        </w:rPr>
      </w:pPr>
    </w:p>
    <w:p>
      <w:pPr>
        <w:pStyle w:val="BodyText"/>
        <w:spacing w:line="360" w:lineRule="auto"/>
        <w:ind w:left="122" w:right="115"/>
        <w:jc w:val="both"/>
      </w:pPr>
      <w:r>
        <w:rPr/>
        <w:t>Generalizando la fórmula anterior y cambiando las variables, matemáticamente, la función de producción de Cobb-Douglas tiene la siguiente forma (Castellanos, 2004): Y = β</w:t>
      </w:r>
      <w:r>
        <w:rPr>
          <w:rFonts w:ascii="Cambria Math" w:hAnsi="Cambria Math" w:cs="Cambria Math" w:eastAsia="Cambria Math"/>
        </w:rPr>
        <w:t>₀ </w:t>
      </w:r>
      <w:r>
        <w:rPr/>
        <w:t>X</w:t>
      </w:r>
      <w:r>
        <w:rPr>
          <w:rFonts w:ascii="Cambria Math" w:hAnsi="Cambria Math" w:cs="Cambria Math" w:eastAsia="Cambria Math"/>
        </w:rPr>
        <w:t>₁</w:t>
      </w:r>
      <w:r>
        <w:rPr/>
        <w:t>ᵝ¹ X</w:t>
      </w:r>
      <w:r>
        <w:rPr>
          <w:rFonts w:ascii="Cambria Math" w:hAnsi="Cambria Math" w:cs="Cambria Math" w:eastAsia="Cambria Math"/>
        </w:rPr>
        <w:t>₂</w:t>
      </w:r>
      <w:r>
        <w:rPr/>
        <w:t>ᵝ² X</w:t>
      </w:r>
      <w:r>
        <w:rPr>
          <w:rFonts w:ascii="Cambria Math" w:hAnsi="Cambria Math" w:cs="Cambria Math" w:eastAsia="Cambria Math"/>
        </w:rPr>
        <w:t>₃</w:t>
      </w:r>
      <w:r>
        <w:rPr/>
        <w:t>ᵝᵌ,…, Xnᵝⁿ, donde Y es un vector de dimensión nx1 que denota la cantidad de producto obtenido, X= (X</w:t>
      </w:r>
      <w:r>
        <w:rPr>
          <w:rFonts w:ascii="Cambria Math" w:hAnsi="Cambria Math" w:cs="Cambria Math" w:eastAsia="Cambria Math"/>
        </w:rPr>
        <w:t>₁</w:t>
      </w:r>
      <w:r>
        <w:rPr/>
        <w:t>, X</w:t>
      </w:r>
      <w:r>
        <w:rPr>
          <w:rFonts w:ascii="Cambria Math" w:hAnsi="Cambria Math" w:cs="Cambria Math" w:eastAsia="Cambria Math"/>
        </w:rPr>
        <w:t>₂</w:t>
      </w:r>
      <w:r>
        <w:rPr/>
        <w:t>,…, Xn) un vector de n insumos y β = (β</w:t>
      </w:r>
      <w:r>
        <w:rPr>
          <w:rFonts w:ascii="Cambria Math" w:hAnsi="Cambria Math" w:cs="Cambria Math" w:eastAsia="Cambria Math"/>
        </w:rPr>
        <w:t>₀</w:t>
      </w:r>
      <w:r>
        <w:rPr/>
        <w:t>, β</w:t>
      </w:r>
      <w:r>
        <w:rPr>
          <w:rFonts w:ascii="Cambria Math" w:hAnsi="Cambria Math" w:cs="Cambria Math" w:eastAsia="Cambria Math"/>
        </w:rPr>
        <w:t>₁</w:t>
      </w:r>
      <w:r>
        <w:rPr/>
        <w:t>, β</w:t>
      </w:r>
      <w:r>
        <w:rPr>
          <w:rFonts w:ascii="Cambria Math" w:hAnsi="Cambria Math" w:cs="Cambria Math" w:eastAsia="Cambria Math"/>
        </w:rPr>
        <w:t>₂</w:t>
      </w:r>
      <w:r>
        <w:rPr/>
        <w:t>,…, βn) vector de n parámetros desconocidos. Si ∑ (β</w:t>
      </w:r>
      <w:r>
        <w:rPr>
          <w:rFonts w:ascii="Cambria Math" w:hAnsi="Cambria Math" w:cs="Cambria Math" w:eastAsia="Cambria Math"/>
        </w:rPr>
        <w:t>₀</w:t>
      </w:r>
      <w:r>
        <w:rPr/>
        <w:t>, β</w:t>
      </w:r>
      <w:r>
        <w:rPr>
          <w:rFonts w:ascii="Cambria Math" w:hAnsi="Cambria Math" w:cs="Cambria Math" w:eastAsia="Cambria Math"/>
        </w:rPr>
        <w:t>₁</w:t>
      </w:r>
      <w:r>
        <w:rPr/>
        <w:t>, β</w:t>
      </w:r>
      <w:r>
        <w:rPr>
          <w:rFonts w:ascii="Cambria Math" w:hAnsi="Cambria Math" w:cs="Cambria Math" w:eastAsia="Cambria Math"/>
        </w:rPr>
        <w:t>₂</w:t>
      </w:r>
      <w:r>
        <w:rPr/>
        <w:t>,…, βn) = 1: La función de producción tendrá rendimientos constantes a escala, es decir, a una variación proporcional en las cantidades de insumo, el producto varia en la misma proporción.</w:t>
      </w:r>
    </w:p>
    <w:p>
      <w:pPr>
        <w:pStyle w:val="BodyText"/>
        <w:spacing w:line="360" w:lineRule="auto" w:before="8"/>
        <w:ind w:left="122" w:right="55"/>
      </w:pPr>
      <w:r>
        <w:rPr/>
        <w:t>Si ∑ (β</w:t>
      </w:r>
      <w:r>
        <w:rPr>
          <w:rFonts w:ascii="Cambria Math" w:hAnsi="Cambria Math"/>
        </w:rPr>
        <w:t>₀</w:t>
      </w:r>
      <w:r>
        <w:rPr/>
        <w:t>, β</w:t>
      </w:r>
      <w:r>
        <w:rPr>
          <w:rFonts w:ascii="Cambria Math" w:hAnsi="Cambria Math"/>
        </w:rPr>
        <w:t>₁</w:t>
      </w:r>
      <w:r>
        <w:rPr/>
        <w:t>, β</w:t>
      </w:r>
      <w:r>
        <w:rPr>
          <w:rFonts w:ascii="Cambria Math" w:hAnsi="Cambria Math"/>
        </w:rPr>
        <w:t>₂</w:t>
      </w:r>
      <w:r>
        <w:rPr/>
        <w:t>,…, βn) ˃ 1: la función de producción tendrá rendimientos crecientes a escala, es decir, a un incremento proporcional en los insumos, el producto aumenta en mayor proporción. Si ∑ (β</w:t>
      </w:r>
      <w:r>
        <w:rPr>
          <w:rFonts w:ascii="Cambria Math" w:hAnsi="Cambria Math"/>
        </w:rPr>
        <w:t>₀</w:t>
      </w:r>
      <w:r>
        <w:rPr/>
        <w:t>, β</w:t>
      </w:r>
      <w:r>
        <w:rPr>
          <w:rFonts w:ascii="Cambria Math" w:hAnsi="Cambria Math"/>
        </w:rPr>
        <w:t>₁</w:t>
      </w:r>
      <w:r>
        <w:rPr/>
        <w:t>, β</w:t>
      </w:r>
      <w:r>
        <w:rPr>
          <w:rFonts w:ascii="Cambria Math" w:hAnsi="Cambria Math"/>
        </w:rPr>
        <w:t>₂</w:t>
      </w:r>
      <w:r>
        <w:rPr/>
        <w:t>,…, βn) &lt; 1: la función de producción tendrá rendimientos decrecientes a escala, esto significa que a un incremento proporcional a todos los insumos, el producto aumenta pero en menor proporción que éstos.</w:t>
      </w:r>
    </w:p>
    <w:p>
      <w:pPr>
        <w:pStyle w:val="BodyText"/>
        <w:spacing w:line="360" w:lineRule="auto" w:before="6"/>
        <w:ind w:left="122" w:right="115"/>
        <w:jc w:val="both"/>
      </w:pPr>
      <w:r>
        <w:rPr/>
        <w:t>Los insumos que se consideran generalmente en una función de producción de Cobb-Douglas, son el capital y el trabajo, principalmente; aunque también pueden considerarse tierra, materias primas y combustible entre otros.</w:t>
      </w:r>
    </w:p>
    <w:p>
      <w:pPr>
        <w:pStyle w:val="BodyText"/>
        <w:spacing w:line="360" w:lineRule="auto" w:before="7"/>
        <w:ind w:left="122" w:right="118"/>
        <w:jc w:val="both"/>
      </w:pPr>
      <w:r>
        <w:rPr/>
        <w:t>De</w:t>
      </w:r>
      <w:r>
        <w:rPr>
          <w:spacing w:val="-6"/>
        </w:rPr>
        <w:t> </w:t>
      </w:r>
      <w:r>
        <w:rPr/>
        <w:t>estos</w:t>
      </w:r>
      <w:r>
        <w:rPr>
          <w:spacing w:val="-8"/>
        </w:rPr>
        <w:t> </w:t>
      </w:r>
      <w:r>
        <w:rPr/>
        <w:t>insumos</w:t>
      </w:r>
      <w:r>
        <w:rPr>
          <w:spacing w:val="-8"/>
        </w:rPr>
        <w:t> </w:t>
      </w:r>
      <w:r>
        <w:rPr/>
        <w:t>mencionados,</w:t>
      </w:r>
      <w:r>
        <w:rPr>
          <w:spacing w:val="-7"/>
        </w:rPr>
        <w:t> </w:t>
      </w:r>
      <w:r>
        <w:rPr/>
        <w:t>la</w:t>
      </w:r>
      <w:r>
        <w:rPr>
          <w:spacing w:val="-9"/>
        </w:rPr>
        <w:t> </w:t>
      </w:r>
      <w:r>
        <w:rPr/>
        <w:t>medición</w:t>
      </w:r>
      <w:r>
        <w:rPr>
          <w:spacing w:val="-7"/>
        </w:rPr>
        <w:t> </w:t>
      </w:r>
      <w:r>
        <w:rPr/>
        <w:t>del</w:t>
      </w:r>
      <w:r>
        <w:rPr>
          <w:spacing w:val="-9"/>
        </w:rPr>
        <w:t> </w:t>
      </w:r>
      <w:r>
        <w:rPr/>
        <w:t>capital</w:t>
      </w:r>
      <w:r>
        <w:rPr>
          <w:spacing w:val="-7"/>
        </w:rPr>
        <w:t> </w:t>
      </w:r>
      <w:r>
        <w:rPr/>
        <w:t>presenta</w:t>
      </w:r>
      <w:r>
        <w:rPr>
          <w:spacing w:val="-6"/>
        </w:rPr>
        <w:t> </w:t>
      </w:r>
      <w:r>
        <w:rPr/>
        <w:t>problemas,</w:t>
      </w:r>
      <w:r>
        <w:rPr>
          <w:spacing w:val="-7"/>
        </w:rPr>
        <w:t> </w:t>
      </w:r>
      <w:r>
        <w:rPr/>
        <w:t>en</w:t>
      </w:r>
      <w:r>
        <w:rPr>
          <w:spacing w:val="-12"/>
        </w:rPr>
        <w:t> </w:t>
      </w:r>
      <w:r>
        <w:rPr/>
        <w:t>virtud</w:t>
      </w:r>
      <w:r>
        <w:rPr>
          <w:spacing w:val="-7"/>
        </w:rPr>
        <w:t> </w:t>
      </w:r>
      <w:r>
        <w:rPr/>
        <w:t>de</w:t>
      </w:r>
      <w:r>
        <w:rPr>
          <w:spacing w:val="-6"/>
        </w:rPr>
        <w:t> </w:t>
      </w:r>
      <w:r>
        <w:rPr/>
        <w:t>que,</w:t>
      </w:r>
      <w:r>
        <w:rPr>
          <w:spacing w:val="-7"/>
        </w:rPr>
        <w:t> </w:t>
      </w:r>
      <w:r>
        <w:rPr/>
        <w:t>los datos generalmente no se encuentran disponibles o son de dudosa confiabilidad; por lo que se recomienda</w:t>
      </w:r>
      <w:r>
        <w:rPr>
          <w:spacing w:val="-10"/>
        </w:rPr>
        <w:t> </w:t>
      </w:r>
      <w:r>
        <w:rPr/>
        <w:t>evitar</w:t>
      </w:r>
      <w:r>
        <w:rPr>
          <w:spacing w:val="-11"/>
        </w:rPr>
        <w:t> </w:t>
      </w:r>
      <w:r>
        <w:rPr/>
        <w:t>el</w:t>
      </w:r>
      <w:r>
        <w:rPr>
          <w:spacing w:val="-8"/>
        </w:rPr>
        <w:t> </w:t>
      </w:r>
      <w:r>
        <w:rPr/>
        <w:t>uso</w:t>
      </w:r>
      <w:r>
        <w:rPr>
          <w:spacing w:val="-8"/>
        </w:rPr>
        <w:t> </w:t>
      </w:r>
      <w:r>
        <w:rPr/>
        <w:t>de</w:t>
      </w:r>
      <w:r>
        <w:rPr>
          <w:spacing w:val="-7"/>
        </w:rPr>
        <w:t> </w:t>
      </w:r>
      <w:r>
        <w:rPr/>
        <w:t>una</w:t>
      </w:r>
      <w:r>
        <w:rPr>
          <w:spacing w:val="-10"/>
        </w:rPr>
        <w:t> </w:t>
      </w:r>
      <w:r>
        <w:rPr/>
        <w:t>medida</w:t>
      </w:r>
      <w:r>
        <w:rPr>
          <w:spacing w:val="-10"/>
        </w:rPr>
        <w:t> </w:t>
      </w:r>
      <w:r>
        <w:rPr/>
        <w:t>explicita</w:t>
      </w:r>
      <w:r>
        <w:rPr>
          <w:spacing w:val="-7"/>
        </w:rPr>
        <w:t> </w:t>
      </w:r>
      <w:r>
        <w:rPr/>
        <w:t>del</w:t>
      </w:r>
      <w:r>
        <w:rPr>
          <w:spacing w:val="-10"/>
        </w:rPr>
        <w:t> </w:t>
      </w:r>
      <w:r>
        <w:rPr/>
        <w:t>abasto</w:t>
      </w:r>
      <w:r>
        <w:rPr>
          <w:spacing w:val="-8"/>
        </w:rPr>
        <w:t> </w:t>
      </w:r>
      <w:r>
        <w:rPr/>
        <w:t>de</w:t>
      </w:r>
      <w:r>
        <w:rPr>
          <w:spacing w:val="-10"/>
        </w:rPr>
        <w:t> </w:t>
      </w:r>
      <w:r>
        <w:rPr/>
        <w:t>capital.</w:t>
      </w:r>
      <w:r>
        <w:rPr>
          <w:spacing w:val="-8"/>
        </w:rPr>
        <w:t> </w:t>
      </w:r>
      <w:r>
        <w:rPr/>
        <w:t>La</w:t>
      </w:r>
      <w:r>
        <w:rPr>
          <w:spacing w:val="-7"/>
        </w:rPr>
        <w:t> </w:t>
      </w:r>
      <w:r>
        <w:rPr/>
        <w:t>función</w:t>
      </w:r>
      <w:r>
        <w:rPr>
          <w:spacing w:val="-8"/>
        </w:rPr>
        <w:t> </w:t>
      </w:r>
      <w:r>
        <w:rPr/>
        <w:t>de</w:t>
      </w:r>
      <w:r>
        <w:rPr>
          <w:spacing w:val="-7"/>
        </w:rPr>
        <w:t> </w:t>
      </w:r>
      <w:r>
        <w:rPr/>
        <w:t>producción de</w:t>
      </w:r>
      <w:r>
        <w:rPr>
          <w:spacing w:val="-4"/>
        </w:rPr>
        <w:t> </w:t>
      </w:r>
      <w:r>
        <w:rPr/>
        <w:t>Cobb-Douglas</w:t>
      </w:r>
      <w:r>
        <w:rPr>
          <w:spacing w:val="-5"/>
        </w:rPr>
        <w:t> </w:t>
      </w:r>
      <w:r>
        <w:rPr/>
        <w:t>es</w:t>
      </w:r>
      <w:r>
        <w:rPr>
          <w:spacing w:val="-5"/>
        </w:rPr>
        <w:t> </w:t>
      </w:r>
      <w:r>
        <w:rPr/>
        <w:t>no</w:t>
      </w:r>
      <w:r>
        <w:rPr>
          <w:spacing w:val="-5"/>
        </w:rPr>
        <w:t> </w:t>
      </w:r>
      <w:r>
        <w:rPr/>
        <w:t>lineal</w:t>
      </w:r>
      <w:r>
        <w:rPr>
          <w:spacing w:val="-6"/>
        </w:rPr>
        <w:t> </w:t>
      </w:r>
      <w:r>
        <w:rPr/>
        <w:t>en</w:t>
      </w:r>
      <w:r>
        <w:rPr>
          <w:spacing w:val="-5"/>
        </w:rPr>
        <w:t> </w:t>
      </w:r>
      <w:r>
        <w:rPr/>
        <w:t>los</w:t>
      </w:r>
      <w:r>
        <w:rPr>
          <w:spacing w:val="-5"/>
        </w:rPr>
        <w:t> </w:t>
      </w:r>
      <w:r>
        <w:rPr/>
        <w:t>parámetros</w:t>
      </w:r>
      <w:r>
        <w:rPr>
          <w:spacing w:val="-3"/>
        </w:rPr>
        <w:t> </w:t>
      </w:r>
      <w:r>
        <w:rPr/>
        <w:t>y</w:t>
      </w:r>
      <w:r>
        <w:rPr>
          <w:spacing w:val="-9"/>
        </w:rPr>
        <w:t> </w:t>
      </w:r>
      <w:r>
        <w:rPr/>
        <w:t>a</w:t>
      </w:r>
      <w:r>
        <w:rPr>
          <w:spacing w:val="-4"/>
        </w:rPr>
        <w:t> </w:t>
      </w:r>
      <w:r>
        <w:rPr/>
        <w:t>través</w:t>
      </w:r>
      <w:r>
        <w:rPr>
          <w:spacing w:val="-5"/>
        </w:rPr>
        <w:t> </w:t>
      </w:r>
      <w:r>
        <w:rPr/>
        <w:t>de</w:t>
      </w:r>
      <w:r>
        <w:rPr>
          <w:spacing w:val="-4"/>
        </w:rPr>
        <w:t> </w:t>
      </w:r>
      <w:r>
        <w:rPr/>
        <w:t>una</w:t>
      </w:r>
      <w:r>
        <w:rPr>
          <w:spacing w:val="-4"/>
        </w:rPr>
        <w:t> </w:t>
      </w:r>
      <w:r>
        <w:rPr/>
        <w:t>transformación</w:t>
      </w:r>
      <w:r>
        <w:rPr>
          <w:spacing w:val="-5"/>
        </w:rPr>
        <w:t> </w:t>
      </w:r>
      <w:r>
        <w:rPr/>
        <w:t>logarítmica,</w:t>
      </w:r>
      <w:r>
        <w:rPr>
          <w:spacing w:val="-5"/>
        </w:rPr>
        <w:t> </w:t>
      </w:r>
      <w:r>
        <w:rPr/>
        <w:t>se vuelve lineal. Por medio de regresión lineal es analizada e interpretada para concretar los resultados</w:t>
      </w:r>
      <w:r>
        <w:rPr>
          <w:spacing w:val="-4"/>
        </w:rPr>
        <w:t> </w:t>
      </w:r>
      <w:r>
        <w:rPr/>
        <w:t>obtenidos.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7"/>
        </w:rPr>
      </w:pPr>
      <w:r>
        <w:rPr/>
        <w:pict>
          <v:line style="position:absolute;mso-position-horizontal-relative:page;mso-position-vertical-relative:paragraph;z-index:3424;mso-wrap-distance-left:0;mso-wrap-distance-right:0" from="85.103996pt,17.706581pt" to="525.960017pt,17.706581pt" stroked="true" strokeweight=".36pt" strokecolor="#000000">
            <w10:wrap type="topAndBottom"/>
          </v:line>
        </w:pict>
      </w:r>
    </w:p>
    <w:p>
      <w:pPr>
        <w:tabs>
          <w:tab w:pos="4003" w:val="left" w:leader="none"/>
          <w:tab w:pos="8240" w:val="left" w:leader="none"/>
        </w:tabs>
        <w:spacing w:line="362" w:lineRule="auto" w:before="73" w:after="15"/>
        <w:ind w:left="510" w:right="123" w:hanging="389"/>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46 Estimación de una función de producción de bovinos carne en sistema extensivo en el sur del Estado de</w:t>
      </w:r>
      <w:r>
        <w:rPr>
          <w:spacing w:val="-26"/>
          <w:sz w:val="18"/>
        </w:rPr>
        <w:t> </w:t>
      </w:r>
      <w:r>
        <w:rPr>
          <w:sz w:val="18"/>
        </w:rPr>
        <w:t>México</w:t>
      </w: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pStyle w:val="BodyText"/>
        <w:rPr>
          <w:sz w:val="18"/>
        </w:rPr>
      </w:pPr>
    </w:p>
    <w:p>
      <w:pPr>
        <w:pStyle w:val="BodyText"/>
        <w:spacing w:before="11"/>
        <w:rPr>
          <w:sz w:val="26"/>
        </w:rPr>
      </w:pPr>
    </w:p>
    <w:p>
      <w:pPr>
        <w:pStyle w:val="BodyText"/>
        <w:ind w:left="122"/>
      </w:pPr>
      <w:r>
        <w:rPr/>
        <w:t>El modelo lineal quedó de la siguiente manera:</w:t>
      </w:r>
    </w:p>
    <w:p>
      <w:pPr>
        <w:spacing w:after="0"/>
        <w:sectPr>
          <w:headerReference w:type="default" r:id="rId115"/>
          <w:footerReference w:type="default" r:id="rId116"/>
          <w:pgSz w:w="12240" w:h="15840"/>
          <w:pgMar w:header="0" w:footer="0" w:top="1360" w:bottom="280" w:left="1580" w:right="1580"/>
        </w:sectPr>
      </w:pPr>
    </w:p>
    <w:p>
      <w:pPr>
        <w:pStyle w:val="BodyText"/>
        <w:spacing w:line="360" w:lineRule="auto" w:before="51"/>
        <w:ind w:left="122" w:right="4522"/>
      </w:pPr>
      <w:r>
        <w:rPr/>
        <w:pict>
          <v:line style="position:absolute;mso-position-horizontal-relative:page;mso-position-vertical-relative:page;z-index:-129040" from="102pt,666.650024pt" to="508.5pt,666.650024pt" stroked="true" strokeweight=".5pt" strokecolor="#000000">
            <w10:wrap type="none"/>
          </v:line>
        </w:pict>
      </w:r>
      <w:r>
        <w:rPr/>
        <w:t>ln Yᵢ= β</w:t>
      </w:r>
      <w:r>
        <w:rPr>
          <w:rFonts w:ascii="Cambria Math" w:hAnsi="Cambria Math" w:cs="Cambria Math" w:eastAsia="Cambria Math"/>
        </w:rPr>
        <w:t>₀</w:t>
      </w:r>
      <w:r>
        <w:rPr/>
        <w:t>+ β</w:t>
      </w:r>
      <w:r>
        <w:rPr>
          <w:rFonts w:ascii="Cambria Math" w:hAnsi="Cambria Math" w:cs="Cambria Math" w:eastAsia="Cambria Math"/>
        </w:rPr>
        <w:t>₁ </w:t>
      </w:r>
      <w:r>
        <w:rPr/>
        <w:t>ln X</w:t>
      </w:r>
      <w:r>
        <w:rPr>
          <w:rFonts w:ascii="Cambria Math" w:hAnsi="Cambria Math" w:cs="Cambria Math" w:eastAsia="Cambria Math"/>
        </w:rPr>
        <w:t>₁</w:t>
      </w:r>
      <w:r>
        <w:rPr/>
        <w:t>+β</w:t>
      </w:r>
      <w:r>
        <w:rPr>
          <w:rFonts w:ascii="Cambria Math" w:hAnsi="Cambria Math" w:cs="Cambria Math" w:eastAsia="Cambria Math"/>
        </w:rPr>
        <w:t>₂ </w:t>
      </w:r>
      <w:r>
        <w:rPr/>
        <w:t>ln X</w:t>
      </w:r>
      <w:r>
        <w:rPr>
          <w:rFonts w:ascii="Cambria Math" w:hAnsi="Cambria Math" w:cs="Cambria Math" w:eastAsia="Cambria Math"/>
        </w:rPr>
        <w:t>₂</w:t>
      </w:r>
      <w:r>
        <w:rPr/>
        <w:t>ᵢ+β</w:t>
      </w:r>
      <w:r>
        <w:rPr>
          <w:rFonts w:ascii="Cambria Math" w:hAnsi="Cambria Math" w:cs="Cambria Math" w:eastAsia="Cambria Math"/>
        </w:rPr>
        <w:t>₃ </w:t>
      </w:r>
      <w:r>
        <w:rPr/>
        <w:t>ln X</w:t>
      </w:r>
      <w:r>
        <w:rPr>
          <w:rFonts w:ascii="Cambria Math" w:hAnsi="Cambria Math" w:cs="Cambria Math" w:eastAsia="Cambria Math"/>
        </w:rPr>
        <w:t>₃</w:t>
      </w:r>
      <w:r>
        <w:rPr/>
        <w:t>ᵢ+uᵢ, donde:</w:t>
      </w:r>
    </w:p>
    <w:p>
      <w:pPr>
        <w:pStyle w:val="BodyText"/>
        <w:spacing w:line="362" w:lineRule="auto" w:before="4"/>
        <w:ind w:left="179" w:right="6035"/>
      </w:pPr>
      <w:r>
        <w:rPr/>
        <w:t>Y= Producción Total de Carne β</w:t>
      </w:r>
      <w:r>
        <w:rPr>
          <w:rFonts w:ascii="Cambria Math" w:hAnsi="Cambria Math"/>
        </w:rPr>
        <w:t>₀</w:t>
      </w:r>
      <w:r>
        <w:rPr/>
        <w:t>= Intercepto</w:t>
      </w:r>
    </w:p>
    <w:p>
      <w:pPr>
        <w:pStyle w:val="BodyText"/>
        <w:spacing w:line="360" w:lineRule="auto" w:before="3"/>
        <w:ind w:left="122" w:right="107" w:firstLine="57"/>
        <w:jc w:val="both"/>
      </w:pPr>
      <w:r>
        <w:rPr/>
        <w:t>β</w:t>
      </w:r>
      <w:r>
        <w:rPr>
          <w:rFonts w:ascii="Cambria Math" w:hAnsi="Cambria Math"/>
        </w:rPr>
        <w:t>₁</w:t>
      </w:r>
      <w:r>
        <w:rPr/>
        <w:t>= Elasticidad parcial de la producción respecto al insumo PN, con los insumos TA y GA constantes</w:t>
      </w:r>
    </w:p>
    <w:p>
      <w:pPr>
        <w:pStyle w:val="BodyText"/>
        <w:spacing w:line="357" w:lineRule="auto" w:before="5"/>
        <w:ind w:left="122" w:right="109" w:firstLine="57"/>
        <w:jc w:val="both"/>
      </w:pPr>
      <w:r>
        <w:rPr/>
        <w:t>β</w:t>
      </w:r>
      <w:r>
        <w:rPr>
          <w:rFonts w:ascii="Cambria Math" w:hAnsi="Cambria Math"/>
        </w:rPr>
        <w:t>₂</w:t>
      </w:r>
      <w:r>
        <w:rPr/>
        <w:t>= Elasticidad parcial de la producción respecto al insumo TA, con los insumos PN y GA constantes</w:t>
      </w:r>
    </w:p>
    <w:p>
      <w:pPr>
        <w:pStyle w:val="BodyText"/>
        <w:spacing w:line="360" w:lineRule="auto" w:before="10"/>
        <w:ind w:left="122" w:right="98" w:firstLine="57"/>
        <w:jc w:val="both"/>
      </w:pPr>
      <w:r>
        <w:rPr/>
        <w:t>β</w:t>
      </w:r>
      <w:r>
        <w:rPr>
          <w:rFonts w:ascii="Cambria Math" w:hAnsi="Cambria Math"/>
        </w:rPr>
        <w:t>₃</w:t>
      </w:r>
      <w:r>
        <w:rPr/>
        <w:t>= Elasticidad parcial de la producción respecto al insumo GA, con los insumos PN y TA constantes, X</w:t>
      </w:r>
      <w:r>
        <w:rPr>
          <w:rFonts w:ascii="Cambria Math" w:hAnsi="Cambria Math"/>
        </w:rPr>
        <w:t>₁</w:t>
      </w:r>
      <w:r>
        <w:rPr/>
        <w:t>= Insumo Pastizal Natural, X</w:t>
      </w:r>
      <w:r>
        <w:rPr>
          <w:rFonts w:ascii="Cambria Math" w:hAnsi="Cambria Math"/>
        </w:rPr>
        <w:t>₂</w:t>
      </w:r>
      <w:r>
        <w:rPr/>
        <w:t>= Insumo Total de Animales, X</w:t>
      </w:r>
      <w:r>
        <w:rPr>
          <w:rFonts w:ascii="Cambria Math" w:hAnsi="Cambria Math"/>
        </w:rPr>
        <w:t>₃</w:t>
      </w:r>
      <w:r>
        <w:rPr/>
        <w:t>= Insumo Gastos de Alimentación y u= Término de perturbación estocástica.</w:t>
      </w:r>
    </w:p>
    <w:p>
      <w:pPr>
        <w:pStyle w:val="BodyText"/>
        <w:rPr>
          <w:sz w:val="22"/>
        </w:rPr>
      </w:pPr>
    </w:p>
    <w:p>
      <w:pPr>
        <w:pStyle w:val="BodyText"/>
        <w:spacing w:line="360" w:lineRule="auto" w:before="147"/>
        <w:ind w:left="122" w:right="100"/>
        <w:jc w:val="both"/>
      </w:pPr>
      <w:r>
        <w:rPr/>
        <w:t>Las variables de Producción Total de Carne, Pastizal Natural, Total de Animales y Gastos de Alimentación están transformadas a logaritmos naturales para contribuir a que los errores cumplan con el supuesto de la distribución normal y homoscedasticidad del método de mínimos cuadrados ordinarios.</w:t>
      </w:r>
    </w:p>
    <w:p>
      <w:pPr>
        <w:pStyle w:val="BodyText"/>
        <w:spacing w:line="360" w:lineRule="auto" w:before="6"/>
        <w:ind w:left="122" w:right="103"/>
        <w:jc w:val="both"/>
      </w:pPr>
      <w:r>
        <w:rPr/>
        <w:t>Para estimar la función de producción Cobb-Douglas y realizar el análisis de varianza se utilizó el paquete estadístico SAS.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r>
        <w:rPr/>
        <w:pict>
          <v:line style="position:absolute;mso-position-horizontal-relative:page;mso-position-vertical-relative:paragraph;z-index:3472;mso-wrap-distance-left:0;mso-wrap-distance-right:0" from="85.103996pt,11.493416pt" to="525.960017pt,11.493416pt" stroked="true" strokeweight=".36pt" strokecolor="#000000">
            <w10:wrap type="topAndBottom"/>
          </v:line>
        </w:pict>
      </w:r>
    </w:p>
    <w:p>
      <w:pPr>
        <w:tabs>
          <w:tab w:pos="4003" w:val="left" w:leader="none"/>
          <w:tab w:pos="8240" w:val="left" w:leader="none"/>
        </w:tabs>
        <w:spacing w:line="717" w:lineRule="auto" w:before="75"/>
        <w:ind w:left="510" w:right="104" w:hanging="389"/>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6"/>
          <w:sz w:val="18"/>
        </w:rPr>
        <w:t> </w:t>
      </w:r>
      <w:r>
        <w:rPr>
          <w:sz w:val="18"/>
        </w:rPr>
        <w:t>47</w:t>
      </w:r>
      <w:r>
        <w:rPr>
          <w:spacing w:val="-2"/>
          <w:sz w:val="18"/>
        </w:rPr>
        <w:t> </w:t>
      </w:r>
      <w:r>
        <w:rPr>
          <w:sz w:val="18"/>
        </w:rPr>
        <w:t>Estimación de una función de producción de bovinos carne en sistema extensivo en el sur del Estado de</w:t>
      </w:r>
      <w:r>
        <w:rPr>
          <w:spacing w:val="-26"/>
          <w:sz w:val="18"/>
        </w:rPr>
        <w:t> </w:t>
      </w:r>
      <w:r>
        <w:rPr>
          <w:sz w:val="18"/>
        </w:rPr>
        <w:t>México</w:t>
      </w:r>
    </w:p>
    <w:p>
      <w:pPr>
        <w:spacing w:after="0" w:line="717" w:lineRule="auto"/>
        <w:jc w:val="left"/>
        <w:rPr>
          <w:sz w:val="18"/>
        </w:rPr>
        <w:sectPr>
          <w:headerReference w:type="default" r:id="rId117"/>
          <w:footerReference w:type="default" r:id="rId118"/>
          <w:pgSz w:w="12240" w:h="15840"/>
          <w:pgMar w:header="0" w:footer="0" w:top="1360" w:bottom="280" w:left="158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p>
    <w:p>
      <w:pPr>
        <w:pStyle w:val="Heading1"/>
        <w:numPr>
          <w:ilvl w:val="0"/>
          <w:numId w:val="8"/>
        </w:numPr>
        <w:tabs>
          <w:tab w:pos="2823" w:val="left" w:leader="none"/>
        </w:tabs>
        <w:spacing w:line="240" w:lineRule="auto" w:before="7" w:after="0"/>
        <w:ind w:left="2822" w:right="0" w:hanging="1443"/>
        <w:jc w:val="left"/>
      </w:pPr>
      <w:r>
        <w:rPr/>
        <w:pict>
          <v:group style="position:absolute;margin-left:84.903999pt;margin-top:-237.03064pt;width:441.3pt;height:552.25pt;mso-position-horizontal-relative:page;mso-position-vertical-relative:paragraph;z-index:-129016" coordorigin="1698,-4741" coordsize="8826,11045">
            <v:shape style="position:absolute;left:1729;top:-4731;width:8690;height:11025" coordorigin="1729,-4731" coordsize="8690,11025" path="m1729,-3282l1731,-3359,1737,-3435,1747,-3510,1760,-3583,1778,-3655,1798,-3726,1822,-3795,1850,-3863,1881,-3928,1915,-3992,1952,-4054,1992,-4114,2034,-4172,2080,-4228,2128,-4281,2179,-4331,2232,-4380,2288,-4425,2345,-4468,2405,-4508,2467,-4545,2531,-4579,2597,-4610,2664,-4637,2734,-4661,2804,-4682,2876,-4699,2950,-4713,3025,-4723,3100,-4729,3177,-4731,8971,-4731,9048,-4729,9123,-4723,9198,-4713,9272,-4699,9344,-4682,9414,-4661,9484,-4637,9551,-4610,9617,-4579,9681,-4545,9743,-4508,9803,-4468,9860,-4425,9916,-4380,9969,-4331,10020,-4281,10068,-4228,10114,-4172,10156,-4114,10196,-4054,10233,-3992,10267,-3928,10298,-3863,10326,-3795,10350,-3726,10370,-3655,10388,-3583,10401,-3510,10411,-3435,10417,-3359,10419,-3282,10419,4846,10417,4923,10411,4999,10401,5074,10388,5147,10370,5219,10350,5290,10326,5359,10298,5427,10267,5492,10233,5556,10196,5618,10156,5678,10114,5736,10068,5791,10020,5845,9969,5895,9916,5943,9860,5989,9803,6032,9743,6072,9681,6109,9617,6143,9551,6173,9484,6201,9414,6225,9344,6246,9272,6263,9198,6277,9123,6286,9048,6292,8971,6294,3177,6294,3100,6292,3025,6286,2950,6277,2876,6263,2804,6246,2734,6225,2664,6201,2597,6173,2531,6143,2467,6109,2405,6072,2345,6032,2288,5989,2232,5943,2179,5895,2128,5845,2080,5791,2034,5736,1992,5678,1952,5618,1915,5556,1881,5492,1850,5427,1822,5359,1798,5290,1778,5219,1760,5147,1747,5074,1737,4999,1731,4923,1729,4846,1729,-3282xe" filled="false" stroked="true" strokeweight="1pt" strokecolor="#000000">
              <v:path arrowok="t"/>
            </v:shape>
            <v:line style="position:absolute" from="1702,5981" to="10519,5981" stroked="true" strokeweight=".36pt" strokecolor="#000000"/>
            <w10:wrap type="none"/>
          </v:group>
        </w:pict>
      </w:r>
      <w:bookmarkStart w:name="_TOC_250002" w:id="9"/>
      <w:bookmarkEnd w:id="9"/>
      <w:r>
        <w:rPr/>
        <w:t>RESULTADOS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1"/>
        <w:rPr>
          <w:b/>
          <w:sz w:val="16"/>
        </w:rPr>
      </w:pPr>
    </w:p>
    <w:p>
      <w:pPr>
        <w:tabs>
          <w:tab w:pos="4003" w:val="left" w:leader="none"/>
          <w:tab w:pos="8240" w:val="left" w:leader="none"/>
        </w:tabs>
        <w:spacing w:before="0"/>
        <w:ind w:left="122" w:right="64"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6"/>
          <w:sz w:val="18"/>
        </w:rPr>
        <w:t> </w:t>
      </w:r>
      <w:r>
        <w:rPr>
          <w:sz w:val="18"/>
        </w:rPr>
        <w:t>48</w:t>
      </w:r>
    </w:p>
    <w:p>
      <w:pPr>
        <w:spacing w:after="0"/>
        <w:jc w:val="left"/>
        <w:rPr>
          <w:sz w:val="18"/>
        </w:rPr>
        <w:sectPr>
          <w:headerReference w:type="default" r:id="rId119"/>
          <w:footerReference w:type="default" r:id="rId120"/>
          <w:pgSz w:w="12240" w:h="15840"/>
          <w:pgMar w:header="0" w:footer="0" w:top="1500" w:bottom="280" w:left="1580" w:right="1600"/>
        </w:sectPr>
      </w:pPr>
    </w:p>
    <w:p>
      <w:pPr>
        <w:spacing w:before="52"/>
        <w:ind w:left="402" w:right="0" w:firstLine="0"/>
        <w:jc w:val="left"/>
        <w:rPr>
          <w:rFonts w:ascii="Calibri" w:hAnsi="Calibri"/>
          <w:sz w:val="18"/>
        </w:rPr>
      </w:pPr>
      <w:r>
        <w:rPr/>
        <w:pict>
          <v:line style="position:absolute;mso-position-horizontal-relative:page;mso-position-vertical-relative:paragraph;z-index:3544;mso-wrap-distance-left:0;mso-wrap-distance-right:0" from="85.050003pt,19.519323pt" to="491.550003pt,19.519323pt" stroked="true" strokeweight=".5pt" strokecolor="#000000">
            <w10:wrap type="topAndBottom"/>
          </v:line>
        </w:pict>
      </w:r>
      <w:r>
        <w:rPr>
          <w:rFonts w:ascii="Calibri" w:hAnsi="Calibri"/>
          <w:sz w:val="18"/>
        </w:rPr>
        <w:t>Estimación de una función de producción de bovinos carne en sistema extensivo en el sur del Estado de México</w:t>
      </w:r>
    </w:p>
    <w:p>
      <w:pPr>
        <w:pStyle w:val="BodyText"/>
        <w:rPr>
          <w:rFonts w:ascii="Calibri"/>
          <w:sz w:val="20"/>
        </w:rPr>
      </w:pPr>
    </w:p>
    <w:p>
      <w:pPr>
        <w:pStyle w:val="BodyText"/>
        <w:rPr>
          <w:rFonts w:ascii="Calibri"/>
          <w:sz w:val="20"/>
        </w:rPr>
      </w:pPr>
    </w:p>
    <w:p>
      <w:pPr>
        <w:pStyle w:val="BodyText"/>
        <w:spacing w:before="6"/>
        <w:rPr>
          <w:rFonts w:ascii="Calibri"/>
          <w:sz w:val="11"/>
        </w:rPr>
      </w:pPr>
      <w:r>
        <w:rPr/>
        <w:pict>
          <v:group style="position:absolute;margin-left:84.599998pt;margin-top:8.975938pt;width:320.55pt;height:17.2pt;mso-position-horizontal-relative:page;mso-position-vertical-relative:paragraph;z-index:3568;mso-wrap-distance-left:0;mso-wrap-distance-right:0" coordorigin="1692,180" coordsize="6411,344">
            <v:shape style="position:absolute;left:1703;top:190;width:6398;height:322" type="#_x0000_t75" stroked="false">
              <v:imagedata r:id="rId123" o:title=""/>
            </v:shape>
            <v:shape style="position:absolute;left:4389;top:251;width:321;height:257" type="#_x0000_t75" stroked="false">
              <v:imagedata r:id="rId124" o:title=""/>
            </v:shape>
            <v:shape style="position:absolute;left:3992;top:259;width:295;height:243" coordorigin="3992,259" coordsize="295,243" path="m4092,259l4182,259,4182,271,4176,273,4172,275,4172,278,4172,281,4173,285,4176,290,4265,469,4268,477,4271,482,4274,484,4276,486,4281,488,4287,489,4287,501,4193,501,4193,489,4201,488,4204,485,4204,482,4204,480,4205,477,4207,474,4186,441,4084,441,4069,472,4067,476,4066,479,4066,482,4066,485,4070,488,4078,490,4078,501,3992,501,3992,489,3998,488,4002,487,4098,292,4101,286,4102,282,4102,279,4102,276,4099,273,4092,270,4092,259xe" filled="false" stroked="true" strokeweight=".75pt" strokecolor="#bebebe">
              <v:path arrowok="t"/>
            </v:shape>
            <v:shape style="position:absolute;left:3895;top:259;width:81;height:243" coordorigin="3895,259" coordsize="81,243" path="m3895,259l3975,259,3975,271,3970,272,3967,273,3966,275,3965,276,3964,278,3964,280,3964,480,3964,482,3965,484,3966,486,3967,487,3970,488,3975,490,3975,501,3895,501,3895,490,3900,488,3903,487,3904,486,3905,484,3906,482,3906,480,3906,280,3906,278,3905,276,3904,275,3903,273,3900,272,3895,271,3895,259xe" filled="false" stroked="true" strokeweight=".75pt" strokecolor="#bebebe">
              <v:path arrowok="t"/>
            </v:shape>
            <v:shape style="position:absolute;left:3547;top:259;width:306;height:243" coordorigin="3547,259" coordsize="306,243" path="m3547,259l3645,259,3645,271,3639,272,3637,274,3637,277,3637,279,3637,281,3637,282,3699,403,3761,286,3764,281,3765,278,3765,276,3765,273,3762,272,3756,271,3756,259,3853,259,3853,271,3847,272,3844,273,3843,275,3842,276,3841,278,3841,280,3841,480,3841,482,3842,484,3843,486,3844,487,3847,488,3853,490,3853,501,3772,501,3772,490,3777,488,3780,487,3781,486,3782,484,3783,482,3783,480,3783,339,3695,501,3612,339,3612,480,3612,482,3613,484,3614,486,3615,487,3618,488,3623,490,3623,501,3547,501,3547,490,3552,488,3555,487,3556,486,3557,484,3558,482,3558,480,3558,280,3558,278,3557,276,3556,275,3555,273,3552,272,3547,271,3547,259xe" filled="false" stroked="true" strokeweight=".75pt" strokecolor="#bebebe">
              <v:path arrowok="t"/>
            </v:shape>
            <v:shape style="position:absolute;left:2925;top:259;width:273;height:243" coordorigin="2925,259" coordsize="273,243" path="m2925,259l3012,259,3012,271,3007,272,3005,274,3005,276,3005,278,3006,280,3009,283,3132,416,3132,280,3132,278,3132,276,3131,275,3130,273,3126,272,3121,271,3121,259,3198,259,3198,271,3193,272,3189,273,3188,275,3187,276,3187,278,3187,280,3187,480,3187,482,3187,484,3188,486,3189,487,3193,488,3198,490,3198,501,3116,501,3116,489,3121,488,3124,487,3124,485,3124,483,3121,480,3116,475,2990,340,2990,480,2990,482,2991,484,2992,486,2993,487,2996,488,3002,490,3002,501,2925,501,2925,490,2930,488,2933,487,2934,486,2936,484,2936,482,2936,480,2936,280,2936,278,2936,276,2934,275,2933,273,2930,272,2925,271,2925,259xe" filled="false" stroked="true" strokeweight=".75pt" strokecolor="#bebebe">
              <v:path arrowok="t"/>
            </v:shape>
            <v:shape style="position:absolute;left:2325;top:259;width:265;height:243" coordorigin="2325,259" coordsize="265,243" path="m2325,259l2476,259,2489,259,2548,274,2558,280,2565,289,2570,299,2574,310,2576,321,2576,332,2572,359,2560,380,2541,394,2513,402,2558,463,2590,489,2590,501,2497,501,2497,489,2503,488,2506,487,2506,486,2506,485,2504,480,2499,473,2452,405,2395,405,2395,480,2395,482,2395,484,2396,486,2398,487,2401,488,2406,490,2406,501,2325,501,2325,490,2330,488,2333,487,2334,486,2336,484,2336,482,2336,480,2336,281,2336,278,2336,276,2334,275,2333,273,2330,272,2325,271,2325,259xe" filled="false" stroked="true" strokeweight=".75pt" strokecolor="#bebebe">
              <v:path arrowok="t"/>
            </v:shape>
            <v:shape style="position:absolute;left:1703;top:259;width:295;height:243" coordorigin="1703,259" coordsize="295,243" path="m1802,259l1893,259,1893,271,1886,273,1883,275,1883,278,1883,281,1884,285,1975,469,1984,484,1987,486,1991,488,1997,489,1997,501,1903,501,1903,489,1911,488,1915,485,1915,482,1915,480,1916,477,1917,474,1896,441,1794,441,1779,472,1777,476,1776,479,1776,482,1776,485,1780,488,1788,490,1788,501,1703,501,1703,489,1709,488,1712,487,1808,292,1811,286,1812,282,1812,279,1812,276,1809,273,1802,270,1802,259xe" filled="false" stroked="true" strokeweight=".75pt" strokecolor="#bebebe">
              <v:path arrowok="t"/>
            </v:shape>
            <v:shape style="position:absolute;left:6904;top:255;width:274;height:251" coordorigin="6904,255" coordsize="274,251" path="m7046,255l7105,264,7154,289,7160,292,7161,292,7162,292,7165,290,7169,287,7177,293,7142,347,7133,342,7133,338,7133,336,7133,335,7133,333,7132,331,7129,328,7127,326,7122,322,7052,302,7033,303,6975,334,6963,380,6965,397,6999,447,7052,458,7069,457,7127,435,7129,432,7132,430,7133,427,7133,425,7133,424,7133,422,7133,419,7142,414,7177,467,7169,473,7165,470,7162,468,7161,468,7160,468,7155,469,7147,469,7132,480,7118,489,7059,505,7046,505,7018,503,6951,475,6913,426,6904,380,6905,359,6929,304,6978,267,7009,258,7046,255xe" filled="false" stroked="true" strokeweight=".75pt" strokecolor="#bebebe">
              <v:path arrowok="t"/>
            </v:shape>
            <v:shape style="position:absolute;left:5272;top:255;width:278;height:251" coordorigin="5272,255" coordsize="278,251" path="m5414,255l5490,274,5540,330,5550,382,5548,399,5509,472,5449,502,5410,505,5381,503,5311,471,5277,416,5272,380,5273,362,5311,288,5373,259,5414,255xe" filled="false" stroked="true" strokeweight=".75pt" strokecolor="#bebebe">
              <v:path arrowok="t"/>
            </v:shape>
            <v:shape style="position:absolute;left:5011;top:255;width:234;height:251" coordorigin="5011,255" coordsize="234,251" path="m5124,255l5189,266,5215,276,5222,279,5226,280,5227,280,5229,280,5231,279,5235,276,5244,281,5214,341,5204,337,5204,334,5204,333,5204,332,5204,330,5202,326,5145,303,5126,302,5114,302,5074,323,5074,328,5074,335,5123,348,5150,351,5209,365,5244,414,5244,425,5218,480,5156,504,5130,505,5106,504,5083,500,5060,493,5037,483,5030,480,5027,479,5026,479,5026,479,5024,480,5020,482,5011,478,5038,415,5049,419,5049,421,5049,423,5049,423,5049,427,5051,431,5055,435,5062,441,5073,447,5132,458,5146,458,5187,432,5187,428,5187,422,5115,405,5097,404,5084,402,5077,400,5069,398,5062,396,5054,392,5043,386,5034,378,5028,367,5022,357,5019,346,5019,333,5057,270,5098,256,5124,255xe" filled="false" stroked="true" strokeweight=".75pt" strokecolor="#bebebe">
              <v:path arrowok="t"/>
            </v:shape>
            <v:shape style="position:absolute;left:3234;top:255;width:278;height:251" coordorigin="3234,255" coordsize="278,251" path="m3376,255l3453,274,3502,330,3512,382,3511,399,3472,472,3412,502,3373,505,3343,503,3273,471,3239,416,3234,380,3235,362,3274,288,3336,259,3376,255xe" filled="false" stroked="true" strokeweight=".75pt" strokecolor="#bebebe">
              <v:path arrowok="t"/>
            </v:shape>
            <v:shape style="position:absolute;left:2612;top:255;width:278;height:251" coordorigin="2612,255" coordsize="278,251" path="m2755,255l2831,274,2881,330,2890,382,2889,399,2850,472,2790,502,2751,505,2722,503,2652,471,2617,416,2612,380,2614,362,2652,288,2714,259,2755,255xe" filled="false" stroked="true" strokeweight=".75pt" strokecolor="#bebebe">
              <v:path arrowok="t"/>
            </v:shape>
            <v:shape style="position:absolute;left:2010;top:255;width:276;height:251" coordorigin="2010,255" coordsize="276,251" path="m2156,255l2169,255,2182,256,2243,274,2248,276,2251,276,2253,276,2255,274,2259,272,2268,276,2238,338,2228,334,2228,329,2228,326,2227,325,2226,324,2225,322,2222,320,2215,315,2205,311,2192,307,2179,303,2166,302,2155,302,2138,303,2084,334,2070,381,2071,398,2108,447,2157,458,2170,458,2182,457,2195,454,2207,451,2217,448,2225,443,2225,416,2170,416,2168,416,2161,428,2149,428,2149,366,2161,366,2162,371,2163,374,2164,375,2166,376,2167,377,2170,377,2285,377,2285,388,2274,396,2274,398,2274,447,2274,449,2275,451,2276,453,2277,454,2280,455,2285,457,2285,466,2251,483,2217,495,2184,503,2152,505,2124,504,2057,478,2013,409,2010,380,2013,352,2052,287,2125,257,2156,255xe" filled="false" stroked="true" strokeweight=".75pt" strokecolor="#bebebe">
              <v:path arrowok="t"/>
            </v:shape>
            <v:shape style="position:absolute;left:6225;top:248;width:240;height:265" coordorigin="6225,248" coordsize="240,265" path="m6448,248l6460,248,6460,316,6448,316,6447,311,6445,308,6444,307,6443,305,6441,305,6438,305,6295,305,6295,354,6387,354,6389,354,6391,353,6392,352,6394,351,6395,348,6396,342,6408,342,6408,409,6396,409,6395,404,6394,401,6392,400,6391,399,6389,398,6387,398,6295,398,6295,455,6443,455,6445,455,6447,455,6448,454,6450,453,6451,449,6452,444,6464,444,6464,512,6452,512,6451,507,6450,504,6448,503,6447,502,6445,501,6443,501,6225,501,6225,490,6230,488,6233,487,6234,486,6236,484,6236,482,6236,480,6236,281,6236,278,6236,276,6234,275,6233,273,6230,272,6225,271,6225,259,6438,259,6441,259,6443,258,6444,257,6445,256,6447,253,6448,248xe" filled="false" stroked="true" strokeweight=".75pt" strokecolor="#bebebe">
              <v:path arrowok="t"/>
            </v:shape>
            <v:shape style="position:absolute;left:4744;top:248;width:240;height:265" coordorigin="4744,248" coordsize="240,265" path="m4967,248l4979,248,4979,316,4967,316,4966,311,4965,308,4963,307,4962,305,4960,305,4958,305,4814,305,4814,354,4906,354,4908,354,4910,353,4912,352,4913,351,4914,348,4916,342,4927,342,4927,409,4916,409,4914,404,4913,401,4912,400,4910,399,4908,398,4906,398,4814,398,4814,455,4962,455,4964,455,4966,455,4967,454,4969,453,4970,449,4972,444,4983,444,4983,512,4972,512,4970,507,4969,504,4967,503,4966,502,4964,501,4962,501,4744,501,4744,490,4749,488,4753,487,4754,486,4755,484,4755,482,4755,480,4755,281,4755,278,4755,276,4754,275,4753,273,4749,272,4744,271,4744,259,4958,259,4960,259,4962,258,4963,257,4965,256,4966,253,4967,248xe" filled="false" stroked="true" strokeweight=".75pt" strokecolor="#bebebe">
              <v:path arrowok="t"/>
            </v:shape>
            <v:shape style="position:absolute;left:3911;top:190;width:77;height:57" coordorigin="3911,190" coordsize="77,57" path="m3928,190l3988,190,3988,202,3982,202,3978,203,3977,205,3952,235,3956,235,3956,246,3911,246,3911,235,3916,235,3918,235,3919,234,3919,234,3921,232,3923,229,3932,203,3932,202,3933,202,3931,202,3928,201,3928,190xe" filled="false" stroked="true" strokeweight=".75pt" strokecolor="#bebebe">
              <v:path arrowok="t"/>
            </v:shape>
            <v:shape style="position:absolute;left:1692;top:180;width:6410;height:343" type="#_x0000_t75" stroked="false">
              <v:imagedata r:id="rId125" o:title=""/>
            </v:shape>
            <w10:wrap type="topAndBottom"/>
          </v:group>
        </w:pict>
      </w:r>
    </w:p>
    <w:p>
      <w:pPr>
        <w:spacing w:before="35"/>
        <w:ind w:left="402" w:right="2104" w:firstLine="0"/>
        <w:jc w:val="left"/>
        <w:rPr>
          <w:rFonts w:ascii="Verdana" w:hAnsi="Verdana"/>
          <w:b/>
          <w:i/>
          <w:sz w:val="18"/>
        </w:rPr>
      </w:pPr>
      <w:r>
        <w:rPr>
          <w:rFonts w:ascii="Verdana" w:hAnsi="Verdana"/>
          <w:b/>
          <w:i/>
          <w:sz w:val="18"/>
        </w:rPr>
        <w:t>Órgano divulgativo del Programa Cooperativo Centroamericano </w:t>
      </w:r>
      <w:r>
        <w:rPr>
          <w:rFonts w:ascii="Verdana" w:hAnsi="Verdana"/>
          <w:b/>
          <w:i/>
          <w:sz w:val="18"/>
        </w:rPr>
        <w:t>para el Mejoramiento de Cultivos y Animales (PCCMCA).</w:t>
      </w:r>
    </w:p>
    <w:p>
      <w:pPr>
        <w:spacing w:before="2"/>
        <w:ind w:left="402" w:right="2104" w:firstLine="0"/>
        <w:jc w:val="left"/>
        <w:rPr>
          <w:rFonts w:ascii="Verdana" w:hAnsi="Verdana"/>
          <w:sz w:val="18"/>
        </w:rPr>
      </w:pPr>
      <w:r>
        <w:rPr>
          <w:rFonts w:ascii="Verdana" w:hAnsi="Verdana"/>
          <w:sz w:val="18"/>
        </w:rPr>
        <w:t>ISSN 1021-7444 versión impresa / ISSN 2215-3608 versión electrónica. Dirección electrónica: </w:t>
      </w:r>
      <w:hyperlink r:id="rId126">
        <w:r>
          <w:rPr>
            <w:rFonts w:ascii="Verdana" w:hAnsi="Verdana"/>
            <w:sz w:val="18"/>
          </w:rPr>
          <w:t>http://revistas.ucr.ac.cr/index.php/agromeso/index</w:t>
        </w:r>
      </w:hyperlink>
      <w:r>
        <w:rPr>
          <w:rFonts w:ascii="Verdana" w:hAnsi="Verdana"/>
          <w:sz w:val="18"/>
        </w:rPr>
        <w:t> Tel/fax: (506) 2511 7770/2433 5963.</w:t>
      </w:r>
    </w:p>
    <w:p>
      <w:pPr>
        <w:spacing w:before="0"/>
        <w:ind w:left="402" w:right="4417" w:firstLine="0"/>
        <w:jc w:val="left"/>
        <w:rPr>
          <w:rFonts w:ascii="Verdana"/>
          <w:sz w:val="18"/>
        </w:rPr>
      </w:pPr>
      <w:r>
        <w:rPr>
          <w:rFonts w:ascii="Verdana"/>
          <w:sz w:val="18"/>
        </w:rPr>
        <w:t>Apartado postal 183-4050. Alajuela, Costa Rica. E- mail: </w:t>
      </w:r>
      <w:hyperlink r:id="rId127">
        <w:r>
          <w:rPr>
            <w:rFonts w:ascii="Verdana"/>
            <w:color w:val="0000FF"/>
            <w:sz w:val="18"/>
            <w:u w:val="single" w:color="0000FF"/>
          </w:rPr>
          <w:t>pccmca@gmail.com</w:t>
        </w:r>
      </w:hyperlink>
      <w:r>
        <w:rPr>
          <w:rFonts w:ascii="Verdana"/>
          <w:sz w:val="18"/>
        </w:rPr>
        <w:t>; </w:t>
      </w:r>
      <w:hyperlink r:id="rId128">
        <w:r>
          <w:rPr>
            <w:rFonts w:ascii="Verdana"/>
            <w:color w:val="0000FF"/>
            <w:sz w:val="18"/>
            <w:u w:val="single" w:color="0000FF"/>
          </w:rPr>
          <w:t>pccmca@ucr.ac.cr</w:t>
        </w:r>
      </w:hyperlink>
    </w:p>
    <w:p>
      <w:pPr>
        <w:pStyle w:val="BodyText"/>
        <w:rPr>
          <w:rFonts w:ascii="Verdana"/>
          <w:sz w:val="20"/>
        </w:rPr>
      </w:pPr>
    </w:p>
    <w:p>
      <w:pPr>
        <w:pStyle w:val="BodyText"/>
        <w:spacing w:before="5"/>
        <w:rPr>
          <w:rFonts w:ascii="Verdana"/>
          <w:sz w:val="19"/>
        </w:rPr>
      </w:pPr>
    </w:p>
    <w:p>
      <w:pPr>
        <w:pStyle w:val="Heading4"/>
        <w:ind w:left="0" w:right="118"/>
        <w:jc w:val="right"/>
      </w:pPr>
      <w:r>
        <w:rPr/>
        <w:t>27 de setiembre, 2016</w:t>
      </w:r>
    </w:p>
    <w:p>
      <w:pPr>
        <w:spacing w:before="0"/>
        <w:ind w:left="402" w:right="0" w:firstLine="0"/>
        <w:jc w:val="left"/>
        <w:rPr>
          <w:rFonts w:ascii="Arial"/>
          <w:sz w:val="24"/>
        </w:rPr>
      </w:pPr>
      <w:r>
        <w:rPr>
          <w:rFonts w:ascii="Arial"/>
          <w:sz w:val="24"/>
        </w:rPr>
        <w:t>Alajuela, Costa Rica</w:t>
      </w:r>
    </w:p>
    <w:p>
      <w:pPr>
        <w:pStyle w:val="BodyText"/>
        <w:rPr>
          <w:rFonts w:ascii="Arial"/>
          <w:sz w:val="20"/>
        </w:rPr>
      </w:pPr>
    </w:p>
    <w:p>
      <w:pPr>
        <w:pStyle w:val="BodyText"/>
        <w:spacing w:before="8"/>
        <w:rPr>
          <w:rFonts w:ascii="Arial"/>
          <w:sz w:val="21"/>
        </w:rPr>
      </w:pPr>
    </w:p>
    <w:p>
      <w:pPr>
        <w:spacing w:before="70"/>
        <w:ind w:left="118" w:right="118" w:firstLine="283"/>
        <w:jc w:val="both"/>
        <w:rPr>
          <w:rFonts w:ascii="Arial" w:hAnsi="Arial"/>
          <w:sz w:val="24"/>
        </w:rPr>
      </w:pPr>
      <w:r>
        <w:rPr>
          <w:rFonts w:ascii="Arial" w:hAnsi="Arial"/>
          <w:sz w:val="24"/>
        </w:rPr>
        <w:t>Por medio de la presente hago constar que el señor Pedro Hernández Aguirre, de la Universidad Autónoma del Estado de México, México, posee un trabajo en revisión preliminar en la revista Agronomía Mesoamericana titulado </w:t>
      </w:r>
      <w:r>
        <w:rPr>
          <w:rFonts w:ascii="Arial" w:hAnsi="Arial"/>
          <w:b/>
          <w:sz w:val="24"/>
        </w:rPr>
        <w:t>“Función de producción Cobb-Douglas</w:t>
      </w:r>
      <w:r>
        <w:rPr>
          <w:rFonts w:ascii="Arial" w:hAnsi="Arial"/>
          <w:b/>
          <w:spacing w:val="-13"/>
          <w:sz w:val="24"/>
        </w:rPr>
        <w:t> </w:t>
      </w:r>
      <w:r>
        <w:rPr>
          <w:rFonts w:ascii="Arial" w:hAnsi="Arial"/>
          <w:b/>
          <w:sz w:val="24"/>
        </w:rPr>
        <w:t>en</w:t>
      </w:r>
      <w:r>
        <w:rPr>
          <w:rFonts w:ascii="Arial" w:hAnsi="Arial"/>
          <w:b/>
          <w:spacing w:val="-14"/>
          <w:sz w:val="24"/>
        </w:rPr>
        <w:t> </w:t>
      </w:r>
      <w:r>
        <w:rPr>
          <w:rFonts w:ascii="Arial" w:hAnsi="Arial"/>
          <w:b/>
          <w:sz w:val="24"/>
        </w:rPr>
        <w:t>bovinos</w:t>
      </w:r>
      <w:r>
        <w:rPr>
          <w:rFonts w:ascii="Arial" w:hAnsi="Arial"/>
          <w:b/>
          <w:spacing w:val="-13"/>
          <w:sz w:val="24"/>
        </w:rPr>
        <w:t> </w:t>
      </w:r>
      <w:r>
        <w:rPr>
          <w:rFonts w:ascii="Arial" w:hAnsi="Arial"/>
          <w:b/>
          <w:sz w:val="24"/>
        </w:rPr>
        <w:t>de</w:t>
      </w:r>
      <w:r>
        <w:rPr>
          <w:rFonts w:ascii="Arial" w:hAnsi="Arial"/>
          <w:b/>
          <w:spacing w:val="-16"/>
          <w:sz w:val="24"/>
        </w:rPr>
        <w:t> </w:t>
      </w:r>
      <w:r>
        <w:rPr>
          <w:rFonts w:ascii="Arial" w:hAnsi="Arial"/>
          <w:b/>
          <w:sz w:val="24"/>
        </w:rPr>
        <w:t>carne</w:t>
      </w:r>
      <w:r>
        <w:rPr>
          <w:rFonts w:ascii="Arial" w:hAnsi="Arial"/>
          <w:b/>
          <w:spacing w:val="-13"/>
          <w:sz w:val="24"/>
        </w:rPr>
        <w:t> </w:t>
      </w:r>
      <w:r>
        <w:rPr>
          <w:rFonts w:ascii="Arial" w:hAnsi="Arial"/>
          <w:b/>
          <w:sz w:val="24"/>
        </w:rPr>
        <w:t>del</w:t>
      </w:r>
      <w:r>
        <w:rPr>
          <w:rFonts w:ascii="Arial" w:hAnsi="Arial"/>
          <w:b/>
          <w:spacing w:val="-13"/>
          <w:sz w:val="24"/>
        </w:rPr>
        <w:t> </w:t>
      </w:r>
      <w:r>
        <w:rPr>
          <w:rFonts w:ascii="Arial" w:hAnsi="Arial"/>
          <w:b/>
          <w:sz w:val="24"/>
        </w:rPr>
        <w:t>Sur</w:t>
      </w:r>
      <w:r>
        <w:rPr>
          <w:rFonts w:ascii="Arial" w:hAnsi="Arial"/>
          <w:b/>
          <w:spacing w:val="-19"/>
          <w:sz w:val="24"/>
        </w:rPr>
        <w:t> </w:t>
      </w:r>
      <w:r>
        <w:rPr>
          <w:rFonts w:ascii="Arial" w:hAnsi="Arial"/>
          <w:b/>
          <w:sz w:val="24"/>
        </w:rPr>
        <w:t>del</w:t>
      </w:r>
      <w:r>
        <w:rPr>
          <w:rFonts w:ascii="Arial" w:hAnsi="Arial"/>
          <w:b/>
          <w:spacing w:val="-13"/>
          <w:sz w:val="24"/>
        </w:rPr>
        <w:t> </w:t>
      </w:r>
      <w:r>
        <w:rPr>
          <w:rFonts w:ascii="Arial" w:hAnsi="Arial"/>
          <w:b/>
          <w:sz w:val="24"/>
        </w:rPr>
        <w:t>Estado</w:t>
      </w:r>
      <w:r>
        <w:rPr>
          <w:rFonts w:ascii="Arial" w:hAnsi="Arial"/>
          <w:b/>
          <w:spacing w:val="-14"/>
          <w:sz w:val="24"/>
        </w:rPr>
        <w:t> </w:t>
      </w:r>
      <w:r>
        <w:rPr>
          <w:rFonts w:ascii="Arial" w:hAnsi="Arial"/>
          <w:b/>
          <w:sz w:val="24"/>
        </w:rPr>
        <w:t>de</w:t>
      </w:r>
      <w:r>
        <w:rPr>
          <w:rFonts w:ascii="Arial" w:hAnsi="Arial"/>
          <w:b/>
          <w:spacing w:val="-16"/>
          <w:sz w:val="24"/>
        </w:rPr>
        <w:t> </w:t>
      </w:r>
      <w:r>
        <w:rPr>
          <w:rFonts w:ascii="Arial" w:hAnsi="Arial"/>
          <w:b/>
          <w:sz w:val="24"/>
        </w:rPr>
        <w:t>México”</w:t>
      </w:r>
      <w:r>
        <w:rPr>
          <w:rFonts w:ascii="Arial" w:hAnsi="Arial"/>
          <w:b/>
          <w:spacing w:val="-14"/>
          <w:sz w:val="24"/>
        </w:rPr>
        <w:t> </w:t>
      </w:r>
      <w:r>
        <w:rPr>
          <w:rFonts w:ascii="Arial" w:hAnsi="Arial"/>
          <w:sz w:val="24"/>
        </w:rPr>
        <w:t>en</w:t>
      </w:r>
      <w:r>
        <w:rPr>
          <w:rFonts w:ascii="Arial" w:hAnsi="Arial"/>
          <w:spacing w:val="-15"/>
          <w:sz w:val="24"/>
        </w:rPr>
        <w:t> </w:t>
      </w:r>
      <w:r>
        <w:rPr>
          <w:rFonts w:ascii="Arial" w:hAnsi="Arial"/>
          <w:sz w:val="24"/>
        </w:rPr>
        <w:t>el</w:t>
      </w:r>
      <w:r>
        <w:rPr>
          <w:rFonts w:ascii="Arial" w:hAnsi="Arial"/>
          <w:spacing w:val="-14"/>
          <w:sz w:val="24"/>
        </w:rPr>
        <w:t> </w:t>
      </w:r>
      <w:r>
        <w:rPr>
          <w:rFonts w:ascii="Arial" w:hAnsi="Arial"/>
          <w:sz w:val="24"/>
        </w:rPr>
        <w:t>cual</w:t>
      </w:r>
      <w:r>
        <w:rPr>
          <w:rFonts w:ascii="Arial" w:hAnsi="Arial"/>
          <w:spacing w:val="-17"/>
          <w:sz w:val="24"/>
        </w:rPr>
        <w:t> </w:t>
      </w:r>
      <w:r>
        <w:rPr>
          <w:rFonts w:ascii="Arial" w:hAnsi="Arial"/>
          <w:sz w:val="24"/>
        </w:rPr>
        <w:t>figura como</w:t>
      </w:r>
      <w:r>
        <w:rPr>
          <w:rFonts w:ascii="Arial" w:hAnsi="Arial"/>
          <w:spacing w:val="-2"/>
          <w:sz w:val="24"/>
        </w:rPr>
        <w:t> </w:t>
      </w:r>
      <w:r>
        <w:rPr>
          <w:rFonts w:ascii="Arial" w:hAnsi="Arial"/>
          <w:sz w:val="24"/>
        </w:rPr>
        <w:t>autor.</w:t>
      </w:r>
    </w:p>
    <w:p>
      <w:pPr>
        <w:pStyle w:val="BodyText"/>
        <w:rPr>
          <w:rFonts w:ascii="Arial"/>
          <w:sz w:val="24"/>
        </w:rPr>
      </w:pPr>
    </w:p>
    <w:p>
      <w:pPr>
        <w:pStyle w:val="BodyText"/>
        <w:rPr>
          <w:rFonts w:ascii="Arial"/>
          <w:sz w:val="24"/>
        </w:rPr>
      </w:pPr>
    </w:p>
    <w:p>
      <w:pPr>
        <w:pStyle w:val="BodyText"/>
        <w:rPr>
          <w:rFonts w:ascii="Arial"/>
          <w:sz w:val="24"/>
        </w:rPr>
      </w:pPr>
    </w:p>
    <w:p>
      <w:pPr>
        <w:pStyle w:val="Heading4"/>
        <w:spacing w:line="480" w:lineRule="auto"/>
        <w:ind w:left="469" w:right="3228" w:hanging="68"/>
      </w:pPr>
      <w:r>
        <w:rPr/>
        <w:drawing>
          <wp:anchor distT="0" distB="0" distL="0" distR="0" allowOverlap="1" layoutInCell="1" locked="0" behindDoc="0" simplePos="0" relativeHeight="3664">
            <wp:simplePos x="0" y="0"/>
            <wp:positionH relativeFrom="page">
              <wp:posOffset>5020309</wp:posOffset>
            </wp:positionH>
            <wp:positionV relativeFrom="paragraph">
              <wp:posOffset>202512</wp:posOffset>
            </wp:positionV>
            <wp:extent cx="1589405" cy="1608455"/>
            <wp:effectExtent l="0" t="0" r="0" b="0"/>
            <wp:wrapNone/>
            <wp:docPr id="7" name="image17.jpeg" descr=""/>
            <wp:cNvGraphicFramePr>
              <a:graphicFrameLocks noChangeAspect="1"/>
            </wp:cNvGraphicFramePr>
            <a:graphic>
              <a:graphicData uri="http://schemas.openxmlformats.org/drawingml/2006/picture">
                <pic:pic>
                  <pic:nvPicPr>
                    <pic:cNvPr id="8" name="image17.jpeg"/>
                    <pic:cNvPicPr/>
                  </pic:nvPicPr>
                  <pic:blipFill>
                    <a:blip r:embed="rId129" cstate="print"/>
                    <a:stretch>
                      <a:fillRect/>
                    </a:stretch>
                  </pic:blipFill>
                  <pic:spPr>
                    <a:xfrm>
                      <a:off x="0" y="0"/>
                      <a:ext cx="1589405" cy="1608455"/>
                    </a:xfrm>
                    <a:prstGeom prst="rect">
                      <a:avLst/>
                    </a:prstGeom>
                  </pic:spPr>
                </pic:pic>
              </a:graphicData>
            </a:graphic>
          </wp:anchor>
        </w:drawing>
      </w:r>
      <w:r>
        <w:rPr/>
        <w:t>Agradezco la atención que se le preste a este escrito. Atentamente,</w:t>
      </w:r>
    </w:p>
    <w:p>
      <w:pPr>
        <w:pStyle w:val="BodyText"/>
        <w:spacing w:before="3"/>
        <w:rPr>
          <w:rFonts w:ascii="Arial"/>
          <w:sz w:val="22"/>
        </w:rPr>
      </w:pPr>
      <w:r>
        <w:rPr/>
        <w:pict>
          <v:group style="position:absolute;margin-left:258.170013pt;margin-top:14.780778pt;width:95.5pt;height:83.55pt;mso-position-horizontal-relative:page;mso-position-vertical-relative:paragraph;z-index:3616;mso-wrap-distance-left:0;mso-wrap-distance-right:0" coordorigin="5163,296" coordsize="1910,1671">
            <v:shape style="position:absolute;left:5382;top:296;width:1440;height:1640" type="#_x0000_t75" stroked="false">
              <v:imagedata r:id="rId130" o:title=""/>
            </v:shape>
            <v:shape style="position:absolute;left:5163;top:296;width:1910;height:1671" type="#_x0000_t202" filled="false" stroked="false">
              <v:textbox inset="0,0,0,0">
                <w:txbxContent>
                  <w:p>
                    <w:pPr>
                      <w:spacing w:line="240" w:lineRule="auto" w:before="0"/>
                      <w:rPr>
                        <w:rFonts w:ascii="Arial"/>
                        <w:sz w:val="28"/>
                      </w:rPr>
                    </w:pPr>
                  </w:p>
                  <w:p>
                    <w:pPr>
                      <w:spacing w:line="240" w:lineRule="auto" w:before="0"/>
                      <w:rPr>
                        <w:rFonts w:ascii="Arial"/>
                        <w:sz w:val="28"/>
                      </w:rPr>
                    </w:pPr>
                  </w:p>
                  <w:p>
                    <w:pPr>
                      <w:spacing w:line="240" w:lineRule="auto" w:before="0"/>
                      <w:rPr>
                        <w:rFonts w:ascii="Arial"/>
                        <w:sz w:val="28"/>
                      </w:rPr>
                    </w:pPr>
                  </w:p>
                  <w:p>
                    <w:pPr>
                      <w:spacing w:line="240" w:lineRule="auto" w:before="9"/>
                      <w:rPr>
                        <w:rFonts w:ascii="Arial"/>
                        <w:sz w:val="33"/>
                      </w:rPr>
                    </w:pPr>
                  </w:p>
                  <w:p>
                    <w:pPr>
                      <w:spacing w:line="316" w:lineRule="exact" w:before="0"/>
                      <w:ind w:left="0" w:right="-13" w:firstLine="0"/>
                      <w:jc w:val="left"/>
                      <w:rPr>
                        <w:rFonts w:ascii="Arial"/>
                        <w:b/>
                        <w:sz w:val="28"/>
                      </w:rPr>
                    </w:pPr>
                    <w:r>
                      <w:rPr>
                        <w:rFonts w:ascii="Arial"/>
                        <w:b/>
                        <w:sz w:val="28"/>
                      </w:rPr>
                      <w:t>Rodolfo</w:t>
                    </w:r>
                    <w:r>
                      <w:rPr>
                        <w:rFonts w:ascii="Arial"/>
                        <w:b/>
                        <w:spacing w:val="-11"/>
                        <w:sz w:val="28"/>
                      </w:rPr>
                      <w:t> </w:t>
                    </w:r>
                    <w:r>
                      <w:rPr>
                        <w:rFonts w:ascii="Arial"/>
                        <w:b/>
                        <w:sz w:val="28"/>
                      </w:rPr>
                      <w:t>Araya</w:t>
                    </w:r>
                  </w:p>
                </w:txbxContent>
              </v:textbox>
              <w10:wrap type="none"/>
            </v:shape>
            <w10:wrap type="topAndBottom"/>
          </v:group>
        </w:pict>
      </w:r>
    </w:p>
    <w:p>
      <w:pPr>
        <w:spacing w:before="36"/>
        <w:ind w:left="2433" w:right="2151" w:firstLine="0"/>
        <w:jc w:val="center"/>
        <w:rPr>
          <w:rFonts w:ascii="Arial"/>
          <w:b/>
          <w:i/>
          <w:sz w:val="28"/>
        </w:rPr>
      </w:pPr>
      <w:r>
        <w:rPr>
          <w:rFonts w:ascii="Arial"/>
          <w:b/>
          <w:i/>
          <w:sz w:val="28"/>
        </w:rPr>
        <w:t>Editor Principal</w:t>
      </w:r>
    </w:p>
    <w:p>
      <w:pPr>
        <w:spacing w:before="0"/>
        <w:ind w:left="2433" w:right="2155" w:firstLine="0"/>
        <w:jc w:val="center"/>
        <w:rPr>
          <w:rFonts w:ascii="Arial" w:hAnsi="Arial"/>
          <w:b/>
          <w:i/>
          <w:sz w:val="28"/>
        </w:rPr>
      </w:pPr>
      <w:r>
        <w:rPr>
          <w:rFonts w:ascii="Arial" w:hAnsi="Arial"/>
          <w:b/>
          <w:i/>
          <w:sz w:val="28"/>
        </w:rPr>
        <w:t>Revista Agronomía Mesoamericana</w:t>
      </w:r>
    </w:p>
    <w:p>
      <w:pPr>
        <w:pStyle w:val="BodyText"/>
        <w:rPr>
          <w:rFonts w:ascii="Arial"/>
          <w:b/>
          <w:i/>
          <w:sz w:val="20"/>
        </w:rPr>
      </w:pPr>
    </w:p>
    <w:p>
      <w:pPr>
        <w:pStyle w:val="BodyText"/>
        <w:spacing w:before="7"/>
        <w:rPr>
          <w:rFonts w:ascii="Arial"/>
          <w:b/>
          <w:i/>
          <w:sz w:val="14"/>
        </w:rPr>
      </w:pPr>
      <w:r>
        <w:rPr/>
        <w:drawing>
          <wp:anchor distT="0" distB="0" distL="0" distR="0" allowOverlap="1" layoutInCell="1" locked="0" behindDoc="0" simplePos="0" relativeHeight="3640">
            <wp:simplePos x="0" y="0"/>
            <wp:positionH relativeFrom="page">
              <wp:posOffset>1080135</wp:posOffset>
            </wp:positionH>
            <wp:positionV relativeFrom="paragraph">
              <wp:posOffset>132006</wp:posOffset>
            </wp:positionV>
            <wp:extent cx="819136" cy="774096"/>
            <wp:effectExtent l="0" t="0" r="0" b="0"/>
            <wp:wrapTopAndBottom/>
            <wp:docPr id="9" name="image19.jpeg" descr=""/>
            <wp:cNvGraphicFramePr>
              <a:graphicFrameLocks noChangeAspect="1"/>
            </wp:cNvGraphicFramePr>
            <a:graphic>
              <a:graphicData uri="http://schemas.openxmlformats.org/drawingml/2006/picture">
                <pic:pic>
                  <pic:nvPicPr>
                    <pic:cNvPr id="10" name="image19.jpeg"/>
                    <pic:cNvPicPr/>
                  </pic:nvPicPr>
                  <pic:blipFill>
                    <a:blip r:embed="rId131" cstate="print"/>
                    <a:stretch>
                      <a:fillRect/>
                    </a:stretch>
                  </pic:blipFill>
                  <pic:spPr>
                    <a:xfrm>
                      <a:off x="0" y="0"/>
                      <a:ext cx="819136" cy="774096"/>
                    </a:xfrm>
                    <a:prstGeom prst="rect">
                      <a:avLst/>
                    </a:prstGeom>
                  </pic:spPr>
                </pic:pic>
              </a:graphicData>
            </a:graphic>
          </wp:anchor>
        </w:drawing>
      </w:r>
    </w:p>
    <w:p>
      <w:pPr>
        <w:spacing w:after="0"/>
        <w:rPr>
          <w:rFonts w:ascii="Arial"/>
          <w:sz w:val="14"/>
        </w:rPr>
        <w:sectPr>
          <w:headerReference w:type="default" r:id="rId121"/>
          <w:footerReference w:type="default" r:id="rId122"/>
          <w:pgSz w:w="12240" w:h="15840"/>
          <w:pgMar w:header="0" w:footer="1598" w:top="1360" w:bottom="1780" w:left="1300" w:right="1580"/>
          <w:pgNumType w:start="49"/>
        </w:sectPr>
      </w:pPr>
    </w:p>
    <w:p>
      <w:pPr>
        <w:pStyle w:val="BodyText"/>
        <w:spacing w:before="8"/>
        <w:rPr>
          <w:rFonts w:ascii="Arial"/>
          <w:b/>
          <w:i/>
          <w:sz w:val="10"/>
        </w:rPr>
      </w:pPr>
    </w:p>
    <w:p>
      <w:pPr>
        <w:pStyle w:val="BodyText"/>
        <w:spacing w:line="20" w:lineRule="exact"/>
        <w:ind w:left="455"/>
        <w:rPr>
          <w:rFonts w:ascii="Arial"/>
          <w:sz w:val="2"/>
        </w:rPr>
      </w:pPr>
      <w:r>
        <w:rPr>
          <w:rFonts w:ascii="Arial"/>
          <w:sz w:val="2"/>
        </w:rPr>
        <w:pict>
          <v:group style="width:407pt;height:.5pt;mso-position-horizontal-relative:char;mso-position-vertical-relative:line" coordorigin="0,0" coordsize="8140,10">
            <v:line style="position:absolute" from="5,5" to="8135,5" stroked="true" strokeweight=".5pt" strokecolor="#000000"/>
          </v:group>
        </w:pict>
      </w:r>
      <w:r>
        <w:rPr>
          <w:rFonts w:ascii="Arial"/>
          <w:sz w:val="2"/>
        </w:rPr>
      </w:r>
    </w:p>
    <w:p>
      <w:pPr>
        <w:pStyle w:val="BodyText"/>
        <w:rPr>
          <w:rFonts w:ascii="Arial"/>
          <w:b/>
          <w:i/>
          <w:sz w:val="20"/>
        </w:rPr>
      </w:pPr>
    </w:p>
    <w:p>
      <w:pPr>
        <w:pStyle w:val="BodyText"/>
        <w:spacing w:before="2"/>
        <w:rPr>
          <w:rFonts w:ascii="Arial"/>
          <w:b/>
          <w:i/>
          <w:sz w:val="19"/>
        </w:rPr>
      </w:pPr>
    </w:p>
    <w:p>
      <w:pPr>
        <w:pStyle w:val="Heading4"/>
        <w:spacing w:line="360" w:lineRule="auto" w:before="70"/>
        <w:ind w:right="123"/>
        <w:jc w:val="center"/>
      </w:pPr>
      <w:r>
        <w:rPr/>
        <w:t>Función de Producción Cobb-Douglas en bovinos carne del Sur del Estado de México*</w:t>
      </w:r>
    </w:p>
    <w:p>
      <w:pPr>
        <w:spacing w:before="163"/>
        <w:ind w:left="122" w:right="122" w:firstLine="0"/>
        <w:jc w:val="center"/>
        <w:rPr>
          <w:rFonts w:ascii="Arial"/>
          <w:sz w:val="24"/>
        </w:rPr>
      </w:pPr>
      <w:r>
        <w:rPr>
          <w:rFonts w:ascii="Arial"/>
          <w:sz w:val="24"/>
        </w:rPr>
        <w:t>Production Function Cobb-Douglas in beef cattle of the South Mexico State</w:t>
      </w:r>
    </w:p>
    <w:p>
      <w:pPr>
        <w:pStyle w:val="BodyText"/>
        <w:spacing w:before="7"/>
        <w:rPr>
          <w:rFonts w:ascii="Arial"/>
          <w:sz w:val="25"/>
        </w:rPr>
      </w:pPr>
    </w:p>
    <w:p>
      <w:pPr>
        <w:spacing w:line="357" w:lineRule="auto" w:before="0"/>
        <w:ind w:left="122" w:right="118" w:firstLine="0"/>
        <w:jc w:val="center"/>
        <w:rPr>
          <w:rFonts w:ascii="Arial" w:hAnsi="Arial"/>
          <w:sz w:val="12"/>
        </w:rPr>
      </w:pPr>
      <w:r>
        <w:rPr>
          <w:rFonts w:ascii="Arial" w:hAnsi="Arial"/>
          <w:sz w:val="18"/>
        </w:rPr>
        <w:t>Pedro Hernández-Aguirre</w:t>
      </w:r>
      <w:r>
        <w:rPr>
          <w:rFonts w:ascii="Arial" w:hAnsi="Arial"/>
          <w:position w:val="6"/>
          <w:sz w:val="12"/>
        </w:rPr>
        <w:t>1</w:t>
      </w:r>
      <w:r>
        <w:rPr>
          <w:rFonts w:ascii="Arial" w:hAnsi="Arial"/>
          <w:sz w:val="18"/>
        </w:rPr>
        <w:t>, José Luis Morales-Hernández</w:t>
      </w:r>
      <w:r>
        <w:rPr>
          <w:rFonts w:ascii="Arial" w:hAnsi="Arial"/>
          <w:position w:val="6"/>
          <w:sz w:val="12"/>
        </w:rPr>
        <w:t>1</w:t>
      </w:r>
      <w:r>
        <w:rPr>
          <w:rFonts w:ascii="Arial" w:hAnsi="Arial"/>
          <w:sz w:val="18"/>
        </w:rPr>
        <w:t>, Samuel Rebollar-Rebollar</w:t>
      </w:r>
      <w:r>
        <w:rPr>
          <w:rFonts w:ascii="Arial" w:hAnsi="Arial"/>
          <w:position w:val="6"/>
          <w:sz w:val="12"/>
        </w:rPr>
        <w:t>1</w:t>
      </w:r>
      <w:r>
        <w:rPr>
          <w:rFonts w:ascii="Arial" w:hAnsi="Arial"/>
          <w:sz w:val="18"/>
        </w:rPr>
        <w:t>, Juvencio Hernández- Martínez</w:t>
      </w:r>
      <w:r>
        <w:rPr>
          <w:rFonts w:ascii="Arial" w:hAnsi="Arial"/>
          <w:position w:val="6"/>
          <w:sz w:val="12"/>
        </w:rPr>
        <w:t>1</w:t>
      </w:r>
    </w:p>
    <w:p>
      <w:pPr>
        <w:spacing w:before="161"/>
        <w:ind w:left="122" w:right="118" w:firstLine="0"/>
        <w:jc w:val="center"/>
        <w:rPr>
          <w:rFonts w:ascii="Arial"/>
          <w:b/>
          <w:sz w:val="24"/>
        </w:rPr>
      </w:pPr>
      <w:r>
        <w:rPr>
          <w:rFonts w:ascii="Arial"/>
          <w:b/>
          <w:sz w:val="24"/>
        </w:rPr>
        <w:t>Resumen</w:t>
      </w:r>
    </w:p>
    <w:p>
      <w:pPr>
        <w:pStyle w:val="BodyText"/>
        <w:spacing w:before="6"/>
        <w:rPr>
          <w:rFonts w:ascii="Arial"/>
          <w:b/>
          <w:sz w:val="25"/>
        </w:rPr>
      </w:pPr>
    </w:p>
    <w:p>
      <w:pPr>
        <w:pStyle w:val="BodyText"/>
        <w:spacing w:line="360" w:lineRule="auto"/>
        <w:ind w:left="122" w:right="115"/>
        <w:jc w:val="both"/>
      </w:pPr>
      <w:r>
        <w:rPr/>
        <w:t>En</w:t>
      </w:r>
      <w:r>
        <w:rPr>
          <w:spacing w:val="-5"/>
        </w:rPr>
        <w:t> </w:t>
      </w:r>
      <w:r>
        <w:rPr/>
        <w:t>México</w:t>
      </w:r>
      <w:r>
        <w:rPr>
          <w:spacing w:val="-7"/>
        </w:rPr>
        <w:t> </w:t>
      </w:r>
      <w:r>
        <w:rPr/>
        <w:t>los</w:t>
      </w:r>
      <w:r>
        <w:rPr>
          <w:spacing w:val="-8"/>
        </w:rPr>
        <w:t> </w:t>
      </w:r>
      <w:r>
        <w:rPr/>
        <w:t>bovinos</w:t>
      </w:r>
      <w:r>
        <w:rPr>
          <w:spacing w:val="-6"/>
        </w:rPr>
        <w:t> </w:t>
      </w:r>
      <w:r>
        <w:rPr/>
        <w:t>representan</w:t>
      </w:r>
      <w:r>
        <w:rPr>
          <w:spacing w:val="-5"/>
        </w:rPr>
        <w:t> </w:t>
      </w:r>
      <w:r>
        <w:rPr/>
        <w:t>una</w:t>
      </w:r>
      <w:r>
        <w:rPr>
          <w:spacing w:val="-6"/>
        </w:rPr>
        <w:t> </w:t>
      </w:r>
      <w:r>
        <w:rPr/>
        <w:t>actividad</w:t>
      </w:r>
      <w:r>
        <w:rPr>
          <w:spacing w:val="-7"/>
        </w:rPr>
        <w:t> </w:t>
      </w:r>
      <w:r>
        <w:rPr/>
        <w:t>económica</w:t>
      </w:r>
      <w:r>
        <w:rPr>
          <w:spacing w:val="-6"/>
        </w:rPr>
        <w:t> </w:t>
      </w:r>
      <w:r>
        <w:rPr/>
        <w:t>muy</w:t>
      </w:r>
      <w:r>
        <w:rPr>
          <w:spacing w:val="-10"/>
        </w:rPr>
        <w:t> </w:t>
      </w:r>
      <w:r>
        <w:rPr/>
        <w:t>importante</w:t>
      </w:r>
      <w:r>
        <w:rPr>
          <w:spacing w:val="-9"/>
        </w:rPr>
        <w:t> </w:t>
      </w:r>
      <w:r>
        <w:rPr/>
        <w:t>para</w:t>
      </w:r>
      <w:r>
        <w:rPr>
          <w:spacing w:val="-6"/>
        </w:rPr>
        <w:t> </w:t>
      </w:r>
      <w:r>
        <w:rPr/>
        <w:t>el</w:t>
      </w:r>
      <w:r>
        <w:rPr>
          <w:spacing w:val="-6"/>
        </w:rPr>
        <w:t> </w:t>
      </w:r>
      <w:r>
        <w:rPr/>
        <w:t>sector</w:t>
      </w:r>
      <w:r>
        <w:rPr>
          <w:spacing w:val="-7"/>
        </w:rPr>
        <w:t> </w:t>
      </w:r>
      <w:r>
        <w:rPr/>
        <w:t>rural y se lleva a cabo a lo largo y ancho del territorio. El objetivo de este trabajo fue estimar una función de producción Cobb-Douglas en los bovinos carne del Sur del Estado de México para conocer los rendimientos a escala de la producción que resulten de la suma de las elasticidades parciales</w:t>
      </w:r>
      <w:r>
        <w:rPr>
          <w:spacing w:val="-4"/>
        </w:rPr>
        <w:t> </w:t>
      </w:r>
      <w:r>
        <w:rPr/>
        <w:t>de</w:t>
      </w:r>
      <w:r>
        <w:rPr>
          <w:spacing w:val="-3"/>
        </w:rPr>
        <w:t> </w:t>
      </w:r>
      <w:r>
        <w:rPr/>
        <w:t>cada</w:t>
      </w:r>
      <w:r>
        <w:rPr>
          <w:spacing w:val="-5"/>
        </w:rPr>
        <w:t> </w:t>
      </w:r>
      <w:r>
        <w:rPr/>
        <w:t>una</w:t>
      </w:r>
      <w:r>
        <w:rPr>
          <w:spacing w:val="-3"/>
        </w:rPr>
        <w:t> </w:t>
      </w:r>
      <w:r>
        <w:rPr/>
        <w:t>de</w:t>
      </w:r>
      <w:r>
        <w:rPr>
          <w:spacing w:val="-5"/>
        </w:rPr>
        <w:t> </w:t>
      </w:r>
      <w:r>
        <w:rPr/>
        <w:t>las</w:t>
      </w:r>
      <w:r>
        <w:rPr>
          <w:spacing w:val="-4"/>
        </w:rPr>
        <w:t> </w:t>
      </w:r>
      <w:r>
        <w:rPr/>
        <w:t>variables</w:t>
      </w:r>
      <w:r>
        <w:rPr>
          <w:spacing w:val="-4"/>
        </w:rPr>
        <w:t> </w:t>
      </w:r>
      <w:r>
        <w:rPr/>
        <w:t>de</w:t>
      </w:r>
      <w:r>
        <w:rPr>
          <w:spacing w:val="-5"/>
        </w:rPr>
        <w:t> </w:t>
      </w:r>
      <w:r>
        <w:rPr/>
        <w:t>estudio.</w:t>
      </w:r>
      <w:r>
        <w:rPr>
          <w:spacing w:val="-6"/>
        </w:rPr>
        <w:t> </w:t>
      </w:r>
      <w:r>
        <w:rPr/>
        <w:t>En</w:t>
      </w:r>
      <w:r>
        <w:rPr>
          <w:spacing w:val="-8"/>
        </w:rPr>
        <w:t> </w:t>
      </w:r>
      <w:r>
        <w:rPr/>
        <w:t>esta</w:t>
      </w:r>
      <w:r>
        <w:rPr>
          <w:spacing w:val="-5"/>
        </w:rPr>
        <w:t> </w:t>
      </w:r>
      <w:r>
        <w:rPr/>
        <w:t>zona,</w:t>
      </w:r>
      <w:r>
        <w:rPr>
          <w:spacing w:val="-6"/>
        </w:rPr>
        <w:t> </w:t>
      </w:r>
      <w:r>
        <w:rPr/>
        <w:t>este</w:t>
      </w:r>
      <w:r>
        <w:rPr>
          <w:spacing w:val="-5"/>
        </w:rPr>
        <w:t> </w:t>
      </w:r>
      <w:r>
        <w:rPr/>
        <w:t>tipo</w:t>
      </w:r>
      <w:r>
        <w:rPr>
          <w:spacing w:val="-3"/>
        </w:rPr>
        <w:t> </w:t>
      </w:r>
      <w:r>
        <w:rPr/>
        <w:t>de</w:t>
      </w:r>
      <w:r>
        <w:rPr>
          <w:spacing w:val="-3"/>
        </w:rPr>
        <w:t> </w:t>
      </w:r>
      <w:r>
        <w:rPr/>
        <w:t>ganadería</w:t>
      </w:r>
      <w:r>
        <w:rPr>
          <w:spacing w:val="-3"/>
        </w:rPr>
        <w:t> </w:t>
      </w:r>
      <w:r>
        <w:rPr/>
        <w:t>se</w:t>
      </w:r>
      <w:r>
        <w:rPr>
          <w:spacing w:val="-3"/>
        </w:rPr>
        <w:t> </w:t>
      </w:r>
      <w:r>
        <w:rPr/>
        <w:t>practica más por las condiciones naturales que por inducción y transferencia tecnológica. En esta investigación los factores considerados fueron las hectáreas de pastizal natural, el total de animales y los gastos de alimentación los cuales son las variables independientes y que explican a</w:t>
      </w:r>
      <w:r>
        <w:rPr>
          <w:spacing w:val="-12"/>
        </w:rPr>
        <w:t> </w:t>
      </w:r>
      <w:r>
        <w:rPr/>
        <w:t>la</w:t>
      </w:r>
      <w:r>
        <w:rPr>
          <w:spacing w:val="-14"/>
        </w:rPr>
        <w:t> </w:t>
      </w:r>
      <w:r>
        <w:rPr/>
        <w:t>variable</w:t>
      </w:r>
      <w:r>
        <w:rPr>
          <w:spacing w:val="-12"/>
        </w:rPr>
        <w:t> </w:t>
      </w:r>
      <w:r>
        <w:rPr/>
        <w:t>dependiente,</w:t>
      </w:r>
      <w:r>
        <w:rPr>
          <w:spacing w:val="-15"/>
        </w:rPr>
        <w:t> </w:t>
      </w:r>
      <w:r>
        <w:rPr/>
        <w:t>que</w:t>
      </w:r>
      <w:r>
        <w:rPr>
          <w:spacing w:val="-12"/>
        </w:rPr>
        <w:t> </w:t>
      </w:r>
      <w:r>
        <w:rPr/>
        <w:t>es</w:t>
      </w:r>
      <w:r>
        <w:rPr>
          <w:spacing w:val="-14"/>
        </w:rPr>
        <w:t> </w:t>
      </w:r>
      <w:r>
        <w:rPr/>
        <w:t>la</w:t>
      </w:r>
      <w:r>
        <w:rPr>
          <w:spacing w:val="-12"/>
        </w:rPr>
        <w:t> </w:t>
      </w:r>
      <w:r>
        <w:rPr/>
        <w:t>producción</w:t>
      </w:r>
      <w:r>
        <w:rPr>
          <w:spacing w:val="-13"/>
        </w:rPr>
        <w:t> </w:t>
      </w:r>
      <w:r>
        <w:rPr/>
        <w:t>total</w:t>
      </w:r>
      <w:r>
        <w:rPr>
          <w:spacing w:val="-15"/>
        </w:rPr>
        <w:t> </w:t>
      </w:r>
      <w:r>
        <w:rPr/>
        <w:t>de</w:t>
      </w:r>
      <w:r>
        <w:rPr>
          <w:spacing w:val="-12"/>
        </w:rPr>
        <w:t> </w:t>
      </w:r>
      <w:r>
        <w:rPr/>
        <w:t>carne.</w:t>
      </w:r>
      <w:r>
        <w:rPr>
          <w:spacing w:val="-13"/>
        </w:rPr>
        <w:t> </w:t>
      </w:r>
      <w:r>
        <w:rPr/>
        <w:t>Al</w:t>
      </w:r>
      <w:r>
        <w:rPr>
          <w:spacing w:val="-13"/>
        </w:rPr>
        <w:t> </w:t>
      </w:r>
      <w:r>
        <w:rPr/>
        <w:t>sumar</w:t>
      </w:r>
      <w:r>
        <w:rPr>
          <w:spacing w:val="-15"/>
        </w:rPr>
        <w:t> </w:t>
      </w:r>
      <w:r>
        <w:rPr/>
        <w:t>las</w:t>
      </w:r>
      <w:r>
        <w:rPr>
          <w:spacing w:val="-15"/>
        </w:rPr>
        <w:t> </w:t>
      </w:r>
      <w:r>
        <w:rPr/>
        <w:t>elasticidades</w:t>
      </w:r>
      <w:r>
        <w:rPr>
          <w:spacing w:val="-14"/>
        </w:rPr>
        <w:t> </w:t>
      </w:r>
      <w:r>
        <w:rPr/>
        <w:t>parciales de cada una de las variables se obtuvo un valor mayor a 1, lo cual nos muestra que en los cuatro municipios de estudio se tienen rendimientos a escala crecientes de la producción, lo cual significa que al incrementar los insumos en cierta proporción la producción de carne se incrementará a una mayor proporción. No es necesario incrementar la superficie de pastizal natural y los gastos en alimentación para incrementar la producción de carne, pero si se requiere aumentar la cantidad de</w:t>
      </w:r>
      <w:r>
        <w:rPr>
          <w:spacing w:val="-15"/>
        </w:rPr>
        <w:t> </w:t>
      </w:r>
      <w:r>
        <w:rPr/>
        <w:t>animales.</w:t>
      </w:r>
    </w:p>
    <w:p>
      <w:pPr>
        <w:pStyle w:val="BodyText"/>
        <w:spacing w:before="2"/>
        <w:ind w:left="122"/>
        <w:jc w:val="both"/>
      </w:pPr>
      <w:r>
        <w:rPr>
          <w:b/>
          <w:sz w:val="22"/>
        </w:rPr>
        <w:t>Palabras clave</w:t>
      </w:r>
      <w:r>
        <w:rPr>
          <w:sz w:val="22"/>
        </w:rPr>
        <w:t>: </w:t>
      </w:r>
      <w:r>
        <w:rPr/>
        <w:t>relación insumo-producto, rendimientos a escala, cuatro municipios.</w:t>
      </w:r>
    </w:p>
    <w:p>
      <w:pPr>
        <w:spacing w:after="0"/>
        <w:jc w:val="both"/>
        <w:sectPr>
          <w:headerReference w:type="default" r:id="rId132"/>
          <w:footerReference w:type="default" r:id="rId133"/>
          <w:pgSz w:w="12240" w:h="15840"/>
          <w:pgMar w:header="1873" w:footer="1499" w:top="2060" w:bottom="1680" w:left="1580" w:right="1580"/>
          <w:pgNumType w:start="50"/>
        </w:sectPr>
      </w:pPr>
    </w:p>
    <w:p>
      <w:pPr>
        <w:pStyle w:val="BodyText"/>
        <w:rPr>
          <w:sz w:val="20"/>
        </w:rPr>
      </w:pPr>
    </w:p>
    <w:p>
      <w:pPr>
        <w:pStyle w:val="BodyText"/>
        <w:rPr>
          <w:sz w:val="20"/>
        </w:rPr>
      </w:pPr>
    </w:p>
    <w:p>
      <w:pPr>
        <w:pStyle w:val="Heading3"/>
        <w:spacing w:before="70"/>
        <w:ind w:right="122"/>
        <w:rPr>
          <w:rFonts w:ascii="Arial"/>
        </w:rPr>
      </w:pPr>
      <w:r>
        <w:rPr>
          <w:rFonts w:ascii="Arial"/>
        </w:rPr>
        <w:t>Abstract</w:t>
      </w:r>
    </w:p>
    <w:p>
      <w:pPr>
        <w:pStyle w:val="BodyText"/>
        <w:spacing w:before="6"/>
        <w:rPr>
          <w:rFonts w:ascii="Arial"/>
          <w:b/>
          <w:sz w:val="25"/>
        </w:rPr>
      </w:pPr>
    </w:p>
    <w:p>
      <w:pPr>
        <w:pStyle w:val="BodyText"/>
        <w:spacing w:line="360" w:lineRule="auto"/>
        <w:ind w:left="122" w:right="115"/>
        <w:jc w:val="both"/>
      </w:pPr>
      <w:r>
        <w:rPr/>
        <w:t>In</w:t>
      </w:r>
      <w:r>
        <w:rPr>
          <w:spacing w:val="-7"/>
        </w:rPr>
        <w:t> </w:t>
      </w:r>
      <w:r>
        <w:rPr/>
        <w:t>Mexico</w:t>
      </w:r>
      <w:r>
        <w:rPr>
          <w:spacing w:val="-10"/>
        </w:rPr>
        <w:t> </w:t>
      </w:r>
      <w:r>
        <w:rPr/>
        <w:t>cattle</w:t>
      </w:r>
      <w:r>
        <w:rPr>
          <w:spacing w:val="-6"/>
        </w:rPr>
        <w:t> </w:t>
      </w:r>
      <w:r>
        <w:rPr/>
        <w:t>represent</w:t>
      </w:r>
      <w:r>
        <w:rPr>
          <w:spacing w:val="-9"/>
        </w:rPr>
        <w:t> </w:t>
      </w:r>
      <w:r>
        <w:rPr/>
        <w:t>a</w:t>
      </w:r>
      <w:r>
        <w:rPr>
          <w:spacing w:val="-6"/>
        </w:rPr>
        <w:t> </w:t>
      </w:r>
      <w:r>
        <w:rPr/>
        <w:t>very</w:t>
      </w:r>
      <w:r>
        <w:rPr>
          <w:spacing w:val="-12"/>
        </w:rPr>
        <w:t> </w:t>
      </w:r>
      <w:r>
        <w:rPr/>
        <w:t>important</w:t>
      </w:r>
      <w:r>
        <w:rPr>
          <w:spacing w:val="-9"/>
        </w:rPr>
        <w:t> </w:t>
      </w:r>
      <w:r>
        <w:rPr/>
        <w:t>economic</w:t>
      </w:r>
      <w:r>
        <w:rPr>
          <w:spacing w:val="-9"/>
        </w:rPr>
        <w:t> </w:t>
      </w:r>
      <w:r>
        <w:rPr/>
        <w:t>activity</w:t>
      </w:r>
      <w:r>
        <w:rPr>
          <w:spacing w:val="-10"/>
        </w:rPr>
        <w:t> </w:t>
      </w:r>
      <w:r>
        <w:rPr/>
        <w:t>for</w:t>
      </w:r>
      <w:r>
        <w:rPr>
          <w:spacing w:val="-2"/>
        </w:rPr>
        <w:t> </w:t>
      </w:r>
      <w:r>
        <w:rPr/>
        <w:t>the</w:t>
      </w:r>
      <w:r>
        <w:rPr>
          <w:spacing w:val="-6"/>
        </w:rPr>
        <w:t> </w:t>
      </w:r>
      <w:r>
        <w:rPr/>
        <w:t>rural</w:t>
      </w:r>
      <w:r>
        <w:rPr>
          <w:spacing w:val="-9"/>
        </w:rPr>
        <w:t> </w:t>
      </w:r>
      <w:r>
        <w:rPr/>
        <w:t>sector</w:t>
      </w:r>
      <w:r>
        <w:rPr>
          <w:spacing w:val="-7"/>
        </w:rPr>
        <w:t> </w:t>
      </w:r>
      <w:r>
        <w:rPr/>
        <w:t>and</w:t>
      </w:r>
      <w:r>
        <w:rPr>
          <w:spacing w:val="-10"/>
        </w:rPr>
        <w:t> </w:t>
      </w:r>
      <w:r>
        <w:rPr/>
        <w:t>it</w:t>
      </w:r>
      <w:r>
        <w:rPr>
          <w:spacing w:val="-9"/>
        </w:rPr>
        <w:t> </w:t>
      </w:r>
      <w:r>
        <w:rPr/>
        <w:t>is</w:t>
      </w:r>
      <w:r>
        <w:rPr>
          <w:spacing w:val="-10"/>
        </w:rPr>
        <w:t> </w:t>
      </w:r>
      <w:r>
        <w:rPr/>
        <w:t>carried out throughout the territory. In this zone, in this area this type of farming is practiced more by natural conditions that by induction and technological transfer. In this research were the factors considered hectares of natural grassland, the total number of animals and food costs, which are the</w:t>
      </w:r>
      <w:r>
        <w:rPr>
          <w:spacing w:val="-5"/>
        </w:rPr>
        <w:t> </w:t>
      </w:r>
      <w:r>
        <w:rPr/>
        <w:t>independent</w:t>
      </w:r>
      <w:r>
        <w:rPr>
          <w:spacing w:val="-5"/>
        </w:rPr>
        <w:t> </w:t>
      </w:r>
      <w:r>
        <w:rPr/>
        <w:t>variables</w:t>
      </w:r>
      <w:r>
        <w:rPr>
          <w:spacing w:val="-7"/>
        </w:rPr>
        <w:t> </w:t>
      </w:r>
      <w:r>
        <w:rPr/>
        <w:t>and</w:t>
      </w:r>
      <w:r>
        <w:rPr>
          <w:spacing w:val="-6"/>
        </w:rPr>
        <w:t> </w:t>
      </w:r>
      <w:r>
        <w:rPr/>
        <w:t>the</w:t>
      </w:r>
      <w:r>
        <w:rPr>
          <w:spacing w:val="-5"/>
        </w:rPr>
        <w:t> </w:t>
      </w:r>
      <w:r>
        <w:rPr/>
        <w:t>dependent</w:t>
      </w:r>
      <w:r>
        <w:rPr>
          <w:spacing w:val="-5"/>
        </w:rPr>
        <w:t> </w:t>
      </w:r>
      <w:r>
        <w:rPr/>
        <w:t>variable</w:t>
      </w:r>
      <w:r>
        <w:rPr>
          <w:spacing w:val="-5"/>
        </w:rPr>
        <w:t> </w:t>
      </w:r>
      <w:r>
        <w:rPr/>
        <w:t>explained</w:t>
      </w:r>
      <w:r>
        <w:rPr>
          <w:spacing w:val="-6"/>
        </w:rPr>
        <w:t> </w:t>
      </w:r>
      <w:r>
        <w:rPr/>
        <w:t>that</w:t>
      </w:r>
      <w:r>
        <w:rPr>
          <w:spacing w:val="-5"/>
        </w:rPr>
        <w:t> </w:t>
      </w:r>
      <w:r>
        <w:rPr/>
        <w:t>is</w:t>
      </w:r>
      <w:r>
        <w:rPr>
          <w:spacing w:val="-7"/>
        </w:rPr>
        <w:t> </w:t>
      </w:r>
      <w:r>
        <w:rPr/>
        <w:t>the</w:t>
      </w:r>
      <w:r>
        <w:rPr>
          <w:spacing w:val="-5"/>
        </w:rPr>
        <w:t> </w:t>
      </w:r>
      <w:r>
        <w:rPr/>
        <w:t>total</w:t>
      </w:r>
      <w:r>
        <w:rPr>
          <w:spacing w:val="-5"/>
        </w:rPr>
        <w:t> </w:t>
      </w:r>
      <w:r>
        <w:rPr/>
        <w:t>meat</w:t>
      </w:r>
      <w:r>
        <w:rPr>
          <w:spacing w:val="-5"/>
        </w:rPr>
        <w:t> </w:t>
      </w:r>
      <w:r>
        <w:rPr/>
        <w:t>production. Adding the partial elasticities of each of the variables larger than 1 value was obtained, which shows that in the four municipalities of study have increasing returns to scale production, which means that increasing inputs in certain proportion, total meat production will increase to more proportion.</w:t>
      </w:r>
    </w:p>
    <w:p>
      <w:pPr>
        <w:pStyle w:val="BodyText"/>
        <w:rPr>
          <w:sz w:val="22"/>
        </w:rPr>
      </w:pPr>
    </w:p>
    <w:p>
      <w:pPr>
        <w:pStyle w:val="BodyText"/>
        <w:spacing w:line="360" w:lineRule="auto" w:before="149"/>
        <w:ind w:left="122" w:right="122"/>
        <w:jc w:val="both"/>
      </w:pPr>
      <w:r>
        <w:rPr/>
        <w:t>It is not necessary to increase the area of natural grassland and food expenses to increase meat production, but is required increase the number of animals.</w:t>
      </w:r>
    </w:p>
    <w:p>
      <w:pPr>
        <w:pStyle w:val="BodyText"/>
        <w:spacing w:before="6"/>
        <w:ind w:left="122"/>
        <w:jc w:val="both"/>
      </w:pPr>
      <w:r>
        <w:rPr>
          <w:b/>
        </w:rPr>
        <w:t>Keywords</w:t>
      </w:r>
      <w:r>
        <w:rPr/>
        <w:t>: input-output relationship, returns to scale, four municipalities.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1"/>
        </w:rPr>
      </w:pPr>
      <w:r>
        <w:rPr/>
        <w:pict>
          <v:line style="position:absolute;mso-position-horizontal-relative:page;mso-position-vertical-relative:paragraph;z-index:3712;mso-wrap-distance-left:0;mso-wrap-distance-right:0" from="85.103996pt,14.229889pt" to="525.960017pt,14.229889pt" stroked="true" strokeweight=".36pt" strokecolor="#000000">
            <w10:wrap type="topAndBottom"/>
          </v:line>
        </w:pict>
      </w:r>
    </w:p>
    <w:p>
      <w:pPr>
        <w:spacing w:after="0"/>
        <w:rPr>
          <w:sz w:val="21"/>
        </w:rPr>
        <w:sectPr>
          <w:headerReference w:type="default" r:id="rId134"/>
          <w:footerReference w:type="default" r:id="rId135"/>
          <w:pgSz w:w="12240" w:h="15840"/>
          <w:pgMar w:header="1434" w:footer="1832" w:top="1740" w:bottom="2020" w:left="1580" w:right="1580"/>
        </w:sectPr>
      </w:pPr>
    </w:p>
    <w:p>
      <w:pPr>
        <w:pStyle w:val="BodyText"/>
        <w:rPr>
          <w:sz w:val="20"/>
        </w:rPr>
      </w:pPr>
    </w:p>
    <w:p>
      <w:pPr>
        <w:pStyle w:val="BodyText"/>
        <w:rPr>
          <w:sz w:val="20"/>
        </w:rPr>
      </w:pPr>
    </w:p>
    <w:p>
      <w:pPr>
        <w:pStyle w:val="Heading3"/>
        <w:spacing w:before="70"/>
        <w:ind w:right="121"/>
        <w:rPr>
          <w:rFonts w:ascii="Arial" w:hAnsi="Arial"/>
        </w:rPr>
      </w:pPr>
      <w:r>
        <w:rPr>
          <w:rFonts w:ascii="Arial" w:hAnsi="Arial"/>
        </w:rPr>
        <w:t>Introducción</w:t>
      </w:r>
    </w:p>
    <w:p>
      <w:pPr>
        <w:pStyle w:val="BodyText"/>
        <w:spacing w:before="6"/>
        <w:rPr>
          <w:rFonts w:ascii="Arial"/>
          <w:b/>
          <w:sz w:val="25"/>
        </w:rPr>
      </w:pPr>
    </w:p>
    <w:p>
      <w:pPr>
        <w:pStyle w:val="BodyText"/>
        <w:spacing w:line="360" w:lineRule="auto"/>
        <w:ind w:left="122" w:right="117"/>
        <w:jc w:val="both"/>
      </w:pPr>
      <w:r>
        <w:rPr/>
        <w:t>El Estado de México aporta el 3% (85,865 ton) de la producción nacional de ganado bovino en pie,</w:t>
      </w:r>
      <w:r>
        <w:rPr>
          <w:spacing w:val="-9"/>
        </w:rPr>
        <w:t> </w:t>
      </w:r>
      <w:r>
        <w:rPr/>
        <w:t>concentrándose</w:t>
      </w:r>
      <w:r>
        <w:rPr>
          <w:spacing w:val="-8"/>
        </w:rPr>
        <w:t> </w:t>
      </w:r>
      <w:r>
        <w:rPr/>
        <w:t>la</w:t>
      </w:r>
      <w:r>
        <w:rPr>
          <w:spacing w:val="-8"/>
        </w:rPr>
        <w:t> </w:t>
      </w:r>
      <w:r>
        <w:rPr/>
        <w:t>mayor</w:t>
      </w:r>
      <w:r>
        <w:rPr>
          <w:spacing w:val="-6"/>
        </w:rPr>
        <w:t> </w:t>
      </w:r>
      <w:r>
        <w:rPr/>
        <w:t>producción</w:t>
      </w:r>
      <w:r>
        <w:rPr>
          <w:spacing w:val="-9"/>
        </w:rPr>
        <w:t> </w:t>
      </w:r>
      <w:r>
        <w:rPr/>
        <w:t>en</w:t>
      </w:r>
      <w:r>
        <w:rPr>
          <w:spacing w:val="-9"/>
        </w:rPr>
        <w:t> </w:t>
      </w:r>
      <w:r>
        <w:rPr/>
        <w:t>el</w:t>
      </w:r>
      <w:r>
        <w:rPr>
          <w:spacing w:val="-8"/>
        </w:rPr>
        <w:t> </w:t>
      </w:r>
      <w:r>
        <w:rPr/>
        <w:t>distrito</w:t>
      </w:r>
      <w:r>
        <w:rPr>
          <w:spacing w:val="-9"/>
        </w:rPr>
        <w:t> </w:t>
      </w:r>
      <w:r>
        <w:rPr/>
        <w:t>de</w:t>
      </w:r>
      <w:r>
        <w:rPr>
          <w:spacing w:val="-8"/>
        </w:rPr>
        <w:t> </w:t>
      </w:r>
      <w:r>
        <w:rPr/>
        <w:t>Atlacomulco</w:t>
      </w:r>
      <w:r>
        <w:rPr>
          <w:spacing w:val="-9"/>
        </w:rPr>
        <w:t> </w:t>
      </w:r>
      <w:r>
        <w:rPr/>
        <w:t>con</w:t>
      </w:r>
      <w:r>
        <w:rPr>
          <w:spacing w:val="-9"/>
        </w:rPr>
        <w:t> </w:t>
      </w:r>
      <w:r>
        <w:rPr/>
        <w:t>un</w:t>
      </w:r>
      <w:r>
        <w:rPr>
          <w:spacing w:val="-11"/>
        </w:rPr>
        <w:t> </w:t>
      </w:r>
      <w:r>
        <w:rPr/>
        <w:t>21%</w:t>
      </w:r>
      <w:r>
        <w:rPr>
          <w:spacing w:val="-9"/>
        </w:rPr>
        <w:t> </w:t>
      </w:r>
      <w:r>
        <w:rPr/>
        <w:t>(17,845</w:t>
      </w:r>
      <w:r>
        <w:rPr>
          <w:spacing w:val="-9"/>
        </w:rPr>
        <w:t> </w:t>
      </w:r>
      <w:r>
        <w:rPr/>
        <w:t>ton), seguido</w:t>
      </w:r>
      <w:r>
        <w:rPr>
          <w:spacing w:val="-11"/>
        </w:rPr>
        <w:t> </w:t>
      </w:r>
      <w:r>
        <w:rPr/>
        <w:t>por</w:t>
      </w:r>
      <w:r>
        <w:rPr>
          <w:spacing w:val="-11"/>
        </w:rPr>
        <w:t> </w:t>
      </w:r>
      <w:r>
        <w:rPr/>
        <w:t>el</w:t>
      </w:r>
      <w:r>
        <w:rPr>
          <w:spacing w:val="-11"/>
        </w:rPr>
        <w:t> </w:t>
      </w:r>
      <w:r>
        <w:rPr/>
        <w:t>distrito</w:t>
      </w:r>
      <w:r>
        <w:rPr>
          <w:spacing w:val="-11"/>
        </w:rPr>
        <w:t> </w:t>
      </w:r>
      <w:r>
        <w:rPr/>
        <w:t>de</w:t>
      </w:r>
      <w:r>
        <w:rPr>
          <w:spacing w:val="-10"/>
        </w:rPr>
        <w:t> </w:t>
      </w:r>
      <w:r>
        <w:rPr/>
        <w:t>Tejupilco,</w:t>
      </w:r>
      <w:r>
        <w:rPr>
          <w:spacing w:val="-13"/>
        </w:rPr>
        <w:t> </w:t>
      </w:r>
      <w:r>
        <w:rPr/>
        <w:t>el</w:t>
      </w:r>
      <w:r>
        <w:rPr>
          <w:spacing w:val="-11"/>
        </w:rPr>
        <w:t> </w:t>
      </w:r>
      <w:r>
        <w:rPr/>
        <w:t>cual</w:t>
      </w:r>
      <w:r>
        <w:rPr>
          <w:spacing w:val="-13"/>
        </w:rPr>
        <w:t> </w:t>
      </w:r>
      <w:r>
        <w:rPr/>
        <w:t>aporta</w:t>
      </w:r>
      <w:r>
        <w:rPr>
          <w:spacing w:val="-10"/>
        </w:rPr>
        <w:t> </w:t>
      </w:r>
      <w:r>
        <w:rPr/>
        <w:t>el</w:t>
      </w:r>
      <w:r>
        <w:rPr>
          <w:spacing w:val="-11"/>
        </w:rPr>
        <w:t> </w:t>
      </w:r>
      <w:r>
        <w:rPr/>
        <w:t>18%</w:t>
      </w:r>
      <w:r>
        <w:rPr>
          <w:spacing w:val="-11"/>
        </w:rPr>
        <w:t> </w:t>
      </w:r>
      <w:r>
        <w:rPr/>
        <w:t>(15,001</w:t>
      </w:r>
      <w:r>
        <w:rPr>
          <w:spacing w:val="-11"/>
        </w:rPr>
        <w:t> </w:t>
      </w:r>
      <w:r>
        <w:rPr/>
        <w:t>ton)</w:t>
      </w:r>
      <w:r>
        <w:rPr>
          <w:spacing w:val="-11"/>
        </w:rPr>
        <w:t> </w:t>
      </w:r>
      <w:r>
        <w:rPr/>
        <w:t>(SIAP-SAGARPA,</w:t>
      </w:r>
      <w:r>
        <w:rPr>
          <w:spacing w:val="-11"/>
        </w:rPr>
        <w:t> </w:t>
      </w:r>
      <w:r>
        <w:rPr/>
        <w:t>2014). En el distrito de Tejupilco la producción se distribuye de la siguiente manera: Tlatlaya 30%, Amatepec 20%, Luvianos 16%, Tejupilco 15%, Temascaltepec 14% y San Simón de Guerrero 5%, de acuerdo a estos datos el sur del Estado de México tiene el potencial para la producción de bovinos carne y también es importante señalar que esta actividad pecuaria es una fuente de ingresos muy significativa para los ganaderos de esta región (SIAP-SAGARPA,</w:t>
      </w:r>
      <w:r>
        <w:rPr>
          <w:spacing w:val="-22"/>
        </w:rPr>
        <w:t> </w:t>
      </w:r>
      <w:r>
        <w:rPr/>
        <w:t>2014).</w:t>
      </w:r>
    </w:p>
    <w:p>
      <w:pPr>
        <w:pStyle w:val="BodyText"/>
        <w:spacing w:line="360" w:lineRule="auto" w:before="4"/>
        <w:ind w:left="122" w:right="119"/>
        <w:jc w:val="both"/>
      </w:pPr>
      <w:r>
        <w:rPr/>
        <w:t>Las razas de bovinos carne que predominan en este distrito son: charoláis, simbrah, suizo americano, suizo europeo, simmental y suizbu, las cuales ofrecen muy buenos resultados en la producción de carne y se adaptan a las condiciones climáticas de la región calentana del Estado de México.</w:t>
      </w:r>
    </w:p>
    <w:p>
      <w:pPr>
        <w:pStyle w:val="BodyText"/>
        <w:rPr>
          <w:sz w:val="22"/>
        </w:rPr>
      </w:pPr>
    </w:p>
    <w:p>
      <w:pPr>
        <w:pStyle w:val="BodyText"/>
        <w:spacing w:line="360" w:lineRule="auto" w:before="149"/>
        <w:ind w:left="122" w:right="123"/>
        <w:jc w:val="both"/>
      </w:pPr>
      <w:r>
        <w:rPr/>
        <w:t>La explotación se lleva a cabo en sistemas extensivos y semintensivos aprovechando el pastizal natural de las praderas y algunas variedades de pasto introducidas como estrella, llanero, brachiaria, entre otros (SAGARPA, 2014).</w:t>
      </w:r>
    </w:p>
    <w:p>
      <w:pPr>
        <w:pStyle w:val="BodyText"/>
        <w:spacing w:line="360" w:lineRule="auto" w:before="6"/>
        <w:ind w:left="122" w:right="117"/>
        <w:jc w:val="both"/>
      </w:pPr>
      <w:r>
        <w:rPr/>
        <w:t>En la producción de carne de bovino participan varios factores que aportan cierto porcentaje en la</w:t>
      </w:r>
      <w:r>
        <w:rPr>
          <w:spacing w:val="-7"/>
        </w:rPr>
        <w:t> </w:t>
      </w:r>
      <w:r>
        <w:rPr/>
        <w:t>producción</w:t>
      </w:r>
      <w:r>
        <w:rPr>
          <w:spacing w:val="-8"/>
        </w:rPr>
        <w:t> </w:t>
      </w:r>
      <w:r>
        <w:rPr/>
        <w:t>y</w:t>
      </w:r>
      <w:r>
        <w:rPr>
          <w:spacing w:val="-12"/>
        </w:rPr>
        <w:t> </w:t>
      </w:r>
      <w:r>
        <w:rPr/>
        <w:t>que</w:t>
      </w:r>
      <w:r>
        <w:rPr>
          <w:spacing w:val="-7"/>
        </w:rPr>
        <w:t> </w:t>
      </w:r>
      <w:r>
        <w:rPr/>
        <w:t>están</w:t>
      </w:r>
      <w:r>
        <w:rPr>
          <w:spacing w:val="-10"/>
        </w:rPr>
        <w:t> </w:t>
      </w:r>
      <w:r>
        <w:rPr/>
        <w:t>relacionados</w:t>
      </w:r>
      <w:r>
        <w:rPr>
          <w:spacing w:val="-8"/>
        </w:rPr>
        <w:t> </w:t>
      </w:r>
      <w:r>
        <w:rPr/>
        <w:t>entre</w:t>
      </w:r>
      <w:r>
        <w:rPr>
          <w:spacing w:val="-7"/>
        </w:rPr>
        <w:t> </w:t>
      </w:r>
      <w:r>
        <w:rPr/>
        <w:t>sí</w:t>
      </w:r>
      <w:r>
        <w:rPr>
          <w:spacing w:val="-8"/>
        </w:rPr>
        <w:t> </w:t>
      </w:r>
      <w:r>
        <w:rPr/>
        <w:t>de</w:t>
      </w:r>
      <w:r>
        <w:rPr>
          <w:spacing w:val="-9"/>
        </w:rPr>
        <w:t> </w:t>
      </w:r>
      <w:r>
        <w:rPr/>
        <w:t>cierta</w:t>
      </w:r>
      <w:r>
        <w:rPr>
          <w:spacing w:val="-9"/>
        </w:rPr>
        <w:t> </w:t>
      </w:r>
      <w:r>
        <w:rPr/>
        <w:t>manera.</w:t>
      </w:r>
      <w:r>
        <w:rPr>
          <w:spacing w:val="-8"/>
        </w:rPr>
        <w:t> </w:t>
      </w:r>
      <w:r>
        <w:rPr/>
        <w:t>Para</w:t>
      </w:r>
      <w:r>
        <w:rPr>
          <w:spacing w:val="-9"/>
        </w:rPr>
        <w:t> </w:t>
      </w:r>
      <w:r>
        <w:rPr/>
        <w:t>conocer</w:t>
      </w:r>
      <w:r>
        <w:rPr>
          <w:spacing w:val="-10"/>
        </w:rPr>
        <w:t> </w:t>
      </w:r>
      <w:r>
        <w:rPr/>
        <w:t>esta</w:t>
      </w:r>
      <w:r>
        <w:rPr>
          <w:spacing w:val="-7"/>
        </w:rPr>
        <w:t> </w:t>
      </w:r>
      <w:r>
        <w:rPr/>
        <w:t>relación</w:t>
      </w:r>
      <w:r>
        <w:rPr>
          <w:spacing w:val="-8"/>
        </w:rPr>
        <w:t> </w:t>
      </w:r>
      <w:r>
        <w:rPr/>
        <w:t>entre los factores o insumos y la producción es necesario utilizar las funciones de producción, las cuales son una herramienta fundamental para establecer la dependencia de la producción con respecto a los factores independientes (Aguirre,</w:t>
      </w:r>
      <w:r>
        <w:rPr>
          <w:spacing w:val="-20"/>
        </w:rPr>
        <w:t> </w:t>
      </w:r>
      <w:r>
        <w:rPr/>
        <w:t>1975).</w:t>
      </w:r>
    </w:p>
    <w:p>
      <w:pPr>
        <w:pStyle w:val="BodyText"/>
        <w:spacing w:line="360" w:lineRule="auto" w:before="4"/>
        <w:ind w:left="122" w:right="115"/>
        <w:jc w:val="both"/>
      </w:pPr>
      <w:r>
        <w:rPr/>
        <w:t>Las funciones de producción son expresiones matemáticas, las cuales conjugan conceptos económicos y estadísticos que explican la relación que existe entre el producto obtenido y la combinación de los factores.</w:t>
      </w:r>
    </w:p>
    <w:p>
      <w:pPr>
        <w:pStyle w:val="BodyText"/>
        <w:rPr>
          <w:sz w:val="20"/>
        </w:rPr>
      </w:pPr>
    </w:p>
    <w:p>
      <w:pPr>
        <w:pStyle w:val="BodyText"/>
        <w:rPr>
          <w:sz w:val="20"/>
        </w:rPr>
      </w:pPr>
    </w:p>
    <w:p>
      <w:pPr>
        <w:pStyle w:val="BodyText"/>
        <w:rPr>
          <w:sz w:val="20"/>
        </w:rPr>
      </w:pPr>
    </w:p>
    <w:p>
      <w:pPr>
        <w:pStyle w:val="BodyText"/>
        <w:spacing w:before="5"/>
      </w:pPr>
      <w:r>
        <w:rPr/>
        <w:pict>
          <v:line style="position:absolute;mso-position-horizontal-relative:page;mso-position-vertical-relative:paragraph;z-index:3736;mso-wrap-distance-left:0;mso-wrap-distance-right:0" from="85.103996pt,15.651695pt" to="525.960017pt,15.651695pt" stroked="true" strokeweight=".36pt" strokecolor="#000000">
            <w10:wrap type="topAndBottom"/>
          </v:line>
        </w:pict>
      </w:r>
    </w:p>
    <w:p>
      <w:pPr>
        <w:tabs>
          <w:tab w:pos="4003" w:val="left" w:leader="none"/>
          <w:tab w:pos="8240" w:val="left" w:leader="none"/>
        </w:tabs>
        <w:spacing w:before="73"/>
        <w:ind w:left="122" w:right="0"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52</w:t>
      </w:r>
    </w:p>
    <w:p>
      <w:pPr>
        <w:spacing w:after="0"/>
        <w:jc w:val="left"/>
        <w:rPr>
          <w:sz w:val="18"/>
        </w:rPr>
        <w:sectPr>
          <w:footerReference w:type="default" r:id="rId136"/>
          <w:pgSz w:w="12240" w:h="15840"/>
          <w:pgMar w:footer="1520" w:header="1434" w:top="1740" w:bottom="1700" w:left="1580" w:right="1580"/>
        </w:sectPr>
      </w:pP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pStyle w:val="BodyText"/>
        <w:rPr>
          <w:sz w:val="20"/>
        </w:rPr>
      </w:pPr>
    </w:p>
    <w:p>
      <w:pPr>
        <w:pStyle w:val="BodyText"/>
        <w:spacing w:before="3"/>
        <w:rPr>
          <w:sz w:val="19"/>
        </w:rPr>
      </w:pPr>
    </w:p>
    <w:p>
      <w:pPr>
        <w:pStyle w:val="BodyText"/>
        <w:spacing w:line="360" w:lineRule="auto" w:before="71"/>
        <w:ind w:left="122" w:right="100"/>
        <w:jc w:val="both"/>
      </w:pPr>
      <w:r>
        <w:rPr/>
        <w:t>Algunos componentes de las funciones de producción en la ganadería bovina de carne son: tipo de pastizal, superficie ganadera empleada en la producción, cantidad de alimento o suplemento empleado, gastos de sanidad del animal, y la mano de obra, de estos, los tres últimos son los de mayores limitaciones (Debertin, 1986).</w:t>
      </w:r>
    </w:p>
    <w:p>
      <w:pPr>
        <w:pStyle w:val="BodyText"/>
        <w:rPr>
          <w:sz w:val="22"/>
        </w:rPr>
      </w:pPr>
    </w:p>
    <w:p>
      <w:pPr>
        <w:pStyle w:val="BodyText"/>
        <w:rPr>
          <w:sz w:val="22"/>
        </w:rPr>
      </w:pPr>
    </w:p>
    <w:p>
      <w:pPr>
        <w:pStyle w:val="BodyText"/>
        <w:spacing w:line="360" w:lineRule="auto" w:before="136"/>
        <w:ind w:left="165" w:right="101"/>
        <w:jc w:val="both"/>
      </w:pPr>
      <w:r>
        <w:rPr/>
        <w:t>La función de producción de Cobb-Douglas es la función de producción más utilizada en economía, basada su popularidad en el cumplimiento de las propiedades básicas que los economistas consideran deseables. Es la función de producción neoclásica por excelencia (Sanchoa, 2005).</w:t>
      </w:r>
    </w:p>
    <w:p>
      <w:pPr>
        <w:pStyle w:val="BodyText"/>
        <w:spacing w:line="360" w:lineRule="auto" w:before="4"/>
        <w:ind w:left="122" w:right="98"/>
        <w:jc w:val="both"/>
      </w:pPr>
      <w:r>
        <w:rPr/>
        <w:t>La</w:t>
      </w:r>
      <w:r>
        <w:rPr>
          <w:spacing w:val="-4"/>
        </w:rPr>
        <w:t> </w:t>
      </w:r>
      <w:r>
        <w:rPr/>
        <w:t>aplicación</w:t>
      </w:r>
      <w:r>
        <w:rPr>
          <w:spacing w:val="-7"/>
        </w:rPr>
        <w:t> </w:t>
      </w:r>
      <w:r>
        <w:rPr/>
        <w:t>de</w:t>
      </w:r>
      <w:r>
        <w:rPr>
          <w:spacing w:val="-6"/>
        </w:rPr>
        <w:t> </w:t>
      </w:r>
      <w:r>
        <w:rPr/>
        <w:t>la</w:t>
      </w:r>
      <w:r>
        <w:rPr>
          <w:spacing w:val="-6"/>
        </w:rPr>
        <w:t> </w:t>
      </w:r>
      <w:r>
        <w:rPr/>
        <w:t>función</w:t>
      </w:r>
      <w:r>
        <w:rPr>
          <w:spacing w:val="-5"/>
        </w:rPr>
        <w:t> </w:t>
      </w:r>
      <w:r>
        <w:rPr/>
        <w:t>de</w:t>
      </w:r>
      <w:r>
        <w:rPr>
          <w:spacing w:val="-4"/>
        </w:rPr>
        <w:t> </w:t>
      </w:r>
      <w:r>
        <w:rPr/>
        <w:t>producción</w:t>
      </w:r>
      <w:r>
        <w:rPr>
          <w:spacing w:val="-5"/>
        </w:rPr>
        <w:t> </w:t>
      </w:r>
      <w:r>
        <w:rPr/>
        <w:t>nos</w:t>
      </w:r>
      <w:r>
        <w:rPr>
          <w:spacing w:val="-6"/>
        </w:rPr>
        <w:t> </w:t>
      </w:r>
      <w:r>
        <w:rPr/>
        <w:t>dará</w:t>
      </w:r>
      <w:r>
        <w:rPr>
          <w:spacing w:val="-4"/>
        </w:rPr>
        <w:t> </w:t>
      </w:r>
      <w:r>
        <w:rPr/>
        <w:t>la</w:t>
      </w:r>
      <w:r>
        <w:rPr>
          <w:spacing w:val="-4"/>
        </w:rPr>
        <w:t> </w:t>
      </w:r>
      <w:r>
        <w:rPr/>
        <w:t>economía</w:t>
      </w:r>
      <w:r>
        <w:rPr>
          <w:spacing w:val="-6"/>
        </w:rPr>
        <w:t> </w:t>
      </w:r>
      <w:r>
        <w:rPr/>
        <w:t>de</w:t>
      </w:r>
      <w:r>
        <w:rPr>
          <w:spacing w:val="-6"/>
        </w:rPr>
        <w:t> </w:t>
      </w:r>
      <w:r>
        <w:rPr/>
        <w:t>escala,</w:t>
      </w:r>
      <w:r>
        <w:rPr>
          <w:spacing w:val="-7"/>
        </w:rPr>
        <w:t> </w:t>
      </w:r>
      <w:r>
        <w:rPr/>
        <w:t>la</w:t>
      </w:r>
      <w:r>
        <w:rPr>
          <w:spacing w:val="-6"/>
        </w:rPr>
        <w:t> </w:t>
      </w:r>
      <w:r>
        <w:rPr/>
        <w:t>cual</w:t>
      </w:r>
      <w:r>
        <w:rPr>
          <w:spacing w:val="-4"/>
        </w:rPr>
        <w:t> </w:t>
      </w:r>
      <w:r>
        <w:rPr/>
        <w:t>nos</w:t>
      </w:r>
      <w:r>
        <w:rPr>
          <w:spacing w:val="-8"/>
        </w:rPr>
        <w:t> </w:t>
      </w:r>
      <w:r>
        <w:rPr/>
        <w:t>indicará</w:t>
      </w:r>
      <w:r>
        <w:rPr>
          <w:spacing w:val="-6"/>
        </w:rPr>
        <w:t> </w:t>
      </w:r>
      <w:r>
        <w:rPr/>
        <w:t>la eficiencia</w:t>
      </w:r>
      <w:r>
        <w:rPr>
          <w:spacing w:val="-6"/>
        </w:rPr>
        <w:t> </w:t>
      </w:r>
      <w:r>
        <w:rPr/>
        <w:t>técnica,</w:t>
      </w:r>
      <w:r>
        <w:rPr>
          <w:spacing w:val="-7"/>
        </w:rPr>
        <w:t> </w:t>
      </w:r>
      <w:r>
        <w:rPr/>
        <w:t>para</w:t>
      </w:r>
      <w:r>
        <w:rPr>
          <w:spacing w:val="-6"/>
        </w:rPr>
        <w:t> </w:t>
      </w:r>
      <w:r>
        <w:rPr/>
        <w:t>diseñar</w:t>
      </w:r>
      <w:r>
        <w:rPr>
          <w:spacing w:val="-7"/>
        </w:rPr>
        <w:t> </w:t>
      </w:r>
      <w:r>
        <w:rPr/>
        <w:t>políticas</w:t>
      </w:r>
      <w:r>
        <w:rPr>
          <w:spacing w:val="-8"/>
        </w:rPr>
        <w:t> </w:t>
      </w:r>
      <w:r>
        <w:rPr/>
        <w:t>que</w:t>
      </w:r>
      <w:r>
        <w:rPr>
          <w:spacing w:val="-9"/>
        </w:rPr>
        <w:t> </w:t>
      </w:r>
      <w:r>
        <w:rPr/>
        <w:t>ayuden</w:t>
      </w:r>
      <w:r>
        <w:rPr>
          <w:spacing w:val="-5"/>
        </w:rPr>
        <w:t> </w:t>
      </w:r>
      <w:r>
        <w:rPr/>
        <w:t>a</w:t>
      </w:r>
      <w:r>
        <w:rPr>
          <w:spacing w:val="-6"/>
        </w:rPr>
        <w:t> </w:t>
      </w:r>
      <w:r>
        <w:rPr/>
        <w:t>mejorar</w:t>
      </w:r>
      <w:r>
        <w:rPr>
          <w:spacing w:val="-7"/>
        </w:rPr>
        <w:t> </w:t>
      </w:r>
      <w:r>
        <w:rPr/>
        <w:t>los</w:t>
      </w:r>
      <w:r>
        <w:rPr>
          <w:spacing w:val="-8"/>
        </w:rPr>
        <w:t> </w:t>
      </w:r>
      <w:r>
        <w:rPr/>
        <w:t>rendimientos</w:t>
      </w:r>
      <w:r>
        <w:rPr>
          <w:spacing w:val="-8"/>
        </w:rPr>
        <w:t> </w:t>
      </w:r>
      <w:r>
        <w:rPr/>
        <w:t>en</w:t>
      </w:r>
      <w:r>
        <w:rPr>
          <w:spacing w:val="-7"/>
        </w:rPr>
        <w:t> </w:t>
      </w:r>
      <w:r>
        <w:rPr/>
        <w:t>la</w:t>
      </w:r>
      <w:r>
        <w:rPr>
          <w:spacing w:val="-6"/>
        </w:rPr>
        <w:t> </w:t>
      </w:r>
      <w:r>
        <w:rPr/>
        <w:t>producción de carne para la región, es decir nos indicara que cantidad de carne se puede producir y ofrecer al</w:t>
      </w:r>
      <w:r>
        <w:rPr>
          <w:spacing w:val="-3"/>
        </w:rPr>
        <w:t> </w:t>
      </w:r>
      <w:r>
        <w:rPr/>
        <w:t>mercado.</w:t>
      </w:r>
    </w:p>
    <w:p>
      <w:pPr>
        <w:pStyle w:val="BodyText"/>
        <w:spacing w:line="360" w:lineRule="auto" w:before="4"/>
        <w:ind w:left="122" w:right="105"/>
        <w:jc w:val="both"/>
      </w:pPr>
      <w:r>
        <w:rPr/>
        <w:t>El tipo de empresa ganadera en la región del Sur del Estado de México, carece de registros contables y financieros, y de un bajo nivel de registros técnicos, ambos se reflejan en un bajo acceso al crédito y baja productividad.</w:t>
      </w:r>
    </w:p>
    <w:p>
      <w:pPr>
        <w:pStyle w:val="BodyText"/>
        <w:spacing w:line="360" w:lineRule="auto" w:before="4"/>
        <w:ind w:left="122" w:right="103"/>
        <w:jc w:val="both"/>
      </w:pPr>
      <w:r>
        <w:rPr/>
        <w:t>Más de un 90% de las Pymes carece de un plan de negocios, incluido recientemente el sector ganadero, a mediano y largo plazo que les permita crecer de forma eficiente, lo que las lleva a ser poco competitivas y no generar los empleos que requiere el país (Álvarez, 2013).</w:t>
      </w:r>
    </w:p>
    <w:p>
      <w:pPr>
        <w:pStyle w:val="BodyText"/>
        <w:rPr>
          <w:sz w:val="22"/>
        </w:rPr>
      </w:pPr>
    </w:p>
    <w:p>
      <w:pPr>
        <w:pStyle w:val="BodyText"/>
        <w:spacing w:line="360" w:lineRule="auto" w:before="147"/>
        <w:ind w:left="122" w:right="103"/>
        <w:jc w:val="both"/>
      </w:pPr>
      <w:r>
        <w:rPr/>
        <w:t>Por otra parte, se tiene una organización básica en la ganadería regional, esto con la Integración de la Asociación Regional Ganadera, la cual integra a diferentes asociaciones regionales locales ganaderas de los cuatro municipios productores de carne: Tejupilco, Luvianos, Amatepec y Tlatlaya.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7"/>
        </w:rPr>
      </w:pPr>
      <w:r>
        <w:rPr/>
        <w:pict>
          <v:line style="position:absolute;mso-position-horizontal-relative:page;mso-position-vertical-relative:paragraph;z-index:3784;mso-wrap-distance-left:0;mso-wrap-distance-right:0" from="85.103996pt,12.483665pt" to="525.960017pt,12.483665pt" stroked="true" strokeweight=".36pt" strokecolor="#000000">
            <w10:wrap type="topAndBottom"/>
          </v:line>
        </w:pict>
      </w:r>
    </w:p>
    <w:p>
      <w:pPr>
        <w:spacing w:after="0"/>
        <w:rPr>
          <w:sz w:val="17"/>
        </w:rPr>
        <w:sectPr>
          <w:headerReference w:type="default" r:id="rId137"/>
          <w:footerReference w:type="default" r:id="rId138"/>
          <w:pgSz w:w="12240" w:h="15840"/>
          <w:pgMar w:header="0" w:footer="2388" w:top="1420" w:bottom="2580" w:left="1580" w:right="1600"/>
        </w:sectPr>
      </w:pPr>
    </w:p>
    <w:p>
      <w:pPr>
        <w:spacing w:before="51"/>
        <w:ind w:left="122" w:right="121" w:firstLine="0"/>
        <w:jc w:val="center"/>
        <w:rPr>
          <w:sz w:val="18"/>
        </w:rPr>
      </w:pPr>
      <w:r>
        <w:rPr/>
        <w:pict>
          <v:line style="position:absolute;mso-position-horizontal-relative:page;mso-position-vertical-relative:paragraph;z-index:3808;mso-wrap-distance-left:0;mso-wrap-distance-right:0" from="102pt,19.162321pt" to="508.5pt,19.162321pt" stroked="true" strokeweight=".5pt" strokecolor="#000000">
            <w10:wrap type="topAndBottom"/>
          </v:line>
        </w:pict>
      </w:r>
      <w:r>
        <w:rPr>
          <w:sz w:val="18"/>
        </w:rPr>
        <w:t>Estimación de una función de producción de bovinos carne en sistema extensivo en el sur del Estado de México</w:t>
      </w:r>
    </w:p>
    <w:p>
      <w:pPr>
        <w:pStyle w:val="BodyText"/>
        <w:rPr>
          <w:sz w:val="18"/>
        </w:rPr>
      </w:pPr>
    </w:p>
    <w:p>
      <w:pPr>
        <w:pStyle w:val="BodyText"/>
        <w:spacing w:before="2"/>
        <w:rPr>
          <w:sz w:val="25"/>
        </w:rPr>
      </w:pPr>
    </w:p>
    <w:p>
      <w:pPr>
        <w:pStyle w:val="BodyText"/>
        <w:spacing w:line="360" w:lineRule="auto"/>
        <w:ind w:left="122" w:right="122"/>
        <w:jc w:val="both"/>
      </w:pPr>
      <w:r>
        <w:rPr/>
        <w:t>Con</w:t>
      </w:r>
      <w:r>
        <w:rPr>
          <w:spacing w:val="-10"/>
        </w:rPr>
        <w:t> </w:t>
      </w:r>
      <w:r>
        <w:rPr/>
        <w:t>base</w:t>
      </w:r>
      <w:r>
        <w:rPr>
          <w:spacing w:val="-11"/>
        </w:rPr>
        <w:t> </w:t>
      </w:r>
      <w:r>
        <w:rPr/>
        <w:t>en</w:t>
      </w:r>
      <w:r>
        <w:rPr>
          <w:spacing w:val="-10"/>
        </w:rPr>
        <w:t> </w:t>
      </w:r>
      <w:r>
        <w:rPr/>
        <w:t>este</w:t>
      </w:r>
      <w:r>
        <w:rPr>
          <w:spacing w:val="-9"/>
        </w:rPr>
        <w:t> </w:t>
      </w:r>
      <w:r>
        <w:rPr/>
        <w:t>planteamiento,</w:t>
      </w:r>
      <w:r>
        <w:rPr>
          <w:spacing w:val="-12"/>
        </w:rPr>
        <w:t> </w:t>
      </w:r>
      <w:r>
        <w:rPr/>
        <w:t>el</w:t>
      </w:r>
      <w:r>
        <w:rPr>
          <w:spacing w:val="-12"/>
        </w:rPr>
        <w:t> </w:t>
      </w:r>
      <w:r>
        <w:rPr/>
        <w:t>objetivo</w:t>
      </w:r>
      <w:r>
        <w:rPr>
          <w:spacing w:val="-10"/>
        </w:rPr>
        <w:t> </w:t>
      </w:r>
      <w:r>
        <w:rPr/>
        <w:t>del</w:t>
      </w:r>
      <w:r>
        <w:rPr>
          <w:spacing w:val="-11"/>
        </w:rPr>
        <w:t> </w:t>
      </w:r>
      <w:r>
        <w:rPr/>
        <w:t>presente</w:t>
      </w:r>
      <w:r>
        <w:rPr>
          <w:spacing w:val="-9"/>
        </w:rPr>
        <w:t> </w:t>
      </w:r>
      <w:r>
        <w:rPr/>
        <w:t>trabajo,</w:t>
      </w:r>
      <w:r>
        <w:rPr>
          <w:spacing w:val="-12"/>
        </w:rPr>
        <w:t> </w:t>
      </w:r>
      <w:r>
        <w:rPr/>
        <w:t>consistió</w:t>
      </w:r>
      <w:r>
        <w:rPr>
          <w:spacing w:val="-12"/>
        </w:rPr>
        <w:t> </w:t>
      </w:r>
      <w:r>
        <w:rPr/>
        <w:t>en</w:t>
      </w:r>
      <w:r>
        <w:rPr>
          <w:spacing w:val="-12"/>
        </w:rPr>
        <w:t> </w:t>
      </w:r>
      <w:r>
        <w:rPr/>
        <w:t>estimar</w:t>
      </w:r>
      <w:r>
        <w:rPr>
          <w:spacing w:val="-10"/>
        </w:rPr>
        <w:t> </w:t>
      </w:r>
      <w:r>
        <w:rPr/>
        <w:t>una</w:t>
      </w:r>
      <w:r>
        <w:rPr>
          <w:spacing w:val="-11"/>
        </w:rPr>
        <w:t> </w:t>
      </w:r>
      <w:r>
        <w:rPr/>
        <w:t>función de producción de Cobb-Douglas en la ganadería de carne del sur del Estado de México, para conocer los rendimientos a escala de la producción, que resulten de la suma de las elasticidades parciales de cada una de las variables de</w:t>
      </w:r>
      <w:r>
        <w:rPr>
          <w:spacing w:val="-19"/>
        </w:rPr>
        <w:t> </w:t>
      </w:r>
      <w:r>
        <w:rPr/>
        <w:t>estudio.</w:t>
      </w:r>
    </w:p>
    <w:p>
      <w:pPr>
        <w:pStyle w:val="BodyText"/>
        <w:spacing w:before="8"/>
        <w:rPr>
          <w:sz w:val="30"/>
        </w:rPr>
      </w:pPr>
    </w:p>
    <w:p>
      <w:pPr>
        <w:pStyle w:val="Heading3"/>
        <w:spacing w:before="1"/>
        <w:ind w:right="122"/>
        <w:rPr>
          <w:rFonts w:ascii="Arial" w:hAnsi="Arial"/>
        </w:rPr>
      </w:pPr>
      <w:r>
        <w:rPr>
          <w:rFonts w:ascii="Arial" w:hAnsi="Arial"/>
        </w:rPr>
        <w:t>Materiales y Métodos</w:t>
      </w:r>
    </w:p>
    <w:p>
      <w:pPr>
        <w:pStyle w:val="BodyText"/>
        <w:spacing w:before="6"/>
        <w:rPr>
          <w:rFonts w:ascii="Arial"/>
          <w:b/>
          <w:sz w:val="25"/>
        </w:rPr>
      </w:pPr>
    </w:p>
    <w:p>
      <w:pPr>
        <w:pStyle w:val="BodyText"/>
        <w:spacing w:line="360" w:lineRule="auto"/>
        <w:ind w:left="122" w:right="114"/>
        <w:jc w:val="both"/>
      </w:pPr>
      <w:r>
        <w:rPr/>
        <w:t>La investigación se realizó de febrero a julio de 2015 en la parte sur del Estado de México, específicamente</w:t>
      </w:r>
      <w:r>
        <w:rPr>
          <w:spacing w:val="-12"/>
        </w:rPr>
        <w:t> </w:t>
      </w:r>
      <w:r>
        <w:rPr/>
        <w:t>en</w:t>
      </w:r>
      <w:r>
        <w:rPr>
          <w:spacing w:val="-13"/>
        </w:rPr>
        <w:t> </w:t>
      </w:r>
      <w:r>
        <w:rPr/>
        <w:t>los</w:t>
      </w:r>
      <w:r>
        <w:rPr>
          <w:spacing w:val="-14"/>
        </w:rPr>
        <w:t> </w:t>
      </w:r>
      <w:r>
        <w:rPr/>
        <w:t>municipios</w:t>
      </w:r>
      <w:r>
        <w:rPr>
          <w:spacing w:val="-14"/>
        </w:rPr>
        <w:t> </w:t>
      </w:r>
      <w:r>
        <w:rPr/>
        <w:t>de</w:t>
      </w:r>
      <w:r>
        <w:rPr>
          <w:spacing w:val="-12"/>
        </w:rPr>
        <w:t> </w:t>
      </w:r>
      <w:r>
        <w:rPr/>
        <w:t>Tlatlaya,</w:t>
      </w:r>
      <w:r>
        <w:rPr>
          <w:spacing w:val="-13"/>
        </w:rPr>
        <w:t> </w:t>
      </w:r>
      <w:r>
        <w:rPr/>
        <w:t>Amatepec,</w:t>
      </w:r>
      <w:r>
        <w:rPr>
          <w:spacing w:val="-13"/>
        </w:rPr>
        <w:t> </w:t>
      </w:r>
      <w:r>
        <w:rPr/>
        <w:t>Luvianos</w:t>
      </w:r>
      <w:r>
        <w:rPr>
          <w:spacing w:val="-11"/>
        </w:rPr>
        <w:t> </w:t>
      </w:r>
      <w:r>
        <w:rPr/>
        <w:t>y</w:t>
      </w:r>
      <w:r>
        <w:rPr>
          <w:spacing w:val="-15"/>
        </w:rPr>
        <w:t> </w:t>
      </w:r>
      <w:r>
        <w:rPr/>
        <w:t>Tejupilco.</w:t>
      </w:r>
      <w:r>
        <w:rPr>
          <w:spacing w:val="-13"/>
        </w:rPr>
        <w:t> </w:t>
      </w:r>
      <w:r>
        <w:rPr/>
        <w:t>Esta</w:t>
      </w:r>
      <w:r>
        <w:rPr>
          <w:spacing w:val="-12"/>
        </w:rPr>
        <w:t> </w:t>
      </w:r>
      <w:r>
        <w:rPr/>
        <w:t>región</w:t>
      </w:r>
      <w:r>
        <w:rPr>
          <w:spacing w:val="-13"/>
        </w:rPr>
        <w:t> </w:t>
      </w:r>
      <w:r>
        <w:rPr/>
        <w:t>está ubicada en el subtrópico mexicano, entre las coordenadas 18° 21’ y 19° 34’ latitud norte y 99° 16’ y 100°36’ longitud oeste. Políticamente, este espacio geográfico tiene límites con tres estados del país (Morelos, Guerrero y Michoacán) hacia el Sur y Sureste, limita con los estados de Morelos y Guerrero, y finalmente, al Oeste tiene límites con el estado de Michoacán y porciones</w:t>
      </w:r>
      <w:r>
        <w:rPr>
          <w:spacing w:val="-10"/>
        </w:rPr>
        <w:t> </w:t>
      </w:r>
      <w:r>
        <w:rPr/>
        <w:t>de</w:t>
      </w:r>
      <w:r>
        <w:rPr>
          <w:spacing w:val="-11"/>
        </w:rPr>
        <w:t> </w:t>
      </w:r>
      <w:r>
        <w:rPr/>
        <w:t>Guerrero</w:t>
      </w:r>
      <w:r>
        <w:rPr>
          <w:spacing w:val="-10"/>
        </w:rPr>
        <w:t> </w:t>
      </w:r>
      <w:r>
        <w:rPr/>
        <w:t>(Franco,</w:t>
      </w:r>
      <w:r>
        <w:rPr>
          <w:spacing w:val="-12"/>
        </w:rPr>
        <w:t> </w:t>
      </w:r>
      <w:r>
        <w:rPr/>
        <w:t>et</w:t>
      </w:r>
      <w:r>
        <w:rPr>
          <w:spacing w:val="-11"/>
        </w:rPr>
        <w:t> </w:t>
      </w:r>
      <w:r>
        <w:rPr/>
        <w:t>al.,</w:t>
      </w:r>
      <w:r>
        <w:rPr>
          <w:spacing w:val="-10"/>
        </w:rPr>
        <w:t> </w:t>
      </w:r>
      <w:r>
        <w:rPr/>
        <w:t>1992).</w:t>
      </w:r>
      <w:r>
        <w:rPr>
          <w:spacing w:val="-12"/>
        </w:rPr>
        <w:t> </w:t>
      </w:r>
      <w:r>
        <w:rPr/>
        <w:t>Según</w:t>
      </w:r>
      <w:r>
        <w:rPr>
          <w:spacing w:val="-12"/>
        </w:rPr>
        <w:t> </w:t>
      </w:r>
      <w:r>
        <w:rPr/>
        <w:t>datos</w:t>
      </w:r>
      <w:r>
        <w:rPr>
          <w:spacing w:val="-10"/>
        </w:rPr>
        <w:t> </w:t>
      </w:r>
      <w:r>
        <w:rPr/>
        <w:t>de</w:t>
      </w:r>
      <w:r>
        <w:rPr>
          <w:spacing w:val="-9"/>
        </w:rPr>
        <w:t> </w:t>
      </w:r>
      <w:r>
        <w:rPr/>
        <w:t>(SIAP-SAGARPA,</w:t>
      </w:r>
      <w:r>
        <w:rPr>
          <w:spacing w:val="-10"/>
        </w:rPr>
        <w:t> </w:t>
      </w:r>
      <w:r>
        <w:rPr/>
        <w:t>2014)</w:t>
      </w:r>
      <w:r>
        <w:rPr>
          <w:spacing w:val="-10"/>
        </w:rPr>
        <w:t> </w:t>
      </w:r>
      <w:r>
        <w:rPr/>
        <w:t>los</w:t>
      </w:r>
      <w:r>
        <w:rPr>
          <w:spacing w:val="-13"/>
        </w:rPr>
        <w:t> </w:t>
      </w:r>
      <w:r>
        <w:rPr/>
        <w:t>cuales aportan el 81% de la producción distrital de carne de bovino. La obtención de los datos se llevó a cabo a través de una encuesta dirigida (Cochran, 1985) a 200 socios ganaderos, de un total de 1080, los cuales pertenecen a diferentes Asociaciones Ganaderas Locales, las cuales, integran la Unión Ganadera Regional del Sur del Estado de</w:t>
      </w:r>
      <w:r>
        <w:rPr>
          <w:spacing w:val="-17"/>
        </w:rPr>
        <w:t> </w:t>
      </w:r>
      <w:r>
        <w:rPr/>
        <w:t>México.</w:t>
      </w:r>
    </w:p>
    <w:p>
      <w:pPr>
        <w:pStyle w:val="BodyText"/>
        <w:spacing w:line="360" w:lineRule="auto" w:before="124"/>
        <w:ind w:left="122" w:right="118"/>
        <w:jc w:val="both"/>
      </w:pPr>
      <w:r>
        <w:rPr/>
        <w:t>Las encuestas se aplicaron en las reuniones mensuales, con los socios ganaderos que acudieron y que estuvieron dispuestos a proporcionar información del número de hectáreas de pastizal natural</w:t>
      </w:r>
      <w:r>
        <w:rPr>
          <w:spacing w:val="-4"/>
        </w:rPr>
        <w:t> </w:t>
      </w:r>
      <w:r>
        <w:rPr/>
        <w:t>(X</w:t>
      </w:r>
      <w:r>
        <w:rPr>
          <w:rFonts w:ascii="Cambria Math" w:hAnsi="Cambria Math"/>
        </w:rPr>
        <w:t>₁</w:t>
      </w:r>
      <w:r>
        <w:rPr/>
        <w:t>),</w:t>
      </w:r>
      <w:r>
        <w:rPr>
          <w:spacing w:val="-7"/>
        </w:rPr>
        <w:t> </w:t>
      </w:r>
      <w:r>
        <w:rPr/>
        <w:t>del</w:t>
      </w:r>
      <w:r>
        <w:rPr>
          <w:spacing w:val="-4"/>
        </w:rPr>
        <w:t> </w:t>
      </w:r>
      <w:r>
        <w:rPr/>
        <w:t>total</w:t>
      </w:r>
      <w:r>
        <w:rPr>
          <w:spacing w:val="-4"/>
        </w:rPr>
        <w:t> </w:t>
      </w:r>
      <w:r>
        <w:rPr/>
        <w:t>de</w:t>
      </w:r>
      <w:r>
        <w:rPr>
          <w:spacing w:val="-6"/>
        </w:rPr>
        <w:t> </w:t>
      </w:r>
      <w:r>
        <w:rPr/>
        <w:t>animales</w:t>
      </w:r>
      <w:r>
        <w:rPr>
          <w:spacing w:val="-8"/>
        </w:rPr>
        <w:t> </w:t>
      </w:r>
      <w:r>
        <w:rPr/>
        <w:t>en</w:t>
      </w:r>
      <w:r>
        <w:rPr>
          <w:spacing w:val="-5"/>
        </w:rPr>
        <w:t> </w:t>
      </w:r>
      <w:r>
        <w:rPr/>
        <w:t>producción(X</w:t>
      </w:r>
      <w:r>
        <w:rPr>
          <w:rFonts w:ascii="Cambria Math" w:hAnsi="Cambria Math"/>
        </w:rPr>
        <w:t>₂</w:t>
      </w:r>
      <w:r>
        <w:rPr/>
        <w:t>)</w:t>
      </w:r>
      <w:r>
        <w:rPr>
          <w:spacing w:val="-5"/>
        </w:rPr>
        <w:t> </w:t>
      </w:r>
      <w:r>
        <w:rPr/>
        <w:t>y</w:t>
      </w:r>
      <w:r>
        <w:rPr>
          <w:spacing w:val="-10"/>
        </w:rPr>
        <w:t> </w:t>
      </w:r>
      <w:r>
        <w:rPr/>
        <w:t>de</w:t>
      </w:r>
      <w:r>
        <w:rPr>
          <w:spacing w:val="-4"/>
        </w:rPr>
        <w:t> </w:t>
      </w:r>
      <w:r>
        <w:rPr/>
        <w:t>los</w:t>
      </w:r>
      <w:r>
        <w:rPr>
          <w:spacing w:val="-6"/>
        </w:rPr>
        <w:t> </w:t>
      </w:r>
      <w:r>
        <w:rPr/>
        <w:t>gastos</w:t>
      </w:r>
      <w:r>
        <w:rPr>
          <w:spacing w:val="-6"/>
        </w:rPr>
        <w:t> </w:t>
      </w:r>
      <w:r>
        <w:rPr/>
        <w:t>en</w:t>
      </w:r>
      <w:r>
        <w:rPr>
          <w:spacing w:val="-7"/>
        </w:rPr>
        <w:t> </w:t>
      </w:r>
      <w:r>
        <w:rPr/>
        <w:t>alimentación</w:t>
      </w:r>
      <w:r>
        <w:rPr>
          <w:spacing w:val="-5"/>
        </w:rPr>
        <w:t> </w:t>
      </w:r>
      <w:r>
        <w:rPr/>
        <w:t>del</w:t>
      </w:r>
      <w:r>
        <w:rPr>
          <w:spacing w:val="-4"/>
        </w:rPr>
        <w:t> </w:t>
      </w:r>
      <w:r>
        <w:rPr/>
        <w:t>ganado (X</w:t>
      </w:r>
      <w:r>
        <w:rPr>
          <w:rFonts w:ascii="Cambria Math" w:hAnsi="Cambria Math"/>
        </w:rPr>
        <w:t>₃</w:t>
      </w:r>
      <w:r>
        <w:rPr/>
        <w:t>).</w:t>
      </w:r>
    </w:p>
    <w:p>
      <w:pPr>
        <w:pStyle w:val="BodyText"/>
        <w:spacing w:line="360" w:lineRule="auto" w:before="127"/>
        <w:ind w:left="122" w:right="121"/>
        <w:jc w:val="both"/>
      </w:pPr>
      <w:r>
        <w:rPr/>
        <w:t>Una vez que se obtuvieron los datos se capturaron en una hoja de Excel, donde se ordenaron como variables independientes X</w:t>
      </w:r>
      <w:r>
        <w:rPr>
          <w:rFonts w:ascii="Cambria Math" w:hAnsi="Cambria Math"/>
        </w:rPr>
        <w:t>₁</w:t>
      </w:r>
      <w:r>
        <w:rPr/>
        <w:t>, X</w:t>
      </w:r>
      <w:r>
        <w:rPr>
          <w:rFonts w:ascii="Cambria Math" w:hAnsi="Cambria Math"/>
        </w:rPr>
        <w:t>₂</w:t>
      </w:r>
      <w:r>
        <w:rPr/>
        <w:t>, X</w:t>
      </w:r>
      <w:r>
        <w:rPr>
          <w:rFonts w:ascii="Cambria Math" w:hAnsi="Cambria Math"/>
        </w:rPr>
        <w:t>₃ </w:t>
      </w:r>
      <w:r>
        <w:rPr/>
        <w:t>y variable dependiente la producción total de   carne</w:t>
      </w:r>
    </w:p>
    <w:p>
      <w:pPr>
        <w:pStyle w:val="BodyText"/>
        <w:spacing w:line="360" w:lineRule="auto" w:before="7"/>
        <w:ind w:left="122" w:right="116"/>
        <w:jc w:val="both"/>
      </w:pPr>
      <w:r>
        <w:rPr/>
        <w:t>(Y) (Pech, et., 2002). De manera general, la función de producción es un modelo que se utiliza para analizar la relación entre los insumos empleados en un proceso productivo y el producto final, además describe la tasa a la cual los recursos son transformados en un producto.</w:t>
      </w:r>
    </w:p>
    <w:p>
      <w:pPr>
        <w:pStyle w:val="BodyText"/>
        <w:rPr>
          <w:sz w:val="20"/>
        </w:rPr>
      </w:pPr>
    </w:p>
    <w:p>
      <w:pPr>
        <w:pStyle w:val="BodyText"/>
        <w:rPr>
          <w:sz w:val="20"/>
        </w:rPr>
      </w:pPr>
    </w:p>
    <w:p>
      <w:pPr>
        <w:pStyle w:val="BodyText"/>
        <w:spacing w:before="5"/>
        <w:rPr>
          <w:sz w:val="19"/>
        </w:rPr>
      </w:pPr>
      <w:r>
        <w:rPr/>
        <w:pict>
          <v:line style="position:absolute;mso-position-horizontal-relative:page;mso-position-vertical-relative:paragraph;z-index:3832;mso-wrap-distance-left:0;mso-wrap-distance-right:0" from="85.103996pt,13.350723pt" to="525.960017pt,13.350723pt" stroked="true" strokeweight=".36pt" strokecolor="#000000">
            <w10:wrap type="topAndBottom"/>
          </v:line>
        </w:pict>
      </w:r>
    </w:p>
    <w:p>
      <w:pPr>
        <w:spacing w:after="0"/>
        <w:rPr>
          <w:sz w:val="19"/>
        </w:rPr>
        <w:sectPr>
          <w:headerReference w:type="default" r:id="rId139"/>
          <w:footerReference w:type="default" r:id="rId140"/>
          <w:pgSz w:w="12240" w:h="15840"/>
          <w:pgMar w:header="0" w:footer="1810" w:top="1360" w:bottom="2000" w:left="1580" w:right="1580"/>
        </w:sectPr>
      </w:pPr>
    </w:p>
    <w:p>
      <w:pPr>
        <w:pStyle w:val="BodyText"/>
        <w:rPr>
          <w:sz w:val="20"/>
        </w:rPr>
      </w:pPr>
    </w:p>
    <w:p>
      <w:pPr>
        <w:pStyle w:val="BodyText"/>
        <w:spacing w:before="8"/>
        <w:rPr>
          <w:sz w:val="17"/>
        </w:rPr>
      </w:pPr>
    </w:p>
    <w:p>
      <w:pPr>
        <w:spacing w:before="0"/>
        <w:ind w:left="122" w:right="0" w:firstLine="0"/>
        <w:jc w:val="both"/>
        <w:rPr>
          <w:rFonts w:ascii="Calibri" w:hAnsi="Calibri"/>
          <w:sz w:val="18"/>
        </w:rPr>
      </w:pPr>
      <w:r>
        <w:rPr/>
        <w:pict>
          <v:line style="position:absolute;mso-position-horizontal-relative:page;mso-position-vertical-relative:paragraph;z-index:3856;mso-wrap-distance-left:0;mso-wrap-distance-right:0" from="102pt,17.279325pt" to="508.5pt,17.279325pt" stroked="true" strokeweight=".5pt" strokecolor="#000000">
            <w10:wrap type="topAndBottom"/>
          </v:line>
        </w:pict>
      </w:r>
      <w:r>
        <w:rPr>
          <w:rFonts w:ascii="Calibri" w:hAnsi="Calibri"/>
          <w:sz w:val="18"/>
        </w:rPr>
        <w:t>Estimación de una función de producción de bovinos carne en sistema extensivo en el sur del Estado de México</w:t>
      </w:r>
    </w:p>
    <w:p>
      <w:pPr>
        <w:pStyle w:val="BodyText"/>
        <w:rPr>
          <w:rFonts w:ascii="Calibri"/>
          <w:sz w:val="18"/>
        </w:rPr>
      </w:pPr>
    </w:p>
    <w:p>
      <w:pPr>
        <w:pStyle w:val="BodyText"/>
        <w:rPr>
          <w:rFonts w:ascii="Calibri"/>
          <w:sz w:val="18"/>
        </w:rPr>
      </w:pPr>
    </w:p>
    <w:p>
      <w:pPr>
        <w:pStyle w:val="BodyText"/>
        <w:spacing w:before="6"/>
        <w:rPr>
          <w:rFonts w:ascii="Calibri"/>
          <w:sz w:val="14"/>
        </w:rPr>
      </w:pPr>
    </w:p>
    <w:p>
      <w:pPr>
        <w:pStyle w:val="BodyText"/>
        <w:spacing w:line="360" w:lineRule="auto" w:before="1"/>
        <w:ind w:left="122" w:right="117"/>
        <w:jc w:val="both"/>
      </w:pPr>
      <w:r>
        <w:rPr/>
        <w:t>Simbólicamente puede ser escrita de la siguiente manera (Romo, 1990): Y= F(X</w:t>
      </w:r>
      <w:r>
        <w:rPr>
          <w:rFonts w:ascii="Cambria Math" w:hAnsi="Cambria Math" w:cs="Cambria Math" w:eastAsia="Cambria Math"/>
        </w:rPr>
        <w:t>₁</w:t>
      </w:r>
      <w:r>
        <w:rPr/>
        <w:t>, X</w:t>
      </w:r>
      <w:r>
        <w:rPr>
          <w:rFonts w:ascii="Cambria Math" w:hAnsi="Cambria Math" w:cs="Cambria Math" w:eastAsia="Cambria Math"/>
        </w:rPr>
        <w:t>₂</w:t>
      </w:r>
      <w:r>
        <w:rPr/>
        <w:t>,…, Xn), donde Y: es el producto, Xᵢ: los diferentes insumos considerados, con i= 1,…, n.</w:t>
      </w:r>
    </w:p>
    <w:p>
      <w:pPr>
        <w:pStyle w:val="BodyText"/>
        <w:rPr>
          <w:sz w:val="22"/>
        </w:rPr>
      </w:pPr>
    </w:p>
    <w:p>
      <w:pPr>
        <w:pStyle w:val="BodyText"/>
        <w:rPr>
          <w:sz w:val="22"/>
        </w:rPr>
      </w:pPr>
    </w:p>
    <w:p>
      <w:pPr>
        <w:pStyle w:val="BodyText"/>
        <w:spacing w:line="360" w:lineRule="auto" w:before="134"/>
        <w:ind w:left="122" w:right="115"/>
        <w:jc w:val="both"/>
      </w:pPr>
      <w:r>
        <w:rPr/>
        <w:t>Generalizando la fórmula anterior y cambiando las variables, matemáticamente, la función de producción de Cobb-Douglas tiene la siguiente forma (Castellanos, 2004): Y = β</w:t>
      </w:r>
      <w:r>
        <w:rPr>
          <w:rFonts w:ascii="Cambria Math" w:hAnsi="Cambria Math" w:cs="Cambria Math" w:eastAsia="Cambria Math"/>
        </w:rPr>
        <w:t>₀ </w:t>
      </w:r>
      <w:r>
        <w:rPr/>
        <w:t>X</w:t>
      </w:r>
      <w:r>
        <w:rPr>
          <w:rFonts w:ascii="Cambria Math" w:hAnsi="Cambria Math" w:cs="Cambria Math" w:eastAsia="Cambria Math"/>
        </w:rPr>
        <w:t>₁</w:t>
      </w:r>
      <w:r>
        <w:rPr/>
        <w:t>ᵝ¹ X</w:t>
      </w:r>
      <w:r>
        <w:rPr>
          <w:rFonts w:ascii="Cambria Math" w:hAnsi="Cambria Math" w:cs="Cambria Math" w:eastAsia="Cambria Math"/>
        </w:rPr>
        <w:t>₂</w:t>
      </w:r>
      <w:r>
        <w:rPr/>
        <w:t>ᵝ² X</w:t>
      </w:r>
      <w:r>
        <w:rPr>
          <w:rFonts w:ascii="Cambria Math" w:hAnsi="Cambria Math" w:cs="Cambria Math" w:eastAsia="Cambria Math"/>
        </w:rPr>
        <w:t>₃</w:t>
      </w:r>
      <w:r>
        <w:rPr/>
        <w:t>ᵝᵌ,…, Xnᵝⁿ, donde Y es un vector de dimensión nx1 que denota la cantidad de producto obtenido, X= (X</w:t>
      </w:r>
      <w:r>
        <w:rPr>
          <w:rFonts w:ascii="Cambria Math" w:hAnsi="Cambria Math" w:cs="Cambria Math" w:eastAsia="Cambria Math"/>
        </w:rPr>
        <w:t>₁</w:t>
      </w:r>
      <w:r>
        <w:rPr/>
        <w:t>, X</w:t>
      </w:r>
      <w:r>
        <w:rPr>
          <w:rFonts w:ascii="Cambria Math" w:hAnsi="Cambria Math" w:cs="Cambria Math" w:eastAsia="Cambria Math"/>
        </w:rPr>
        <w:t>₂</w:t>
      </w:r>
      <w:r>
        <w:rPr/>
        <w:t>,…, Xn) un vector de n insumos y β = (β</w:t>
      </w:r>
      <w:r>
        <w:rPr>
          <w:rFonts w:ascii="Cambria Math" w:hAnsi="Cambria Math" w:cs="Cambria Math" w:eastAsia="Cambria Math"/>
        </w:rPr>
        <w:t>₀</w:t>
      </w:r>
      <w:r>
        <w:rPr/>
        <w:t>, β</w:t>
      </w:r>
      <w:r>
        <w:rPr>
          <w:rFonts w:ascii="Cambria Math" w:hAnsi="Cambria Math" w:cs="Cambria Math" w:eastAsia="Cambria Math"/>
        </w:rPr>
        <w:t>₁</w:t>
      </w:r>
      <w:r>
        <w:rPr/>
        <w:t>, β</w:t>
      </w:r>
      <w:r>
        <w:rPr>
          <w:rFonts w:ascii="Cambria Math" w:hAnsi="Cambria Math" w:cs="Cambria Math" w:eastAsia="Cambria Math"/>
        </w:rPr>
        <w:t>₂</w:t>
      </w:r>
      <w:r>
        <w:rPr/>
        <w:t>,…, βn) vector de n parámetros desconocidos. Si ∑ (β</w:t>
      </w:r>
      <w:r>
        <w:rPr>
          <w:rFonts w:ascii="Cambria Math" w:hAnsi="Cambria Math" w:cs="Cambria Math" w:eastAsia="Cambria Math"/>
        </w:rPr>
        <w:t>₀</w:t>
      </w:r>
      <w:r>
        <w:rPr/>
        <w:t>, β</w:t>
      </w:r>
      <w:r>
        <w:rPr>
          <w:rFonts w:ascii="Cambria Math" w:hAnsi="Cambria Math" w:cs="Cambria Math" w:eastAsia="Cambria Math"/>
        </w:rPr>
        <w:t>₁</w:t>
      </w:r>
      <w:r>
        <w:rPr/>
        <w:t>, β</w:t>
      </w:r>
      <w:r>
        <w:rPr>
          <w:rFonts w:ascii="Cambria Math" w:hAnsi="Cambria Math" w:cs="Cambria Math" w:eastAsia="Cambria Math"/>
        </w:rPr>
        <w:t>₂</w:t>
      </w:r>
      <w:r>
        <w:rPr/>
        <w:t>,…, βn) = 1: La función de producción tendrá rendimientos constantes a escala, es decir, a una variación proporcional en las cantidades de insumo, el producto varia en la misma proporción.</w:t>
      </w:r>
    </w:p>
    <w:p>
      <w:pPr>
        <w:pStyle w:val="BodyText"/>
        <w:rPr>
          <w:sz w:val="22"/>
        </w:rPr>
      </w:pPr>
    </w:p>
    <w:p>
      <w:pPr>
        <w:pStyle w:val="BodyText"/>
        <w:rPr>
          <w:sz w:val="22"/>
        </w:rPr>
      </w:pPr>
    </w:p>
    <w:p>
      <w:pPr>
        <w:pStyle w:val="BodyText"/>
        <w:spacing w:line="360" w:lineRule="auto" w:before="135"/>
        <w:ind w:left="122" w:right="115"/>
        <w:jc w:val="both"/>
      </w:pPr>
      <w:r>
        <w:rPr/>
        <w:t>Si ∑ (β</w:t>
      </w:r>
      <w:r>
        <w:rPr>
          <w:rFonts w:ascii="Cambria Math" w:hAnsi="Cambria Math"/>
        </w:rPr>
        <w:t>₀</w:t>
      </w:r>
      <w:r>
        <w:rPr/>
        <w:t>, β</w:t>
      </w:r>
      <w:r>
        <w:rPr>
          <w:rFonts w:ascii="Cambria Math" w:hAnsi="Cambria Math"/>
        </w:rPr>
        <w:t>₁</w:t>
      </w:r>
      <w:r>
        <w:rPr/>
        <w:t>, β</w:t>
      </w:r>
      <w:r>
        <w:rPr>
          <w:rFonts w:ascii="Cambria Math" w:hAnsi="Cambria Math"/>
        </w:rPr>
        <w:t>₂</w:t>
      </w:r>
      <w:r>
        <w:rPr/>
        <w:t>,…, βn) ˃ 1: la función de producción tendrá rendimientos crecientes a escala,</w:t>
      </w:r>
      <w:r>
        <w:rPr>
          <w:spacing w:val="-38"/>
        </w:rPr>
        <w:t> </w:t>
      </w:r>
      <w:r>
        <w:rPr/>
        <w:t>es decir, a un incremento proporcional en los insumos, el producto aumenta en mayor</w:t>
      </w:r>
      <w:r>
        <w:rPr>
          <w:spacing w:val="-32"/>
        </w:rPr>
        <w:t> </w:t>
      </w:r>
      <w:r>
        <w:rPr/>
        <w:t>proporción.</w:t>
      </w:r>
    </w:p>
    <w:p>
      <w:pPr>
        <w:pStyle w:val="BodyText"/>
        <w:spacing w:line="360" w:lineRule="auto" w:before="125"/>
        <w:ind w:left="122" w:right="119"/>
        <w:jc w:val="both"/>
      </w:pPr>
      <w:r>
        <w:rPr/>
        <w:t>Si ∑ (β</w:t>
      </w:r>
      <w:r>
        <w:rPr>
          <w:rFonts w:ascii="Cambria Math" w:hAnsi="Cambria Math"/>
        </w:rPr>
        <w:t>₀</w:t>
      </w:r>
      <w:r>
        <w:rPr/>
        <w:t>, β</w:t>
      </w:r>
      <w:r>
        <w:rPr>
          <w:rFonts w:ascii="Cambria Math" w:hAnsi="Cambria Math"/>
        </w:rPr>
        <w:t>₁</w:t>
      </w:r>
      <w:r>
        <w:rPr/>
        <w:t>, β</w:t>
      </w:r>
      <w:r>
        <w:rPr>
          <w:rFonts w:ascii="Cambria Math" w:hAnsi="Cambria Math"/>
        </w:rPr>
        <w:t>₂</w:t>
      </w:r>
      <w:r>
        <w:rPr/>
        <w:t>,…, βn) &lt; 1: la función de producción tendrá rendimientos decrecientes a escala, esto significa que a un incremento proporcional a todos los insumos, el producto aumenta pero en menor proporción que éstos.</w:t>
      </w:r>
    </w:p>
    <w:p>
      <w:pPr>
        <w:pStyle w:val="BodyText"/>
        <w:rPr>
          <w:sz w:val="22"/>
        </w:rPr>
      </w:pPr>
    </w:p>
    <w:p>
      <w:pPr>
        <w:pStyle w:val="BodyText"/>
        <w:spacing w:line="360" w:lineRule="auto" w:before="149"/>
        <w:ind w:left="122" w:right="114"/>
        <w:jc w:val="both"/>
      </w:pPr>
      <w:r>
        <w:rPr/>
        <w:t>Los insumos que se consideran generalmente en una función de producción de Cobb-Douglas, son el capital y el trabajo, principalmente; aunque también pueden considerarse tierra, materias primas y combustible entre otros. De estos insumos mencionados, la medición del capital presenta</w:t>
      </w:r>
      <w:r>
        <w:rPr>
          <w:spacing w:val="-4"/>
        </w:rPr>
        <w:t> </w:t>
      </w:r>
      <w:r>
        <w:rPr/>
        <w:t>problemas,</w:t>
      </w:r>
      <w:r>
        <w:rPr>
          <w:spacing w:val="-5"/>
        </w:rPr>
        <w:t> </w:t>
      </w:r>
      <w:r>
        <w:rPr/>
        <w:t>en</w:t>
      </w:r>
      <w:r>
        <w:rPr>
          <w:spacing w:val="-5"/>
        </w:rPr>
        <w:t> </w:t>
      </w:r>
      <w:r>
        <w:rPr/>
        <w:t>virtud</w:t>
      </w:r>
      <w:r>
        <w:rPr>
          <w:spacing w:val="-5"/>
        </w:rPr>
        <w:t> </w:t>
      </w:r>
      <w:r>
        <w:rPr/>
        <w:t>de</w:t>
      </w:r>
      <w:r>
        <w:rPr>
          <w:spacing w:val="-4"/>
        </w:rPr>
        <w:t> </w:t>
      </w:r>
      <w:r>
        <w:rPr/>
        <w:t>que,</w:t>
      </w:r>
      <w:r>
        <w:rPr>
          <w:spacing w:val="-7"/>
        </w:rPr>
        <w:t> </w:t>
      </w:r>
      <w:r>
        <w:rPr/>
        <w:t>los</w:t>
      </w:r>
      <w:r>
        <w:rPr>
          <w:spacing w:val="-6"/>
        </w:rPr>
        <w:t> </w:t>
      </w:r>
      <w:r>
        <w:rPr/>
        <w:t>datos</w:t>
      </w:r>
      <w:r>
        <w:rPr>
          <w:spacing w:val="-6"/>
        </w:rPr>
        <w:t> </w:t>
      </w:r>
      <w:r>
        <w:rPr/>
        <w:t>generalmente</w:t>
      </w:r>
      <w:r>
        <w:rPr>
          <w:spacing w:val="-4"/>
        </w:rPr>
        <w:t> </w:t>
      </w:r>
      <w:r>
        <w:rPr/>
        <w:t>no</w:t>
      </w:r>
      <w:r>
        <w:rPr>
          <w:spacing w:val="-5"/>
        </w:rPr>
        <w:t> </w:t>
      </w:r>
      <w:r>
        <w:rPr/>
        <w:t>se</w:t>
      </w:r>
      <w:r>
        <w:rPr>
          <w:spacing w:val="-4"/>
        </w:rPr>
        <w:t> </w:t>
      </w:r>
      <w:r>
        <w:rPr/>
        <w:t>encuentran</w:t>
      </w:r>
      <w:r>
        <w:rPr>
          <w:spacing w:val="-7"/>
        </w:rPr>
        <w:t> </w:t>
      </w:r>
      <w:r>
        <w:rPr/>
        <w:t>disponibles</w:t>
      </w:r>
      <w:r>
        <w:rPr>
          <w:spacing w:val="-6"/>
        </w:rPr>
        <w:t> </w:t>
      </w:r>
      <w:r>
        <w:rPr/>
        <w:t>o</w:t>
      </w:r>
      <w:r>
        <w:rPr>
          <w:spacing w:val="-5"/>
        </w:rPr>
        <w:t> </w:t>
      </w:r>
      <w:r>
        <w:rPr/>
        <w:t>son de</w:t>
      </w:r>
      <w:r>
        <w:rPr>
          <w:spacing w:val="-15"/>
        </w:rPr>
        <w:t> </w:t>
      </w:r>
      <w:r>
        <w:rPr/>
        <w:t>dudosa</w:t>
      </w:r>
      <w:r>
        <w:rPr>
          <w:spacing w:val="-17"/>
        </w:rPr>
        <w:t> </w:t>
      </w:r>
      <w:r>
        <w:rPr/>
        <w:t>confiabilidad;</w:t>
      </w:r>
      <w:r>
        <w:rPr>
          <w:spacing w:val="-15"/>
        </w:rPr>
        <w:t> </w:t>
      </w:r>
      <w:r>
        <w:rPr/>
        <w:t>por</w:t>
      </w:r>
      <w:r>
        <w:rPr>
          <w:spacing w:val="-15"/>
        </w:rPr>
        <w:t> </w:t>
      </w:r>
      <w:r>
        <w:rPr/>
        <w:t>lo</w:t>
      </w:r>
      <w:r>
        <w:rPr>
          <w:spacing w:val="-15"/>
        </w:rPr>
        <w:t> </w:t>
      </w:r>
      <w:r>
        <w:rPr/>
        <w:t>que</w:t>
      </w:r>
      <w:r>
        <w:rPr>
          <w:spacing w:val="-15"/>
        </w:rPr>
        <w:t> </w:t>
      </w:r>
      <w:r>
        <w:rPr/>
        <w:t>se</w:t>
      </w:r>
      <w:r>
        <w:rPr>
          <w:spacing w:val="-15"/>
        </w:rPr>
        <w:t> </w:t>
      </w:r>
      <w:r>
        <w:rPr/>
        <w:t>recomienda</w:t>
      </w:r>
      <w:r>
        <w:rPr>
          <w:spacing w:val="-17"/>
        </w:rPr>
        <w:t> </w:t>
      </w:r>
      <w:r>
        <w:rPr/>
        <w:t>evitar</w:t>
      </w:r>
      <w:r>
        <w:rPr>
          <w:spacing w:val="-18"/>
        </w:rPr>
        <w:t> </w:t>
      </w:r>
      <w:r>
        <w:rPr/>
        <w:t>el</w:t>
      </w:r>
      <w:r>
        <w:rPr>
          <w:spacing w:val="-15"/>
        </w:rPr>
        <w:t> </w:t>
      </w:r>
      <w:r>
        <w:rPr/>
        <w:t>uso</w:t>
      </w:r>
      <w:r>
        <w:rPr>
          <w:spacing w:val="-15"/>
        </w:rPr>
        <w:t> </w:t>
      </w:r>
      <w:r>
        <w:rPr/>
        <w:t>de</w:t>
      </w:r>
      <w:r>
        <w:rPr>
          <w:spacing w:val="-15"/>
        </w:rPr>
        <w:t> </w:t>
      </w:r>
      <w:r>
        <w:rPr/>
        <w:t>una</w:t>
      </w:r>
      <w:r>
        <w:rPr>
          <w:spacing w:val="-17"/>
        </w:rPr>
        <w:t> </w:t>
      </w:r>
      <w:r>
        <w:rPr/>
        <w:t>medida</w:t>
      </w:r>
      <w:r>
        <w:rPr>
          <w:spacing w:val="-17"/>
        </w:rPr>
        <w:t> </w:t>
      </w:r>
      <w:r>
        <w:rPr/>
        <w:t>explicita</w:t>
      </w:r>
      <w:r>
        <w:rPr>
          <w:spacing w:val="-15"/>
        </w:rPr>
        <w:t> </w:t>
      </w:r>
      <w:r>
        <w:rPr/>
        <w:t>del</w:t>
      </w:r>
      <w:r>
        <w:rPr>
          <w:spacing w:val="-17"/>
        </w:rPr>
        <w:t> </w:t>
      </w:r>
      <w:r>
        <w:rPr/>
        <w:t>abasto de</w:t>
      </w:r>
      <w:r>
        <w:rPr>
          <w:spacing w:val="-3"/>
        </w:rPr>
        <w:t> </w:t>
      </w:r>
      <w:r>
        <w:rPr/>
        <w:t>capital.</w:t>
      </w:r>
    </w:p>
    <w:p>
      <w:pPr>
        <w:pStyle w:val="BodyText"/>
        <w:rPr>
          <w:sz w:val="20"/>
        </w:rPr>
      </w:pPr>
    </w:p>
    <w:p>
      <w:pPr>
        <w:pStyle w:val="BodyText"/>
        <w:rPr>
          <w:sz w:val="20"/>
        </w:rPr>
      </w:pPr>
    </w:p>
    <w:p>
      <w:pPr>
        <w:pStyle w:val="BodyText"/>
        <w:rPr>
          <w:sz w:val="20"/>
        </w:rPr>
      </w:pPr>
    </w:p>
    <w:p>
      <w:pPr>
        <w:pStyle w:val="BodyText"/>
        <w:spacing w:before="5"/>
      </w:pPr>
      <w:r>
        <w:rPr/>
        <w:pict>
          <v:line style="position:absolute;mso-position-horizontal-relative:page;mso-position-vertical-relative:paragraph;z-index:3880;mso-wrap-distance-left:0;mso-wrap-distance-right:0" from="85.103996pt,15.651703pt" to="525.960017pt,15.651703pt" stroked="true" strokeweight=".36pt" strokecolor="#000000">
            <w10:wrap type="topAndBottom"/>
          </v:line>
        </w:pict>
      </w:r>
    </w:p>
    <w:p>
      <w:pPr>
        <w:tabs>
          <w:tab w:pos="4003" w:val="left" w:leader="none"/>
          <w:tab w:pos="8240" w:val="left" w:leader="none"/>
        </w:tabs>
        <w:spacing w:before="73"/>
        <w:ind w:left="122" w:right="0"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55</w:t>
      </w:r>
    </w:p>
    <w:p>
      <w:pPr>
        <w:spacing w:after="0"/>
        <w:jc w:val="left"/>
        <w:rPr>
          <w:sz w:val="18"/>
        </w:rPr>
        <w:sectPr>
          <w:headerReference w:type="default" r:id="rId141"/>
          <w:footerReference w:type="default" r:id="rId142"/>
          <w:pgSz w:w="12240" w:h="15840"/>
          <w:pgMar w:header="0" w:footer="1491" w:top="1500" w:bottom="1680" w:left="1580" w:right="1580"/>
        </w:sectPr>
      </w:pPr>
    </w:p>
    <w:p>
      <w:pPr>
        <w:pStyle w:val="BodyText"/>
        <w:rPr>
          <w:sz w:val="20"/>
        </w:rPr>
      </w:pPr>
    </w:p>
    <w:p>
      <w:pPr>
        <w:pStyle w:val="BodyText"/>
        <w:spacing w:before="5"/>
        <w:rPr>
          <w:sz w:val="19"/>
        </w:rPr>
      </w:pPr>
    </w:p>
    <w:p>
      <w:pPr>
        <w:pStyle w:val="BodyText"/>
        <w:spacing w:line="360" w:lineRule="auto" w:before="71"/>
        <w:ind w:left="122" w:right="122"/>
        <w:jc w:val="both"/>
      </w:pPr>
      <w:r>
        <w:rPr/>
        <w:t>La función de producción de Cobb-Douglas es no lineal en los parámetros y a través de una transformación logarítmica, se vuelve lineal. Por medio de regresión lineal es analizada e interpretada para concretar los resultados obtenidos.</w:t>
      </w:r>
    </w:p>
    <w:p>
      <w:pPr>
        <w:pStyle w:val="BodyText"/>
        <w:rPr>
          <w:sz w:val="22"/>
        </w:rPr>
      </w:pPr>
    </w:p>
    <w:p>
      <w:pPr>
        <w:pStyle w:val="BodyText"/>
        <w:spacing w:line="360" w:lineRule="auto" w:before="150"/>
        <w:ind w:left="122" w:right="115"/>
        <w:jc w:val="both"/>
      </w:pPr>
      <w:r>
        <w:rPr/>
        <w:t>El</w:t>
      </w:r>
      <w:r>
        <w:rPr>
          <w:spacing w:val="-11"/>
        </w:rPr>
        <w:t> </w:t>
      </w:r>
      <w:r>
        <w:rPr/>
        <w:t>modelo</w:t>
      </w:r>
      <w:r>
        <w:rPr>
          <w:spacing w:val="-11"/>
        </w:rPr>
        <w:t> </w:t>
      </w:r>
      <w:r>
        <w:rPr/>
        <w:t>lineal</w:t>
      </w:r>
      <w:r>
        <w:rPr>
          <w:spacing w:val="-8"/>
        </w:rPr>
        <w:t> </w:t>
      </w:r>
      <w:r>
        <w:rPr/>
        <w:t>quedó</w:t>
      </w:r>
      <w:r>
        <w:rPr>
          <w:spacing w:val="-11"/>
        </w:rPr>
        <w:t> </w:t>
      </w:r>
      <w:r>
        <w:rPr/>
        <w:t>de</w:t>
      </w:r>
      <w:r>
        <w:rPr>
          <w:spacing w:val="-13"/>
        </w:rPr>
        <w:t> </w:t>
      </w:r>
      <w:r>
        <w:rPr/>
        <w:t>la</w:t>
      </w:r>
      <w:r>
        <w:rPr>
          <w:spacing w:val="-10"/>
        </w:rPr>
        <w:t> </w:t>
      </w:r>
      <w:r>
        <w:rPr/>
        <w:t>siguiente</w:t>
      </w:r>
      <w:r>
        <w:rPr>
          <w:spacing w:val="-13"/>
        </w:rPr>
        <w:t> </w:t>
      </w:r>
      <w:r>
        <w:rPr/>
        <w:t>manera:</w:t>
      </w:r>
      <w:r>
        <w:rPr>
          <w:spacing w:val="-11"/>
        </w:rPr>
        <w:t> </w:t>
      </w:r>
      <w:r>
        <w:rPr/>
        <w:t>ln</w:t>
      </w:r>
      <w:r>
        <w:rPr>
          <w:spacing w:val="-11"/>
        </w:rPr>
        <w:t> </w:t>
      </w:r>
      <w:r>
        <w:rPr/>
        <w:t>Yᵢ=</w:t>
      </w:r>
      <w:r>
        <w:rPr>
          <w:spacing w:val="-11"/>
        </w:rPr>
        <w:t> </w:t>
      </w:r>
      <w:r>
        <w:rPr/>
        <w:t>β</w:t>
      </w:r>
      <w:r>
        <w:rPr>
          <w:rFonts w:ascii="Cambria Math" w:hAnsi="Cambria Math" w:cs="Cambria Math" w:eastAsia="Cambria Math"/>
        </w:rPr>
        <w:t>₀</w:t>
      </w:r>
      <w:r>
        <w:rPr/>
        <w:t>+</w:t>
      </w:r>
      <w:r>
        <w:rPr>
          <w:spacing w:val="-11"/>
        </w:rPr>
        <w:t> </w:t>
      </w:r>
      <w:r>
        <w:rPr/>
        <w:t>β</w:t>
      </w:r>
      <w:r>
        <w:rPr>
          <w:rFonts w:ascii="Cambria Math" w:hAnsi="Cambria Math" w:cs="Cambria Math" w:eastAsia="Cambria Math"/>
        </w:rPr>
        <w:t>₁</w:t>
      </w:r>
      <w:r>
        <w:rPr>
          <w:rFonts w:ascii="Cambria Math" w:hAnsi="Cambria Math" w:cs="Cambria Math" w:eastAsia="Cambria Math"/>
          <w:spacing w:val="-4"/>
        </w:rPr>
        <w:t> </w:t>
      </w:r>
      <w:r>
        <w:rPr/>
        <w:t>ln</w:t>
      </w:r>
      <w:r>
        <w:rPr>
          <w:spacing w:val="-11"/>
        </w:rPr>
        <w:t> </w:t>
      </w:r>
      <w:r>
        <w:rPr/>
        <w:t>X</w:t>
      </w:r>
      <w:r>
        <w:rPr>
          <w:rFonts w:ascii="Cambria Math" w:hAnsi="Cambria Math" w:cs="Cambria Math" w:eastAsia="Cambria Math"/>
        </w:rPr>
        <w:t>₁</w:t>
      </w:r>
      <w:r>
        <w:rPr/>
        <w:t>+β</w:t>
      </w:r>
      <w:r>
        <w:rPr>
          <w:rFonts w:ascii="Cambria Math" w:hAnsi="Cambria Math" w:cs="Cambria Math" w:eastAsia="Cambria Math"/>
        </w:rPr>
        <w:t>₂</w:t>
      </w:r>
      <w:r>
        <w:rPr>
          <w:rFonts w:ascii="Cambria Math" w:hAnsi="Cambria Math" w:cs="Cambria Math" w:eastAsia="Cambria Math"/>
          <w:spacing w:val="-4"/>
        </w:rPr>
        <w:t> </w:t>
      </w:r>
      <w:r>
        <w:rPr/>
        <w:t>ln</w:t>
      </w:r>
      <w:r>
        <w:rPr>
          <w:spacing w:val="-11"/>
        </w:rPr>
        <w:t> </w:t>
      </w:r>
      <w:r>
        <w:rPr/>
        <w:t>X</w:t>
      </w:r>
      <w:r>
        <w:rPr>
          <w:rFonts w:ascii="Cambria Math" w:hAnsi="Cambria Math" w:cs="Cambria Math" w:eastAsia="Cambria Math"/>
        </w:rPr>
        <w:t>₂</w:t>
      </w:r>
      <w:r>
        <w:rPr/>
        <w:t>ᵢ+β</w:t>
      </w:r>
      <w:r>
        <w:rPr>
          <w:rFonts w:ascii="Cambria Math" w:hAnsi="Cambria Math" w:cs="Cambria Math" w:eastAsia="Cambria Math"/>
        </w:rPr>
        <w:t>₃</w:t>
      </w:r>
      <w:r>
        <w:rPr>
          <w:rFonts w:ascii="Cambria Math" w:hAnsi="Cambria Math" w:cs="Cambria Math" w:eastAsia="Cambria Math"/>
          <w:spacing w:val="-1"/>
        </w:rPr>
        <w:t> </w:t>
      </w:r>
      <w:r>
        <w:rPr/>
        <w:t>ln</w:t>
      </w:r>
      <w:r>
        <w:rPr>
          <w:spacing w:val="-11"/>
        </w:rPr>
        <w:t> </w:t>
      </w:r>
      <w:r>
        <w:rPr/>
        <w:t>X</w:t>
      </w:r>
      <w:r>
        <w:rPr>
          <w:rFonts w:ascii="Cambria Math" w:hAnsi="Cambria Math" w:cs="Cambria Math" w:eastAsia="Cambria Math"/>
        </w:rPr>
        <w:t>₃</w:t>
      </w:r>
      <w:r>
        <w:rPr/>
        <w:t>ᵢ+uᵢ,</w:t>
      </w:r>
      <w:r>
        <w:rPr>
          <w:spacing w:val="-11"/>
        </w:rPr>
        <w:t> </w:t>
      </w:r>
      <w:r>
        <w:rPr/>
        <w:t>donde Y=</w:t>
      </w:r>
      <w:r>
        <w:rPr>
          <w:spacing w:val="-12"/>
        </w:rPr>
        <w:t> </w:t>
      </w:r>
      <w:r>
        <w:rPr/>
        <w:t>Producción</w:t>
      </w:r>
      <w:r>
        <w:rPr>
          <w:spacing w:val="-12"/>
        </w:rPr>
        <w:t> </w:t>
      </w:r>
      <w:r>
        <w:rPr/>
        <w:t>Total</w:t>
      </w:r>
      <w:r>
        <w:rPr>
          <w:spacing w:val="-12"/>
        </w:rPr>
        <w:t> </w:t>
      </w:r>
      <w:r>
        <w:rPr/>
        <w:t>de</w:t>
      </w:r>
      <w:r>
        <w:rPr>
          <w:spacing w:val="-11"/>
        </w:rPr>
        <w:t> </w:t>
      </w:r>
      <w:r>
        <w:rPr/>
        <w:t>Carne,</w:t>
      </w:r>
      <w:r>
        <w:rPr>
          <w:spacing w:val="35"/>
        </w:rPr>
        <w:t> </w:t>
      </w:r>
      <w:r>
        <w:rPr/>
        <w:t>β</w:t>
      </w:r>
      <w:r>
        <w:rPr>
          <w:rFonts w:ascii="Cambria Math" w:hAnsi="Cambria Math" w:cs="Cambria Math" w:eastAsia="Cambria Math"/>
        </w:rPr>
        <w:t>₀</w:t>
      </w:r>
      <w:r>
        <w:rPr/>
        <w:t>=</w:t>
      </w:r>
      <w:r>
        <w:rPr>
          <w:spacing w:val="-12"/>
        </w:rPr>
        <w:t> </w:t>
      </w:r>
      <w:r>
        <w:rPr/>
        <w:t>Intercepto,</w:t>
      </w:r>
      <w:r>
        <w:rPr>
          <w:spacing w:val="-12"/>
        </w:rPr>
        <w:t> </w:t>
      </w:r>
      <w:r>
        <w:rPr/>
        <w:t>β</w:t>
      </w:r>
      <w:r>
        <w:rPr>
          <w:rFonts w:ascii="Cambria Math" w:hAnsi="Cambria Math" w:cs="Cambria Math" w:eastAsia="Cambria Math"/>
        </w:rPr>
        <w:t>₁</w:t>
      </w:r>
      <w:r>
        <w:rPr/>
        <w:t>=</w:t>
      </w:r>
      <w:r>
        <w:rPr>
          <w:spacing w:val="-12"/>
        </w:rPr>
        <w:t> </w:t>
      </w:r>
      <w:r>
        <w:rPr/>
        <w:t>Elasticidad</w:t>
      </w:r>
      <w:r>
        <w:rPr>
          <w:spacing w:val="-12"/>
        </w:rPr>
        <w:t> </w:t>
      </w:r>
      <w:r>
        <w:rPr/>
        <w:t>parcial</w:t>
      </w:r>
      <w:r>
        <w:rPr>
          <w:spacing w:val="-12"/>
        </w:rPr>
        <w:t> </w:t>
      </w:r>
      <w:r>
        <w:rPr/>
        <w:t>de</w:t>
      </w:r>
      <w:r>
        <w:rPr>
          <w:spacing w:val="-11"/>
        </w:rPr>
        <w:t> </w:t>
      </w:r>
      <w:r>
        <w:rPr/>
        <w:t>la</w:t>
      </w:r>
      <w:r>
        <w:rPr>
          <w:spacing w:val="-11"/>
        </w:rPr>
        <w:t> </w:t>
      </w:r>
      <w:r>
        <w:rPr/>
        <w:t>producción</w:t>
      </w:r>
      <w:r>
        <w:rPr>
          <w:spacing w:val="-12"/>
        </w:rPr>
        <w:t> </w:t>
      </w:r>
      <w:r>
        <w:rPr/>
        <w:t>respecto al insumo PN, con los insumos TA y GA constantes, β</w:t>
      </w:r>
      <w:r>
        <w:rPr>
          <w:rFonts w:ascii="Cambria Math" w:hAnsi="Cambria Math" w:cs="Cambria Math" w:eastAsia="Cambria Math"/>
        </w:rPr>
        <w:t>₂</w:t>
      </w:r>
      <w:r>
        <w:rPr/>
        <w:t>= Elasticidad parcial de la producción respecto al insumo TA, con los insumos PN y GA constantes, </w:t>
      </w:r>
      <w:r>
        <w:rPr>
          <w:spacing w:val="2"/>
        </w:rPr>
        <w:t>β</w:t>
      </w:r>
      <w:r>
        <w:rPr>
          <w:rFonts w:ascii="Cambria Math" w:hAnsi="Cambria Math" w:cs="Cambria Math" w:eastAsia="Cambria Math"/>
          <w:spacing w:val="2"/>
        </w:rPr>
        <w:t>₃</w:t>
      </w:r>
      <w:r>
        <w:rPr>
          <w:spacing w:val="2"/>
        </w:rPr>
        <w:t>= </w:t>
      </w:r>
      <w:r>
        <w:rPr/>
        <w:t>Elasticidad parcial de la producción respecto al insumo GA, con los insumos PN y TA constantes, </w:t>
      </w:r>
      <w:r>
        <w:rPr>
          <w:spacing w:val="2"/>
        </w:rPr>
        <w:t>X</w:t>
      </w:r>
      <w:r>
        <w:rPr>
          <w:rFonts w:ascii="Cambria Math" w:hAnsi="Cambria Math" w:cs="Cambria Math" w:eastAsia="Cambria Math"/>
          <w:spacing w:val="2"/>
        </w:rPr>
        <w:t>₁</w:t>
      </w:r>
      <w:r>
        <w:rPr>
          <w:spacing w:val="2"/>
        </w:rPr>
        <w:t>= </w:t>
      </w:r>
      <w:r>
        <w:rPr/>
        <w:t>Insumo Pastizal Natural, X</w:t>
      </w:r>
      <w:r>
        <w:rPr>
          <w:rFonts w:ascii="Cambria Math" w:hAnsi="Cambria Math" w:cs="Cambria Math" w:eastAsia="Cambria Math"/>
        </w:rPr>
        <w:t>₂</w:t>
      </w:r>
      <w:r>
        <w:rPr/>
        <w:t>= Insumo Total de Animales, X</w:t>
      </w:r>
      <w:r>
        <w:rPr>
          <w:rFonts w:ascii="Cambria Math" w:hAnsi="Cambria Math" w:cs="Cambria Math" w:eastAsia="Cambria Math"/>
        </w:rPr>
        <w:t>₃</w:t>
      </w:r>
      <w:r>
        <w:rPr/>
        <w:t>= Insumo Gastos de Alimentación y u= Término de perturbación</w:t>
      </w:r>
      <w:r>
        <w:rPr>
          <w:spacing w:val="-11"/>
        </w:rPr>
        <w:t> </w:t>
      </w:r>
      <w:r>
        <w:rPr/>
        <w:t>estocástica.</w:t>
      </w:r>
    </w:p>
    <w:p>
      <w:pPr>
        <w:pStyle w:val="BodyText"/>
        <w:rPr>
          <w:sz w:val="22"/>
        </w:rPr>
      </w:pPr>
    </w:p>
    <w:p>
      <w:pPr>
        <w:pStyle w:val="BodyText"/>
        <w:spacing w:line="360" w:lineRule="auto" w:before="147"/>
        <w:ind w:left="122" w:right="121"/>
        <w:jc w:val="both"/>
      </w:pPr>
      <w:r>
        <w:rPr/>
        <w:t>Las variables de Producción Total de Carne, Pastizal Natural, Total de Animales y Gastos de Alimentación están transformadas a logaritmos naturales para contribuir a que los errores cumplan con el supuesto de la distribución normal y homoscedasticidad del método de mínimos cuadrados ordinarios.</w:t>
      </w:r>
    </w:p>
    <w:p>
      <w:pPr>
        <w:pStyle w:val="BodyText"/>
        <w:spacing w:line="360" w:lineRule="auto" w:before="7"/>
        <w:ind w:left="122" w:right="123"/>
        <w:jc w:val="both"/>
      </w:pPr>
      <w:r>
        <w:rPr/>
        <w:t>Para estimar la función de producción Cobb-Douglas y realizar el análisis de varianza se utilizó el paquete estadístico SAS.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9"/>
        </w:rPr>
      </w:pPr>
      <w:r>
        <w:rPr/>
        <w:pict>
          <v:line style="position:absolute;mso-position-horizontal-relative:page;mso-position-vertical-relative:paragraph;z-index:3904;mso-wrap-distance-left:0;mso-wrap-distance-right:0" from="85.103996pt,13.173409pt" to="525.960017pt,13.173409pt" stroked="true" strokeweight=".36pt" strokecolor="#000000">
            <w10:wrap type="topAndBottom"/>
          </v:line>
        </w:pict>
      </w:r>
    </w:p>
    <w:p>
      <w:pPr>
        <w:tabs>
          <w:tab w:pos="4003" w:val="left" w:leader="none"/>
          <w:tab w:pos="8240" w:val="left" w:leader="none"/>
        </w:tabs>
        <w:spacing w:before="73"/>
        <w:ind w:left="122" w:right="0"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56</w:t>
      </w:r>
    </w:p>
    <w:p>
      <w:pPr>
        <w:spacing w:after="0"/>
        <w:jc w:val="left"/>
        <w:rPr>
          <w:sz w:val="18"/>
        </w:rPr>
        <w:sectPr>
          <w:headerReference w:type="default" r:id="rId143"/>
          <w:pgSz w:w="12240" w:h="15840"/>
          <w:pgMar w:header="1238" w:footer="1491" w:top="1420" w:bottom="1740" w:left="1580" w:right="1580"/>
        </w:sectPr>
      </w:pPr>
    </w:p>
    <w:p>
      <w:pPr>
        <w:pStyle w:val="BodyText"/>
        <w:rPr>
          <w:sz w:val="20"/>
        </w:rPr>
      </w:pPr>
    </w:p>
    <w:p>
      <w:pPr>
        <w:pStyle w:val="BodyText"/>
        <w:spacing w:before="10"/>
        <w:rPr>
          <w:sz w:val="19"/>
        </w:rPr>
      </w:pPr>
    </w:p>
    <w:p>
      <w:pPr>
        <w:pStyle w:val="Heading3"/>
        <w:spacing w:before="70"/>
        <w:ind w:right="122"/>
        <w:rPr>
          <w:rFonts w:ascii="Arial"/>
        </w:rPr>
      </w:pPr>
      <w:r>
        <w:rPr>
          <w:rFonts w:ascii="Arial"/>
        </w:rPr>
        <w:t>Resultados</w:t>
      </w:r>
    </w:p>
    <w:p>
      <w:pPr>
        <w:pStyle w:val="BodyText"/>
        <w:spacing w:line="360" w:lineRule="auto" w:before="135"/>
        <w:ind w:left="122" w:right="123"/>
        <w:jc w:val="both"/>
      </w:pPr>
      <w:r>
        <w:rPr/>
        <w:t>Haciendo</w:t>
      </w:r>
      <w:r>
        <w:rPr>
          <w:spacing w:val="-5"/>
        </w:rPr>
        <w:t> </w:t>
      </w:r>
      <w:r>
        <w:rPr/>
        <w:t>uso</w:t>
      </w:r>
      <w:r>
        <w:rPr>
          <w:spacing w:val="-5"/>
        </w:rPr>
        <w:t> </w:t>
      </w:r>
      <w:r>
        <w:rPr/>
        <w:t>del</w:t>
      </w:r>
      <w:r>
        <w:rPr>
          <w:spacing w:val="-4"/>
        </w:rPr>
        <w:t> </w:t>
      </w:r>
      <w:r>
        <w:rPr/>
        <w:t>paquete</w:t>
      </w:r>
      <w:r>
        <w:rPr>
          <w:spacing w:val="-6"/>
        </w:rPr>
        <w:t> </w:t>
      </w:r>
      <w:r>
        <w:rPr/>
        <w:t>estadístico</w:t>
      </w:r>
      <w:r>
        <w:rPr>
          <w:spacing w:val="-7"/>
        </w:rPr>
        <w:t> </w:t>
      </w:r>
      <w:r>
        <w:rPr/>
        <w:t>SAS,</w:t>
      </w:r>
      <w:r>
        <w:rPr>
          <w:spacing w:val="-5"/>
        </w:rPr>
        <w:t> </w:t>
      </w:r>
      <w:r>
        <w:rPr/>
        <w:t>se</w:t>
      </w:r>
      <w:r>
        <w:rPr>
          <w:spacing w:val="-4"/>
        </w:rPr>
        <w:t> </w:t>
      </w:r>
      <w:r>
        <w:rPr/>
        <w:t>tomaron</w:t>
      </w:r>
      <w:r>
        <w:rPr>
          <w:spacing w:val="-5"/>
        </w:rPr>
        <w:t> </w:t>
      </w:r>
      <w:r>
        <w:rPr/>
        <w:t>los</w:t>
      </w:r>
      <w:r>
        <w:rPr>
          <w:spacing w:val="-6"/>
        </w:rPr>
        <w:t> </w:t>
      </w:r>
      <w:r>
        <w:rPr/>
        <w:t>datos</w:t>
      </w:r>
      <w:r>
        <w:rPr>
          <w:spacing w:val="-6"/>
        </w:rPr>
        <w:t> </w:t>
      </w:r>
      <w:r>
        <w:rPr/>
        <w:t>de</w:t>
      </w:r>
      <w:r>
        <w:rPr>
          <w:spacing w:val="-6"/>
        </w:rPr>
        <w:t> </w:t>
      </w:r>
      <w:r>
        <w:rPr/>
        <w:t>la</w:t>
      </w:r>
      <w:r>
        <w:rPr>
          <w:spacing w:val="-4"/>
        </w:rPr>
        <w:t> </w:t>
      </w:r>
      <w:r>
        <w:rPr/>
        <w:t>hoja</w:t>
      </w:r>
      <w:r>
        <w:rPr>
          <w:spacing w:val="-6"/>
        </w:rPr>
        <w:t> </w:t>
      </w:r>
      <w:r>
        <w:rPr/>
        <w:t>de</w:t>
      </w:r>
      <w:r>
        <w:rPr>
          <w:spacing w:val="-6"/>
        </w:rPr>
        <w:t> </w:t>
      </w:r>
      <w:r>
        <w:rPr/>
        <w:t>Excel,</w:t>
      </w:r>
      <w:r>
        <w:rPr>
          <w:spacing w:val="-5"/>
        </w:rPr>
        <w:t> </w:t>
      </w:r>
      <w:r>
        <w:rPr/>
        <w:t>y</w:t>
      </w:r>
      <w:r>
        <w:rPr>
          <w:spacing w:val="-10"/>
        </w:rPr>
        <w:t> </w:t>
      </w:r>
      <w:r>
        <w:rPr/>
        <w:t>se</w:t>
      </w:r>
      <w:r>
        <w:rPr>
          <w:spacing w:val="-4"/>
        </w:rPr>
        <w:t> </w:t>
      </w:r>
      <w:r>
        <w:rPr/>
        <w:t>ejecutó una</w:t>
      </w:r>
      <w:r>
        <w:rPr>
          <w:spacing w:val="-6"/>
        </w:rPr>
        <w:t> </w:t>
      </w:r>
      <w:r>
        <w:rPr/>
        <w:t>regresión</w:t>
      </w:r>
      <w:r>
        <w:rPr>
          <w:spacing w:val="-10"/>
        </w:rPr>
        <w:t> </w:t>
      </w:r>
      <w:r>
        <w:rPr/>
        <w:t>lineal,</w:t>
      </w:r>
      <w:r>
        <w:rPr>
          <w:spacing w:val="-5"/>
        </w:rPr>
        <w:t> </w:t>
      </w:r>
      <w:r>
        <w:rPr/>
        <w:t>para</w:t>
      </w:r>
      <w:r>
        <w:rPr>
          <w:spacing w:val="-9"/>
        </w:rPr>
        <w:t> </w:t>
      </w:r>
      <w:r>
        <w:rPr/>
        <w:t>así</w:t>
      </w:r>
      <w:r>
        <w:rPr>
          <w:spacing w:val="-7"/>
        </w:rPr>
        <w:t> </w:t>
      </w:r>
      <w:r>
        <w:rPr/>
        <w:t>obtener</w:t>
      </w:r>
      <w:r>
        <w:rPr>
          <w:spacing w:val="-10"/>
        </w:rPr>
        <w:t> </w:t>
      </w:r>
      <w:r>
        <w:rPr/>
        <w:t>los</w:t>
      </w:r>
      <w:r>
        <w:rPr>
          <w:spacing w:val="-8"/>
        </w:rPr>
        <w:t> </w:t>
      </w:r>
      <w:r>
        <w:rPr/>
        <w:t>estimadores</w:t>
      </w:r>
      <w:r>
        <w:rPr>
          <w:spacing w:val="-8"/>
        </w:rPr>
        <w:t> </w:t>
      </w:r>
      <w:r>
        <w:rPr/>
        <w:t>de</w:t>
      </w:r>
      <w:r>
        <w:rPr>
          <w:spacing w:val="-6"/>
        </w:rPr>
        <w:t> </w:t>
      </w:r>
      <w:r>
        <w:rPr/>
        <w:t>los</w:t>
      </w:r>
      <w:r>
        <w:rPr>
          <w:spacing w:val="-8"/>
        </w:rPr>
        <w:t> </w:t>
      </w:r>
      <w:r>
        <w:rPr/>
        <w:t>parámetros</w:t>
      </w:r>
      <w:r>
        <w:rPr>
          <w:spacing w:val="-8"/>
        </w:rPr>
        <w:t> </w:t>
      </w:r>
      <w:r>
        <w:rPr/>
        <w:t>y</w:t>
      </w:r>
      <w:r>
        <w:rPr>
          <w:spacing w:val="-12"/>
        </w:rPr>
        <w:t> </w:t>
      </w:r>
      <w:r>
        <w:rPr/>
        <w:t>ajustando</w:t>
      </w:r>
      <w:r>
        <w:rPr>
          <w:spacing w:val="-7"/>
        </w:rPr>
        <w:t> </w:t>
      </w:r>
      <w:r>
        <w:rPr/>
        <w:t>la</w:t>
      </w:r>
      <w:r>
        <w:rPr>
          <w:spacing w:val="-6"/>
        </w:rPr>
        <w:t> </w:t>
      </w:r>
      <w:r>
        <w:rPr/>
        <w:t>función</w:t>
      </w:r>
      <w:r>
        <w:rPr>
          <w:spacing w:val="-10"/>
        </w:rPr>
        <w:t> </w:t>
      </w:r>
      <w:r>
        <w:rPr/>
        <w:t>de producción de Cobb-Douglas a estos datos, se obtuvieron los siguientes</w:t>
      </w:r>
      <w:r>
        <w:rPr>
          <w:spacing w:val="-24"/>
        </w:rPr>
        <w:t> </w:t>
      </w:r>
      <w:r>
        <w:rPr/>
        <w:t>resultados:</w:t>
      </w:r>
    </w:p>
    <w:p>
      <w:pPr>
        <w:pStyle w:val="BodyText"/>
        <w:rPr>
          <w:sz w:val="22"/>
        </w:rPr>
      </w:pPr>
    </w:p>
    <w:p>
      <w:pPr>
        <w:pStyle w:val="BodyText"/>
        <w:spacing w:line="360" w:lineRule="auto" w:before="149"/>
        <w:ind w:left="122" w:right="1119"/>
      </w:pPr>
      <w:r>
        <w:rPr/>
        <w:t>Cuadro 01. Resultados del SAS para los bovinos carne del sur del Estado de México. Table 01. SAS Results for beef cattle from southern Mexico State.</w:t>
      </w:r>
    </w:p>
    <w:p>
      <w:pPr>
        <w:pStyle w:val="BodyText"/>
        <w:spacing w:before="8"/>
        <w:rPr>
          <w:sz w:val="19"/>
        </w:rPr>
      </w:pPr>
      <w:r>
        <w:rPr/>
        <w:pict>
          <v:line style="position:absolute;mso-position-horizontal-relative:page;mso-position-vertical-relative:paragraph;z-index:3928;mso-wrap-distance-left:0;mso-wrap-distance-right:0" from="85.050003pt,13.564785pt" to="494.600003pt,13.564785pt" stroked="true" strokeweight=".5pt" strokecolor="#000000">
            <w10:wrap type="topAndBottom"/>
          </v:line>
        </w:pict>
      </w:r>
    </w:p>
    <w:p>
      <w:pPr>
        <w:tabs>
          <w:tab w:pos="5171" w:val="left" w:leader="none"/>
        </w:tabs>
        <w:spacing w:before="82"/>
        <w:ind w:left="122" w:right="0" w:firstLine="0"/>
        <w:jc w:val="both"/>
        <w:rPr>
          <w:rFonts w:ascii="Arial"/>
          <w:b/>
          <w:sz w:val="22"/>
        </w:rPr>
      </w:pPr>
      <w:r>
        <w:rPr>
          <w:rFonts w:ascii="Arial"/>
          <w:b/>
          <w:sz w:val="22"/>
        </w:rPr>
        <w:t>Concepto</w:t>
        <w:tab/>
        <w:t>Valor</w:t>
      </w:r>
    </w:p>
    <w:p>
      <w:pPr>
        <w:tabs>
          <w:tab w:pos="5589" w:val="right" w:leader="none"/>
        </w:tabs>
        <w:spacing w:before="128"/>
        <w:ind w:left="122" w:right="0" w:firstLine="0"/>
        <w:jc w:val="both"/>
        <w:rPr>
          <w:rFonts w:ascii="Arial"/>
          <w:sz w:val="22"/>
        </w:rPr>
      </w:pPr>
      <w:r>
        <w:rPr/>
        <w:pict>
          <v:line style="position:absolute;mso-position-horizontal-relative:page;mso-position-vertical-relative:paragraph;z-index:3976" from="84.75pt,2.087876pt" to="493.3pt,2.087876pt" stroked="true" strokeweight=".5pt" strokecolor="#000000">
            <w10:wrap type="none"/>
          </v:line>
        </w:pict>
      </w:r>
      <w:r>
        <w:rPr>
          <w:rFonts w:ascii="Arial"/>
          <w:sz w:val="22"/>
        </w:rPr>
        <w:t>Muestra (n)</w:t>
        <w:tab/>
        <w:t>200</w:t>
      </w:r>
    </w:p>
    <w:p>
      <w:pPr>
        <w:tabs>
          <w:tab w:pos="5633" w:val="right" w:leader="none"/>
        </w:tabs>
        <w:spacing w:before="126"/>
        <w:ind w:left="122" w:right="0" w:firstLine="0"/>
        <w:jc w:val="both"/>
        <w:rPr>
          <w:rFonts w:ascii="Arial" w:hAnsi="Arial"/>
          <w:sz w:val="22"/>
        </w:rPr>
      </w:pPr>
      <w:r>
        <w:rPr>
          <w:rFonts w:ascii="Arial" w:hAnsi="Arial"/>
          <w:sz w:val="22"/>
        </w:rPr>
        <w:t>R²</w:t>
        <w:tab/>
        <w:t>0.70</w:t>
      </w:r>
    </w:p>
    <w:p>
      <w:pPr>
        <w:tabs>
          <w:tab w:pos="5514" w:val="right" w:leader="none"/>
        </w:tabs>
        <w:spacing w:before="126"/>
        <w:ind w:left="122" w:right="0" w:firstLine="0"/>
        <w:jc w:val="both"/>
        <w:rPr>
          <w:rFonts w:ascii="Arial"/>
          <w:sz w:val="22"/>
        </w:rPr>
      </w:pPr>
      <w:r>
        <w:rPr>
          <w:rFonts w:ascii="Arial"/>
          <w:sz w:val="22"/>
        </w:rPr>
        <w:t>Coef.</w:t>
      </w:r>
      <w:r>
        <w:rPr>
          <w:rFonts w:ascii="Arial"/>
          <w:spacing w:val="1"/>
          <w:sz w:val="22"/>
        </w:rPr>
        <w:t> </w:t>
      </w:r>
      <w:r>
        <w:rPr>
          <w:rFonts w:ascii="Arial"/>
          <w:sz w:val="22"/>
        </w:rPr>
        <w:t>Var.</w:t>
        <w:tab/>
        <w:t>5.5</w:t>
      </w:r>
    </w:p>
    <w:p>
      <w:pPr>
        <w:tabs>
          <w:tab w:pos="5198" w:val="left" w:leader="none"/>
        </w:tabs>
        <w:spacing w:before="125"/>
        <w:ind w:left="122" w:right="0" w:firstLine="0"/>
        <w:jc w:val="both"/>
        <w:rPr>
          <w:rFonts w:ascii="Arial" w:hAnsi="Arial"/>
          <w:sz w:val="22"/>
        </w:rPr>
      </w:pPr>
      <w:r>
        <w:rPr>
          <w:rFonts w:ascii="Arial" w:hAnsi="Arial"/>
          <w:position w:val="2"/>
          <w:sz w:val="22"/>
        </w:rPr>
        <w:t>Error</w:t>
      </w:r>
      <w:r>
        <w:rPr>
          <w:rFonts w:ascii="Arial" w:hAnsi="Arial"/>
          <w:spacing w:val="-2"/>
          <w:position w:val="2"/>
          <w:sz w:val="22"/>
        </w:rPr>
        <w:t> </w:t>
      </w:r>
      <w:r>
        <w:rPr>
          <w:rFonts w:ascii="Arial" w:hAnsi="Arial"/>
          <w:position w:val="2"/>
          <w:sz w:val="22"/>
        </w:rPr>
        <w:t>estándar</w:t>
        <w:tab/>
        <w:t>X</w:t>
      </w:r>
      <w:r>
        <w:rPr>
          <w:rFonts w:ascii="Arial" w:hAnsi="Arial"/>
          <w:sz w:val="14"/>
        </w:rPr>
        <w:t>1</w:t>
      </w:r>
      <w:r>
        <w:rPr>
          <w:rFonts w:ascii="Arial" w:hAnsi="Arial"/>
          <w:position w:val="2"/>
          <w:sz w:val="22"/>
        </w:rPr>
        <w:t>= 0.04, X</w:t>
      </w:r>
      <w:r>
        <w:rPr>
          <w:rFonts w:ascii="Arial" w:hAnsi="Arial"/>
          <w:sz w:val="14"/>
        </w:rPr>
        <w:t>2</w:t>
      </w:r>
      <w:r>
        <w:rPr>
          <w:rFonts w:ascii="Arial" w:hAnsi="Arial"/>
          <w:position w:val="2"/>
          <w:sz w:val="22"/>
        </w:rPr>
        <w:t>= 0.06, X</w:t>
      </w:r>
      <w:r>
        <w:rPr>
          <w:rFonts w:ascii="Arial" w:hAnsi="Arial"/>
          <w:sz w:val="14"/>
        </w:rPr>
        <w:t>3</w:t>
      </w:r>
      <w:r>
        <w:rPr>
          <w:rFonts w:ascii="Arial" w:hAnsi="Arial"/>
          <w:position w:val="2"/>
          <w:sz w:val="22"/>
        </w:rPr>
        <w:t>=</w:t>
      </w:r>
      <w:r>
        <w:rPr>
          <w:rFonts w:ascii="Arial" w:hAnsi="Arial"/>
          <w:spacing w:val="-31"/>
          <w:position w:val="2"/>
          <w:sz w:val="22"/>
        </w:rPr>
        <w:t> </w:t>
      </w:r>
      <w:r>
        <w:rPr>
          <w:rFonts w:ascii="Arial" w:hAnsi="Arial"/>
          <w:position w:val="2"/>
          <w:sz w:val="22"/>
        </w:rPr>
        <w:t>0.06</w:t>
      </w:r>
    </w:p>
    <w:p>
      <w:pPr>
        <w:tabs>
          <w:tab w:pos="5184" w:val="left" w:leader="none"/>
        </w:tabs>
        <w:spacing w:before="123"/>
        <w:ind w:left="122" w:right="0" w:firstLine="0"/>
        <w:jc w:val="both"/>
        <w:rPr>
          <w:rFonts w:ascii="Arial"/>
          <w:sz w:val="22"/>
        </w:rPr>
      </w:pPr>
      <w:r>
        <w:rPr>
          <w:rFonts w:ascii="Arial"/>
          <w:position w:val="2"/>
          <w:sz w:val="22"/>
        </w:rPr>
        <w:t>T</w:t>
        <w:tab/>
        <w:t>X</w:t>
      </w:r>
      <w:r>
        <w:rPr>
          <w:rFonts w:ascii="Arial"/>
          <w:sz w:val="14"/>
        </w:rPr>
        <w:t>1</w:t>
      </w:r>
      <w:r>
        <w:rPr>
          <w:rFonts w:ascii="Arial"/>
          <w:position w:val="2"/>
          <w:sz w:val="22"/>
        </w:rPr>
        <w:t>= (-1.05), X</w:t>
      </w:r>
      <w:r>
        <w:rPr>
          <w:rFonts w:ascii="Arial"/>
          <w:sz w:val="14"/>
        </w:rPr>
        <w:t>2</w:t>
      </w:r>
      <w:r>
        <w:rPr>
          <w:rFonts w:ascii="Arial"/>
          <w:position w:val="2"/>
          <w:sz w:val="22"/>
        </w:rPr>
        <w:t>= (17.81), X</w:t>
      </w:r>
      <w:r>
        <w:rPr>
          <w:rFonts w:ascii="Arial"/>
          <w:sz w:val="14"/>
        </w:rPr>
        <w:t>3</w:t>
      </w:r>
      <w:r>
        <w:rPr>
          <w:rFonts w:ascii="Arial"/>
          <w:position w:val="2"/>
          <w:sz w:val="22"/>
        </w:rPr>
        <w:t>=</w:t>
      </w:r>
      <w:r>
        <w:rPr>
          <w:rFonts w:ascii="Arial"/>
          <w:spacing w:val="-11"/>
          <w:position w:val="2"/>
          <w:sz w:val="22"/>
        </w:rPr>
        <w:t> </w:t>
      </w:r>
      <w:r>
        <w:rPr>
          <w:rFonts w:ascii="Arial"/>
          <w:position w:val="2"/>
          <w:sz w:val="22"/>
        </w:rPr>
        <w:t>(-0.33)</w:t>
      </w:r>
    </w:p>
    <w:p>
      <w:pPr>
        <w:tabs>
          <w:tab w:pos="5861" w:val="right" w:leader="none"/>
        </w:tabs>
        <w:spacing w:before="124"/>
        <w:ind w:left="122" w:right="0" w:firstLine="0"/>
        <w:jc w:val="both"/>
        <w:rPr>
          <w:rFonts w:ascii="Arial"/>
          <w:sz w:val="22"/>
        </w:rPr>
      </w:pPr>
      <w:r>
        <w:rPr/>
        <w:pict>
          <v:line style="position:absolute;mso-position-horizontal-relative:page;mso-position-vertical-relative:paragraph;z-index:4000" from="84.75pt,22.077858pt" to="500.85pt,22.077858pt" stroked="true" strokeweight=".5pt" strokecolor="#000000">
            <w10:wrap type="none"/>
          </v:line>
        </w:pict>
      </w:r>
      <w:r>
        <w:rPr>
          <w:rFonts w:ascii="Arial"/>
          <w:sz w:val="22"/>
        </w:rPr>
        <w:t>f</w:t>
        <w:tab/>
        <w:t>157.25</w:t>
      </w:r>
    </w:p>
    <w:p>
      <w:pPr>
        <w:pStyle w:val="BodyText"/>
        <w:spacing w:before="125"/>
        <w:ind w:left="122"/>
        <w:jc w:val="both"/>
      </w:pPr>
      <w:r>
        <w:rPr/>
        <w:t>Fuente: Elaboración propia con datos del SAS.</w:t>
      </w:r>
    </w:p>
    <w:p>
      <w:pPr>
        <w:pStyle w:val="BodyText"/>
        <w:spacing w:line="360" w:lineRule="auto" w:before="512"/>
        <w:ind w:left="122" w:right="114"/>
        <w:jc w:val="both"/>
      </w:pPr>
      <w:r>
        <w:rPr>
          <w:position w:val="2"/>
        </w:rPr>
        <w:t>El modelo estadístico que se obtuvo es el siguiente: Y = 455.5 X</w:t>
      </w:r>
      <w:r>
        <w:rPr>
          <w:sz w:val="15"/>
        </w:rPr>
        <w:t>1</w:t>
      </w:r>
      <w:r>
        <w:rPr>
          <w:position w:val="11"/>
          <w:sz w:val="15"/>
        </w:rPr>
        <w:t>-0.041 </w:t>
      </w:r>
      <w:r>
        <w:rPr>
          <w:position w:val="2"/>
        </w:rPr>
        <w:t>X</w:t>
      </w:r>
      <w:r>
        <w:rPr>
          <w:sz w:val="15"/>
        </w:rPr>
        <w:t>2</w:t>
      </w:r>
      <w:r>
        <w:rPr>
          <w:position w:val="11"/>
          <w:sz w:val="15"/>
        </w:rPr>
        <w:t>1.067 </w:t>
      </w:r>
      <w:r>
        <w:rPr>
          <w:position w:val="2"/>
        </w:rPr>
        <w:t>X</w:t>
      </w:r>
      <w:r>
        <w:rPr>
          <w:sz w:val="15"/>
        </w:rPr>
        <w:t>3</w:t>
      </w:r>
      <w:r>
        <w:rPr>
          <w:position w:val="11"/>
          <w:sz w:val="15"/>
        </w:rPr>
        <w:t>-0.019</w:t>
      </w:r>
      <w:r>
        <w:rPr>
          <w:position w:val="2"/>
        </w:rPr>
        <w:t>, por lo </w:t>
      </w:r>
      <w:r>
        <w:rPr/>
        <w:t>tanto, los valores de las elasticidades parciales correspondientes a las variables consideradas en este</w:t>
      </w:r>
      <w:r>
        <w:rPr>
          <w:spacing w:val="-10"/>
        </w:rPr>
        <w:t> </w:t>
      </w:r>
      <w:r>
        <w:rPr/>
        <w:t>trabajo</w:t>
      </w:r>
      <w:r>
        <w:rPr>
          <w:spacing w:val="-11"/>
        </w:rPr>
        <w:t> </w:t>
      </w:r>
      <w:r>
        <w:rPr/>
        <w:t>investigación</w:t>
      </w:r>
      <w:r>
        <w:rPr>
          <w:spacing w:val="-13"/>
        </w:rPr>
        <w:t> </w:t>
      </w:r>
      <w:r>
        <w:rPr/>
        <w:t>son</w:t>
      </w:r>
      <w:r>
        <w:rPr>
          <w:spacing w:val="-9"/>
        </w:rPr>
        <w:t> </w:t>
      </w:r>
      <w:r>
        <w:rPr/>
        <w:t>las</w:t>
      </w:r>
      <w:r>
        <w:rPr>
          <w:spacing w:val="-9"/>
        </w:rPr>
        <w:t> </w:t>
      </w:r>
      <w:r>
        <w:rPr/>
        <w:t>siguientes:</w:t>
      </w:r>
      <w:r>
        <w:rPr>
          <w:spacing w:val="-8"/>
        </w:rPr>
        <w:t> </w:t>
      </w:r>
      <w:r>
        <w:rPr/>
        <w:t>β</w:t>
      </w:r>
      <w:r>
        <w:rPr>
          <w:rFonts w:ascii="Cambria Math" w:hAnsi="Cambria Math"/>
        </w:rPr>
        <w:t>₁</w:t>
      </w:r>
      <w:r>
        <w:rPr/>
        <w:t>=</w:t>
      </w:r>
      <w:r>
        <w:rPr>
          <w:spacing w:val="-11"/>
        </w:rPr>
        <w:t> </w:t>
      </w:r>
      <w:r>
        <w:rPr/>
        <w:t>-0.041,</w:t>
      </w:r>
      <w:r>
        <w:rPr>
          <w:spacing w:val="-9"/>
        </w:rPr>
        <w:t> </w:t>
      </w:r>
      <w:r>
        <w:rPr/>
        <w:t>β</w:t>
      </w:r>
      <w:r>
        <w:rPr>
          <w:rFonts w:ascii="Cambria Math" w:hAnsi="Cambria Math"/>
        </w:rPr>
        <w:t>₂</w:t>
      </w:r>
      <w:r>
        <w:rPr/>
        <w:t>=</w:t>
      </w:r>
      <w:r>
        <w:rPr>
          <w:spacing w:val="-9"/>
        </w:rPr>
        <w:t> </w:t>
      </w:r>
      <w:r>
        <w:rPr/>
        <w:t>1.067,</w:t>
      </w:r>
      <w:r>
        <w:rPr>
          <w:spacing w:val="-11"/>
        </w:rPr>
        <w:t> </w:t>
      </w:r>
      <w:r>
        <w:rPr/>
        <w:t>β</w:t>
      </w:r>
      <w:r>
        <w:rPr>
          <w:rFonts w:ascii="Cambria Math" w:hAnsi="Cambria Math"/>
        </w:rPr>
        <w:t>₃</w:t>
      </w:r>
      <w:r>
        <w:rPr/>
        <w:t>=</w:t>
      </w:r>
      <w:r>
        <w:rPr>
          <w:spacing w:val="-9"/>
        </w:rPr>
        <w:t> </w:t>
      </w:r>
      <w:r>
        <w:rPr/>
        <w:t>-0.019,</w:t>
      </w:r>
      <w:r>
        <w:rPr>
          <w:spacing w:val="-9"/>
        </w:rPr>
        <w:t> </w:t>
      </w:r>
      <w:r>
        <w:rPr/>
        <w:t>la</w:t>
      </w:r>
      <w:r>
        <w:rPr>
          <w:spacing w:val="-8"/>
        </w:rPr>
        <w:t> </w:t>
      </w:r>
      <w:r>
        <w:rPr/>
        <w:t>∑</w:t>
      </w:r>
      <w:r>
        <w:rPr>
          <w:spacing w:val="-10"/>
        </w:rPr>
        <w:t> </w:t>
      </w:r>
      <w:r>
        <w:rPr/>
        <w:t>(β</w:t>
      </w:r>
      <w:r>
        <w:rPr>
          <w:rFonts w:ascii="Cambria Math" w:hAnsi="Cambria Math"/>
        </w:rPr>
        <w:t>₁</w:t>
      </w:r>
      <w:r>
        <w:rPr/>
        <w:t>,</w:t>
      </w:r>
      <w:r>
        <w:rPr>
          <w:spacing w:val="-9"/>
        </w:rPr>
        <w:t> </w:t>
      </w:r>
      <w:r>
        <w:rPr/>
        <w:t>β</w:t>
      </w:r>
      <w:r>
        <w:rPr>
          <w:rFonts w:ascii="Cambria Math" w:hAnsi="Cambria Math"/>
        </w:rPr>
        <w:t>₂</w:t>
      </w:r>
      <w:r>
        <w:rPr/>
        <w:t>,</w:t>
      </w:r>
      <w:r>
        <w:rPr>
          <w:spacing w:val="-11"/>
        </w:rPr>
        <w:t> </w:t>
      </w:r>
      <w:r>
        <w:rPr/>
        <w:t>β</w:t>
      </w:r>
      <w:r>
        <w:rPr>
          <w:rFonts w:ascii="Cambria Math" w:hAnsi="Cambria Math"/>
        </w:rPr>
        <w:t>₃</w:t>
      </w:r>
      <w:r>
        <w:rPr/>
        <w:t>)= 1.01, este resultado nos indica, que en la producción de carne de bovino del sur del estado de México</w:t>
      </w:r>
      <w:r>
        <w:rPr>
          <w:spacing w:val="-3"/>
        </w:rPr>
        <w:t> </w:t>
      </w:r>
      <w:r>
        <w:rPr/>
        <w:t>se</w:t>
      </w:r>
      <w:r>
        <w:rPr>
          <w:spacing w:val="-3"/>
        </w:rPr>
        <w:t> </w:t>
      </w:r>
      <w:r>
        <w:rPr/>
        <w:t>tienen</w:t>
      </w:r>
      <w:r>
        <w:rPr>
          <w:spacing w:val="-3"/>
        </w:rPr>
        <w:t> </w:t>
      </w:r>
      <w:r>
        <w:rPr/>
        <w:t>rendimientos</w:t>
      </w:r>
      <w:r>
        <w:rPr>
          <w:spacing w:val="-4"/>
        </w:rPr>
        <w:t> </w:t>
      </w:r>
      <w:r>
        <w:rPr/>
        <w:t>a</w:t>
      </w:r>
      <w:r>
        <w:rPr>
          <w:spacing w:val="-5"/>
        </w:rPr>
        <w:t> </w:t>
      </w:r>
      <w:r>
        <w:rPr/>
        <w:t>escala</w:t>
      </w:r>
      <w:r>
        <w:rPr>
          <w:spacing w:val="-5"/>
        </w:rPr>
        <w:t> </w:t>
      </w:r>
      <w:r>
        <w:rPr/>
        <w:t>crecientes,</w:t>
      </w:r>
      <w:r>
        <w:rPr>
          <w:spacing w:val="-3"/>
        </w:rPr>
        <w:t> </w:t>
      </w:r>
      <w:r>
        <w:rPr/>
        <w:t>lo</w:t>
      </w:r>
      <w:r>
        <w:rPr>
          <w:spacing w:val="-6"/>
        </w:rPr>
        <w:t> </w:t>
      </w:r>
      <w:r>
        <w:rPr/>
        <w:t>cual</w:t>
      </w:r>
      <w:r>
        <w:rPr>
          <w:spacing w:val="-3"/>
        </w:rPr>
        <w:t> </w:t>
      </w:r>
      <w:r>
        <w:rPr/>
        <w:t>significa</w:t>
      </w:r>
      <w:r>
        <w:rPr>
          <w:spacing w:val="-3"/>
        </w:rPr>
        <w:t> </w:t>
      </w:r>
      <w:r>
        <w:rPr/>
        <w:t>que</w:t>
      </w:r>
      <w:r>
        <w:rPr>
          <w:spacing w:val="-5"/>
        </w:rPr>
        <w:t> </w:t>
      </w:r>
      <w:r>
        <w:rPr/>
        <w:t>al</w:t>
      </w:r>
      <w:r>
        <w:rPr>
          <w:spacing w:val="-5"/>
        </w:rPr>
        <w:t> </w:t>
      </w:r>
      <w:r>
        <w:rPr/>
        <w:t>aumentar</w:t>
      </w:r>
      <w:r>
        <w:rPr>
          <w:spacing w:val="-6"/>
        </w:rPr>
        <w:t> </w:t>
      </w:r>
      <w:r>
        <w:rPr/>
        <w:t>los</w:t>
      </w:r>
      <w:r>
        <w:rPr>
          <w:spacing w:val="-4"/>
        </w:rPr>
        <w:t> </w:t>
      </w:r>
      <w:r>
        <w:rPr/>
        <w:t>insumos en</w:t>
      </w:r>
      <w:r>
        <w:rPr>
          <w:spacing w:val="-12"/>
        </w:rPr>
        <w:t> </w:t>
      </w:r>
      <w:r>
        <w:rPr/>
        <w:t>cierta</w:t>
      </w:r>
      <w:r>
        <w:rPr>
          <w:spacing w:val="-11"/>
        </w:rPr>
        <w:t> </w:t>
      </w:r>
      <w:r>
        <w:rPr/>
        <w:t>proporción</w:t>
      </w:r>
      <w:r>
        <w:rPr>
          <w:spacing w:val="-12"/>
        </w:rPr>
        <w:t> </w:t>
      </w:r>
      <w:r>
        <w:rPr/>
        <w:t>(Pasto</w:t>
      </w:r>
      <w:r>
        <w:rPr>
          <w:spacing w:val="-12"/>
        </w:rPr>
        <w:t> </w:t>
      </w:r>
      <w:r>
        <w:rPr/>
        <w:t>Natural,</w:t>
      </w:r>
      <w:r>
        <w:rPr>
          <w:spacing w:val="-12"/>
        </w:rPr>
        <w:t> </w:t>
      </w:r>
      <w:r>
        <w:rPr/>
        <w:t>Total</w:t>
      </w:r>
      <w:r>
        <w:rPr>
          <w:spacing w:val="-12"/>
        </w:rPr>
        <w:t> </w:t>
      </w:r>
      <w:r>
        <w:rPr/>
        <w:t>de</w:t>
      </w:r>
      <w:r>
        <w:rPr>
          <w:spacing w:val="-11"/>
        </w:rPr>
        <w:t> </w:t>
      </w:r>
      <w:r>
        <w:rPr/>
        <w:t>Animales</w:t>
      </w:r>
      <w:r>
        <w:rPr>
          <w:spacing w:val="-10"/>
        </w:rPr>
        <w:t> </w:t>
      </w:r>
      <w:r>
        <w:rPr/>
        <w:t>y</w:t>
      </w:r>
      <w:r>
        <w:rPr>
          <w:spacing w:val="-14"/>
        </w:rPr>
        <w:t> </w:t>
      </w:r>
      <w:r>
        <w:rPr/>
        <w:t>Gastos</w:t>
      </w:r>
      <w:r>
        <w:rPr>
          <w:spacing w:val="-13"/>
        </w:rPr>
        <w:t> </w:t>
      </w:r>
      <w:r>
        <w:rPr/>
        <w:t>de</w:t>
      </w:r>
      <w:r>
        <w:rPr>
          <w:spacing w:val="-11"/>
        </w:rPr>
        <w:t> </w:t>
      </w:r>
      <w:r>
        <w:rPr/>
        <w:t>Alimentación),</w:t>
      </w:r>
      <w:r>
        <w:rPr>
          <w:spacing w:val="-12"/>
        </w:rPr>
        <w:t> </w:t>
      </w:r>
      <w:r>
        <w:rPr/>
        <w:t>la</w:t>
      </w:r>
      <w:r>
        <w:rPr>
          <w:spacing w:val="-11"/>
        </w:rPr>
        <w:t> </w:t>
      </w:r>
      <w:r>
        <w:rPr/>
        <w:t>Producción Total de Carne se incrementará en una proporción mayor a la de los</w:t>
      </w:r>
      <w:r>
        <w:rPr>
          <w:spacing w:val="-26"/>
        </w:rPr>
        <w:t> </w:t>
      </w:r>
      <w:r>
        <w:rPr/>
        <w:t>insumos.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2"/>
        </w:rPr>
      </w:pPr>
      <w:r>
        <w:rPr/>
        <w:pict>
          <v:line style="position:absolute;mso-position-horizontal-relative:page;mso-position-vertical-relative:paragraph;z-index:3952;mso-wrap-distance-left:0;mso-wrap-distance-right:0" from="85.103996pt,9.405617pt" to="525.960017pt,9.405617pt" stroked="true" strokeweight=".36pt" strokecolor="#000000">
            <w10:wrap type="topAndBottom"/>
          </v:line>
        </w:pict>
      </w:r>
    </w:p>
    <w:p>
      <w:pPr>
        <w:tabs>
          <w:tab w:pos="4003" w:val="left" w:leader="none"/>
          <w:tab w:pos="8240" w:val="left" w:leader="none"/>
        </w:tabs>
        <w:spacing w:before="73"/>
        <w:ind w:left="122" w:right="0"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6"/>
          <w:sz w:val="18"/>
        </w:rPr>
        <w:t> </w:t>
      </w:r>
      <w:r>
        <w:rPr>
          <w:sz w:val="18"/>
        </w:rPr>
        <w:t>57</w:t>
      </w:r>
    </w:p>
    <w:p>
      <w:pPr>
        <w:spacing w:after="0"/>
        <w:jc w:val="left"/>
        <w:rPr>
          <w:sz w:val="18"/>
        </w:rPr>
        <w:sectPr>
          <w:pgSz w:w="12240" w:h="15840"/>
          <w:pgMar w:header="1238" w:footer="1491" w:top="1420" w:bottom="1820" w:left="1580" w:right="1580"/>
        </w:sectPr>
      </w:pPr>
    </w:p>
    <w:p>
      <w:pPr>
        <w:pStyle w:val="BodyText"/>
        <w:rPr>
          <w:sz w:val="20"/>
        </w:rPr>
      </w:pPr>
      <w:r>
        <w:rPr/>
        <w:pict>
          <v:line style="position:absolute;mso-position-horizontal-relative:page;mso-position-vertical-relative:page;z-index:4048" from="102pt,697.775024pt" to="508.5pt,697.775024pt" stroked="true" strokeweight=".5pt" strokecolor="#000000">
            <w10:wrap type="none"/>
          </v:line>
        </w:pict>
      </w:r>
    </w:p>
    <w:p>
      <w:pPr>
        <w:pStyle w:val="BodyText"/>
        <w:spacing w:before="5"/>
        <w:rPr>
          <w:sz w:val="19"/>
        </w:rPr>
      </w:pPr>
    </w:p>
    <w:p>
      <w:pPr>
        <w:pStyle w:val="BodyText"/>
        <w:spacing w:line="360" w:lineRule="auto" w:before="71"/>
        <w:ind w:left="122" w:right="99"/>
        <w:jc w:val="both"/>
      </w:pPr>
      <w:r>
        <w:rPr/>
        <w:t>De acuerdo a las elasticidades de cada una de las variables del modelo podemos expresar lo siguiente:</w:t>
      </w:r>
      <w:r>
        <w:rPr>
          <w:spacing w:val="-12"/>
        </w:rPr>
        <w:t> </w:t>
      </w:r>
      <w:r>
        <w:rPr/>
        <w:t>un</w:t>
      </w:r>
      <w:r>
        <w:rPr>
          <w:spacing w:val="-13"/>
        </w:rPr>
        <w:t> </w:t>
      </w:r>
      <w:r>
        <w:rPr/>
        <w:t>incremento</w:t>
      </w:r>
      <w:r>
        <w:rPr>
          <w:spacing w:val="-13"/>
        </w:rPr>
        <w:t> </w:t>
      </w:r>
      <w:r>
        <w:rPr/>
        <w:t>del</w:t>
      </w:r>
      <w:r>
        <w:rPr>
          <w:spacing w:val="-10"/>
        </w:rPr>
        <w:t> </w:t>
      </w:r>
      <w:r>
        <w:rPr/>
        <w:t>1%</w:t>
      </w:r>
      <w:r>
        <w:rPr>
          <w:spacing w:val="-13"/>
        </w:rPr>
        <w:t> </w:t>
      </w:r>
      <w:r>
        <w:rPr/>
        <w:t>en</w:t>
      </w:r>
      <w:r>
        <w:rPr>
          <w:spacing w:val="-13"/>
        </w:rPr>
        <w:t> </w:t>
      </w:r>
      <w:r>
        <w:rPr/>
        <w:t>la</w:t>
      </w:r>
      <w:r>
        <w:rPr>
          <w:spacing w:val="-10"/>
        </w:rPr>
        <w:t> </w:t>
      </w:r>
      <w:r>
        <w:rPr/>
        <w:t>variable</w:t>
      </w:r>
      <w:r>
        <w:rPr>
          <w:spacing w:val="-10"/>
        </w:rPr>
        <w:t> </w:t>
      </w:r>
      <w:r>
        <w:rPr/>
        <w:t>de</w:t>
      </w:r>
      <w:r>
        <w:rPr>
          <w:spacing w:val="-10"/>
        </w:rPr>
        <w:t> </w:t>
      </w:r>
      <w:r>
        <w:rPr/>
        <w:t>Pastizal</w:t>
      </w:r>
      <w:r>
        <w:rPr>
          <w:spacing w:val="-12"/>
        </w:rPr>
        <w:t> </w:t>
      </w:r>
      <w:r>
        <w:rPr/>
        <w:t>Natural</w:t>
      </w:r>
      <w:r>
        <w:rPr>
          <w:spacing w:val="-12"/>
        </w:rPr>
        <w:t> </w:t>
      </w:r>
      <w:r>
        <w:rPr/>
        <w:t>(PN)</w:t>
      </w:r>
      <w:r>
        <w:rPr>
          <w:spacing w:val="-11"/>
        </w:rPr>
        <w:t> </w:t>
      </w:r>
      <w:r>
        <w:rPr/>
        <w:t>provoca</w:t>
      </w:r>
      <w:r>
        <w:rPr>
          <w:spacing w:val="-12"/>
        </w:rPr>
        <w:t> </w:t>
      </w:r>
      <w:r>
        <w:rPr/>
        <w:t>una</w:t>
      </w:r>
      <w:r>
        <w:rPr>
          <w:spacing w:val="-12"/>
        </w:rPr>
        <w:t> </w:t>
      </w:r>
      <w:r>
        <w:rPr/>
        <w:t>disminución del 0.04% en la Producción Total de Carne (PTC), manteniendo constante el Total de Animales (TA) y los gastos de alimentación. Si se incrementa el Total de Animales (TA) en 1% y se mantiene constante la variable Pastizal natural (PN) y Gastos de Alimentación (GA), la Producción Total de Carne aumenta en</w:t>
      </w:r>
      <w:r>
        <w:rPr>
          <w:spacing w:val="-16"/>
        </w:rPr>
        <w:t> </w:t>
      </w:r>
      <w:r>
        <w:rPr/>
        <w:t>1.06%.</w:t>
      </w:r>
    </w:p>
    <w:p>
      <w:pPr>
        <w:pStyle w:val="BodyText"/>
        <w:rPr>
          <w:sz w:val="22"/>
        </w:rPr>
      </w:pPr>
    </w:p>
    <w:p>
      <w:pPr>
        <w:pStyle w:val="BodyText"/>
        <w:spacing w:line="360" w:lineRule="auto" w:before="147"/>
        <w:ind w:left="122" w:right="101"/>
        <w:jc w:val="both"/>
      </w:pPr>
      <w:r>
        <w:rPr/>
        <w:t>Para el caso de los Gastos de Alimentación (GA), si se incrementan en 1%, la Producción Total de Carne disminuye en 0.02%, manteniendo constantes los otros insumos. Coincidiendo con Pech, et al. 2002), se puede observar que la variable total de animales es la que tiene mayor influencia en la producción total de carne de bovino, </w:t>
      </w:r>
      <w:r>
        <w:rPr>
          <w:spacing w:val="-3"/>
        </w:rPr>
        <w:t>ya </w:t>
      </w:r>
      <w:r>
        <w:rPr/>
        <w:t>que al incrementarla en el 1% con las otras</w:t>
      </w:r>
      <w:r>
        <w:rPr>
          <w:spacing w:val="-6"/>
        </w:rPr>
        <w:t> </w:t>
      </w:r>
      <w:r>
        <w:rPr/>
        <w:t>dos</w:t>
      </w:r>
      <w:r>
        <w:rPr>
          <w:spacing w:val="-6"/>
        </w:rPr>
        <w:t> </w:t>
      </w:r>
      <w:r>
        <w:rPr/>
        <w:t>variables</w:t>
      </w:r>
      <w:r>
        <w:rPr>
          <w:spacing w:val="-6"/>
        </w:rPr>
        <w:t> </w:t>
      </w:r>
      <w:r>
        <w:rPr/>
        <w:t>constantes,</w:t>
      </w:r>
      <w:r>
        <w:rPr>
          <w:spacing w:val="-5"/>
        </w:rPr>
        <w:t> </w:t>
      </w:r>
      <w:r>
        <w:rPr/>
        <w:t>la</w:t>
      </w:r>
      <w:r>
        <w:rPr>
          <w:spacing w:val="-4"/>
        </w:rPr>
        <w:t> </w:t>
      </w:r>
      <w:r>
        <w:rPr/>
        <w:t>producción</w:t>
      </w:r>
      <w:r>
        <w:rPr>
          <w:spacing w:val="-5"/>
        </w:rPr>
        <w:t> </w:t>
      </w:r>
      <w:r>
        <w:rPr/>
        <w:t>total</w:t>
      </w:r>
      <w:r>
        <w:rPr>
          <w:spacing w:val="-4"/>
        </w:rPr>
        <w:t> </w:t>
      </w:r>
      <w:r>
        <w:rPr/>
        <w:t>de</w:t>
      </w:r>
      <w:r>
        <w:rPr>
          <w:spacing w:val="-4"/>
        </w:rPr>
        <w:t> </w:t>
      </w:r>
      <w:r>
        <w:rPr/>
        <w:t>carne</w:t>
      </w:r>
      <w:r>
        <w:rPr>
          <w:spacing w:val="-4"/>
        </w:rPr>
        <w:t> </w:t>
      </w:r>
      <w:r>
        <w:rPr/>
        <w:t>aumenta</w:t>
      </w:r>
      <w:r>
        <w:rPr>
          <w:spacing w:val="-6"/>
        </w:rPr>
        <w:t> </w:t>
      </w:r>
      <w:r>
        <w:rPr/>
        <w:t>en</w:t>
      </w:r>
      <w:r>
        <w:rPr>
          <w:spacing w:val="-5"/>
        </w:rPr>
        <w:t> </w:t>
      </w:r>
      <w:r>
        <w:rPr/>
        <w:t>un</w:t>
      </w:r>
      <w:r>
        <w:rPr>
          <w:spacing w:val="-5"/>
        </w:rPr>
        <w:t> </w:t>
      </w:r>
      <w:r>
        <w:rPr/>
        <w:t>1.06%,</w:t>
      </w:r>
      <w:r>
        <w:rPr>
          <w:spacing w:val="-5"/>
        </w:rPr>
        <w:t> </w:t>
      </w:r>
      <w:r>
        <w:rPr/>
        <w:t>por</w:t>
      </w:r>
      <w:r>
        <w:rPr>
          <w:spacing w:val="-5"/>
        </w:rPr>
        <w:t> </w:t>
      </w:r>
      <w:r>
        <w:rPr/>
        <w:t>lo</w:t>
      </w:r>
      <w:r>
        <w:rPr>
          <w:spacing w:val="-5"/>
        </w:rPr>
        <w:t> </w:t>
      </w:r>
      <w:r>
        <w:rPr/>
        <w:t>tanto</w:t>
      </w:r>
      <w:r>
        <w:rPr>
          <w:spacing w:val="-5"/>
        </w:rPr>
        <w:t> </w:t>
      </w:r>
      <w:r>
        <w:rPr/>
        <w:t>se puede</w:t>
      </w:r>
      <w:r>
        <w:rPr>
          <w:spacing w:val="-11"/>
        </w:rPr>
        <w:t> </w:t>
      </w:r>
      <w:r>
        <w:rPr/>
        <w:t>concluir</w:t>
      </w:r>
      <w:r>
        <w:rPr>
          <w:spacing w:val="-10"/>
        </w:rPr>
        <w:t> </w:t>
      </w:r>
      <w:r>
        <w:rPr/>
        <w:t>que</w:t>
      </w:r>
      <w:r>
        <w:rPr>
          <w:spacing w:val="-9"/>
        </w:rPr>
        <w:t> </w:t>
      </w:r>
      <w:r>
        <w:rPr/>
        <w:t>no</w:t>
      </w:r>
      <w:r>
        <w:rPr>
          <w:spacing w:val="-10"/>
        </w:rPr>
        <w:t> </w:t>
      </w:r>
      <w:r>
        <w:rPr/>
        <w:t>hay</w:t>
      </w:r>
      <w:r>
        <w:rPr>
          <w:spacing w:val="-12"/>
        </w:rPr>
        <w:t> </w:t>
      </w:r>
      <w:r>
        <w:rPr/>
        <w:t>necesidad</w:t>
      </w:r>
      <w:r>
        <w:rPr>
          <w:spacing w:val="-10"/>
        </w:rPr>
        <w:t> </w:t>
      </w:r>
      <w:r>
        <w:rPr/>
        <w:t>de</w:t>
      </w:r>
      <w:r>
        <w:rPr>
          <w:spacing w:val="-9"/>
        </w:rPr>
        <w:t> </w:t>
      </w:r>
      <w:r>
        <w:rPr/>
        <w:t>incrementar</w:t>
      </w:r>
      <w:r>
        <w:rPr>
          <w:spacing w:val="-12"/>
        </w:rPr>
        <w:t> </w:t>
      </w:r>
      <w:r>
        <w:rPr/>
        <w:t>el</w:t>
      </w:r>
      <w:r>
        <w:rPr>
          <w:spacing w:val="-9"/>
        </w:rPr>
        <w:t> </w:t>
      </w:r>
      <w:r>
        <w:rPr/>
        <w:t>número</w:t>
      </w:r>
      <w:r>
        <w:rPr>
          <w:spacing w:val="-10"/>
        </w:rPr>
        <w:t> </w:t>
      </w:r>
      <w:r>
        <w:rPr/>
        <w:t>de</w:t>
      </w:r>
      <w:r>
        <w:rPr>
          <w:spacing w:val="-9"/>
        </w:rPr>
        <w:t> </w:t>
      </w:r>
      <w:r>
        <w:rPr/>
        <w:t>hectáreas</w:t>
      </w:r>
      <w:r>
        <w:rPr>
          <w:spacing w:val="-10"/>
        </w:rPr>
        <w:t> </w:t>
      </w:r>
      <w:r>
        <w:rPr/>
        <w:t>pastizal</w:t>
      </w:r>
      <w:r>
        <w:rPr>
          <w:spacing w:val="-9"/>
        </w:rPr>
        <w:t> </w:t>
      </w:r>
      <w:r>
        <w:rPr/>
        <w:t>natural</w:t>
      </w:r>
      <w:r>
        <w:rPr>
          <w:spacing w:val="-9"/>
        </w:rPr>
        <w:t> </w:t>
      </w:r>
      <w:r>
        <w:rPr/>
        <w:t>y</w:t>
      </w:r>
      <w:r>
        <w:rPr>
          <w:spacing w:val="-14"/>
        </w:rPr>
        <w:t> </w:t>
      </w:r>
      <w:r>
        <w:rPr/>
        <w:t>los gastos de alimentación, sin embargo si se debe aumentar el número de animales en</w:t>
      </w:r>
      <w:r>
        <w:rPr>
          <w:spacing w:val="-34"/>
        </w:rPr>
        <w:t> </w:t>
      </w:r>
      <w:r>
        <w:rPr/>
        <w:t>producción.</w:t>
      </w:r>
    </w:p>
    <w:p>
      <w:pPr>
        <w:pStyle w:val="BodyText"/>
        <w:spacing w:before="5"/>
        <w:rPr>
          <w:sz w:val="27"/>
        </w:rPr>
      </w:pPr>
    </w:p>
    <w:p>
      <w:pPr>
        <w:pStyle w:val="BodyText"/>
        <w:spacing w:line="360" w:lineRule="auto"/>
        <w:ind w:left="122" w:right="98"/>
        <w:jc w:val="both"/>
      </w:pPr>
      <w:r>
        <w:rPr/>
        <w:t>El valor de β0 se interpreta como el efecto medio o promedio sobre Y de todas las variables omitidas</w:t>
      </w:r>
      <w:r>
        <w:rPr>
          <w:spacing w:val="-16"/>
        </w:rPr>
        <w:t> </w:t>
      </w:r>
      <w:r>
        <w:rPr/>
        <w:t>del</w:t>
      </w:r>
      <w:r>
        <w:rPr>
          <w:spacing w:val="-15"/>
        </w:rPr>
        <w:t> </w:t>
      </w:r>
      <w:r>
        <w:rPr/>
        <w:t>modelo</w:t>
      </w:r>
      <w:r>
        <w:rPr>
          <w:spacing w:val="-17"/>
        </w:rPr>
        <w:t> </w:t>
      </w:r>
      <w:r>
        <w:rPr/>
        <w:t>de</w:t>
      </w:r>
      <w:r>
        <w:rPr>
          <w:spacing w:val="-15"/>
        </w:rPr>
        <w:t> </w:t>
      </w:r>
      <w:r>
        <w:rPr/>
        <w:t>regresión</w:t>
      </w:r>
      <w:r>
        <w:rPr>
          <w:spacing w:val="-15"/>
        </w:rPr>
        <w:t> </w:t>
      </w:r>
      <w:r>
        <w:rPr/>
        <w:t>lineal,</w:t>
      </w:r>
      <w:r>
        <w:rPr>
          <w:spacing w:val="-15"/>
        </w:rPr>
        <w:t> </w:t>
      </w:r>
      <w:r>
        <w:rPr/>
        <w:t>indica</w:t>
      </w:r>
      <w:r>
        <w:rPr>
          <w:spacing w:val="-15"/>
        </w:rPr>
        <w:t> </w:t>
      </w:r>
      <w:r>
        <w:rPr/>
        <w:t>el</w:t>
      </w:r>
      <w:r>
        <w:rPr>
          <w:spacing w:val="-15"/>
        </w:rPr>
        <w:t> </w:t>
      </w:r>
      <w:r>
        <w:rPr/>
        <w:t>nivel</w:t>
      </w:r>
      <w:r>
        <w:rPr>
          <w:spacing w:val="-15"/>
        </w:rPr>
        <w:t> </w:t>
      </w:r>
      <w:r>
        <w:rPr/>
        <w:t>promedio</w:t>
      </w:r>
      <w:r>
        <w:rPr>
          <w:spacing w:val="-15"/>
        </w:rPr>
        <w:t> </w:t>
      </w:r>
      <w:r>
        <w:rPr/>
        <w:t>de</w:t>
      </w:r>
      <w:r>
        <w:rPr>
          <w:spacing w:val="-15"/>
        </w:rPr>
        <w:t> </w:t>
      </w:r>
      <w:r>
        <w:rPr/>
        <w:t>la</w:t>
      </w:r>
      <w:r>
        <w:rPr>
          <w:spacing w:val="-15"/>
        </w:rPr>
        <w:t> </w:t>
      </w:r>
      <w:r>
        <w:rPr/>
        <w:t>Producción</w:t>
      </w:r>
      <w:r>
        <w:rPr>
          <w:spacing w:val="-15"/>
        </w:rPr>
        <w:t> </w:t>
      </w:r>
      <w:r>
        <w:rPr/>
        <w:t>Total</w:t>
      </w:r>
      <w:r>
        <w:rPr>
          <w:spacing w:val="-15"/>
        </w:rPr>
        <w:t> </w:t>
      </w:r>
      <w:r>
        <w:rPr/>
        <w:t>de</w:t>
      </w:r>
      <w:r>
        <w:rPr>
          <w:spacing w:val="-17"/>
        </w:rPr>
        <w:t> </w:t>
      </w:r>
      <w:r>
        <w:rPr/>
        <w:t>Carne (Y), cuando Pastizal natural (PN), Total de Animales (TA) y los Gastos de Alimentación (GA) son iguales a cero, pero en este caso, sólo representa una constante de ajuste del modelo. En general se obtuvieron buenos resultados, se tiene una R²= 0.70, este resultado del coeficiente de determinación, dice qué tan exactamente la línea de regresión muestral se ajusta a los datos, por lo que se considera que el ajuste es</w:t>
      </w:r>
      <w:r>
        <w:rPr>
          <w:spacing w:val="-16"/>
        </w:rPr>
        <w:t> </w:t>
      </w:r>
      <w:r>
        <w:rPr/>
        <w:t>bueno.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r>
        <w:rPr/>
        <w:pict>
          <v:line style="position:absolute;mso-position-horizontal-relative:page;mso-position-vertical-relative:paragraph;z-index:4024;mso-wrap-distance-left:0;mso-wrap-distance-right:0" from="85.103996pt,15.348534pt" to="525.960017pt,15.348534pt" stroked="true" strokeweight=".36pt" strokecolor="#000000">
            <w10:wrap type="topAndBottom"/>
          </v:line>
        </w:pict>
      </w:r>
    </w:p>
    <w:p>
      <w:pPr>
        <w:spacing w:after="0"/>
        <w:rPr>
          <w:sz w:val="22"/>
        </w:rPr>
        <w:sectPr>
          <w:footerReference w:type="default" r:id="rId144"/>
          <w:pgSz w:w="12240" w:h="15840"/>
          <w:pgMar w:footer="2302" w:header="1238" w:top="1420" w:bottom="2500" w:left="1580" w:right="1600"/>
          <w:pgNumType w:start="58"/>
        </w:sectPr>
      </w:pPr>
    </w:p>
    <w:p>
      <w:pPr>
        <w:pStyle w:val="BodyText"/>
        <w:rPr>
          <w:sz w:val="20"/>
        </w:rPr>
      </w:pPr>
      <w:r>
        <w:rPr/>
        <w:pict>
          <v:line style="position:absolute;mso-position-horizontal-relative:page;mso-position-vertical-relative:page;z-index:4096" from="102pt,690.969971pt" to="508.5pt,690.969971pt" stroked="true" strokeweight=".5pt" strokecolor="#000000">
            <w10:wrap type="none"/>
          </v:line>
        </w:pict>
      </w:r>
    </w:p>
    <w:p>
      <w:pPr>
        <w:pStyle w:val="BodyText"/>
        <w:spacing w:before="2"/>
        <w:rPr>
          <w:sz w:val="20"/>
        </w:rPr>
      </w:pPr>
    </w:p>
    <w:p>
      <w:pPr>
        <w:pStyle w:val="BodyText"/>
        <w:spacing w:line="360" w:lineRule="auto"/>
        <w:ind w:left="122" w:right="98"/>
        <w:jc w:val="both"/>
      </w:pPr>
      <w:r>
        <w:rPr/>
        <w:t>En otras palabras, podemos indicar que el 70% de las variaciones que ocurren en la Producción Total de Carne (Y) se explicarían por las variaciones en la variable Pastizal natural (PN), Total de Animales (TA) y los Gastos de Alimentación (GA), (X1, X2 y X3). En la prueba de F de Fisher dada (Cuadro 01) igual a 157.25, podemos observar, que la probabilidad asociada a F, en este caso, es menor de 0.0001, significa que nos arriesgamos en menos del 0.01% concluyendo que las variables explicativas originan una cantidad de información significativa al modelo.</w:t>
      </w:r>
    </w:p>
    <w:p>
      <w:pPr>
        <w:pStyle w:val="BodyText"/>
        <w:rPr>
          <w:sz w:val="22"/>
        </w:rPr>
      </w:pPr>
    </w:p>
    <w:p>
      <w:pPr>
        <w:pStyle w:val="BodyText"/>
        <w:spacing w:before="8"/>
        <w:rPr>
          <w:sz w:val="26"/>
        </w:rPr>
      </w:pPr>
    </w:p>
    <w:p>
      <w:pPr>
        <w:pStyle w:val="Heading3"/>
        <w:spacing w:before="1"/>
        <w:ind w:right="99"/>
        <w:rPr>
          <w:rFonts w:ascii="Arial" w:hAnsi="Arial"/>
        </w:rPr>
      </w:pPr>
      <w:r>
        <w:rPr>
          <w:rFonts w:ascii="Arial" w:hAnsi="Arial"/>
        </w:rPr>
        <w:t>Discusión</w:t>
      </w:r>
    </w:p>
    <w:p>
      <w:pPr>
        <w:pStyle w:val="BodyText"/>
        <w:spacing w:line="360" w:lineRule="auto" w:before="135"/>
        <w:ind w:left="122" w:right="98"/>
        <w:jc w:val="both"/>
      </w:pPr>
      <w:r>
        <w:rPr/>
        <w:t>En los cuatro municipios de estudio la actividad de los bovinos carne se lleva acabo más por condiciones</w:t>
      </w:r>
      <w:r>
        <w:rPr>
          <w:spacing w:val="-6"/>
        </w:rPr>
        <w:t> </w:t>
      </w:r>
      <w:r>
        <w:rPr/>
        <w:t>naturales</w:t>
      </w:r>
      <w:r>
        <w:rPr>
          <w:spacing w:val="-6"/>
        </w:rPr>
        <w:t> </w:t>
      </w:r>
      <w:r>
        <w:rPr/>
        <w:t>que</w:t>
      </w:r>
      <w:r>
        <w:rPr>
          <w:spacing w:val="-6"/>
        </w:rPr>
        <w:t> </w:t>
      </w:r>
      <w:r>
        <w:rPr/>
        <w:t>por</w:t>
      </w:r>
      <w:r>
        <w:rPr>
          <w:spacing w:val="-5"/>
        </w:rPr>
        <w:t> </w:t>
      </w:r>
      <w:r>
        <w:rPr/>
        <w:t>innovación</w:t>
      </w:r>
      <w:r>
        <w:rPr>
          <w:spacing w:val="-5"/>
        </w:rPr>
        <w:t> </w:t>
      </w:r>
      <w:r>
        <w:rPr/>
        <w:t>tecnológica</w:t>
      </w:r>
      <w:r>
        <w:rPr>
          <w:spacing w:val="-4"/>
        </w:rPr>
        <w:t> </w:t>
      </w:r>
      <w:r>
        <w:rPr/>
        <w:t>(SAGARPA,</w:t>
      </w:r>
      <w:r>
        <w:rPr>
          <w:spacing w:val="-3"/>
        </w:rPr>
        <w:t> </w:t>
      </w:r>
      <w:r>
        <w:rPr/>
        <w:t>2014);</w:t>
      </w:r>
      <w:r>
        <w:rPr>
          <w:spacing w:val="-4"/>
        </w:rPr>
        <w:t> </w:t>
      </w:r>
      <w:r>
        <w:rPr/>
        <w:t>esto</w:t>
      </w:r>
      <w:r>
        <w:rPr>
          <w:spacing w:val="-5"/>
        </w:rPr>
        <w:t> </w:t>
      </w:r>
      <w:r>
        <w:rPr/>
        <w:t>trae</w:t>
      </w:r>
      <w:r>
        <w:rPr>
          <w:spacing w:val="-4"/>
        </w:rPr>
        <w:t> </w:t>
      </w:r>
      <w:r>
        <w:rPr/>
        <w:t>consigo</w:t>
      </w:r>
      <w:r>
        <w:rPr>
          <w:spacing w:val="-5"/>
        </w:rPr>
        <w:t> </w:t>
      </w:r>
      <w:r>
        <w:rPr/>
        <w:t>que no se realice una adecuada alimentación de los animales, prácticas inadecuadas en el manejo de los</w:t>
      </w:r>
      <w:r>
        <w:rPr>
          <w:spacing w:val="-4"/>
        </w:rPr>
        <w:t> </w:t>
      </w:r>
      <w:r>
        <w:rPr/>
        <w:t>pastizales,</w:t>
      </w:r>
      <w:r>
        <w:rPr>
          <w:spacing w:val="-3"/>
        </w:rPr>
        <w:t> </w:t>
      </w:r>
      <w:r>
        <w:rPr/>
        <w:t>muy</w:t>
      </w:r>
      <w:r>
        <w:rPr>
          <w:spacing w:val="-7"/>
        </w:rPr>
        <w:t> </w:t>
      </w:r>
      <w:r>
        <w:rPr/>
        <w:t>poca</w:t>
      </w:r>
      <w:r>
        <w:rPr>
          <w:spacing w:val="-3"/>
        </w:rPr>
        <w:t> </w:t>
      </w:r>
      <w:r>
        <w:rPr/>
        <w:t>utilización</w:t>
      </w:r>
      <w:r>
        <w:rPr>
          <w:spacing w:val="-5"/>
        </w:rPr>
        <w:t> </w:t>
      </w:r>
      <w:r>
        <w:rPr/>
        <w:t>de</w:t>
      </w:r>
      <w:r>
        <w:rPr>
          <w:spacing w:val="-4"/>
        </w:rPr>
        <w:t> </w:t>
      </w:r>
      <w:r>
        <w:rPr/>
        <w:t>alimentación</w:t>
      </w:r>
      <w:r>
        <w:rPr>
          <w:spacing w:val="-5"/>
        </w:rPr>
        <w:t> </w:t>
      </w:r>
      <w:r>
        <w:rPr/>
        <w:t>suplementaria,</w:t>
      </w:r>
      <w:r>
        <w:rPr>
          <w:spacing w:val="-5"/>
        </w:rPr>
        <w:t> </w:t>
      </w:r>
      <w:r>
        <w:rPr/>
        <w:t>así</w:t>
      </w:r>
      <w:r>
        <w:rPr>
          <w:spacing w:val="-4"/>
        </w:rPr>
        <w:t> </w:t>
      </w:r>
      <w:r>
        <w:rPr/>
        <w:t>como</w:t>
      </w:r>
      <w:r>
        <w:rPr>
          <w:spacing w:val="-3"/>
        </w:rPr>
        <w:t> </w:t>
      </w:r>
      <w:r>
        <w:rPr/>
        <w:t>del</w:t>
      </w:r>
      <w:r>
        <w:rPr>
          <w:spacing w:val="-3"/>
        </w:rPr>
        <w:t> </w:t>
      </w:r>
      <w:r>
        <w:rPr/>
        <w:t>restringido</w:t>
      </w:r>
      <w:r>
        <w:rPr>
          <w:spacing w:val="-3"/>
        </w:rPr>
        <w:t> </w:t>
      </w:r>
      <w:r>
        <w:rPr/>
        <w:t>uso de</w:t>
      </w:r>
      <w:r>
        <w:rPr>
          <w:spacing w:val="-5"/>
        </w:rPr>
        <w:t> </w:t>
      </w:r>
      <w:r>
        <w:rPr/>
        <w:t>la</w:t>
      </w:r>
      <w:r>
        <w:rPr>
          <w:spacing w:val="-5"/>
        </w:rPr>
        <w:t> </w:t>
      </w:r>
      <w:r>
        <w:rPr/>
        <w:t>medicina</w:t>
      </w:r>
      <w:r>
        <w:rPr>
          <w:spacing w:val="-5"/>
        </w:rPr>
        <w:t> </w:t>
      </w:r>
      <w:r>
        <w:rPr/>
        <w:t>preventiva</w:t>
      </w:r>
      <w:r>
        <w:rPr>
          <w:spacing w:val="-5"/>
        </w:rPr>
        <w:t> </w:t>
      </w:r>
      <w:r>
        <w:rPr/>
        <w:t>y</w:t>
      </w:r>
      <w:r>
        <w:rPr>
          <w:spacing w:val="-9"/>
        </w:rPr>
        <w:t> </w:t>
      </w:r>
      <w:r>
        <w:rPr/>
        <w:t>del</w:t>
      </w:r>
      <w:r>
        <w:rPr>
          <w:spacing w:val="-6"/>
        </w:rPr>
        <w:t> </w:t>
      </w:r>
      <w:r>
        <w:rPr/>
        <w:t>mejoramiento</w:t>
      </w:r>
      <w:r>
        <w:rPr>
          <w:spacing w:val="-6"/>
        </w:rPr>
        <w:t> </w:t>
      </w:r>
      <w:r>
        <w:rPr/>
        <w:t>genético;</w:t>
      </w:r>
      <w:r>
        <w:rPr>
          <w:spacing w:val="-6"/>
        </w:rPr>
        <w:t> </w:t>
      </w:r>
      <w:r>
        <w:rPr/>
        <w:t>estos</w:t>
      </w:r>
      <w:r>
        <w:rPr>
          <w:spacing w:val="-7"/>
        </w:rPr>
        <w:t> </w:t>
      </w:r>
      <w:r>
        <w:rPr/>
        <w:t>son</w:t>
      </w:r>
      <w:r>
        <w:rPr>
          <w:spacing w:val="-6"/>
        </w:rPr>
        <w:t> </w:t>
      </w:r>
      <w:r>
        <w:rPr/>
        <w:t>los</w:t>
      </w:r>
      <w:r>
        <w:rPr>
          <w:spacing w:val="-7"/>
        </w:rPr>
        <w:t> </w:t>
      </w:r>
      <w:r>
        <w:rPr/>
        <w:t>factores</w:t>
      </w:r>
      <w:r>
        <w:rPr>
          <w:spacing w:val="-7"/>
        </w:rPr>
        <w:t> </w:t>
      </w:r>
      <w:r>
        <w:rPr/>
        <w:t>que</w:t>
      </w:r>
      <w:r>
        <w:rPr>
          <w:spacing w:val="-5"/>
        </w:rPr>
        <w:t> </w:t>
      </w:r>
      <w:r>
        <w:rPr/>
        <w:t>no</w:t>
      </w:r>
      <w:r>
        <w:rPr>
          <w:spacing w:val="-6"/>
        </w:rPr>
        <w:t> </w:t>
      </w:r>
      <w:r>
        <w:rPr/>
        <w:t>permiten</w:t>
      </w:r>
      <w:r>
        <w:rPr>
          <w:spacing w:val="-9"/>
        </w:rPr>
        <w:t> </w:t>
      </w:r>
      <w:r>
        <w:rPr/>
        <w:t>la productividad de esta ganadería, reflejándose en bajos índices productivos y reproductivos (Rodríguez et al.</w:t>
      </w:r>
      <w:r>
        <w:rPr>
          <w:spacing w:val="-4"/>
        </w:rPr>
        <w:t> </w:t>
      </w:r>
      <w:r>
        <w:rPr/>
        <w:t>1995).</w:t>
      </w:r>
    </w:p>
    <w:p>
      <w:pPr>
        <w:pStyle w:val="BodyText"/>
        <w:rPr>
          <w:sz w:val="22"/>
        </w:rPr>
      </w:pPr>
    </w:p>
    <w:p>
      <w:pPr>
        <w:pStyle w:val="BodyText"/>
        <w:spacing w:line="360" w:lineRule="auto" w:before="150"/>
        <w:ind w:left="122" w:right="98"/>
        <w:jc w:val="both"/>
      </w:pPr>
      <w:r>
        <w:rPr/>
        <w:t>En esta región la mayoría de los productores no realizan registros productivos y reproductivos, ni sistemas de control y administración de los recursos, que muestren el desempeño de las unidades de producción, lo que limita el alcance de los objetivos y metas, ya que no se pueden tomar decisiones adecuadas y oportunas (SAGARPA, 2014).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4072;mso-wrap-distance-left:0;mso-wrap-distance-right:0" from="85.103996pt,11.310493pt" to="525.960017pt,11.310493pt" stroked="true" strokeweight=".36pt" strokecolor="#000000">
            <w10:wrap type="topAndBottom"/>
          </v:line>
        </w:pict>
      </w:r>
    </w:p>
    <w:p>
      <w:pPr>
        <w:spacing w:after="0"/>
        <w:rPr>
          <w:sz w:val="15"/>
        </w:rPr>
        <w:sectPr>
          <w:headerReference w:type="default" r:id="rId145"/>
          <w:footerReference w:type="default" r:id="rId146"/>
          <w:pgSz w:w="12240" w:h="15840"/>
          <w:pgMar w:header="0" w:footer="2456" w:top="1500" w:bottom="2640" w:left="1580" w:right="1600"/>
          <w:pgNumType w:start="59"/>
        </w:sectPr>
      </w:pPr>
    </w:p>
    <w:p>
      <w:pPr>
        <w:pStyle w:val="BodyText"/>
        <w:spacing w:line="362" w:lineRule="auto" w:before="50"/>
        <w:ind w:left="122" w:right="122"/>
        <w:jc w:val="both"/>
      </w:pPr>
      <w:r>
        <w:rPr/>
        <w:t>Al</w:t>
      </w:r>
      <w:r>
        <w:rPr>
          <w:spacing w:val="-14"/>
        </w:rPr>
        <w:t> </w:t>
      </w:r>
      <w:r>
        <w:rPr/>
        <w:t>no</w:t>
      </w:r>
      <w:r>
        <w:rPr>
          <w:spacing w:val="-14"/>
        </w:rPr>
        <w:t> </w:t>
      </w:r>
      <w:r>
        <w:rPr/>
        <w:t>utilizar</w:t>
      </w:r>
      <w:r>
        <w:rPr>
          <w:spacing w:val="-14"/>
        </w:rPr>
        <w:t> </w:t>
      </w:r>
      <w:r>
        <w:rPr/>
        <w:t>estos</w:t>
      </w:r>
      <w:r>
        <w:rPr>
          <w:spacing w:val="-15"/>
        </w:rPr>
        <w:t> </w:t>
      </w:r>
      <w:r>
        <w:rPr/>
        <w:t>registros</w:t>
      </w:r>
      <w:r>
        <w:rPr>
          <w:spacing w:val="-15"/>
        </w:rPr>
        <w:t> </w:t>
      </w:r>
      <w:r>
        <w:rPr/>
        <w:t>productivos</w:t>
      </w:r>
      <w:r>
        <w:rPr>
          <w:spacing w:val="-15"/>
        </w:rPr>
        <w:t> </w:t>
      </w:r>
      <w:r>
        <w:rPr/>
        <w:t>es</w:t>
      </w:r>
      <w:r>
        <w:rPr>
          <w:spacing w:val="-11"/>
        </w:rPr>
        <w:t> </w:t>
      </w:r>
      <w:r>
        <w:rPr/>
        <w:t>difícil</w:t>
      </w:r>
      <w:r>
        <w:rPr>
          <w:spacing w:val="-14"/>
        </w:rPr>
        <w:t> </w:t>
      </w:r>
      <w:r>
        <w:rPr/>
        <w:t>determinar</w:t>
      </w:r>
      <w:r>
        <w:rPr>
          <w:spacing w:val="-14"/>
        </w:rPr>
        <w:t> </w:t>
      </w:r>
      <w:r>
        <w:rPr/>
        <w:t>el</w:t>
      </w:r>
      <w:r>
        <w:rPr>
          <w:spacing w:val="-14"/>
        </w:rPr>
        <w:t> </w:t>
      </w:r>
      <w:r>
        <w:rPr/>
        <w:t>inventario</w:t>
      </w:r>
      <w:r>
        <w:rPr>
          <w:spacing w:val="-14"/>
        </w:rPr>
        <w:t> </w:t>
      </w:r>
      <w:r>
        <w:rPr/>
        <w:t>y</w:t>
      </w:r>
      <w:r>
        <w:rPr>
          <w:spacing w:val="-17"/>
        </w:rPr>
        <w:t> </w:t>
      </w:r>
      <w:r>
        <w:rPr/>
        <w:t>la</w:t>
      </w:r>
      <w:r>
        <w:rPr>
          <w:spacing w:val="-14"/>
        </w:rPr>
        <w:t> </w:t>
      </w:r>
      <w:r>
        <w:rPr/>
        <w:t>producción</w:t>
      </w:r>
      <w:r>
        <w:rPr>
          <w:spacing w:val="-14"/>
        </w:rPr>
        <w:t> </w:t>
      </w:r>
      <w:r>
        <w:rPr/>
        <w:t>exacta de la ganadería bovina de la región (Pérez et al.</w:t>
      </w:r>
      <w:r>
        <w:rPr>
          <w:spacing w:val="-24"/>
        </w:rPr>
        <w:t> </w:t>
      </w:r>
      <w:r>
        <w:rPr/>
        <w:t>2004).</w:t>
      </w:r>
    </w:p>
    <w:p>
      <w:pPr>
        <w:pStyle w:val="BodyText"/>
        <w:rPr>
          <w:sz w:val="22"/>
        </w:rPr>
      </w:pPr>
    </w:p>
    <w:p>
      <w:pPr>
        <w:pStyle w:val="BodyText"/>
        <w:spacing w:line="360" w:lineRule="auto" w:before="144"/>
        <w:ind w:left="122" w:right="117"/>
        <w:jc w:val="both"/>
      </w:pPr>
      <w:r>
        <w:rPr/>
        <w:t>Coincidiendo</w:t>
      </w:r>
      <w:r>
        <w:rPr>
          <w:spacing w:val="-9"/>
        </w:rPr>
        <w:t> </w:t>
      </w:r>
      <w:r>
        <w:rPr/>
        <w:t>con</w:t>
      </w:r>
      <w:r>
        <w:rPr>
          <w:spacing w:val="-9"/>
        </w:rPr>
        <w:t> </w:t>
      </w:r>
      <w:r>
        <w:rPr/>
        <w:t>Pech,</w:t>
      </w:r>
      <w:r>
        <w:rPr>
          <w:spacing w:val="-9"/>
        </w:rPr>
        <w:t> </w:t>
      </w:r>
      <w:r>
        <w:rPr/>
        <w:t>et</w:t>
      </w:r>
      <w:r>
        <w:rPr>
          <w:spacing w:val="-8"/>
        </w:rPr>
        <w:t> </w:t>
      </w:r>
      <w:r>
        <w:rPr/>
        <w:t>al.</w:t>
      </w:r>
      <w:r>
        <w:rPr>
          <w:spacing w:val="-9"/>
        </w:rPr>
        <w:t> </w:t>
      </w:r>
      <w:r>
        <w:rPr/>
        <w:t>2002),</w:t>
      </w:r>
      <w:r>
        <w:rPr>
          <w:spacing w:val="-9"/>
        </w:rPr>
        <w:t> </w:t>
      </w:r>
      <w:r>
        <w:rPr/>
        <w:t>se</w:t>
      </w:r>
      <w:r>
        <w:rPr>
          <w:spacing w:val="-8"/>
        </w:rPr>
        <w:t> </w:t>
      </w:r>
      <w:r>
        <w:rPr/>
        <w:t>puede</w:t>
      </w:r>
      <w:r>
        <w:rPr>
          <w:spacing w:val="-8"/>
        </w:rPr>
        <w:t> </w:t>
      </w:r>
      <w:r>
        <w:rPr/>
        <w:t>observar</w:t>
      </w:r>
      <w:r>
        <w:rPr>
          <w:spacing w:val="-9"/>
        </w:rPr>
        <w:t> </w:t>
      </w:r>
      <w:r>
        <w:rPr/>
        <w:t>que</w:t>
      </w:r>
      <w:r>
        <w:rPr>
          <w:spacing w:val="-8"/>
        </w:rPr>
        <w:t> </w:t>
      </w:r>
      <w:r>
        <w:rPr/>
        <w:t>la</w:t>
      </w:r>
      <w:r>
        <w:rPr>
          <w:spacing w:val="-8"/>
        </w:rPr>
        <w:t> </w:t>
      </w:r>
      <w:r>
        <w:rPr/>
        <w:t>variable</w:t>
      </w:r>
      <w:r>
        <w:rPr>
          <w:spacing w:val="-8"/>
        </w:rPr>
        <w:t> </w:t>
      </w:r>
      <w:r>
        <w:rPr/>
        <w:t>total</w:t>
      </w:r>
      <w:r>
        <w:rPr>
          <w:spacing w:val="-8"/>
        </w:rPr>
        <w:t> </w:t>
      </w:r>
      <w:r>
        <w:rPr/>
        <w:t>de</w:t>
      </w:r>
      <w:r>
        <w:rPr>
          <w:spacing w:val="-8"/>
        </w:rPr>
        <w:t> </w:t>
      </w:r>
      <w:r>
        <w:rPr/>
        <w:t>animales</w:t>
      </w:r>
      <w:r>
        <w:rPr>
          <w:spacing w:val="-9"/>
        </w:rPr>
        <w:t> </w:t>
      </w:r>
      <w:r>
        <w:rPr/>
        <w:t>es</w:t>
      </w:r>
      <w:r>
        <w:rPr>
          <w:spacing w:val="-9"/>
        </w:rPr>
        <w:t> </w:t>
      </w:r>
      <w:r>
        <w:rPr/>
        <w:t>la</w:t>
      </w:r>
      <w:r>
        <w:rPr>
          <w:spacing w:val="-8"/>
        </w:rPr>
        <w:t> </w:t>
      </w:r>
      <w:r>
        <w:rPr/>
        <w:t>que tiene mayor influencia en la producción total de carne de bovino, </w:t>
      </w:r>
      <w:r>
        <w:rPr>
          <w:spacing w:val="-3"/>
        </w:rPr>
        <w:t>ya </w:t>
      </w:r>
      <w:r>
        <w:rPr/>
        <w:t>que al incrementarla en el 1%</w:t>
      </w:r>
      <w:r>
        <w:rPr>
          <w:spacing w:val="-9"/>
        </w:rPr>
        <w:t> </w:t>
      </w:r>
      <w:r>
        <w:rPr/>
        <w:t>con</w:t>
      </w:r>
      <w:r>
        <w:rPr>
          <w:spacing w:val="-9"/>
        </w:rPr>
        <w:t> </w:t>
      </w:r>
      <w:r>
        <w:rPr/>
        <w:t>las</w:t>
      </w:r>
      <w:r>
        <w:rPr>
          <w:spacing w:val="-9"/>
        </w:rPr>
        <w:t> </w:t>
      </w:r>
      <w:r>
        <w:rPr/>
        <w:t>otras</w:t>
      </w:r>
      <w:r>
        <w:rPr>
          <w:spacing w:val="-9"/>
        </w:rPr>
        <w:t> </w:t>
      </w:r>
      <w:r>
        <w:rPr/>
        <w:t>dos</w:t>
      </w:r>
      <w:r>
        <w:rPr>
          <w:spacing w:val="-9"/>
        </w:rPr>
        <w:t> </w:t>
      </w:r>
      <w:r>
        <w:rPr/>
        <w:t>variables</w:t>
      </w:r>
      <w:r>
        <w:rPr>
          <w:spacing w:val="-9"/>
        </w:rPr>
        <w:t> </w:t>
      </w:r>
      <w:r>
        <w:rPr/>
        <w:t>constantes,</w:t>
      </w:r>
      <w:r>
        <w:rPr>
          <w:spacing w:val="-9"/>
        </w:rPr>
        <w:t> </w:t>
      </w:r>
      <w:r>
        <w:rPr/>
        <w:t>la</w:t>
      </w:r>
      <w:r>
        <w:rPr>
          <w:spacing w:val="-8"/>
        </w:rPr>
        <w:t> </w:t>
      </w:r>
      <w:r>
        <w:rPr/>
        <w:t>producción</w:t>
      </w:r>
      <w:r>
        <w:rPr>
          <w:spacing w:val="-9"/>
        </w:rPr>
        <w:t> </w:t>
      </w:r>
      <w:r>
        <w:rPr/>
        <w:t>total</w:t>
      </w:r>
      <w:r>
        <w:rPr>
          <w:spacing w:val="-8"/>
        </w:rPr>
        <w:t> </w:t>
      </w:r>
      <w:r>
        <w:rPr/>
        <w:t>de</w:t>
      </w:r>
      <w:r>
        <w:rPr>
          <w:spacing w:val="-8"/>
        </w:rPr>
        <w:t> </w:t>
      </w:r>
      <w:r>
        <w:rPr/>
        <w:t>carne</w:t>
      </w:r>
      <w:r>
        <w:rPr>
          <w:spacing w:val="-8"/>
        </w:rPr>
        <w:t> </w:t>
      </w:r>
      <w:r>
        <w:rPr/>
        <w:t>aumenta</w:t>
      </w:r>
      <w:r>
        <w:rPr>
          <w:spacing w:val="-8"/>
        </w:rPr>
        <w:t> </w:t>
      </w:r>
      <w:r>
        <w:rPr/>
        <w:t>en</w:t>
      </w:r>
      <w:r>
        <w:rPr>
          <w:spacing w:val="-9"/>
        </w:rPr>
        <w:t> </w:t>
      </w:r>
      <w:r>
        <w:rPr/>
        <w:t>un</w:t>
      </w:r>
      <w:r>
        <w:rPr>
          <w:spacing w:val="-9"/>
        </w:rPr>
        <w:t> </w:t>
      </w:r>
      <w:r>
        <w:rPr/>
        <w:t>1.06%,</w:t>
      </w:r>
      <w:r>
        <w:rPr>
          <w:spacing w:val="-9"/>
        </w:rPr>
        <w:t> </w:t>
      </w:r>
      <w:r>
        <w:rPr/>
        <w:t>por lo tanto se puede concluir que no hay necesidad de incrementar el número de hectáreas pastizal natural y los gastos de alimentación, sin embargo si se debe aumentar el número de animales en producción.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5"/>
        </w:rPr>
      </w:pPr>
      <w:r>
        <w:rPr/>
        <w:pict>
          <v:line style="position:absolute;mso-position-horizontal-relative:page;mso-position-vertical-relative:paragraph;z-index:4120;mso-wrap-distance-left:0;mso-wrap-distance-right:0" from="85.103996pt,11.101952pt" to="525.960017pt,11.101952pt" stroked="true" strokeweight=".36pt" strokecolor="#000000">
            <w10:wrap type="topAndBottom"/>
          </v:line>
        </w:pict>
      </w:r>
    </w:p>
    <w:p>
      <w:pPr>
        <w:spacing w:after="0"/>
        <w:rPr>
          <w:sz w:val="15"/>
        </w:rPr>
        <w:sectPr>
          <w:headerReference w:type="default" r:id="rId147"/>
          <w:footerReference w:type="default" r:id="rId148"/>
          <w:pgSz w:w="12240" w:h="15840"/>
          <w:pgMar w:header="0" w:footer="2492" w:top="1360" w:bottom="2680" w:left="1580" w:right="1580"/>
          <w:pgNumType w:start="60"/>
        </w:sectPr>
      </w:pPr>
    </w:p>
    <w:p>
      <w:pPr>
        <w:spacing w:before="35"/>
        <w:ind w:left="122" w:right="123" w:firstLine="0"/>
        <w:jc w:val="center"/>
        <w:rPr>
          <w:rFonts w:ascii="Calibri" w:hAnsi="Calibri"/>
          <w:sz w:val="18"/>
        </w:rPr>
      </w:pPr>
      <w:r>
        <w:rPr/>
        <w:pict>
          <v:line style="position:absolute;mso-position-horizontal-relative:page;mso-position-vertical-relative:paragraph;z-index:4144;mso-wrap-distance-left:0;mso-wrap-distance-right:0" from="102pt,19.129328pt" to="508.5pt,19.129328pt" stroked="true" strokeweight=".5pt" strokecolor="#000000">
            <w10:wrap type="topAndBottom"/>
          </v:line>
        </w:pict>
      </w:r>
      <w:r>
        <w:rPr>
          <w:rFonts w:ascii="Calibri" w:hAnsi="Calibri"/>
          <w:sz w:val="18"/>
        </w:rPr>
        <w:t>Estimación de una función de producción de bovinos carne en sistema extensivo en el sur del Estado de México</w:t>
      </w:r>
    </w:p>
    <w:p>
      <w:pPr>
        <w:pStyle w:val="BodyText"/>
        <w:rPr>
          <w:rFonts w:ascii="Calibri"/>
          <w:sz w:val="18"/>
        </w:rPr>
      </w:pPr>
    </w:p>
    <w:p>
      <w:pPr>
        <w:pStyle w:val="BodyText"/>
        <w:rPr>
          <w:rFonts w:ascii="Calibri"/>
        </w:rPr>
      </w:pPr>
    </w:p>
    <w:p>
      <w:pPr>
        <w:pStyle w:val="Heading3"/>
        <w:ind w:right="120"/>
        <w:rPr>
          <w:rFonts w:ascii="Arial"/>
        </w:rPr>
      </w:pPr>
      <w:r>
        <w:rPr>
          <w:rFonts w:ascii="Arial"/>
        </w:rPr>
        <w:t>Conclusiones</w:t>
      </w:r>
    </w:p>
    <w:p>
      <w:pPr>
        <w:pStyle w:val="BodyText"/>
        <w:spacing w:line="360" w:lineRule="auto" w:before="133"/>
        <w:ind w:left="122" w:right="116"/>
        <w:jc w:val="both"/>
      </w:pPr>
      <w:r>
        <w:rPr/>
        <w:t>Con la utilización de la función de producción de Cobb-Douglas, y el empleo de los factores, Pastizal Natural (PN), Total de Animales (TA) y los Gastos de Alimentación (GA), en la Producción</w:t>
      </w:r>
      <w:r>
        <w:rPr>
          <w:spacing w:val="-14"/>
        </w:rPr>
        <w:t> </w:t>
      </w:r>
      <w:r>
        <w:rPr/>
        <w:t>Total</w:t>
      </w:r>
      <w:r>
        <w:rPr>
          <w:spacing w:val="-12"/>
        </w:rPr>
        <w:t> </w:t>
      </w:r>
      <w:r>
        <w:rPr/>
        <w:t>de</w:t>
      </w:r>
      <w:r>
        <w:rPr>
          <w:spacing w:val="-11"/>
        </w:rPr>
        <w:t> </w:t>
      </w:r>
      <w:r>
        <w:rPr/>
        <w:t>Carne</w:t>
      </w:r>
      <w:r>
        <w:rPr>
          <w:spacing w:val="-13"/>
        </w:rPr>
        <w:t> </w:t>
      </w:r>
      <w:r>
        <w:rPr/>
        <w:t>(Y),</w:t>
      </w:r>
      <w:r>
        <w:rPr>
          <w:spacing w:val="-13"/>
        </w:rPr>
        <w:t> </w:t>
      </w:r>
      <w:r>
        <w:rPr/>
        <w:t>Podemos</w:t>
      </w:r>
      <w:r>
        <w:rPr>
          <w:spacing w:val="-13"/>
        </w:rPr>
        <w:t> </w:t>
      </w:r>
      <w:r>
        <w:rPr/>
        <w:t>concluir</w:t>
      </w:r>
      <w:r>
        <w:rPr>
          <w:spacing w:val="-14"/>
        </w:rPr>
        <w:t> </w:t>
      </w:r>
      <w:r>
        <w:rPr/>
        <w:t>que</w:t>
      </w:r>
      <w:r>
        <w:rPr>
          <w:spacing w:val="-11"/>
        </w:rPr>
        <w:t> </w:t>
      </w:r>
      <w:r>
        <w:rPr/>
        <w:t>los</w:t>
      </w:r>
      <w:r>
        <w:rPr>
          <w:spacing w:val="-15"/>
        </w:rPr>
        <w:t> </w:t>
      </w:r>
      <w:r>
        <w:rPr/>
        <w:t>bovinos</w:t>
      </w:r>
      <w:r>
        <w:rPr>
          <w:spacing w:val="-13"/>
        </w:rPr>
        <w:t> </w:t>
      </w:r>
      <w:r>
        <w:rPr/>
        <w:t>carne</w:t>
      </w:r>
      <w:r>
        <w:rPr>
          <w:spacing w:val="-13"/>
        </w:rPr>
        <w:t> </w:t>
      </w:r>
      <w:r>
        <w:rPr/>
        <w:t>en</w:t>
      </w:r>
      <w:r>
        <w:rPr>
          <w:spacing w:val="-14"/>
        </w:rPr>
        <w:t> </w:t>
      </w:r>
      <w:r>
        <w:rPr/>
        <w:t>los</w:t>
      </w:r>
      <w:r>
        <w:rPr>
          <w:spacing w:val="-15"/>
        </w:rPr>
        <w:t> </w:t>
      </w:r>
      <w:r>
        <w:rPr/>
        <w:t>cuatro</w:t>
      </w:r>
      <w:r>
        <w:rPr>
          <w:spacing w:val="-12"/>
        </w:rPr>
        <w:t> </w:t>
      </w:r>
      <w:r>
        <w:rPr/>
        <w:t>municipios de estudio ofrecen buenos resultados (aceptables), pues se obtuvieron rendimientos crecientes a escala durante el periodo de estudio que fue de Febrero a Julio de 2015. Como resultado del análisis desarrollado en la aplicación de la función de producción de Cobb-Douglas, nos ha permitido comprender la situación productiva del sector, así como la influencia de cada uno de los factores de</w:t>
      </w:r>
      <w:r>
        <w:rPr>
          <w:spacing w:val="-9"/>
        </w:rPr>
        <w:t> </w:t>
      </w:r>
      <w:r>
        <w:rPr/>
        <w:t>producción.</w:t>
      </w:r>
    </w:p>
    <w:p>
      <w:pPr>
        <w:pStyle w:val="BodyText"/>
        <w:rPr>
          <w:sz w:val="22"/>
        </w:rPr>
      </w:pPr>
    </w:p>
    <w:p>
      <w:pPr>
        <w:pStyle w:val="BodyText"/>
        <w:spacing w:line="360" w:lineRule="auto" w:before="149"/>
        <w:ind w:left="122" w:right="116"/>
        <w:jc w:val="both"/>
      </w:pPr>
      <w:r>
        <w:rPr/>
        <w:t>Sin duda, la variable total de animales es la que tiene mayor influencia en la producción total de carne de bovino, ya que al incrementarla en el 1% con las otras dos variables constantes, la producción total de carne aumenta en un 1.06%, por lo tanto se puede concluir que no hay necesidad de incrementar el número de hectáreas pastizal natural y los gastos de alimentación, sin embargo si se debe aumentar el número de animales en producción.</w:t>
      </w:r>
    </w:p>
    <w:p>
      <w:pPr>
        <w:pStyle w:val="BodyText"/>
        <w:rPr>
          <w:sz w:val="22"/>
        </w:rPr>
      </w:pPr>
    </w:p>
    <w:p>
      <w:pPr>
        <w:pStyle w:val="BodyText"/>
        <w:spacing w:line="360" w:lineRule="auto" w:before="150"/>
        <w:ind w:left="122" w:right="119"/>
        <w:jc w:val="both"/>
      </w:pPr>
      <w:r>
        <w:rPr/>
        <w:t>Como conclusión final, la estimación de esta función de producción al sector de la producción de carne de bovino en el sur del Estado de México, proporciona información importante del desempeño que tienen los tres factores considerados en el estudio (PN, TA, y GA) en la producción</w:t>
      </w:r>
      <w:r>
        <w:rPr>
          <w:spacing w:val="-7"/>
        </w:rPr>
        <w:t> </w:t>
      </w:r>
      <w:r>
        <w:rPr/>
        <w:t>total</w:t>
      </w:r>
      <w:r>
        <w:rPr>
          <w:spacing w:val="-7"/>
        </w:rPr>
        <w:t> </w:t>
      </w:r>
      <w:r>
        <w:rPr/>
        <w:t>de</w:t>
      </w:r>
      <w:r>
        <w:rPr>
          <w:spacing w:val="-6"/>
        </w:rPr>
        <w:t> </w:t>
      </w:r>
      <w:r>
        <w:rPr/>
        <w:t>carne</w:t>
      </w:r>
      <w:r>
        <w:rPr>
          <w:spacing w:val="-6"/>
        </w:rPr>
        <w:t> </w:t>
      </w:r>
      <w:r>
        <w:rPr/>
        <w:t>(PTC),</w:t>
      </w:r>
      <w:r>
        <w:rPr>
          <w:spacing w:val="-7"/>
        </w:rPr>
        <w:t> </w:t>
      </w:r>
      <w:r>
        <w:rPr/>
        <w:t>lo</w:t>
      </w:r>
      <w:r>
        <w:rPr>
          <w:spacing w:val="-7"/>
        </w:rPr>
        <w:t> </w:t>
      </w:r>
      <w:r>
        <w:rPr/>
        <w:t>cual</w:t>
      </w:r>
      <w:r>
        <w:rPr>
          <w:spacing w:val="-7"/>
        </w:rPr>
        <w:t> </w:t>
      </w:r>
      <w:r>
        <w:rPr/>
        <w:t>sirve</w:t>
      </w:r>
      <w:r>
        <w:rPr>
          <w:spacing w:val="-6"/>
        </w:rPr>
        <w:t> </w:t>
      </w:r>
      <w:r>
        <w:rPr/>
        <w:t>para</w:t>
      </w:r>
      <w:r>
        <w:rPr>
          <w:spacing w:val="-9"/>
        </w:rPr>
        <w:t> </w:t>
      </w:r>
      <w:r>
        <w:rPr/>
        <w:t>tomar</w:t>
      </w:r>
      <w:r>
        <w:rPr>
          <w:spacing w:val="-7"/>
        </w:rPr>
        <w:t> </w:t>
      </w:r>
      <w:r>
        <w:rPr/>
        <w:t>decisiones</w:t>
      </w:r>
      <w:r>
        <w:rPr>
          <w:spacing w:val="-8"/>
        </w:rPr>
        <w:t> </w:t>
      </w:r>
      <w:r>
        <w:rPr/>
        <w:t>en</w:t>
      </w:r>
      <w:r>
        <w:rPr>
          <w:spacing w:val="-7"/>
        </w:rPr>
        <w:t> </w:t>
      </w:r>
      <w:r>
        <w:rPr/>
        <w:t>la</w:t>
      </w:r>
      <w:r>
        <w:rPr>
          <w:spacing w:val="-6"/>
        </w:rPr>
        <w:t> </w:t>
      </w:r>
      <w:r>
        <w:rPr/>
        <w:t>asignación</w:t>
      </w:r>
      <w:r>
        <w:rPr>
          <w:spacing w:val="-7"/>
        </w:rPr>
        <w:t> </w:t>
      </w:r>
      <w:r>
        <w:rPr/>
        <w:t>de</w:t>
      </w:r>
      <w:r>
        <w:rPr>
          <w:spacing w:val="-6"/>
        </w:rPr>
        <w:t> </w:t>
      </w:r>
      <w:r>
        <w:rPr/>
        <w:t>recursos a este sector de la producción y hacerlo de la manera más</w:t>
      </w:r>
      <w:r>
        <w:rPr>
          <w:spacing w:val="-24"/>
        </w:rPr>
        <w:t> </w:t>
      </w:r>
      <w:r>
        <w:rPr/>
        <w:t>rentable.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4168;mso-wrap-distance-left:0;mso-wrap-distance-right:0" from="85.103996pt,11.310493pt" to="525.960017pt,11.310493pt" stroked="true" strokeweight=".36pt" strokecolor="#000000">
            <w10:wrap type="topAndBottom"/>
          </v:line>
        </w:pict>
      </w:r>
    </w:p>
    <w:p>
      <w:pPr>
        <w:spacing w:after="0"/>
        <w:rPr>
          <w:sz w:val="15"/>
        </w:rPr>
        <w:sectPr>
          <w:headerReference w:type="default" r:id="rId149"/>
          <w:footerReference w:type="default" r:id="rId150"/>
          <w:pgSz w:w="12240" w:h="15840"/>
          <w:pgMar w:header="0" w:footer="1885" w:top="1380" w:bottom="2080" w:left="1580" w:right="1580"/>
        </w:sectPr>
      </w:pPr>
    </w:p>
    <w:p>
      <w:pPr>
        <w:pStyle w:val="BodyText"/>
        <w:rPr>
          <w:sz w:val="20"/>
        </w:rPr>
      </w:pPr>
    </w:p>
    <w:p>
      <w:pPr>
        <w:pStyle w:val="BodyText"/>
        <w:rPr>
          <w:sz w:val="20"/>
        </w:rPr>
      </w:pPr>
    </w:p>
    <w:p>
      <w:pPr>
        <w:pStyle w:val="BodyText"/>
        <w:spacing w:before="3"/>
        <w:rPr>
          <w:sz w:val="22"/>
        </w:rPr>
      </w:pPr>
    </w:p>
    <w:p>
      <w:pPr>
        <w:pStyle w:val="Heading3"/>
        <w:spacing w:before="70"/>
        <w:ind w:right="122"/>
        <w:rPr>
          <w:rFonts w:ascii="Arial"/>
        </w:rPr>
      </w:pPr>
      <w:r>
        <w:rPr>
          <w:rFonts w:ascii="Arial"/>
        </w:rPr>
        <w:t>Referencias</w:t>
      </w:r>
    </w:p>
    <w:p>
      <w:pPr>
        <w:pStyle w:val="BodyText"/>
        <w:spacing w:line="360" w:lineRule="auto" w:before="135"/>
        <w:ind w:left="122" w:right="117"/>
        <w:jc w:val="both"/>
      </w:pPr>
      <w:r>
        <w:rPr/>
        <w:t>SAS.</w:t>
      </w:r>
      <w:r>
        <w:rPr>
          <w:spacing w:val="-12"/>
        </w:rPr>
        <w:t> </w:t>
      </w:r>
      <w:r>
        <w:rPr/>
        <w:t>2008.</w:t>
      </w:r>
      <w:r>
        <w:rPr>
          <w:spacing w:val="-12"/>
        </w:rPr>
        <w:t> </w:t>
      </w:r>
      <w:r>
        <w:rPr/>
        <w:t>Paquete</w:t>
      </w:r>
      <w:r>
        <w:rPr>
          <w:spacing w:val="-14"/>
        </w:rPr>
        <w:t> </w:t>
      </w:r>
      <w:r>
        <w:rPr/>
        <w:t>estadístico</w:t>
      </w:r>
      <w:r>
        <w:rPr>
          <w:spacing w:val="-12"/>
        </w:rPr>
        <w:t> </w:t>
      </w:r>
      <w:r>
        <w:rPr/>
        <w:t>utilizado</w:t>
      </w:r>
      <w:r>
        <w:rPr>
          <w:spacing w:val="-12"/>
        </w:rPr>
        <w:t> </w:t>
      </w:r>
      <w:r>
        <w:rPr/>
        <w:t>para</w:t>
      </w:r>
      <w:r>
        <w:rPr>
          <w:spacing w:val="-11"/>
        </w:rPr>
        <w:t> </w:t>
      </w:r>
      <w:r>
        <w:rPr/>
        <w:t>el</w:t>
      </w:r>
      <w:r>
        <w:rPr>
          <w:spacing w:val="-12"/>
        </w:rPr>
        <w:t> </w:t>
      </w:r>
      <w:r>
        <w:rPr/>
        <w:t>análisis</w:t>
      </w:r>
      <w:r>
        <w:rPr>
          <w:spacing w:val="-13"/>
        </w:rPr>
        <w:t> </w:t>
      </w:r>
      <w:r>
        <w:rPr/>
        <w:t>de</w:t>
      </w:r>
      <w:r>
        <w:rPr>
          <w:spacing w:val="-11"/>
        </w:rPr>
        <w:t> </w:t>
      </w:r>
      <w:r>
        <w:rPr/>
        <w:t>datos</w:t>
      </w:r>
      <w:r>
        <w:rPr>
          <w:spacing w:val="-13"/>
        </w:rPr>
        <w:t> </w:t>
      </w:r>
      <w:r>
        <w:rPr/>
        <w:t>y</w:t>
      </w:r>
      <w:r>
        <w:rPr>
          <w:spacing w:val="-17"/>
        </w:rPr>
        <w:t> </w:t>
      </w:r>
      <w:r>
        <w:rPr/>
        <w:t>la</w:t>
      </w:r>
      <w:r>
        <w:rPr>
          <w:spacing w:val="-11"/>
        </w:rPr>
        <w:t> </w:t>
      </w:r>
      <w:r>
        <w:rPr/>
        <w:t>obtención</w:t>
      </w:r>
      <w:r>
        <w:rPr>
          <w:spacing w:val="-6"/>
        </w:rPr>
        <w:t> </w:t>
      </w:r>
      <w:r>
        <w:rPr/>
        <w:t>de</w:t>
      </w:r>
      <w:r>
        <w:rPr>
          <w:spacing w:val="-11"/>
        </w:rPr>
        <w:t> </w:t>
      </w:r>
      <w:r>
        <w:rPr/>
        <w:t>los</w:t>
      </w:r>
      <w:r>
        <w:rPr>
          <w:spacing w:val="-13"/>
        </w:rPr>
        <w:t> </w:t>
      </w:r>
      <w:r>
        <w:rPr/>
        <w:t>resultados. Romo, L. J. L. 1990. Estudio sobre asignación optima de recursos en los viveros forestales del estado</w:t>
      </w:r>
      <w:r>
        <w:rPr>
          <w:spacing w:val="-10"/>
        </w:rPr>
        <w:t> </w:t>
      </w:r>
      <w:r>
        <w:rPr/>
        <w:t>de</w:t>
      </w:r>
      <w:r>
        <w:rPr>
          <w:spacing w:val="-9"/>
        </w:rPr>
        <w:t> </w:t>
      </w:r>
      <w:r>
        <w:rPr/>
        <w:t>México.</w:t>
      </w:r>
      <w:r>
        <w:rPr>
          <w:spacing w:val="-10"/>
        </w:rPr>
        <w:t> </w:t>
      </w:r>
      <w:r>
        <w:rPr/>
        <w:t>Tesis</w:t>
      </w:r>
      <w:r>
        <w:rPr>
          <w:spacing w:val="-10"/>
        </w:rPr>
        <w:t> </w:t>
      </w:r>
      <w:r>
        <w:rPr/>
        <w:t>de</w:t>
      </w:r>
      <w:r>
        <w:rPr>
          <w:spacing w:val="-9"/>
        </w:rPr>
        <w:t> </w:t>
      </w:r>
      <w:r>
        <w:rPr/>
        <w:t>Maestría.</w:t>
      </w:r>
      <w:r>
        <w:rPr>
          <w:spacing w:val="-10"/>
        </w:rPr>
        <w:t> </w:t>
      </w:r>
      <w:r>
        <w:rPr/>
        <w:t>Universidad</w:t>
      </w:r>
      <w:r>
        <w:rPr>
          <w:spacing w:val="-10"/>
        </w:rPr>
        <w:t> </w:t>
      </w:r>
      <w:r>
        <w:rPr/>
        <w:t>Autónoma</w:t>
      </w:r>
      <w:r>
        <w:rPr>
          <w:spacing w:val="-9"/>
        </w:rPr>
        <w:t> </w:t>
      </w:r>
      <w:r>
        <w:rPr/>
        <w:t>Chapingo.</w:t>
      </w:r>
      <w:r>
        <w:rPr>
          <w:spacing w:val="-10"/>
        </w:rPr>
        <w:t> </w:t>
      </w:r>
      <w:r>
        <w:rPr/>
        <w:t>73</w:t>
      </w:r>
      <w:r>
        <w:rPr>
          <w:spacing w:val="-10"/>
        </w:rPr>
        <w:t> </w:t>
      </w:r>
      <w:r>
        <w:rPr/>
        <w:t>pp.</w:t>
      </w:r>
      <w:r>
        <w:rPr>
          <w:spacing w:val="-10"/>
        </w:rPr>
        <w:t> </w:t>
      </w:r>
      <w:r>
        <w:rPr/>
        <w:t>Ruíz,</w:t>
      </w:r>
      <w:r>
        <w:rPr>
          <w:spacing w:val="-10"/>
        </w:rPr>
        <w:t> </w:t>
      </w:r>
      <w:r>
        <w:rPr/>
        <w:t>A.</w:t>
      </w:r>
      <w:r>
        <w:rPr>
          <w:spacing w:val="-7"/>
        </w:rPr>
        <w:t> </w:t>
      </w:r>
      <w:r>
        <w:rPr/>
        <w:t>L.</w:t>
      </w:r>
      <w:r>
        <w:rPr>
          <w:spacing w:val="-7"/>
        </w:rPr>
        <w:t> </w:t>
      </w:r>
      <w:r>
        <w:rPr/>
        <w:t>1982. Estimación de una función producción Cobb-Douglas para la Economía de Puerto</w:t>
      </w:r>
      <w:r>
        <w:rPr>
          <w:spacing w:val="-22"/>
        </w:rPr>
        <w:t> </w:t>
      </w:r>
      <w:r>
        <w:rPr/>
        <w:t>Rico.</w:t>
      </w:r>
    </w:p>
    <w:p>
      <w:pPr>
        <w:pStyle w:val="BodyText"/>
        <w:spacing w:line="360" w:lineRule="auto" w:before="4"/>
        <w:ind w:left="122" w:right="960"/>
      </w:pPr>
      <w:r>
        <w:rPr/>
        <w:t>Sanchoa, A. 2005. Econometría de económicas, Función de producción Cobb-Douglas Gujarati, D. 2009. Econometría. Quinta edición. México. Mc Graw-Hill.</w:t>
      </w:r>
    </w:p>
    <w:p>
      <w:pPr>
        <w:pStyle w:val="BodyText"/>
        <w:spacing w:line="360" w:lineRule="auto" w:before="6"/>
        <w:ind w:left="122" w:right="119"/>
        <w:jc w:val="both"/>
      </w:pPr>
      <w:r>
        <w:rPr/>
        <w:t>Alpha,</w:t>
      </w:r>
      <w:r>
        <w:rPr>
          <w:spacing w:val="-7"/>
        </w:rPr>
        <w:t> </w:t>
      </w:r>
      <w:r>
        <w:rPr/>
        <w:t>K.</w:t>
      </w:r>
      <w:r>
        <w:rPr>
          <w:spacing w:val="-7"/>
        </w:rPr>
        <w:t> </w:t>
      </w:r>
      <w:r>
        <w:rPr/>
        <w:t>1984.</w:t>
      </w:r>
      <w:r>
        <w:rPr>
          <w:spacing w:val="-7"/>
        </w:rPr>
        <w:t> </w:t>
      </w:r>
      <w:r>
        <w:rPr/>
        <w:t>Métodos</w:t>
      </w:r>
      <w:r>
        <w:rPr>
          <w:spacing w:val="-10"/>
        </w:rPr>
        <w:t> </w:t>
      </w:r>
      <w:r>
        <w:rPr/>
        <w:t>Fundamentales</w:t>
      </w:r>
      <w:r>
        <w:rPr>
          <w:spacing w:val="-8"/>
        </w:rPr>
        <w:t> </w:t>
      </w:r>
      <w:r>
        <w:rPr/>
        <w:t>de</w:t>
      </w:r>
      <w:r>
        <w:rPr>
          <w:spacing w:val="-6"/>
        </w:rPr>
        <w:t> </w:t>
      </w:r>
      <w:r>
        <w:rPr/>
        <w:t>Economía</w:t>
      </w:r>
      <w:r>
        <w:rPr>
          <w:spacing w:val="-9"/>
        </w:rPr>
        <w:t> </w:t>
      </w:r>
      <w:r>
        <w:rPr/>
        <w:t>Matemática.</w:t>
      </w:r>
      <w:r>
        <w:rPr>
          <w:spacing w:val="-10"/>
        </w:rPr>
        <w:t> </w:t>
      </w:r>
      <w:r>
        <w:rPr/>
        <w:t>Cuarta</w:t>
      </w:r>
      <w:r>
        <w:rPr>
          <w:spacing w:val="-9"/>
        </w:rPr>
        <w:t> </w:t>
      </w:r>
      <w:r>
        <w:rPr/>
        <w:t>edición.</w:t>
      </w:r>
      <w:r>
        <w:rPr>
          <w:spacing w:val="-10"/>
        </w:rPr>
        <w:t> </w:t>
      </w:r>
      <w:r>
        <w:rPr/>
        <w:t>México.</w:t>
      </w:r>
      <w:r>
        <w:rPr>
          <w:spacing w:val="-7"/>
        </w:rPr>
        <w:t> </w:t>
      </w:r>
      <w:r>
        <w:rPr/>
        <w:t>Mc Graw-Hill.</w:t>
      </w:r>
    </w:p>
    <w:p>
      <w:pPr>
        <w:pStyle w:val="BodyText"/>
        <w:spacing w:before="4"/>
        <w:ind w:left="122"/>
        <w:jc w:val="both"/>
      </w:pPr>
      <w:r>
        <w:rPr/>
        <w:t>Pindyck, R. 2009. Microeconomía. Séptima edición. Madrid. Pearson Prentice Hall.</w:t>
      </w:r>
    </w:p>
    <w:p>
      <w:pPr>
        <w:pStyle w:val="BodyText"/>
        <w:spacing w:line="360" w:lineRule="auto" w:before="134"/>
        <w:ind w:left="122" w:right="125"/>
        <w:jc w:val="both"/>
      </w:pPr>
      <w:r>
        <w:rPr/>
        <w:t>Pech M, Víctor; Santos F, J, Rubén M, Pérez. 2002. Función de Producción de la Ganadería de doble propósito de la zona oriente del estado de Yucatán, México. Técnica Pecuaria.</w:t>
      </w:r>
    </w:p>
    <w:p>
      <w:pPr>
        <w:pStyle w:val="BodyText"/>
        <w:spacing w:line="360" w:lineRule="auto" w:before="4"/>
        <w:ind w:left="122" w:right="126"/>
        <w:jc w:val="both"/>
      </w:pPr>
      <w:r>
        <w:rPr/>
        <w:t>SIAP. 2014. Servicio de Información Agroalimentaria y Pesquera, con información de la SAGARPA.</w:t>
      </w:r>
    </w:p>
    <w:p>
      <w:pPr>
        <w:pStyle w:val="BodyText"/>
        <w:spacing w:line="360" w:lineRule="auto" w:before="6"/>
        <w:ind w:left="122" w:right="120"/>
        <w:jc w:val="both"/>
      </w:pPr>
      <w:r>
        <w:rPr/>
        <w:t>Secretaría</w:t>
      </w:r>
      <w:r>
        <w:rPr>
          <w:spacing w:val="-15"/>
        </w:rPr>
        <w:t> </w:t>
      </w:r>
      <w:r>
        <w:rPr/>
        <w:t>de</w:t>
      </w:r>
      <w:r>
        <w:rPr>
          <w:spacing w:val="-15"/>
        </w:rPr>
        <w:t> </w:t>
      </w:r>
      <w:r>
        <w:rPr/>
        <w:t>Agricultura,</w:t>
      </w:r>
      <w:r>
        <w:rPr>
          <w:spacing w:val="-18"/>
        </w:rPr>
        <w:t> </w:t>
      </w:r>
      <w:r>
        <w:rPr/>
        <w:t>Ganadería,</w:t>
      </w:r>
      <w:r>
        <w:rPr>
          <w:spacing w:val="-18"/>
        </w:rPr>
        <w:t> </w:t>
      </w:r>
      <w:r>
        <w:rPr/>
        <w:t>Desarrollo</w:t>
      </w:r>
      <w:r>
        <w:rPr>
          <w:spacing w:val="-18"/>
        </w:rPr>
        <w:t> </w:t>
      </w:r>
      <w:r>
        <w:rPr/>
        <w:t>Rural,</w:t>
      </w:r>
      <w:r>
        <w:rPr>
          <w:spacing w:val="-15"/>
        </w:rPr>
        <w:t> </w:t>
      </w:r>
      <w:r>
        <w:rPr/>
        <w:t>Pesca</w:t>
      </w:r>
      <w:r>
        <w:rPr>
          <w:spacing w:val="-17"/>
        </w:rPr>
        <w:t> </w:t>
      </w:r>
      <w:r>
        <w:rPr/>
        <w:t>y</w:t>
      </w:r>
      <w:r>
        <w:rPr>
          <w:spacing w:val="-20"/>
        </w:rPr>
        <w:t> </w:t>
      </w:r>
      <w:r>
        <w:rPr/>
        <w:t>Alimentación.</w:t>
      </w:r>
      <w:r>
        <w:rPr>
          <w:spacing w:val="-20"/>
        </w:rPr>
        <w:t> </w:t>
      </w:r>
      <w:r>
        <w:rPr/>
        <w:t>SAGARPA.</w:t>
      </w:r>
      <w:r>
        <w:rPr>
          <w:spacing w:val="-15"/>
        </w:rPr>
        <w:t> </w:t>
      </w:r>
      <w:r>
        <w:rPr/>
        <w:t>2014. Situación Actual y Perspectivas de la Producción de Carne de Bovino en México. Coordinación General de Ganadería. México,</w:t>
      </w:r>
      <w:r>
        <w:rPr>
          <w:spacing w:val="-15"/>
        </w:rPr>
        <w:t> </w:t>
      </w:r>
      <w:r>
        <w:rPr/>
        <w:t>D.F.</w:t>
      </w:r>
    </w:p>
    <w:p>
      <w:pPr>
        <w:pStyle w:val="BodyText"/>
        <w:spacing w:line="360" w:lineRule="auto" w:before="6"/>
        <w:ind w:left="122" w:right="123"/>
      </w:pPr>
      <w:r>
        <w:rPr/>
        <w:t>Rebollar, R. A., Hernández, M.J., Rebollar, R.S. 2011. Competitividad y Rentabilidad de Bovinos en Corral en el Sur del Estado de México. Tropical and Subtropical Agroecosystems. Cochran, W. G. 1984. Técnicas de Muestreo. Ed. C. E. C. S. A. México, D. F.</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r>
        <w:rPr/>
        <w:pict>
          <v:line style="position:absolute;mso-position-horizontal-relative:page;mso-position-vertical-relative:paragraph;z-index:4192;mso-wrap-distance-left:0;mso-wrap-distance-right:0" from="85.103996pt,11.430504pt" to="525.960017pt,11.430504pt" stroked="true" strokeweight=".36pt" strokecolor="#000000">
            <w10:wrap type="topAndBottom"/>
          </v:line>
        </w:pict>
      </w:r>
    </w:p>
    <w:p>
      <w:pPr>
        <w:spacing w:after="0"/>
        <w:rPr>
          <w:sz w:val="16"/>
        </w:rPr>
        <w:sectPr>
          <w:headerReference w:type="default" r:id="rId151"/>
          <w:footerReference w:type="default" r:id="rId152"/>
          <w:pgSz w:w="12240" w:h="15840"/>
          <w:pgMar w:header="1449" w:footer="2122" w:top="1660" w:bottom="2320" w:left="1580" w:right="1580"/>
        </w:sectPr>
      </w:pPr>
    </w:p>
    <w:p>
      <w:pPr>
        <w:pStyle w:val="BodyText"/>
        <w:rPr>
          <w:sz w:val="20"/>
        </w:rPr>
      </w:pPr>
    </w:p>
    <w:p>
      <w:pPr>
        <w:pStyle w:val="BodyText"/>
        <w:spacing w:before="5"/>
        <w:rPr>
          <w:sz w:val="28"/>
        </w:rPr>
      </w:pPr>
    </w:p>
    <w:p>
      <w:pPr>
        <w:pStyle w:val="BodyText"/>
        <w:spacing w:line="360" w:lineRule="auto" w:before="71"/>
        <w:ind w:left="122" w:right="100"/>
        <w:jc w:val="both"/>
      </w:pPr>
      <w:r>
        <w:rPr/>
        <w:t>Posadas, D. R. R., Rebollar, R. S., Hernández, M. J., González, R. F.J. 2009. Eficiencia económica</w:t>
      </w:r>
      <w:r>
        <w:rPr>
          <w:spacing w:val="-14"/>
        </w:rPr>
        <w:t> </w:t>
      </w:r>
      <w:r>
        <w:rPr/>
        <w:t>en</w:t>
      </w:r>
      <w:r>
        <w:rPr>
          <w:spacing w:val="-12"/>
        </w:rPr>
        <w:t> </w:t>
      </w:r>
      <w:r>
        <w:rPr/>
        <w:t>bovinos</w:t>
      </w:r>
      <w:r>
        <w:rPr>
          <w:spacing w:val="-13"/>
        </w:rPr>
        <w:t> </w:t>
      </w:r>
      <w:r>
        <w:rPr/>
        <w:t>carne</w:t>
      </w:r>
      <w:r>
        <w:rPr>
          <w:spacing w:val="-11"/>
        </w:rPr>
        <w:t> </w:t>
      </w:r>
      <w:r>
        <w:rPr/>
        <w:t>engordados</w:t>
      </w:r>
      <w:r>
        <w:rPr>
          <w:spacing w:val="-13"/>
        </w:rPr>
        <w:t> </w:t>
      </w:r>
      <w:r>
        <w:rPr/>
        <w:t>en</w:t>
      </w:r>
      <w:r>
        <w:rPr>
          <w:spacing w:val="-12"/>
        </w:rPr>
        <w:t> </w:t>
      </w:r>
      <w:r>
        <w:rPr/>
        <w:t>corral,</w:t>
      </w:r>
      <w:r>
        <w:rPr>
          <w:spacing w:val="-14"/>
        </w:rPr>
        <w:t> </w:t>
      </w:r>
      <w:r>
        <w:rPr/>
        <w:t>en</w:t>
      </w:r>
      <w:r>
        <w:rPr>
          <w:spacing w:val="-12"/>
        </w:rPr>
        <w:t> </w:t>
      </w:r>
      <w:r>
        <w:rPr/>
        <w:t>el</w:t>
      </w:r>
      <w:r>
        <w:rPr>
          <w:spacing w:val="-12"/>
        </w:rPr>
        <w:t> </w:t>
      </w:r>
      <w:r>
        <w:rPr/>
        <w:t>sur</w:t>
      </w:r>
      <w:r>
        <w:rPr>
          <w:spacing w:val="-12"/>
        </w:rPr>
        <w:t> </w:t>
      </w:r>
      <w:r>
        <w:rPr/>
        <w:t>del</w:t>
      </w:r>
      <w:r>
        <w:rPr>
          <w:spacing w:val="-14"/>
        </w:rPr>
        <w:t> </w:t>
      </w:r>
      <w:r>
        <w:rPr/>
        <w:t>Estado</w:t>
      </w:r>
      <w:r>
        <w:rPr>
          <w:spacing w:val="-14"/>
        </w:rPr>
        <w:t> </w:t>
      </w:r>
      <w:r>
        <w:rPr/>
        <w:t>de</w:t>
      </w:r>
      <w:r>
        <w:rPr>
          <w:spacing w:val="-11"/>
        </w:rPr>
        <w:t> </w:t>
      </w:r>
      <w:r>
        <w:rPr/>
        <w:t>México.</w:t>
      </w:r>
      <w:r>
        <w:rPr>
          <w:spacing w:val="-14"/>
        </w:rPr>
        <w:t> </w:t>
      </w:r>
      <w:r>
        <w:rPr/>
        <w:t>En:</w:t>
      </w:r>
      <w:r>
        <w:rPr>
          <w:spacing w:val="-12"/>
        </w:rPr>
        <w:t> </w:t>
      </w:r>
      <w:r>
        <w:rPr/>
        <w:t>Ganadería y seguridad alimentaria en tiempo de crisis. (Cavalloti V. B. A., Marcof, A. C. F., Ramírez, </w:t>
      </w:r>
      <w:r>
        <w:rPr>
          <w:spacing w:val="54"/>
        </w:rPr>
        <w:t> </w:t>
      </w:r>
      <w:r>
        <w:rPr/>
        <w:t>V.</w:t>
      </w:r>
    </w:p>
    <w:p>
      <w:pPr>
        <w:pStyle w:val="BodyText"/>
        <w:spacing w:before="6"/>
        <w:ind w:left="122"/>
        <w:jc w:val="both"/>
      </w:pPr>
      <w:r>
        <w:rPr/>
        <w:t>B. Editores). Universidad Autónoma Chapingo. Chapingo, Méx.</w:t>
      </w:r>
    </w:p>
    <w:p>
      <w:pPr>
        <w:pStyle w:val="BodyText"/>
        <w:spacing w:line="360" w:lineRule="auto" w:before="131"/>
        <w:ind w:left="122" w:right="101"/>
        <w:jc w:val="both"/>
      </w:pPr>
      <w:r>
        <w:rPr/>
        <w:t>Herlay, O. M. 2009. Análisis de la Función de Producción Coob-Douglas y su Aplicación en el Sector Productivo Mexicano. Universidad Autónoma Chapingo. Chapingo, Méx.</w:t>
      </w:r>
    </w:p>
    <w:p>
      <w:pPr>
        <w:pStyle w:val="BodyText"/>
        <w:spacing w:line="360" w:lineRule="auto" w:before="6"/>
        <w:ind w:left="122" w:right="100"/>
        <w:jc w:val="both"/>
      </w:pPr>
      <w:r>
        <w:rPr/>
        <w:t>Aguirre VL, Venezian E. Estimación de funciones de producción para la zona rural vecina a Chapingo. Agrociencia 1975; 20:13-19.</w:t>
      </w:r>
    </w:p>
    <w:p>
      <w:pPr>
        <w:spacing w:after="0" w:line="360" w:lineRule="auto"/>
        <w:jc w:val="both"/>
        <w:sectPr>
          <w:footerReference w:type="default" r:id="rId153"/>
          <w:pgSz w:w="12240" w:h="15840"/>
          <w:pgMar w:footer="1790" w:header="1449" w:top="1660" w:bottom="1980" w:left="1580" w:right="1600"/>
          <w:pgNumType w:start="63"/>
        </w:sectPr>
      </w:pPr>
    </w:p>
    <w:p>
      <w:pPr>
        <w:pStyle w:val="BodyText"/>
        <w:rPr>
          <w:sz w:val="20"/>
        </w:rPr>
      </w:pPr>
    </w:p>
    <w:p>
      <w:pPr>
        <w:pStyle w:val="BodyText"/>
        <w:rPr>
          <w:sz w:val="20"/>
        </w:rPr>
      </w:pPr>
    </w:p>
    <w:p>
      <w:pPr>
        <w:pStyle w:val="BodyText"/>
        <w:spacing w:before="8"/>
        <w:rPr>
          <w:sz w:val="10"/>
        </w:rPr>
      </w:pPr>
    </w:p>
    <w:p>
      <w:pPr>
        <w:pStyle w:val="BodyText"/>
        <w:ind w:left="111"/>
        <w:rPr>
          <w:sz w:val="20"/>
        </w:rPr>
      </w:pPr>
      <w:r>
        <w:rPr>
          <w:sz w:val="20"/>
        </w:rPr>
        <w:pict>
          <v:group style="width:435.5pt;height:546.35pt;mso-position-horizontal-relative:char;mso-position-vertical-relative:line" coordorigin="0,0" coordsize="8710,10927">
            <v:shape style="position:absolute;left:10;top:10;width:8690;height:10907" coordorigin="10,10" coordsize="8690,10907" path="m10,1458l12,1381,18,1306,28,1231,41,1157,59,1085,79,1015,103,945,131,878,162,812,196,748,233,686,273,626,315,569,361,513,409,460,460,409,513,361,569,315,626,273,686,233,748,196,812,162,878,131,945,103,1015,79,1085,59,1157,41,1231,28,1306,18,1381,12,1458,10,7252,10,7329,12,7404,18,7479,28,7553,41,7625,59,7695,79,7765,103,7832,131,7898,162,7962,196,8024,233,8084,273,8141,315,8197,361,8250,409,8301,460,8349,513,8395,569,8437,626,8477,686,8514,748,8548,812,8579,878,8607,945,8631,1015,8651,1085,8669,1157,8682,1231,8692,1306,8698,1381,8700,1458,8700,9469,8698,9546,8692,9621,8682,9696,8669,9770,8651,9842,8631,9912,8607,9982,8579,10049,8548,10115,8514,10179,8477,10241,8437,10301,8395,10358,8349,10414,8301,10467,8250,10518,8197,10566,8141,10612,8084,10654,8024,10694,7962,10731,7898,10765,7832,10796,7765,10824,7695,10848,7625,10868,7553,10886,7479,10899,7404,10909,7329,10915,7252,10917,1458,10917,1381,10915,1306,10909,1231,10899,1157,10886,1085,10868,1015,10848,945,10824,878,10796,812,10765,748,10731,686,10694,626,10654,569,10612,513,10566,460,10518,409,10467,361,10414,315,10358,273,10301,233,10241,196,10179,162,10115,131,10049,103,9982,79,9912,59,9842,41,9770,28,9696,18,9621,12,9546,10,9469,10,1458xe" filled="false" stroked="true" strokeweight="1pt" strokecolor="#000000">
              <v:path arrowok="t"/>
            </v:shape>
            <v:shape style="position:absolute;left:0;top:0;width:8710;height:10927" type="#_x0000_t202" filled="false" stroked="false">
              <v:textbox inset="0,0,0,0">
                <w:txbxContent>
                  <w:p>
                    <w:pPr>
                      <w:spacing w:line="240" w:lineRule="auto" w:before="0"/>
                      <w:rPr>
                        <w:sz w:val="72"/>
                      </w:rPr>
                    </w:pPr>
                  </w:p>
                  <w:p>
                    <w:pPr>
                      <w:spacing w:line="240" w:lineRule="auto" w:before="0"/>
                      <w:rPr>
                        <w:sz w:val="72"/>
                      </w:rPr>
                    </w:pPr>
                  </w:p>
                  <w:p>
                    <w:pPr>
                      <w:spacing w:line="240" w:lineRule="auto" w:before="0"/>
                      <w:rPr>
                        <w:sz w:val="72"/>
                      </w:rPr>
                    </w:pPr>
                  </w:p>
                  <w:p>
                    <w:pPr>
                      <w:spacing w:line="240" w:lineRule="auto" w:before="0"/>
                      <w:rPr>
                        <w:sz w:val="72"/>
                      </w:rPr>
                    </w:pPr>
                  </w:p>
                  <w:p>
                    <w:pPr>
                      <w:spacing w:line="240" w:lineRule="auto" w:before="4"/>
                      <w:rPr>
                        <w:sz w:val="73"/>
                      </w:rPr>
                    </w:pPr>
                  </w:p>
                  <w:p>
                    <w:pPr>
                      <w:spacing w:line="360" w:lineRule="auto" w:before="1"/>
                      <w:ind w:left="2649" w:right="1402" w:hanging="1083"/>
                      <w:jc w:val="left"/>
                      <w:rPr>
                        <w:b/>
                        <w:sz w:val="72"/>
                      </w:rPr>
                    </w:pPr>
                    <w:r>
                      <w:rPr>
                        <w:b/>
                        <w:sz w:val="72"/>
                      </w:rPr>
                      <w:t>VIII. DISCUSIÓN GENERAL</w:t>
                    </w:r>
                  </w:p>
                </w:txbxContent>
              </v:textbox>
              <w10:wrap type="none"/>
            </v:shape>
          </v:group>
        </w:pict>
      </w:r>
      <w:r>
        <w:rPr>
          <w:sz w:val="20"/>
        </w:rPr>
      </w:r>
    </w:p>
    <w:p>
      <w:pPr>
        <w:spacing w:after="0"/>
        <w:rPr>
          <w:sz w:val="20"/>
        </w:rPr>
        <w:sectPr>
          <w:headerReference w:type="default" r:id="rId154"/>
          <w:pgSz w:w="12240" w:h="15840"/>
          <w:pgMar w:header="1434" w:footer="1790" w:top="1740" w:bottom="2040" w:left="1580" w:right="1600"/>
        </w:sectPr>
      </w:pPr>
    </w:p>
    <w:p>
      <w:pPr>
        <w:pStyle w:val="BodyText"/>
        <w:rPr>
          <w:sz w:val="20"/>
        </w:rPr>
      </w:pPr>
    </w:p>
    <w:p>
      <w:pPr>
        <w:pStyle w:val="BodyText"/>
        <w:spacing w:before="6"/>
        <w:rPr>
          <w:sz w:val="19"/>
        </w:rPr>
      </w:pPr>
    </w:p>
    <w:p>
      <w:pPr>
        <w:pStyle w:val="BodyText"/>
        <w:spacing w:line="360" w:lineRule="auto" w:before="71"/>
        <w:ind w:left="122" w:right="117"/>
        <w:jc w:val="both"/>
      </w:pPr>
      <w:r>
        <w:rPr/>
        <w:t>En los cuatro municipios de estudio la actividad de los bovinos carne se lleva acabo más por condiciones</w:t>
      </w:r>
      <w:r>
        <w:rPr>
          <w:spacing w:val="-6"/>
        </w:rPr>
        <w:t> </w:t>
      </w:r>
      <w:r>
        <w:rPr/>
        <w:t>naturales</w:t>
      </w:r>
      <w:r>
        <w:rPr>
          <w:spacing w:val="-6"/>
        </w:rPr>
        <w:t> </w:t>
      </w:r>
      <w:r>
        <w:rPr/>
        <w:t>que</w:t>
      </w:r>
      <w:r>
        <w:rPr>
          <w:spacing w:val="-6"/>
        </w:rPr>
        <w:t> </w:t>
      </w:r>
      <w:r>
        <w:rPr/>
        <w:t>por</w:t>
      </w:r>
      <w:r>
        <w:rPr>
          <w:spacing w:val="-5"/>
        </w:rPr>
        <w:t> </w:t>
      </w:r>
      <w:r>
        <w:rPr/>
        <w:t>innovación</w:t>
      </w:r>
      <w:r>
        <w:rPr>
          <w:spacing w:val="-5"/>
        </w:rPr>
        <w:t> </w:t>
      </w:r>
      <w:r>
        <w:rPr/>
        <w:t>tecnológica</w:t>
      </w:r>
      <w:r>
        <w:rPr>
          <w:spacing w:val="-4"/>
        </w:rPr>
        <w:t> </w:t>
      </w:r>
      <w:r>
        <w:rPr/>
        <w:t>(SAGARPA,</w:t>
      </w:r>
      <w:r>
        <w:rPr>
          <w:spacing w:val="-3"/>
        </w:rPr>
        <w:t> </w:t>
      </w:r>
      <w:r>
        <w:rPr/>
        <w:t>2014);</w:t>
      </w:r>
      <w:r>
        <w:rPr>
          <w:spacing w:val="-4"/>
        </w:rPr>
        <w:t> </w:t>
      </w:r>
      <w:r>
        <w:rPr/>
        <w:t>esto</w:t>
      </w:r>
      <w:r>
        <w:rPr>
          <w:spacing w:val="-5"/>
        </w:rPr>
        <w:t> </w:t>
      </w:r>
      <w:r>
        <w:rPr/>
        <w:t>trae</w:t>
      </w:r>
      <w:r>
        <w:rPr>
          <w:spacing w:val="-4"/>
        </w:rPr>
        <w:t> </w:t>
      </w:r>
      <w:r>
        <w:rPr/>
        <w:t>consigo</w:t>
      </w:r>
      <w:r>
        <w:rPr>
          <w:spacing w:val="-5"/>
        </w:rPr>
        <w:t> </w:t>
      </w:r>
      <w:r>
        <w:rPr/>
        <w:t>que no se realice una adecuada alimentación de los animales, prácticas inadecuadas en el manejo de los</w:t>
      </w:r>
      <w:r>
        <w:rPr>
          <w:spacing w:val="-3"/>
        </w:rPr>
        <w:t> </w:t>
      </w:r>
      <w:r>
        <w:rPr/>
        <w:t>pastizales,</w:t>
      </w:r>
      <w:r>
        <w:rPr>
          <w:spacing w:val="-2"/>
        </w:rPr>
        <w:t> </w:t>
      </w:r>
      <w:r>
        <w:rPr/>
        <w:t>muy</w:t>
      </w:r>
      <w:r>
        <w:rPr>
          <w:spacing w:val="-7"/>
        </w:rPr>
        <w:t> </w:t>
      </w:r>
      <w:r>
        <w:rPr/>
        <w:t>poca</w:t>
      </w:r>
      <w:r>
        <w:rPr>
          <w:spacing w:val="-2"/>
        </w:rPr>
        <w:t> </w:t>
      </w:r>
      <w:r>
        <w:rPr/>
        <w:t>utilización</w:t>
      </w:r>
      <w:r>
        <w:rPr>
          <w:spacing w:val="-5"/>
        </w:rPr>
        <w:t> </w:t>
      </w:r>
      <w:r>
        <w:rPr/>
        <w:t>de</w:t>
      </w:r>
      <w:r>
        <w:rPr>
          <w:spacing w:val="-4"/>
        </w:rPr>
        <w:t> </w:t>
      </w:r>
      <w:r>
        <w:rPr/>
        <w:t>alimentación</w:t>
      </w:r>
      <w:r>
        <w:rPr>
          <w:spacing w:val="-5"/>
        </w:rPr>
        <w:t> </w:t>
      </w:r>
      <w:r>
        <w:rPr/>
        <w:t>suplementaria,</w:t>
      </w:r>
      <w:r>
        <w:rPr>
          <w:spacing w:val="-5"/>
        </w:rPr>
        <w:t> </w:t>
      </w:r>
      <w:r>
        <w:rPr>
          <w:spacing w:val="2"/>
        </w:rPr>
        <w:t>así</w:t>
      </w:r>
      <w:r>
        <w:rPr>
          <w:spacing w:val="-4"/>
        </w:rPr>
        <w:t> </w:t>
      </w:r>
      <w:r>
        <w:rPr/>
        <w:t>como</w:t>
      </w:r>
      <w:r>
        <w:rPr>
          <w:spacing w:val="-2"/>
        </w:rPr>
        <w:t> </w:t>
      </w:r>
      <w:r>
        <w:rPr/>
        <w:t>del</w:t>
      </w:r>
      <w:r>
        <w:rPr>
          <w:spacing w:val="-2"/>
        </w:rPr>
        <w:t> </w:t>
      </w:r>
      <w:r>
        <w:rPr/>
        <w:t>restringido</w:t>
      </w:r>
      <w:r>
        <w:rPr>
          <w:spacing w:val="-2"/>
        </w:rPr>
        <w:t> </w:t>
      </w:r>
      <w:r>
        <w:rPr/>
        <w:t>uso de</w:t>
      </w:r>
      <w:r>
        <w:rPr>
          <w:spacing w:val="-6"/>
        </w:rPr>
        <w:t> </w:t>
      </w:r>
      <w:r>
        <w:rPr/>
        <w:t>la</w:t>
      </w:r>
      <w:r>
        <w:rPr>
          <w:spacing w:val="-6"/>
        </w:rPr>
        <w:t> </w:t>
      </w:r>
      <w:r>
        <w:rPr/>
        <w:t>medicina</w:t>
      </w:r>
      <w:r>
        <w:rPr>
          <w:spacing w:val="-6"/>
        </w:rPr>
        <w:t> </w:t>
      </w:r>
      <w:r>
        <w:rPr/>
        <w:t>preventiva</w:t>
      </w:r>
      <w:r>
        <w:rPr>
          <w:spacing w:val="-6"/>
        </w:rPr>
        <w:t> </w:t>
      </w:r>
      <w:r>
        <w:rPr/>
        <w:t>y</w:t>
      </w:r>
      <w:r>
        <w:rPr>
          <w:spacing w:val="-10"/>
        </w:rPr>
        <w:t> </w:t>
      </w:r>
      <w:r>
        <w:rPr/>
        <w:t>del</w:t>
      </w:r>
      <w:r>
        <w:rPr>
          <w:spacing w:val="-7"/>
        </w:rPr>
        <w:t> </w:t>
      </w:r>
      <w:r>
        <w:rPr/>
        <w:t>mejoramiento</w:t>
      </w:r>
      <w:r>
        <w:rPr>
          <w:spacing w:val="-7"/>
        </w:rPr>
        <w:t> </w:t>
      </w:r>
      <w:r>
        <w:rPr/>
        <w:t>genético;</w:t>
      </w:r>
      <w:r>
        <w:rPr>
          <w:spacing w:val="-7"/>
        </w:rPr>
        <w:t> </w:t>
      </w:r>
      <w:r>
        <w:rPr/>
        <w:t>estos</w:t>
      </w:r>
      <w:r>
        <w:rPr>
          <w:spacing w:val="-8"/>
        </w:rPr>
        <w:t> </w:t>
      </w:r>
      <w:r>
        <w:rPr/>
        <w:t>son</w:t>
      </w:r>
      <w:r>
        <w:rPr>
          <w:spacing w:val="-7"/>
        </w:rPr>
        <w:t> </w:t>
      </w:r>
      <w:r>
        <w:rPr/>
        <w:t>los</w:t>
      </w:r>
      <w:r>
        <w:rPr>
          <w:spacing w:val="-8"/>
        </w:rPr>
        <w:t> </w:t>
      </w:r>
      <w:r>
        <w:rPr/>
        <w:t>factores</w:t>
      </w:r>
      <w:r>
        <w:rPr>
          <w:spacing w:val="-8"/>
        </w:rPr>
        <w:t> </w:t>
      </w:r>
      <w:r>
        <w:rPr/>
        <w:t>que</w:t>
      </w:r>
      <w:r>
        <w:rPr>
          <w:spacing w:val="-6"/>
        </w:rPr>
        <w:t> </w:t>
      </w:r>
      <w:r>
        <w:rPr/>
        <w:t>no</w:t>
      </w:r>
      <w:r>
        <w:rPr>
          <w:spacing w:val="-7"/>
        </w:rPr>
        <w:t> </w:t>
      </w:r>
      <w:r>
        <w:rPr/>
        <w:t>permiten</w:t>
      </w:r>
      <w:r>
        <w:rPr>
          <w:spacing w:val="-10"/>
        </w:rPr>
        <w:t> </w:t>
      </w:r>
      <w:r>
        <w:rPr/>
        <w:t>la productividad de esta ganadería, reflejándose en bajos índices productivos y reproductivos (Rodríguez et al.</w:t>
      </w:r>
      <w:r>
        <w:rPr>
          <w:spacing w:val="-4"/>
        </w:rPr>
        <w:t> </w:t>
      </w:r>
      <w:r>
        <w:rPr/>
        <w:t>1995).</w:t>
      </w:r>
    </w:p>
    <w:p>
      <w:pPr>
        <w:pStyle w:val="BodyText"/>
        <w:spacing w:line="360" w:lineRule="auto" w:before="4"/>
        <w:ind w:left="122" w:right="116"/>
        <w:jc w:val="both"/>
      </w:pPr>
      <w:r>
        <w:rPr/>
        <w:t>En esta región la mayoría de los productores no realizan registros productivos y reproductivos, ni sistemas de control y administración de los recursos, que muestren el desempeño de las unidades de producción, lo que limita el alcance de los objetivos y metas, ya que no se pueden tomar decisiones adecuadas y oportunas (SAGARPA, 2014).</w:t>
      </w:r>
    </w:p>
    <w:p>
      <w:pPr>
        <w:pStyle w:val="BodyText"/>
        <w:spacing w:line="360" w:lineRule="auto" w:before="4"/>
        <w:ind w:left="122" w:right="127"/>
        <w:jc w:val="both"/>
      </w:pPr>
      <w:r>
        <w:rPr/>
        <w:t>Al</w:t>
      </w:r>
      <w:r>
        <w:rPr>
          <w:spacing w:val="-14"/>
        </w:rPr>
        <w:t> </w:t>
      </w:r>
      <w:r>
        <w:rPr/>
        <w:t>no</w:t>
      </w:r>
      <w:r>
        <w:rPr>
          <w:spacing w:val="-14"/>
        </w:rPr>
        <w:t> </w:t>
      </w:r>
      <w:r>
        <w:rPr/>
        <w:t>utilizar</w:t>
      </w:r>
      <w:r>
        <w:rPr>
          <w:spacing w:val="-14"/>
        </w:rPr>
        <w:t> </w:t>
      </w:r>
      <w:r>
        <w:rPr/>
        <w:t>estos</w:t>
      </w:r>
      <w:r>
        <w:rPr>
          <w:spacing w:val="-15"/>
        </w:rPr>
        <w:t> </w:t>
      </w:r>
      <w:r>
        <w:rPr/>
        <w:t>registros</w:t>
      </w:r>
      <w:r>
        <w:rPr>
          <w:spacing w:val="-15"/>
        </w:rPr>
        <w:t> </w:t>
      </w:r>
      <w:r>
        <w:rPr/>
        <w:t>productivos</w:t>
      </w:r>
      <w:r>
        <w:rPr>
          <w:spacing w:val="-15"/>
        </w:rPr>
        <w:t> </w:t>
      </w:r>
      <w:r>
        <w:rPr/>
        <w:t>es</w:t>
      </w:r>
      <w:r>
        <w:rPr>
          <w:spacing w:val="-15"/>
        </w:rPr>
        <w:t> </w:t>
      </w:r>
      <w:r>
        <w:rPr/>
        <w:t>difícil</w:t>
      </w:r>
      <w:r>
        <w:rPr>
          <w:spacing w:val="-14"/>
        </w:rPr>
        <w:t> </w:t>
      </w:r>
      <w:r>
        <w:rPr/>
        <w:t>determinar</w:t>
      </w:r>
      <w:r>
        <w:rPr>
          <w:spacing w:val="-14"/>
        </w:rPr>
        <w:t> </w:t>
      </w:r>
      <w:r>
        <w:rPr/>
        <w:t>el</w:t>
      </w:r>
      <w:r>
        <w:rPr>
          <w:spacing w:val="-14"/>
        </w:rPr>
        <w:t> </w:t>
      </w:r>
      <w:r>
        <w:rPr/>
        <w:t>inventario</w:t>
      </w:r>
      <w:r>
        <w:rPr>
          <w:spacing w:val="-14"/>
        </w:rPr>
        <w:t> </w:t>
      </w:r>
      <w:r>
        <w:rPr/>
        <w:t>y</w:t>
      </w:r>
      <w:r>
        <w:rPr>
          <w:spacing w:val="-17"/>
        </w:rPr>
        <w:t> </w:t>
      </w:r>
      <w:r>
        <w:rPr/>
        <w:t>la</w:t>
      </w:r>
      <w:r>
        <w:rPr>
          <w:spacing w:val="-14"/>
        </w:rPr>
        <w:t> </w:t>
      </w:r>
      <w:r>
        <w:rPr/>
        <w:t>producción</w:t>
      </w:r>
      <w:r>
        <w:rPr>
          <w:spacing w:val="-14"/>
        </w:rPr>
        <w:t> </w:t>
      </w:r>
      <w:r>
        <w:rPr/>
        <w:t>exacta de la ganadería bovina de la región (Pérez et al.</w:t>
      </w:r>
      <w:r>
        <w:rPr>
          <w:spacing w:val="-24"/>
        </w:rPr>
        <w:t> </w:t>
      </w:r>
      <w:r>
        <w:rPr/>
        <w:t>2004).</w:t>
      </w:r>
    </w:p>
    <w:p>
      <w:pPr>
        <w:pStyle w:val="BodyText"/>
        <w:spacing w:line="360" w:lineRule="auto" w:before="6"/>
        <w:ind w:left="122" w:right="115"/>
        <w:jc w:val="both"/>
      </w:pPr>
      <w:r>
        <w:rPr/>
        <w:t>Coincidiendo</w:t>
      </w:r>
      <w:r>
        <w:rPr>
          <w:spacing w:val="-9"/>
        </w:rPr>
        <w:t> </w:t>
      </w:r>
      <w:r>
        <w:rPr/>
        <w:t>con</w:t>
      </w:r>
      <w:r>
        <w:rPr>
          <w:spacing w:val="-9"/>
        </w:rPr>
        <w:t> </w:t>
      </w:r>
      <w:r>
        <w:rPr/>
        <w:t>Pech,</w:t>
      </w:r>
      <w:r>
        <w:rPr>
          <w:spacing w:val="-9"/>
        </w:rPr>
        <w:t> </w:t>
      </w:r>
      <w:r>
        <w:rPr/>
        <w:t>et</w:t>
      </w:r>
      <w:r>
        <w:rPr>
          <w:spacing w:val="-8"/>
        </w:rPr>
        <w:t> </w:t>
      </w:r>
      <w:r>
        <w:rPr/>
        <w:t>al.</w:t>
      </w:r>
      <w:r>
        <w:rPr>
          <w:spacing w:val="-6"/>
        </w:rPr>
        <w:t> </w:t>
      </w:r>
      <w:r>
        <w:rPr/>
        <w:t>2002),</w:t>
      </w:r>
      <w:r>
        <w:rPr>
          <w:spacing w:val="-9"/>
        </w:rPr>
        <w:t> </w:t>
      </w:r>
      <w:r>
        <w:rPr/>
        <w:t>se</w:t>
      </w:r>
      <w:r>
        <w:rPr>
          <w:spacing w:val="-8"/>
        </w:rPr>
        <w:t> </w:t>
      </w:r>
      <w:r>
        <w:rPr/>
        <w:t>puede</w:t>
      </w:r>
      <w:r>
        <w:rPr>
          <w:spacing w:val="-8"/>
        </w:rPr>
        <w:t> </w:t>
      </w:r>
      <w:r>
        <w:rPr/>
        <w:t>observar</w:t>
      </w:r>
      <w:r>
        <w:rPr>
          <w:spacing w:val="-9"/>
        </w:rPr>
        <w:t> </w:t>
      </w:r>
      <w:r>
        <w:rPr/>
        <w:t>que</w:t>
      </w:r>
      <w:r>
        <w:rPr>
          <w:spacing w:val="-8"/>
        </w:rPr>
        <w:t> </w:t>
      </w:r>
      <w:r>
        <w:rPr/>
        <w:t>la</w:t>
      </w:r>
      <w:r>
        <w:rPr>
          <w:spacing w:val="-8"/>
        </w:rPr>
        <w:t> </w:t>
      </w:r>
      <w:r>
        <w:rPr/>
        <w:t>variable</w:t>
      </w:r>
      <w:r>
        <w:rPr>
          <w:spacing w:val="-8"/>
        </w:rPr>
        <w:t> </w:t>
      </w:r>
      <w:r>
        <w:rPr/>
        <w:t>total</w:t>
      </w:r>
      <w:r>
        <w:rPr>
          <w:spacing w:val="-8"/>
        </w:rPr>
        <w:t> </w:t>
      </w:r>
      <w:r>
        <w:rPr/>
        <w:t>de</w:t>
      </w:r>
      <w:r>
        <w:rPr>
          <w:spacing w:val="-8"/>
        </w:rPr>
        <w:t> </w:t>
      </w:r>
      <w:r>
        <w:rPr/>
        <w:t>animales</w:t>
      </w:r>
      <w:r>
        <w:rPr>
          <w:spacing w:val="-9"/>
        </w:rPr>
        <w:t> </w:t>
      </w:r>
      <w:r>
        <w:rPr/>
        <w:t>es</w:t>
      </w:r>
      <w:r>
        <w:rPr>
          <w:spacing w:val="-9"/>
        </w:rPr>
        <w:t> </w:t>
      </w:r>
      <w:r>
        <w:rPr/>
        <w:t>la</w:t>
      </w:r>
      <w:r>
        <w:rPr>
          <w:spacing w:val="-8"/>
        </w:rPr>
        <w:t> </w:t>
      </w:r>
      <w:r>
        <w:rPr/>
        <w:t>que tiene mayor influencia en la producción total de carne de bovino, </w:t>
      </w:r>
      <w:r>
        <w:rPr>
          <w:spacing w:val="-3"/>
        </w:rPr>
        <w:t>ya </w:t>
      </w:r>
      <w:r>
        <w:rPr/>
        <w:t>que al incrementarla en el 1%</w:t>
      </w:r>
      <w:r>
        <w:rPr>
          <w:spacing w:val="-9"/>
        </w:rPr>
        <w:t> </w:t>
      </w:r>
      <w:r>
        <w:rPr/>
        <w:t>con</w:t>
      </w:r>
      <w:r>
        <w:rPr>
          <w:spacing w:val="-9"/>
        </w:rPr>
        <w:t> </w:t>
      </w:r>
      <w:r>
        <w:rPr/>
        <w:t>las</w:t>
      </w:r>
      <w:r>
        <w:rPr>
          <w:spacing w:val="-9"/>
        </w:rPr>
        <w:t> </w:t>
      </w:r>
      <w:r>
        <w:rPr/>
        <w:t>otras</w:t>
      </w:r>
      <w:r>
        <w:rPr>
          <w:spacing w:val="-9"/>
        </w:rPr>
        <w:t> </w:t>
      </w:r>
      <w:r>
        <w:rPr/>
        <w:t>dos</w:t>
      </w:r>
      <w:r>
        <w:rPr>
          <w:spacing w:val="-9"/>
        </w:rPr>
        <w:t> </w:t>
      </w:r>
      <w:r>
        <w:rPr/>
        <w:t>variables</w:t>
      </w:r>
      <w:r>
        <w:rPr>
          <w:spacing w:val="-9"/>
        </w:rPr>
        <w:t> </w:t>
      </w:r>
      <w:r>
        <w:rPr/>
        <w:t>constantes,</w:t>
      </w:r>
      <w:r>
        <w:rPr>
          <w:spacing w:val="-9"/>
        </w:rPr>
        <w:t> </w:t>
      </w:r>
      <w:r>
        <w:rPr/>
        <w:t>la</w:t>
      </w:r>
      <w:r>
        <w:rPr>
          <w:spacing w:val="-8"/>
        </w:rPr>
        <w:t> </w:t>
      </w:r>
      <w:r>
        <w:rPr/>
        <w:t>producción</w:t>
      </w:r>
      <w:r>
        <w:rPr>
          <w:spacing w:val="-9"/>
        </w:rPr>
        <w:t> </w:t>
      </w:r>
      <w:r>
        <w:rPr/>
        <w:t>total</w:t>
      </w:r>
      <w:r>
        <w:rPr>
          <w:spacing w:val="-8"/>
        </w:rPr>
        <w:t> </w:t>
      </w:r>
      <w:r>
        <w:rPr/>
        <w:t>de</w:t>
      </w:r>
      <w:r>
        <w:rPr>
          <w:spacing w:val="-8"/>
        </w:rPr>
        <w:t> </w:t>
      </w:r>
      <w:r>
        <w:rPr/>
        <w:t>carne</w:t>
      </w:r>
      <w:r>
        <w:rPr>
          <w:spacing w:val="-8"/>
        </w:rPr>
        <w:t> </w:t>
      </w:r>
      <w:r>
        <w:rPr/>
        <w:t>aumenta</w:t>
      </w:r>
      <w:r>
        <w:rPr>
          <w:spacing w:val="-8"/>
        </w:rPr>
        <w:t> </w:t>
      </w:r>
      <w:r>
        <w:rPr/>
        <w:t>en</w:t>
      </w:r>
      <w:r>
        <w:rPr>
          <w:spacing w:val="-9"/>
        </w:rPr>
        <w:t> </w:t>
      </w:r>
      <w:r>
        <w:rPr/>
        <w:t>un</w:t>
      </w:r>
      <w:r>
        <w:rPr>
          <w:spacing w:val="-9"/>
        </w:rPr>
        <w:t> </w:t>
      </w:r>
      <w:r>
        <w:rPr/>
        <w:t>1.06%,</w:t>
      </w:r>
      <w:r>
        <w:rPr>
          <w:spacing w:val="-9"/>
        </w:rPr>
        <w:t> </w:t>
      </w:r>
      <w:r>
        <w:rPr/>
        <w:t>por lo tanto se puede concluir que no hay necesidad de incrementar el número de hectáreas pastizal natural y los gastos de alimentación, sin embargo si se debe aumentar el número de animales en producción.</w:t>
      </w:r>
    </w:p>
    <w:p>
      <w:pPr>
        <w:spacing w:after="0" w:line="360" w:lineRule="auto"/>
        <w:jc w:val="both"/>
        <w:sectPr>
          <w:pgSz w:w="12240" w:h="15840"/>
          <w:pgMar w:header="1434" w:footer="1790" w:top="1740" w:bottom="1980" w:left="1580" w:right="1580"/>
        </w:sectPr>
      </w:pPr>
    </w:p>
    <w:p>
      <w:pPr>
        <w:pStyle w:val="BodyText"/>
        <w:rPr>
          <w:sz w:val="20"/>
        </w:rPr>
      </w:pPr>
      <w:r>
        <w:rPr/>
        <w:pict>
          <v:shape style="position:absolute;margin-left:87pt;margin-top:103.699997pt;width:434.5pt;height:556.1pt;mso-position-horizontal-relative:page;mso-position-vertical-relative:page;z-index:-128248" coordorigin="1740,2074" coordsize="8690,11122" path="m1740,3522l1742,3445,1748,3370,1758,3295,1771,3221,1789,3149,1809,3079,1833,3009,1861,2942,1892,2876,1926,2812,1963,2750,2003,2690,2045,2633,2091,2577,2139,2524,2190,2473,2243,2425,2299,2379,2356,2337,2416,2297,2478,2260,2542,2226,2608,2195,2675,2167,2745,2143,2815,2123,2887,2105,2961,2092,3036,2082,3111,2076,3188,2074,8982,2074,9059,2076,9134,2082,9209,2092,9283,2105,9355,2123,9425,2143,9495,2167,9562,2195,9628,2226,9692,2260,9754,2297,9814,2337,9871,2379,9927,2425,9980,2473,10031,2524,10079,2577,10125,2633,10167,2690,10207,2750,10244,2812,10278,2876,10309,2942,10337,3009,10361,3079,10381,3149,10399,3221,10412,3295,10422,3370,10428,3445,10430,3522,10430,11748,10428,11825,10422,11900,10412,11975,10399,12049,10381,12121,10361,12191,10337,12261,10309,12328,10278,12394,10244,12458,10207,12520,10167,12580,10125,12637,10079,12693,10031,12746,9980,12797,9927,12845,9871,12891,9814,12933,9754,12973,9692,13010,9628,13044,9562,13075,9495,13103,9425,13127,9355,13147,9283,13165,9209,13178,9134,13188,9059,13194,8982,13196,3188,13196,3111,13194,3036,13188,2961,13178,2887,13165,2815,13147,2745,13127,2675,13103,2608,13075,2542,13044,2478,13010,2416,12973,2356,12933,2299,12891,2243,12845,2190,12797,2139,12746,2091,12693,2045,12637,2003,12580,1963,12520,1926,12458,1892,12394,1861,12328,1833,12261,1809,12191,1789,12121,1771,12049,1758,11975,1748,11900,1742,11825,1740,11748,1740,3522xe" filled="false" stroked="true" strokeweight="1pt" strokecolor="#000000">
            <v:path arrowok="t"/>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5"/>
        </w:rPr>
      </w:pPr>
    </w:p>
    <w:p>
      <w:pPr>
        <w:pStyle w:val="Heading1"/>
        <w:numPr>
          <w:ilvl w:val="1"/>
          <w:numId w:val="8"/>
        </w:numPr>
        <w:tabs>
          <w:tab w:pos="2679" w:val="left" w:leader="none"/>
        </w:tabs>
        <w:spacing w:line="360" w:lineRule="auto" w:before="8" w:after="0"/>
        <w:ind w:left="2760" w:right="1500" w:hanging="1242"/>
        <w:jc w:val="left"/>
      </w:pPr>
      <w:bookmarkStart w:name="_TOC_250001" w:id="10"/>
      <w:r>
        <w:rPr>
          <w:spacing w:val="-1"/>
        </w:rPr>
        <w:t>CONCLUSIÓN </w:t>
      </w:r>
      <w:bookmarkEnd w:id="10"/>
      <w:r>
        <w:rPr/>
        <w:t>GENERAL</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18"/>
        </w:rPr>
      </w:pPr>
      <w:r>
        <w:rPr/>
        <w:pict>
          <v:line style="position:absolute;mso-position-horizontal-relative:page;mso-position-vertical-relative:paragraph;z-index:4264;mso-wrap-distance-left:0;mso-wrap-distance-right:0" from="85.103996pt,12.549812pt" to="525.960017pt,12.549812pt" stroked="true" strokeweight=".36pt" strokecolor="#000000">
            <w10:wrap type="topAndBottom"/>
          </v:line>
        </w:pict>
      </w:r>
    </w:p>
    <w:p>
      <w:pPr>
        <w:spacing w:after="0"/>
        <w:rPr>
          <w:sz w:val="18"/>
        </w:rPr>
        <w:sectPr>
          <w:footerReference w:type="default" r:id="rId155"/>
          <w:pgSz w:w="12240" w:h="15840"/>
          <w:pgMar w:footer="1419" w:header="1434" w:top="1740" w:bottom="1600" w:left="1580" w:right="1600"/>
        </w:sectPr>
      </w:pPr>
    </w:p>
    <w:p>
      <w:pPr>
        <w:pStyle w:val="BodyText"/>
        <w:rPr>
          <w:b/>
          <w:sz w:val="20"/>
        </w:rPr>
      </w:pPr>
    </w:p>
    <w:p>
      <w:pPr>
        <w:pStyle w:val="BodyText"/>
        <w:spacing w:before="6"/>
        <w:rPr>
          <w:b/>
          <w:sz w:val="19"/>
        </w:rPr>
      </w:pPr>
    </w:p>
    <w:p>
      <w:pPr>
        <w:pStyle w:val="BodyText"/>
        <w:spacing w:line="360" w:lineRule="auto" w:before="71"/>
        <w:ind w:left="122" w:right="116"/>
        <w:jc w:val="both"/>
      </w:pPr>
      <w:r>
        <w:rPr/>
        <w:t>La ganadería bovina en el Sur del Estado de México sigue siendo la actividad económica más importante</w:t>
      </w:r>
      <w:r>
        <w:rPr>
          <w:spacing w:val="-4"/>
        </w:rPr>
        <w:t> </w:t>
      </w:r>
      <w:r>
        <w:rPr/>
        <w:t>de</w:t>
      </w:r>
      <w:r>
        <w:rPr>
          <w:spacing w:val="-5"/>
        </w:rPr>
        <w:t> </w:t>
      </w:r>
      <w:r>
        <w:rPr/>
        <w:t>la</w:t>
      </w:r>
      <w:r>
        <w:rPr>
          <w:spacing w:val="-4"/>
        </w:rPr>
        <w:t> </w:t>
      </w:r>
      <w:r>
        <w:rPr/>
        <w:t>región.</w:t>
      </w:r>
      <w:r>
        <w:rPr>
          <w:spacing w:val="-5"/>
        </w:rPr>
        <w:t> </w:t>
      </w:r>
      <w:r>
        <w:rPr/>
        <w:t>Además</w:t>
      </w:r>
      <w:r>
        <w:rPr>
          <w:spacing w:val="-7"/>
        </w:rPr>
        <w:t> </w:t>
      </w:r>
      <w:r>
        <w:rPr/>
        <w:t>es</w:t>
      </w:r>
      <w:r>
        <w:rPr>
          <w:spacing w:val="-5"/>
        </w:rPr>
        <w:t> </w:t>
      </w:r>
      <w:r>
        <w:rPr/>
        <w:t>rentable,</w:t>
      </w:r>
      <w:r>
        <w:rPr>
          <w:spacing w:val="-1"/>
        </w:rPr>
        <w:t> </w:t>
      </w:r>
      <w:r>
        <w:rPr/>
        <w:t>a</w:t>
      </w:r>
      <w:r>
        <w:rPr>
          <w:spacing w:val="-5"/>
        </w:rPr>
        <w:t> </w:t>
      </w:r>
      <w:r>
        <w:rPr/>
        <w:t>pesar</w:t>
      </w:r>
      <w:r>
        <w:rPr>
          <w:spacing w:val="-6"/>
        </w:rPr>
        <w:t> </w:t>
      </w:r>
      <w:r>
        <w:rPr/>
        <w:t>de</w:t>
      </w:r>
      <w:r>
        <w:rPr>
          <w:spacing w:val="-4"/>
        </w:rPr>
        <w:t> </w:t>
      </w:r>
      <w:r>
        <w:rPr/>
        <w:t>que</w:t>
      </w:r>
      <w:r>
        <w:rPr>
          <w:spacing w:val="-5"/>
        </w:rPr>
        <w:t> </w:t>
      </w:r>
      <w:r>
        <w:rPr/>
        <w:t>los</w:t>
      </w:r>
      <w:r>
        <w:rPr>
          <w:spacing w:val="-5"/>
        </w:rPr>
        <w:t> </w:t>
      </w:r>
      <w:r>
        <w:rPr/>
        <w:t>ganaderos</w:t>
      </w:r>
      <w:r>
        <w:rPr>
          <w:spacing w:val="-5"/>
        </w:rPr>
        <w:t> </w:t>
      </w:r>
      <w:r>
        <w:rPr/>
        <w:t>no</w:t>
      </w:r>
      <w:r>
        <w:rPr>
          <w:spacing w:val="-6"/>
        </w:rPr>
        <w:t> </w:t>
      </w:r>
      <w:r>
        <w:rPr/>
        <w:t>llevan</w:t>
      </w:r>
      <w:r>
        <w:rPr>
          <w:spacing w:val="-5"/>
        </w:rPr>
        <w:t> </w:t>
      </w:r>
      <w:r>
        <w:rPr/>
        <w:t>los</w:t>
      </w:r>
      <w:r>
        <w:rPr>
          <w:spacing w:val="-5"/>
        </w:rPr>
        <w:t> </w:t>
      </w:r>
      <w:r>
        <w:rPr/>
        <w:t>registros administrativos adecuados, esta actividad les permite auto emplearse y vivir en mejores condiciones de vida. La adopción de la tecnología por parte de los ganaderos se dificulta por las costumbres locales, muchas de las cuales han pasado de generación en generación y están muy arraigadas (Pérez et al</w:t>
      </w:r>
      <w:r>
        <w:rPr>
          <w:spacing w:val="-12"/>
        </w:rPr>
        <w:t> </w:t>
      </w:r>
      <w:r>
        <w:rPr/>
        <w:t>2004).</w:t>
      </w:r>
    </w:p>
    <w:p>
      <w:pPr>
        <w:pStyle w:val="BodyText"/>
        <w:rPr>
          <w:sz w:val="22"/>
        </w:rPr>
      </w:pPr>
    </w:p>
    <w:p>
      <w:pPr>
        <w:pStyle w:val="BodyText"/>
        <w:spacing w:line="360" w:lineRule="auto" w:before="150"/>
        <w:ind w:left="122" w:right="114"/>
        <w:jc w:val="both"/>
      </w:pPr>
      <w:r>
        <w:rPr/>
        <w:t>La trasferencia tecnológica de la investigación sobre la ganadería bovina debe realizarse con un lenguaje accesible para el productor, y además debe ser de bajo costo para que sean adoptadas con facilidad. Este proceso de trasferencia tecnológica debe ser acompañado por infraestructura de</w:t>
      </w:r>
      <w:r>
        <w:rPr>
          <w:spacing w:val="-9"/>
        </w:rPr>
        <w:t> </w:t>
      </w:r>
      <w:r>
        <w:rPr/>
        <w:t>apoyo</w:t>
      </w:r>
      <w:r>
        <w:rPr>
          <w:spacing w:val="-7"/>
        </w:rPr>
        <w:t> </w:t>
      </w:r>
      <w:r>
        <w:rPr/>
        <w:t>y</w:t>
      </w:r>
      <w:r>
        <w:rPr>
          <w:spacing w:val="-14"/>
        </w:rPr>
        <w:t> </w:t>
      </w:r>
      <w:r>
        <w:rPr/>
        <w:t>de</w:t>
      </w:r>
      <w:r>
        <w:rPr>
          <w:spacing w:val="-9"/>
        </w:rPr>
        <w:t> </w:t>
      </w:r>
      <w:r>
        <w:rPr/>
        <w:t>servicio</w:t>
      </w:r>
      <w:r>
        <w:rPr>
          <w:spacing w:val="-10"/>
        </w:rPr>
        <w:t> </w:t>
      </w:r>
      <w:r>
        <w:rPr/>
        <w:t>que</w:t>
      </w:r>
      <w:r>
        <w:rPr>
          <w:spacing w:val="-11"/>
        </w:rPr>
        <w:t> </w:t>
      </w:r>
      <w:r>
        <w:rPr/>
        <w:t>incorporen</w:t>
      </w:r>
      <w:r>
        <w:rPr>
          <w:spacing w:val="-7"/>
        </w:rPr>
        <w:t> </w:t>
      </w:r>
      <w:r>
        <w:rPr/>
        <w:t>nuevas</w:t>
      </w:r>
      <w:r>
        <w:rPr>
          <w:spacing w:val="-10"/>
        </w:rPr>
        <w:t> </w:t>
      </w:r>
      <w:r>
        <w:rPr/>
        <w:t>formas</w:t>
      </w:r>
      <w:r>
        <w:rPr>
          <w:spacing w:val="-10"/>
        </w:rPr>
        <w:t> </w:t>
      </w:r>
      <w:r>
        <w:rPr/>
        <w:t>de</w:t>
      </w:r>
      <w:r>
        <w:rPr>
          <w:spacing w:val="-9"/>
        </w:rPr>
        <w:t> </w:t>
      </w:r>
      <w:r>
        <w:rPr/>
        <w:t>producir</w:t>
      </w:r>
      <w:r>
        <w:rPr>
          <w:spacing w:val="-10"/>
        </w:rPr>
        <w:t> </w:t>
      </w:r>
      <w:r>
        <w:rPr/>
        <w:t>y</w:t>
      </w:r>
      <w:r>
        <w:rPr>
          <w:spacing w:val="-14"/>
        </w:rPr>
        <w:t> </w:t>
      </w:r>
      <w:r>
        <w:rPr/>
        <w:t>de</w:t>
      </w:r>
      <w:r>
        <w:rPr>
          <w:spacing w:val="-7"/>
        </w:rPr>
        <w:t> </w:t>
      </w:r>
      <w:r>
        <w:rPr/>
        <w:t>conservar</w:t>
      </w:r>
      <w:r>
        <w:rPr>
          <w:spacing w:val="-10"/>
        </w:rPr>
        <w:t> </w:t>
      </w:r>
      <w:r>
        <w:rPr/>
        <w:t>los</w:t>
      </w:r>
      <w:r>
        <w:rPr>
          <w:spacing w:val="-10"/>
        </w:rPr>
        <w:t> </w:t>
      </w:r>
      <w:r>
        <w:rPr/>
        <w:t>forrajes</w:t>
      </w:r>
      <w:r>
        <w:rPr>
          <w:spacing w:val="-10"/>
        </w:rPr>
        <w:t> </w:t>
      </w:r>
      <w:r>
        <w:rPr/>
        <w:t>para ser utilizados en las épocas de escasez, además de experimentar la potencialidad de los sistemas agro-silvopastoriles (Magaña et al 2006; Ruiz et al</w:t>
      </w:r>
      <w:r>
        <w:rPr>
          <w:spacing w:val="-16"/>
        </w:rPr>
        <w:t> </w:t>
      </w:r>
      <w:r>
        <w:rPr/>
        <w:t>2004).</w:t>
      </w:r>
    </w:p>
    <w:p>
      <w:pPr>
        <w:pStyle w:val="BodyText"/>
        <w:rPr>
          <w:sz w:val="22"/>
        </w:rPr>
      </w:pPr>
    </w:p>
    <w:p>
      <w:pPr>
        <w:pStyle w:val="BodyText"/>
        <w:spacing w:line="360" w:lineRule="auto" w:before="149"/>
        <w:ind w:left="122" w:right="118"/>
        <w:jc w:val="both"/>
      </w:pPr>
      <w:r>
        <w:rPr/>
        <w:t>Los bovinos carne en los cuatro municipios de estudio ofrecen buenos resultados, ya que se obtuvieron rendimientos crecientes a escala durante el periodo de estudio que fue de Febrero a Julio de 2015, lo cual comprobó la hipótesis propuesta.</w:t>
      </w:r>
    </w:p>
    <w:p>
      <w:pPr>
        <w:pStyle w:val="BodyText"/>
        <w:rPr>
          <w:sz w:val="22"/>
        </w:rPr>
      </w:pPr>
    </w:p>
    <w:p>
      <w:pPr>
        <w:pStyle w:val="BodyText"/>
        <w:spacing w:line="360" w:lineRule="auto" w:before="147"/>
        <w:ind w:left="122" w:right="121"/>
        <w:jc w:val="both"/>
      </w:pPr>
      <w:r>
        <w:rPr/>
        <w:t>Sin duda, la variable total de animales es la que tiene mayor influencia en la producción total de carne de bovino, por lo tanto se puede concluir que no hay necesidad de incrementar el número de</w:t>
      </w:r>
      <w:r>
        <w:rPr>
          <w:spacing w:val="-2"/>
        </w:rPr>
        <w:t> </w:t>
      </w:r>
      <w:r>
        <w:rPr/>
        <w:t>hectáreas</w:t>
      </w:r>
      <w:r>
        <w:rPr>
          <w:spacing w:val="-3"/>
        </w:rPr>
        <w:t> </w:t>
      </w:r>
      <w:r>
        <w:rPr/>
        <w:t>de</w:t>
      </w:r>
      <w:r>
        <w:rPr>
          <w:spacing w:val="-2"/>
        </w:rPr>
        <w:t> </w:t>
      </w:r>
      <w:r>
        <w:rPr/>
        <w:t>pastizal</w:t>
      </w:r>
      <w:r>
        <w:rPr>
          <w:spacing w:val="-2"/>
        </w:rPr>
        <w:t> </w:t>
      </w:r>
      <w:r>
        <w:rPr/>
        <w:t>natural</w:t>
      </w:r>
      <w:r>
        <w:rPr>
          <w:spacing w:val="-4"/>
        </w:rPr>
        <w:t> </w:t>
      </w:r>
      <w:r>
        <w:rPr/>
        <w:t>y</w:t>
      </w:r>
      <w:r>
        <w:rPr>
          <w:spacing w:val="-7"/>
        </w:rPr>
        <w:t> </w:t>
      </w:r>
      <w:r>
        <w:rPr/>
        <w:t>los</w:t>
      </w:r>
      <w:r>
        <w:rPr>
          <w:spacing w:val="3"/>
        </w:rPr>
        <w:t> </w:t>
      </w:r>
      <w:r>
        <w:rPr/>
        <w:t>gastos</w:t>
      </w:r>
      <w:r>
        <w:rPr>
          <w:spacing w:val="-3"/>
        </w:rPr>
        <w:t> </w:t>
      </w:r>
      <w:r>
        <w:rPr/>
        <w:t>de</w:t>
      </w:r>
      <w:r>
        <w:rPr>
          <w:spacing w:val="-2"/>
        </w:rPr>
        <w:t> </w:t>
      </w:r>
      <w:r>
        <w:rPr/>
        <w:t>alimentación,</w:t>
      </w:r>
      <w:r>
        <w:rPr>
          <w:spacing w:val="-2"/>
        </w:rPr>
        <w:t> </w:t>
      </w:r>
      <w:r>
        <w:rPr/>
        <w:t>sin</w:t>
      </w:r>
      <w:r>
        <w:rPr>
          <w:spacing w:val="-5"/>
        </w:rPr>
        <w:t> </w:t>
      </w:r>
      <w:r>
        <w:rPr/>
        <w:t>embargo</w:t>
      </w:r>
      <w:r>
        <w:rPr>
          <w:spacing w:val="-2"/>
        </w:rPr>
        <w:t> </w:t>
      </w:r>
      <w:r>
        <w:rPr/>
        <w:t>si</w:t>
      </w:r>
      <w:r>
        <w:rPr>
          <w:spacing w:val="-2"/>
        </w:rPr>
        <w:t> </w:t>
      </w:r>
      <w:r>
        <w:rPr/>
        <w:t>se</w:t>
      </w:r>
      <w:r>
        <w:rPr>
          <w:spacing w:val="-4"/>
        </w:rPr>
        <w:t> </w:t>
      </w:r>
      <w:r>
        <w:rPr/>
        <w:t>debe</w:t>
      </w:r>
      <w:r>
        <w:rPr>
          <w:spacing w:val="-4"/>
        </w:rPr>
        <w:t> </w:t>
      </w:r>
      <w:r>
        <w:rPr/>
        <w:t>aumentar</w:t>
      </w:r>
      <w:r>
        <w:rPr>
          <w:spacing w:val="-5"/>
        </w:rPr>
        <w:t> </w:t>
      </w:r>
      <w:r>
        <w:rPr/>
        <w:t>el número de animales en</w:t>
      </w:r>
      <w:r>
        <w:rPr>
          <w:spacing w:val="-11"/>
        </w:rPr>
        <w:t> </w:t>
      </w:r>
      <w:r>
        <w:rPr/>
        <w:t>producción.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4"/>
        </w:rPr>
      </w:pPr>
      <w:r>
        <w:rPr/>
        <w:pict>
          <v:line style="position:absolute;mso-position-horizontal-relative:page;mso-position-vertical-relative:paragraph;z-index:4312;mso-wrap-distance-left:0;mso-wrap-distance-right:0" from="85.103996pt,16.30854pt" to="525.960017pt,16.30854pt" stroked="true" strokeweight=".36pt" strokecolor="#000000">
            <w10:wrap type="topAndBottom"/>
          </v:line>
        </w:pict>
      </w:r>
    </w:p>
    <w:p>
      <w:pPr>
        <w:spacing w:after="0"/>
        <w:rPr>
          <w:sz w:val="24"/>
        </w:rPr>
        <w:sectPr>
          <w:footerReference w:type="default" r:id="rId156"/>
          <w:pgSz w:w="12240" w:h="15840"/>
          <w:pgMar w:footer="1887" w:header="1434" w:top="1740" w:bottom="2080" w:left="1580" w:right="1580"/>
        </w:sectPr>
      </w:pPr>
    </w:p>
    <w:p>
      <w:pPr>
        <w:pStyle w:val="BodyText"/>
        <w:rPr>
          <w:sz w:val="20"/>
        </w:rPr>
      </w:pPr>
      <w:r>
        <w:rPr/>
        <w:pict>
          <v:shape style="position:absolute;margin-left:85.050003pt;margin-top:99.400002pt;width:434.5pt;height:559.75pt;mso-position-horizontal-relative:page;mso-position-vertical-relative:page;z-index:-128176" coordorigin="1701,1988" coordsize="8690,11195" path="m1701,3436l1703,3359,1709,3284,1719,3209,1732,3135,1750,3063,1770,2993,1794,2923,1822,2856,1853,2790,1887,2726,1924,2664,1964,2604,2006,2547,2052,2491,2100,2438,2151,2387,2204,2339,2260,2293,2317,2251,2377,2211,2439,2174,2503,2140,2569,2109,2636,2081,2706,2057,2776,2037,2848,2019,2922,2006,2997,1996,3072,1990,3149,1988,8943,1988,9020,1990,9095,1996,9170,2006,9244,2019,9316,2037,9386,2057,9456,2081,9523,2109,9589,2140,9653,2174,9715,2211,9775,2251,9832,2293,9888,2339,9941,2387,9992,2438,10040,2491,10086,2547,10128,2604,10168,2664,10205,2726,10239,2790,10270,2856,10298,2923,10322,2993,10342,3063,10360,3135,10373,3209,10383,3284,10389,3359,10391,3436,10391,11735,10389,11812,10383,11887,10373,11962,10360,12036,10342,12108,10322,12178,10298,12248,10270,12315,10239,12381,10205,12445,10168,12507,10128,12567,10086,12624,10040,12680,9992,12733,9941,12784,9888,12832,9832,12878,9775,12920,9715,12960,9653,12997,9589,13031,9523,13062,9456,13090,9386,13114,9316,13134,9244,13152,9170,13165,9095,13175,9020,13181,8943,13183,3149,13183,3072,13181,2997,13175,2922,13165,2848,13152,2776,13134,2706,13114,2636,13090,2569,13062,2503,13031,2439,12997,2377,12960,2317,12920,2260,12878,2204,12832,2151,12784,2100,12733,2052,12680,2006,12624,1964,12567,1924,12507,1887,12445,1853,12381,1822,12315,1794,12248,1770,12178,1750,12108,1732,12036,1719,11962,1709,11887,1703,11812,1701,11735,1701,3436xe" filled="false" stroked="true" strokeweight="1pt" strokecolor="#000000">
            <v:path arrowok="t"/>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numPr>
          <w:ilvl w:val="1"/>
          <w:numId w:val="8"/>
        </w:numPr>
        <w:tabs>
          <w:tab w:pos="2398" w:val="left" w:leader="none"/>
        </w:tabs>
        <w:spacing w:line="360" w:lineRule="auto" w:before="127" w:after="0"/>
        <w:ind w:left="1377" w:right="1357" w:firstLine="139"/>
        <w:jc w:val="left"/>
      </w:pPr>
      <w:bookmarkStart w:name="_TOC_250000" w:id="11"/>
      <w:bookmarkEnd w:id="11"/>
      <w:r>
        <w:rPr/>
        <w:t>REFERENCIAS BIBLIOGRÁFICAS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18"/>
        </w:rPr>
      </w:pPr>
      <w:r>
        <w:rPr/>
        <w:pict>
          <v:line style="position:absolute;mso-position-horizontal-relative:page;mso-position-vertical-relative:paragraph;z-index:4336;mso-wrap-distance-left:0;mso-wrap-distance-right:0" from="85.103996pt,12.573814pt" to="521.406017pt,12.573814pt" stroked="true" strokeweight=".36pt" strokecolor="#000000">
            <w10:wrap type="topAndBottom"/>
          </v:line>
        </w:pict>
      </w:r>
    </w:p>
    <w:p>
      <w:pPr>
        <w:spacing w:after="0"/>
        <w:rPr>
          <w:sz w:val="18"/>
        </w:rPr>
        <w:sectPr>
          <w:footerReference w:type="default" r:id="rId157"/>
          <w:pgSz w:w="12240" w:h="15840"/>
          <w:pgMar w:footer="1712" w:header="1434" w:top="1740" w:bottom="1900" w:left="1580" w:right="1600"/>
          <w:pgNumType w:start="68"/>
        </w:sectPr>
      </w:pPr>
    </w:p>
    <w:p>
      <w:pPr>
        <w:pStyle w:val="BodyText"/>
        <w:spacing w:before="5"/>
        <w:rPr>
          <w:b/>
          <w:sz w:val="10"/>
        </w:rPr>
      </w:pPr>
    </w:p>
    <w:p>
      <w:pPr>
        <w:pStyle w:val="BodyText"/>
        <w:spacing w:line="20" w:lineRule="exact"/>
        <w:ind w:left="303"/>
        <w:rPr>
          <w:sz w:val="2"/>
        </w:rPr>
      </w:pPr>
      <w:r>
        <w:rPr>
          <w:sz w:val="2"/>
        </w:rPr>
        <w:pict>
          <v:group style="width:422.2pt;height:.5pt;mso-position-horizontal-relative:char;mso-position-vertical-relative:line" coordorigin="0,0" coordsize="8444,10">
            <v:line style="position:absolute" from="5,5" to="8439,5" stroked="true" strokeweight=".5pt" strokecolor="#000000"/>
          </v:group>
        </w:pict>
      </w:r>
      <w:r>
        <w:rPr>
          <w:sz w:val="2"/>
        </w:rPr>
      </w:r>
    </w:p>
    <w:p>
      <w:pPr>
        <w:pStyle w:val="BodyText"/>
        <w:rPr>
          <w:b/>
          <w:sz w:val="20"/>
        </w:rPr>
      </w:pPr>
    </w:p>
    <w:p>
      <w:pPr>
        <w:pStyle w:val="BodyText"/>
        <w:rPr>
          <w:b/>
          <w:sz w:val="19"/>
        </w:rPr>
      </w:pPr>
    </w:p>
    <w:p>
      <w:pPr>
        <w:pStyle w:val="BodyText"/>
        <w:spacing w:line="360" w:lineRule="auto" w:before="71"/>
        <w:ind w:left="1115" w:right="119" w:hanging="711"/>
        <w:jc w:val="both"/>
      </w:pPr>
      <w:r>
        <w:rPr/>
        <w:t>Alvarez FFJ. Sistemas de producción bovina de doble propósito en el trópico mexicano. En: Centro Internacional de Agricultura Tropical, Instituto Colombiano Agropecuario (editores) Panorama de la ganadería de doble propósito en la América Tropical. Bogotá, Colombia. 1986:45-58.</w:t>
      </w:r>
    </w:p>
    <w:p>
      <w:pPr>
        <w:pStyle w:val="BodyText"/>
        <w:spacing w:line="360" w:lineRule="auto" w:before="4"/>
        <w:ind w:left="1115" w:right="120" w:hanging="711"/>
        <w:jc w:val="both"/>
      </w:pPr>
      <w:r>
        <w:rPr/>
        <w:t>Anido, R., José, D., Díaz, C., Zirlis, M., et al. 1996. Análisis empírico de la producción de maíz en el estado Barinas, Venezuela.</w:t>
      </w:r>
    </w:p>
    <w:p>
      <w:pPr>
        <w:pStyle w:val="BodyText"/>
        <w:spacing w:line="360" w:lineRule="auto" w:before="6"/>
        <w:ind w:left="1115" w:right="126" w:hanging="711"/>
        <w:jc w:val="both"/>
      </w:pPr>
      <w:r>
        <w:rPr/>
        <w:t>Aguirre VL, Venezian E. Estimación de funciones de producción para la zona rural vecina a Chapingo. Agrociencia 1975; 20:13-19.</w:t>
      </w:r>
    </w:p>
    <w:p>
      <w:pPr>
        <w:pStyle w:val="BodyText"/>
        <w:spacing w:before="4"/>
        <w:ind w:left="405"/>
      </w:pPr>
      <w:r>
        <w:rPr/>
        <w:t>Bichara,</w:t>
      </w:r>
      <w:r>
        <w:rPr>
          <w:spacing w:val="-16"/>
        </w:rPr>
        <w:t> </w:t>
      </w:r>
      <w:r>
        <w:rPr/>
        <w:t>E.</w:t>
      </w:r>
      <w:r>
        <w:rPr>
          <w:spacing w:val="-13"/>
        </w:rPr>
        <w:t> </w:t>
      </w:r>
      <w:r>
        <w:rPr/>
        <w:t>y</w:t>
      </w:r>
      <w:r>
        <w:rPr>
          <w:spacing w:val="-18"/>
        </w:rPr>
        <w:t> </w:t>
      </w:r>
      <w:r>
        <w:rPr/>
        <w:t>Garza,</w:t>
      </w:r>
      <w:r>
        <w:rPr>
          <w:spacing w:val="-13"/>
        </w:rPr>
        <w:t> </w:t>
      </w:r>
      <w:r>
        <w:rPr/>
        <w:t>M.</w:t>
      </w:r>
      <w:r>
        <w:rPr>
          <w:spacing w:val="-13"/>
        </w:rPr>
        <w:t> </w:t>
      </w:r>
      <w:r>
        <w:rPr/>
        <w:t>1990.</w:t>
      </w:r>
      <w:r>
        <w:rPr>
          <w:spacing w:val="-13"/>
        </w:rPr>
        <w:t> </w:t>
      </w:r>
      <w:r>
        <w:rPr/>
        <w:t>Consideraciones</w:t>
      </w:r>
      <w:r>
        <w:rPr>
          <w:spacing w:val="-14"/>
        </w:rPr>
        <w:t> </w:t>
      </w:r>
      <w:r>
        <w:rPr/>
        <w:t>sobre</w:t>
      </w:r>
      <w:r>
        <w:rPr>
          <w:spacing w:val="-15"/>
        </w:rPr>
        <w:t> </w:t>
      </w:r>
      <w:r>
        <w:rPr/>
        <w:t>la</w:t>
      </w:r>
      <w:r>
        <w:rPr>
          <w:spacing w:val="-13"/>
        </w:rPr>
        <w:t> </w:t>
      </w:r>
      <w:r>
        <w:rPr/>
        <w:t>función</w:t>
      </w:r>
      <w:r>
        <w:rPr>
          <w:spacing w:val="-13"/>
        </w:rPr>
        <w:t> </w:t>
      </w:r>
      <w:r>
        <w:rPr/>
        <w:t>de</w:t>
      </w:r>
      <w:r>
        <w:rPr>
          <w:spacing w:val="-13"/>
        </w:rPr>
        <w:t> </w:t>
      </w:r>
      <w:r>
        <w:rPr/>
        <w:t>producción</w:t>
      </w:r>
      <w:r>
        <w:rPr>
          <w:spacing w:val="-13"/>
        </w:rPr>
        <w:t> </w:t>
      </w:r>
      <w:r>
        <w:rPr/>
        <w:t>Cobb-Douglas.</w:t>
      </w:r>
    </w:p>
    <w:p>
      <w:pPr>
        <w:pStyle w:val="BodyText"/>
        <w:spacing w:before="131"/>
        <w:ind w:left="1115"/>
      </w:pPr>
      <w:r>
        <w:rPr/>
        <w:t>Tesis de Licenciatura. Universidad Autónoma de Nuevo León, 35 pp.</w:t>
      </w:r>
    </w:p>
    <w:p>
      <w:pPr>
        <w:pStyle w:val="BodyText"/>
        <w:spacing w:line="360" w:lineRule="auto" w:before="134"/>
        <w:ind w:left="1115" w:right="126" w:hanging="711"/>
        <w:jc w:val="both"/>
      </w:pPr>
      <w:r>
        <w:rPr/>
        <w:t>Castellanos, P. M. 2004. Región confidencial para el óptimo económico de una función de producción Cobb-Douglas. Tesis de Maestría. Colegio de Postgraduados. 72 pp.</w:t>
      </w:r>
    </w:p>
    <w:p>
      <w:pPr>
        <w:pStyle w:val="BodyText"/>
        <w:spacing w:line="362" w:lineRule="auto" w:before="4"/>
        <w:ind w:left="405" w:right="613"/>
      </w:pPr>
      <w:r>
        <w:rPr/>
        <w:t>Cobb, C.W. and Douglas, P.H. (1928). “A Theory of Production,” American Economic Review, 18, pp. 139–65.</w:t>
      </w:r>
    </w:p>
    <w:p>
      <w:pPr>
        <w:pStyle w:val="BodyText"/>
        <w:spacing w:before="1"/>
        <w:ind w:left="405"/>
      </w:pPr>
      <w:r>
        <w:rPr/>
        <w:t>Debertin,   David   L.,   "Agricultural   Production   Economics".   University   of  Kentucky.</w:t>
      </w:r>
    </w:p>
    <w:p>
      <w:pPr>
        <w:pStyle w:val="BodyText"/>
        <w:spacing w:before="132"/>
        <w:ind w:left="1115"/>
      </w:pPr>
      <w:r>
        <w:rPr/>
        <w:t>Macmillan Publishing Company. New York. 1986.</w:t>
      </w:r>
    </w:p>
    <w:p>
      <w:pPr>
        <w:pStyle w:val="BodyText"/>
        <w:spacing w:before="134"/>
        <w:ind w:left="405"/>
      </w:pPr>
      <w:r>
        <w:rPr/>
        <w:t>Gujarati, D. 2009. Econometría. Quinta edición. México. Mc Graw-Hill.</w:t>
      </w:r>
    </w:p>
    <w:p>
      <w:pPr>
        <w:pStyle w:val="BodyText"/>
        <w:spacing w:line="360" w:lineRule="auto" w:before="131"/>
        <w:ind w:left="1115" w:right="115" w:hanging="711"/>
        <w:jc w:val="both"/>
      </w:pPr>
      <w:r>
        <w:rPr/>
        <w:t>Magaña-Monforte JG, Ríos-Arjona G y Martínez-González JC 2006: Los sistemas de doble propósito y los desafíos en los climas tropicales de México. Arch. Latinoam. Prod. Anim. 14(3):105-114.</w:t>
      </w:r>
    </w:p>
    <w:p>
      <w:pPr>
        <w:pStyle w:val="BodyText"/>
        <w:spacing w:before="6"/>
        <w:ind w:left="405"/>
      </w:pPr>
      <w:r>
        <w:rPr/>
        <w:t>Mankiw, N. G. 2004. Macroeconomía. Cuarta edición.</w:t>
      </w:r>
    </w:p>
    <w:p>
      <w:pPr>
        <w:pStyle w:val="BodyText"/>
        <w:spacing w:before="131"/>
        <w:ind w:left="405"/>
      </w:pPr>
      <w:r>
        <w:rPr/>
        <w:t>Pindyck, R. 2009. Microeconomía. Séptima edición. Madrid. Pearson Prentice Hall.</w:t>
      </w:r>
    </w:p>
    <w:p>
      <w:pPr>
        <w:pStyle w:val="BodyText"/>
        <w:spacing w:line="360" w:lineRule="auto" w:before="131"/>
        <w:ind w:left="1115" w:right="116" w:hanging="711"/>
        <w:jc w:val="both"/>
      </w:pPr>
      <w:r>
        <w:rPr/>
        <w:t>Pech M, Víctor; Santos F, J, Rubén M, Pérez. 2002. Función de Producción de la Ganadería de doble propósito de la zona oriente del estado de Yucatán, México. Técnica Pecuaria.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2"/>
        </w:rPr>
      </w:pPr>
      <w:r>
        <w:rPr/>
        <w:pict>
          <v:line style="position:absolute;mso-position-horizontal-relative:page;mso-position-vertical-relative:paragraph;z-index:4408;mso-wrap-distance-left:0;mso-wrap-distance-right:0" from="85.103996pt,15.093658pt" to="521.406017pt,15.093658pt" stroked="true" strokeweight=".36pt" strokecolor="#000000">
            <w10:wrap type="topAndBottom"/>
          </v:line>
        </w:pict>
      </w:r>
    </w:p>
    <w:p>
      <w:pPr>
        <w:spacing w:after="0"/>
        <w:rPr>
          <w:sz w:val="22"/>
        </w:rPr>
        <w:sectPr>
          <w:headerReference w:type="default" r:id="rId158"/>
          <w:pgSz w:w="12240" w:h="15840"/>
          <w:pgMar w:header="1414" w:footer="1712" w:top="1600" w:bottom="2060" w:left="1580" w:right="1580"/>
        </w:sectPr>
      </w:pPr>
    </w:p>
    <w:p>
      <w:pPr>
        <w:pStyle w:val="BodyText"/>
        <w:spacing w:before="4"/>
        <w:rPr>
          <w:sz w:val="10"/>
        </w:rPr>
      </w:pPr>
    </w:p>
    <w:p>
      <w:pPr>
        <w:pStyle w:val="BodyText"/>
        <w:spacing w:line="20" w:lineRule="exact"/>
        <w:ind w:left="303"/>
        <w:rPr>
          <w:sz w:val="2"/>
        </w:rPr>
      </w:pPr>
      <w:r>
        <w:rPr>
          <w:sz w:val="2"/>
        </w:rPr>
        <w:pict>
          <v:group style="width:422.2pt;height:.5pt;mso-position-horizontal-relative:char;mso-position-vertical-relative:line" coordorigin="0,0" coordsize="8444,10">
            <v:line style="position:absolute" from="5,5" to="8439,5" stroked="true" strokeweight=".5pt" strokecolor="#000000"/>
          </v:group>
        </w:pict>
      </w:r>
      <w:r>
        <w:rPr>
          <w:sz w:val="2"/>
        </w:rPr>
      </w:r>
    </w:p>
    <w:p>
      <w:pPr>
        <w:pStyle w:val="BodyText"/>
        <w:rPr>
          <w:sz w:val="20"/>
        </w:rPr>
      </w:pPr>
    </w:p>
    <w:p>
      <w:pPr>
        <w:pStyle w:val="BodyText"/>
        <w:rPr>
          <w:sz w:val="20"/>
        </w:rPr>
      </w:pPr>
    </w:p>
    <w:p>
      <w:pPr>
        <w:pStyle w:val="BodyText"/>
        <w:rPr>
          <w:sz w:val="20"/>
        </w:rPr>
      </w:pPr>
    </w:p>
    <w:p>
      <w:pPr>
        <w:pStyle w:val="BodyText"/>
        <w:spacing w:before="8"/>
        <w:rPr>
          <w:sz w:val="19"/>
        </w:rPr>
      </w:pPr>
    </w:p>
    <w:p>
      <w:pPr>
        <w:pStyle w:val="BodyText"/>
        <w:spacing w:line="360" w:lineRule="auto"/>
        <w:ind w:left="1115" w:right="124" w:hanging="711"/>
        <w:jc w:val="both"/>
      </w:pPr>
      <w:r>
        <w:rPr/>
        <w:t>Rebollar, R. A., Hernández, M.J., Rebollar, R.S. 2011. Competitividad y Rentabilidad de Bovinos en Corral en el Sur del Estado de México. Tropical and Subtropical Agroecosystems.</w:t>
      </w:r>
    </w:p>
    <w:p>
      <w:pPr>
        <w:pStyle w:val="BodyText"/>
        <w:spacing w:line="360" w:lineRule="auto" w:before="6"/>
        <w:ind w:left="1115" w:right="115" w:hanging="711"/>
        <w:jc w:val="both"/>
      </w:pPr>
      <w:r>
        <w:rPr/>
        <w:t>Romo, L. J. L. 1990. Estudio sobre asignación optima de recursos en los viveros forestales del estado de México. Tesis de Maestría. Universidad Autónoma Chapingo. 73 pp.</w:t>
      </w:r>
    </w:p>
    <w:p>
      <w:pPr>
        <w:pStyle w:val="BodyText"/>
        <w:spacing w:line="360" w:lineRule="auto" w:before="4"/>
        <w:ind w:left="1115" w:right="116" w:hanging="711"/>
        <w:jc w:val="both"/>
      </w:pPr>
      <w:r>
        <w:rPr/>
        <w:t>Rodríguez-Chessani, M A y M Sordo 1995: Comportamiento productivo de becerros de doble propósito (nacimiento-destete) bajo condiciones tropicales. In: Memorias de la Reunión Nacional de Investigación Pecuaria. México.</w:t>
      </w:r>
    </w:p>
    <w:p>
      <w:pPr>
        <w:pStyle w:val="BodyText"/>
        <w:spacing w:line="360" w:lineRule="auto" w:before="4"/>
        <w:ind w:left="1115" w:right="118" w:hanging="711"/>
        <w:jc w:val="both"/>
      </w:pPr>
      <w:r>
        <w:rPr/>
        <w:t>Ruíz, A. L. 1997. Estimación de una función producción Cobb-Douglas para la Economía de Puerto Rico.</w:t>
      </w:r>
    </w:p>
    <w:p>
      <w:pPr>
        <w:pStyle w:val="BodyText"/>
        <w:spacing w:before="6"/>
        <w:ind w:left="405"/>
      </w:pPr>
      <w:r>
        <w:rPr/>
        <w:t>Sala, M. X. 2000. Apuntes de Crecimiento Económico. Segunda edición.</w:t>
      </w:r>
    </w:p>
    <w:p>
      <w:pPr>
        <w:pStyle w:val="BodyText"/>
        <w:spacing w:line="360" w:lineRule="auto" w:before="131"/>
        <w:ind w:left="1115" w:right="125" w:hanging="711"/>
        <w:jc w:val="both"/>
      </w:pPr>
      <w:r>
        <w:rPr/>
        <w:t>Secretaría de Agricultura, Ganadería, Desarrollo Rural, Pesca y Alimentación. SAGARPA. 2014. Situación Actual y Perspectivas de la Producción de Carne de Bovino en México. Coordinación General de Ganadería. México, D.F.</w:t>
      </w:r>
    </w:p>
    <w:p>
      <w:pPr>
        <w:pStyle w:val="BodyText"/>
        <w:spacing w:line="360" w:lineRule="auto" w:before="4"/>
        <w:ind w:left="1115" w:right="119" w:hanging="711"/>
        <w:jc w:val="both"/>
      </w:pPr>
      <w:r>
        <w:rPr/>
        <w:t>SE (Secretaría de Economía). (2012). Análisis del sector lácteo en México. Boletín informativo. Disponible: </w:t>
      </w:r>
      <w:hyperlink r:id="rId161">
        <w:r>
          <w:rPr/>
          <w:t>www.economia.gob.mx/.../analisis_sector_lacteo.pdf</w:t>
        </w:r>
      </w:hyperlink>
    </w:p>
    <w:p>
      <w:pPr>
        <w:pStyle w:val="BodyText"/>
        <w:spacing w:line="360" w:lineRule="auto" w:before="6"/>
        <w:ind w:left="1115" w:right="112" w:hanging="711"/>
        <w:jc w:val="both"/>
      </w:pPr>
      <w:r>
        <w:rPr/>
        <w:t>SIAP (Sistema de Información y Estadística y Agropecuaria y Pesquera). (2016). Índice de volumen físico tradicional y desestacionalizado. Boletín informativo No. 25. Disponible en: </w:t>
      </w:r>
      <w:hyperlink r:id="rId162">
        <w:r>
          <w:rPr/>
          <w:t>http://www.siap.gob.mx/ivf-correspondiente-al-mes-de-marzo-</w:t>
        </w:r>
      </w:hyperlink>
      <w:r>
        <w:rPr/>
        <w:t> 2016%E2%80%B3/</w:t>
      </w:r>
    </w:p>
    <w:p>
      <w:pPr>
        <w:pStyle w:val="BodyText"/>
        <w:spacing w:line="360" w:lineRule="auto" w:before="6"/>
        <w:ind w:left="1115" w:right="123"/>
      </w:pPr>
      <w:r>
        <w:rPr/>
        <w:t>Sanchoa, A. 2005. Econometría de económicas, Función de producción Cobb- Douglas</w:t>
      </w:r>
    </w:p>
    <w:p>
      <w:pPr>
        <w:pStyle w:val="BodyText"/>
        <w:spacing w:line="362" w:lineRule="auto" w:before="4"/>
        <w:ind w:left="1115" w:right="118" w:hanging="711"/>
        <w:jc w:val="both"/>
      </w:pPr>
      <w:r>
        <w:rPr/>
        <w:t>SAS. 2008. Paquete estadístico utilizado para el análisis de datos y la obtención de los resultados.</w:t>
      </w:r>
    </w:p>
    <w:p>
      <w:pPr>
        <w:pStyle w:val="BodyText"/>
        <w:spacing w:before="1"/>
        <w:ind w:left="405"/>
      </w:pPr>
      <w:r>
        <w:rPr/>
        <w:t>Cochran, W. G. 1985. Técnicas de Muestreo. Ed. C. E. C. S. A. México, D. F.</w:t>
      </w:r>
    </w:p>
    <w:p>
      <w:pPr>
        <w:pStyle w:val="BodyText"/>
        <w:rPr>
          <w:sz w:val="20"/>
        </w:rPr>
      </w:pPr>
    </w:p>
    <w:p>
      <w:pPr>
        <w:pStyle w:val="BodyText"/>
        <w:rPr>
          <w:sz w:val="20"/>
        </w:rPr>
      </w:pPr>
    </w:p>
    <w:p>
      <w:pPr>
        <w:pStyle w:val="BodyText"/>
        <w:spacing w:before="1"/>
        <w:rPr>
          <w:sz w:val="20"/>
        </w:rPr>
      </w:pPr>
      <w:r>
        <w:rPr/>
        <w:pict>
          <v:line style="position:absolute;mso-position-horizontal-relative:page;mso-position-vertical-relative:paragraph;z-index:4456;mso-wrap-distance-left:0;mso-wrap-distance-right:0" from="85.103996pt,13.718399pt" to="521.406017pt,13.718399pt" stroked="true" strokeweight=".36pt" strokecolor="#000000">
            <w10:wrap type="topAndBottom"/>
          </v:line>
        </w:pict>
      </w:r>
    </w:p>
    <w:p>
      <w:pPr>
        <w:spacing w:after="0"/>
        <w:rPr>
          <w:sz w:val="20"/>
        </w:rPr>
        <w:sectPr>
          <w:headerReference w:type="default" r:id="rId159"/>
          <w:footerReference w:type="default" r:id="rId160"/>
          <w:pgSz w:w="12240" w:h="15840"/>
          <w:pgMar w:header="2036" w:footer="1697" w:top="2220" w:bottom="1880" w:left="1580" w:right="1580"/>
        </w:sectPr>
      </w:pPr>
    </w:p>
    <w:p>
      <w:pPr>
        <w:pStyle w:val="BodyText"/>
        <w:spacing w:before="5"/>
        <w:rPr>
          <w:sz w:val="10"/>
        </w:rPr>
      </w:pPr>
    </w:p>
    <w:p>
      <w:pPr>
        <w:pStyle w:val="BodyText"/>
        <w:spacing w:line="20" w:lineRule="exact"/>
        <w:ind w:left="303"/>
        <w:rPr>
          <w:sz w:val="2"/>
        </w:rPr>
      </w:pPr>
      <w:r>
        <w:rPr>
          <w:sz w:val="2"/>
        </w:rPr>
        <w:pict>
          <v:group style="width:422.2pt;height:.5pt;mso-position-horizontal-relative:char;mso-position-vertical-relative:line" coordorigin="0,0" coordsize="8444,10">
            <v:line style="position:absolute" from="5,5" to="8439,5" stroked="true" strokeweight=".5pt" strokecolor="#000000"/>
          </v:group>
        </w:pict>
      </w:r>
      <w:r>
        <w:rPr>
          <w:sz w:val="2"/>
        </w:rPr>
      </w:r>
    </w:p>
    <w:p>
      <w:pPr>
        <w:pStyle w:val="BodyText"/>
        <w:rPr>
          <w:sz w:val="20"/>
        </w:rPr>
      </w:pPr>
    </w:p>
    <w:p>
      <w:pPr>
        <w:pStyle w:val="BodyText"/>
        <w:rPr>
          <w:sz w:val="20"/>
        </w:rPr>
      </w:pPr>
    </w:p>
    <w:p>
      <w:pPr>
        <w:pStyle w:val="BodyText"/>
        <w:rPr>
          <w:sz w:val="20"/>
        </w:rPr>
      </w:pPr>
    </w:p>
    <w:p>
      <w:pPr>
        <w:pStyle w:val="BodyText"/>
        <w:spacing w:before="7"/>
        <w:rPr>
          <w:sz w:val="19"/>
        </w:rPr>
      </w:pPr>
    </w:p>
    <w:p>
      <w:pPr>
        <w:pStyle w:val="BodyText"/>
        <w:tabs>
          <w:tab w:pos="3300" w:val="left" w:leader="none"/>
          <w:tab w:pos="4574" w:val="left" w:leader="none"/>
          <w:tab w:pos="5519" w:val="left" w:leader="none"/>
          <w:tab w:pos="6939" w:val="left" w:leader="none"/>
          <w:tab w:pos="8674" w:val="left" w:leader="none"/>
        </w:tabs>
        <w:spacing w:line="360" w:lineRule="auto"/>
        <w:ind w:left="1115" w:right="121" w:hanging="711"/>
        <w:jc w:val="both"/>
      </w:pPr>
      <w:r>
        <w:rPr/>
        <w:t>FIRA (Fideicomisos Instituidos en Relación con la Agricultura). (2015). Panorama agroalimentario</w:t>
        <w:tab/>
        <w:t>Carne</w:t>
        <w:tab/>
        <w:t>de</w:t>
        <w:tab/>
        <w:t>bovino.</w:t>
        <w:tab/>
        <w:t>Disponible</w:t>
        <w:tab/>
        <w:t>en: https://</w:t>
      </w:r>
      <w:hyperlink r:id="rId165">
        <w:r>
          <w:rPr/>
          <w:t>www.gob.mx/cms/uploads/attachment/file/61948/Panorama_Agroalimentario</w:t>
        </w:r>
      </w:hyperlink>
    </w:p>
    <w:p>
      <w:pPr>
        <w:pStyle w:val="BodyText"/>
        <w:spacing w:before="4"/>
        <w:ind w:left="1115"/>
      </w:pPr>
      <w:r>
        <w:rPr/>
        <w:t>_Carne_de_Bovino_2015.</w:t>
      </w:r>
    </w:p>
    <w:p>
      <w:pPr>
        <w:pStyle w:val="BodyText"/>
        <w:rPr>
          <w:sz w:val="22"/>
        </w:rPr>
      </w:pPr>
    </w:p>
    <w:p>
      <w:pPr>
        <w:pStyle w:val="BodyText"/>
        <w:rPr>
          <w:sz w:val="24"/>
        </w:rPr>
      </w:pPr>
    </w:p>
    <w:p>
      <w:pPr>
        <w:pStyle w:val="BodyText"/>
        <w:spacing w:before="1"/>
        <w:ind w:left="405"/>
      </w:pPr>
      <w:r>
        <w:rPr/>
        <w:t>LACTODATA. (2015). Información del sector lechero. Boletín informativo, febrero  </w:t>
      </w:r>
      <w:r>
        <w:rPr>
          <w:spacing w:val="56"/>
        </w:rPr>
        <w:t> </w:t>
      </w:r>
      <w:r>
        <w:rPr/>
        <w:t>2015.</w:t>
      </w:r>
    </w:p>
    <w:p>
      <w:pPr>
        <w:pStyle w:val="BodyText"/>
        <w:spacing w:before="132"/>
        <w:ind w:left="1115"/>
      </w:pPr>
      <w:r>
        <w:rPr/>
        <w:t>Disponible en </w:t>
      </w:r>
      <w:hyperlink r:id="rId166">
        <w:r>
          <w:rPr/>
          <w:t>http://lactodata.info/</w:t>
        </w:r>
      </w:hyperlink>
    </w:p>
    <w:p>
      <w:pPr>
        <w:pStyle w:val="BodyText"/>
        <w:spacing w:before="131"/>
        <w:ind w:left="405"/>
      </w:pPr>
      <w:r>
        <w:rPr/>
        <w:t>Velazco, G. C. 1988. Estimación jackknife de la producción de producción Cobb-Duglas.</w:t>
      </w:r>
    </w:p>
    <w:p>
      <w:pPr>
        <w:pStyle w:val="BodyText"/>
        <w:spacing w:before="131"/>
        <w:ind w:left="1115"/>
      </w:pPr>
      <w:r>
        <w:rPr/>
        <w:t>Tesis de Maestría. Colegio de postgraduados. 85 pp.</w:t>
      </w:r>
    </w:p>
    <w:p>
      <w:pPr>
        <w:pStyle w:val="BodyText"/>
        <w:spacing w:line="360" w:lineRule="auto" w:before="134"/>
        <w:ind w:left="1115" w:right="115" w:hanging="711"/>
        <w:jc w:val="both"/>
      </w:pPr>
      <w:r>
        <w:rPr/>
        <w:t>Pérez-Hernández P, Rojo-Rubio R, Alvarez-Avila C, García-Díaz JJ, López-Ortíz S, Villanueva-Jiménez JA, Chalatte- Molina H, Ortega-Jiménez E, Gallegos- Sánchez J 2004: Caracterización y problemática de la cadena bovinos de doble propósito en el Estado</w:t>
      </w:r>
      <w:r>
        <w:rPr>
          <w:spacing w:val="-13"/>
        </w:rPr>
        <w:t> </w:t>
      </w:r>
      <w:r>
        <w:rPr/>
        <w:t>de</w:t>
      </w:r>
      <w:r>
        <w:rPr>
          <w:spacing w:val="-12"/>
        </w:rPr>
        <w:t> </w:t>
      </w:r>
      <w:r>
        <w:rPr/>
        <w:t>Veracruz.</w:t>
      </w:r>
      <w:r>
        <w:rPr>
          <w:spacing w:val="-11"/>
        </w:rPr>
        <w:t> </w:t>
      </w:r>
      <w:r>
        <w:rPr/>
        <w:t>Colegio</w:t>
      </w:r>
      <w:r>
        <w:rPr>
          <w:spacing w:val="-11"/>
        </w:rPr>
        <w:t> </w:t>
      </w:r>
      <w:r>
        <w:rPr/>
        <w:t>de</w:t>
      </w:r>
      <w:r>
        <w:rPr>
          <w:spacing w:val="-12"/>
        </w:rPr>
        <w:t> </w:t>
      </w:r>
      <w:r>
        <w:rPr/>
        <w:t>Postgraduados.</w:t>
      </w:r>
      <w:r>
        <w:rPr>
          <w:spacing w:val="-13"/>
        </w:rPr>
        <w:t> </w:t>
      </w:r>
      <w:r>
        <w:rPr/>
        <w:t>Campus</w:t>
      </w:r>
      <w:r>
        <w:rPr>
          <w:spacing w:val="-11"/>
        </w:rPr>
        <w:t> </w:t>
      </w:r>
      <w:r>
        <w:rPr/>
        <w:t>Veracruz.</w:t>
      </w:r>
      <w:r>
        <w:rPr>
          <w:spacing w:val="-10"/>
        </w:rPr>
        <w:t> </w:t>
      </w:r>
      <w:r>
        <w:rPr/>
        <w:t>Veracruz,</w:t>
      </w:r>
      <w:r>
        <w:rPr>
          <w:spacing w:val="-13"/>
        </w:rPr>
        <w:t> </w:t>
      </w:r>
      <w:r>
        <w:rPr/>
        <w:t>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9"/>
        </w:rPr>
      </w:pPr>
      <w:r>
        <w:rPr/>
        <w:pict>
          <v:line style="position:absolute;mso-position-horizontal-relative:page;mso-position-vertical-relative:paragraph;z-index:4504;mso-wrap-distance-left:0;mso-wrap-distance-right:0" from="85.103996pt,13.241241pt" to="525.960017pt,13.241241pt" stroked="true" strokeweight=".36pt" strokecolor="#000000">
            <w10:wrap type="topAndBottom"/>
          </v:line>
        </w:pict>
      </w:r>
    </w:p>
    <w:p>
      <w:pPr>
        <w:tabs>
          <w:tab w:pos="4003" w:val="left" w:leader="none"/>
          <w:tab w:pos="8240" w:val="left" w:leader="none"/>
        </w:tabs>
        <w:spacing w:before="73"/>
        <w:ind w:left="122" w:right="0"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71</w:t>
      </w:r>
    </w:p>
    <w:p>
      <w:pPr>
        <w:spacing w:after="0"/>
        <w:jc w:val="left"/>
        <w:rPr>
          <w:sz w:val="18"/>
        </w:rPr>
        <w:sectPr>
          <w:headerReference w:type="default" r:id="rId163"/>
          <w:footerReference w:type="default" r:id="rId164"/>
          <w:pgSz w:w="12240" w:h="15840"/>
          <w:pgMar w:header="1414" w:footer="1510" w:top="1600" w:bottom="1700" w:left="1580" w:right="1580"/>
        </w:sectPr>
      </w:pPr>
    </w:p>
    <w:p>
      <w:pPr>
        <w:pStyle w:val="BodyText"/>
        <w:spacing w:line="20" w:lineRule="exact"/>
        <w:ind w:left="455"/>
        <w:rPr>
          <w:sz w:val="2"/>
        </w:rPr>
      </w:pPr>
      <w:r>
        <w:rPr/>
        <w:pict>
          <v:shape style="position:absolute;margin-left:90.699997pt;margin-top:106.550003pt;width:434.5pt;height:558.2pt;mso-position-horizontal-relative:page;mso-position-vertical-relative:page;z-index:-127984" coordorigin="1814,2131" coordsize="8690,11164" path="m1814,3579l1816,3502,1822,3427,1832,3352,1845,3278,1863,3206,1883,3136,1907,3066,1935,2999,1966,2933,2000,2869,2037,2807,2077,2747,2119,2690,2165,2634,2213,2581,2264,2530,2317,2482,2373,2436,2430,2394,2490,2354,2552,2317,2616,2283,2682,2252,2749,2224,2819,2200,2889,2180,2961,2162,3035,2149,3110,2139,3185,2133,3262,2131,9056,2131,9133,2133,9208,2139,9283,2149,9357,2162,9429,2180,9499,2200,9569,2224,9636,2252,9702,2283,9766,2317,9828,2354,9888,2394,9945,2436,10001,2482,10054,2530,10105,2581,10153,2634,10199,2690,10241,2747,10281,2807,10318,2869,10352,2933,10383,2999,10411,3066,10435,3136,10455,3206,10473,3278,10486,3352,10496,3427,10502,3502,10504,3579,10504,11847,10502,11924,10496,11999,10486,12074,10473,12148,10455,12220,10435,12290,10411,12360,10383,12427,10352,12493,10318,12557,10281,12619,10241,12679,10199,12736,10153,12792,10105,12845,10054,12896,10001,12944,9945,12990,9888,13032,9828,13072,9766,13109,9702,13143,9636,13174,9569,13202,9499,13226,9429,13246,9357,13264,9283,13277,9208,13287,9133,13293,9056,13295,3262,13295,3185,13293,3110,13287,3035,13277,2961,13264,2889,13246,2819,13226,2749,13202,2682,13174,2616,13143,2552,13109,2490,13072,2430,13032,2373,12990,2317,12944,2264,12896,2213,12845,2165,12792,2119,12736,2077,12679,2037,12619,2000,12557,1966,12493,1935,12427,1907,12360,1883,12290,1863,12220,1845,12148,1832,12074,1822,11999,1816,11924,1814,11847,1814,3579xe" filled="false" stroked="true" strokeweight="1pt" strokecolor="#000000">
            <v:path arrowok="t"/>
            <w10:wrap type="none"/>
          </v:shape>
        </w:pict>
      </w: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p>
    <w:p>
      <w:pPr>
        <w:pStyle w:val="Heading1"/>
        <w:numPr>
          <w:ilvl w:val="1"/>
          <w:numId w:val="8"/>
        </w:numPr>
        <w:tabs>
          <w:tab w:pos="3621" w:val="left" w:leader="none"/>
        </w:tabs>
        <w:spacing w:line="240" w:lineRule="auto" w:before="8" w:after="0"/>
        <w:ind w:left="3620" w:right="0" w:hanging="1160"/>
        <w:jc w:val="left"/>
      </w:pPr>
      <w:r>
        <w:rPr/>
        <w:t>ANEXOS</w:t>
      </w:r>
    </w:p>
    <w:p>
      <w:pPr>
        <w:spacing w:after="0" w:line="240" w:lineRule="auto"/>
        <w:jc w:val="left"/>
        <w:sectPr>
          <w:headerReference w:type="default" r:id="rId167"/>
          <w:footerReference w:type="default" r:id="rId168"/>
          <w:pgSz w:w="12240" w:h="15840"/>
          <w:pgMar w:header="0" w:footer="2140" w:top="1420" w:bottom="2320" w:left="1580" w:right="1600"/>
          <w:pgNumType w:start="72"/>
        </w:sectPr>
      </w:pPr>
    </w:p>
    <w:p>
      <w:pPr>
        <w:pStyle w:val="BodyText"/>
        <w:spacing w:before="7"/>
        <w:rPr>
          <w:b/>
          <w:sz w:val="10"/>
        </w:rPr>
      </w:pP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pStyle w:val="BodyText"/>
        <w:rPr>
          <w:b/>
          <w:sz w:val="20"/>
        </w:rPr>
      </w:pPr>
    </w:p>
    <w:p>
      <w:pPr>
        <w:pStyle w:val="BodyText"/>
        <w:spacing w:before="7"/>
        <w:rPr>
          <w:b/>
          <w:sz w:val="18"/>
        </w:rPr>
      </w:pPr>
    </w:p>
    <w:p>
      <w:pPr>
        <w:pStyle w:val="BodyText"/>
        <w:spacing w:line="360" w:lineRule="auto" w:before="71"/>
        <w:ind w:left="122" w:right="102"/>
        <w:jc w:val="center"/>
      </w:pPr>
      <w:r>
        <w:rPr/>
        <w:t>BOVINOS CARNE, 192 OBSERVACIONES AJUSTADAS, DE UN TOTAL DE 200, POR NORMALIDAD, CORRELACIÓN Y HOMOCEDASTICIDAD, PRODUCTO DE ENCUESTAS EN CAMPO</w:t>
      </w:r>
    </w:p>
    <w:p>
      <w:pPr>
        <w:pStyle w:val="BodyText"/>
        <w:spacing w:before="4"/>
        <w:ind w:left="122" w:right="64"/>
      </w:pPr>
      <w:r>
        <w:rPr/>
        <w:t>VARIABLES:</w:t>
      </w:r>
    </w:p>
    <w:p>
      <w:pPr>
        <w:pStyle w:val="BodyText"/>
        <w:spacing w:line="362" w:lineRule="auto" w:before="131"/>
        <w:ind w:left="122" w:right="4522"/>
      </w:pPr>
      <w:r>
        <w:rPr/>
        <w:t>X1=producción de carne (variable dependiente) X2= pasto natural</w:t>
      </w:r>
    </w:p>
    <w:p>
      <w:pPr>
        <w:pStyle w:val="BodyText"/>
        <w:spacing w:line="360" w:lineRule="auto" w:before="2"/>
        <w:ind w:left="122" w:right="6354"/>
      </w:pPr>
      <w:r>
        <w:rPr/>
        <w:t>X3= número de cabezas X4= gastos en alimentación</w:t>
      </w:r>
    </w:p>
    <w:p>
      <w:pPr>
        <w:pStyle w:val="BodyText"/>
        <w:rPr>
          <w:sz w:val="22"/>
        </w:rPr>
      </w:pPr>
    </w:p>
    <w:p>
      <w:pPr>
        <w:pStyle w:val="BodyText"/>
        <w:spacing w:before="149"/>
        <w:ind w:left="2321" w:right="64"/>
      </w:pPr>
      <w:r>
        <w:rPr/>
        <w:t>Cuadro 02. Resumen de procesamiento de casos</w:t>
      </w:r>
    </w:p>
    <w:p>
      <w:pPr>
        <w:pStyle w:val="BodyText"/>
        <w:spacing w:before="10" w:after="1"/>
        <w:rPr>
          <w:sz w:val="11"/>
        </w:rPr>
      </w:pPr>
    </w:p>
    <w:tbl>
      <w:tblPr>
        <w:tblW w:w="0" w:type="auto"/>
        <w:jc w:val="left"/>
        <w:tblInd w:w="832"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737"/>
        <w:gridCol w:w="1016"/>
        <w:gridCol w:w="1198"/>
        <w:gridCol w:w="1015"/>
        <w:gridCol w:w="1200"/>
        <w:gridCol w:w="1015"/>
        <w:gridCol w:w="1198"/>
      </w:tblGrid>
      <w:tr>
        <w:trPr>
          <w:trHeight w:val="427" w:hRule="exact"/>
        </w:trPr>
        <w:tc>
          <w:tcPr>
            <w:tcW w:w="737" w:type="dxa"/>
            <w:vMerge w:val="restart"/>
          </w:tcPr>
          <w:p>
            <w:pPr/>
          </w:p>
        </w:tc>
        <w:tc>
          <w:tcPr>
            <w:tcW w:w="6642" w:type="dxa"/>
            <w:gridSpan w:val="6"/>
            <w:tcBorders>
              <w:bottom w:val="single" w:sz="8" w:space="0" w:color="000000"/>
            </w:tcBorders>
          </w:tcPr>
          <w:p>
            <w:pPr>
              <w:pStyle w:val="TableParagraph"/>
              <w:spacing w:line="261" w:lineRule="exact"/>
              <w:ind w:left="3007" w:right="3007"/>
              <w:rPr>
                <w:sz w:val="23"/>
              </w:rPr>
            </w:pPr>
            <w:r>
              <w:rPr>
                <w:sz w:val="23"/>
              </w:rPr>
              <w:t>Casos</w:t>
            </w:r>
          </w:p>
        </w:tc>
      </w:tr>
      <w:tr>
        <w:trPr>
          <w:trHeight w:val="437" w:hRule="exact"/>
        </w:trPr>
        <w:tc>
          <w:tcPr>
            <w:tcW w:w="737" w:type="dxa"/>
            <w:vMerge/>
          </w:tcPr>
          <w:p>
            <w:pPr/>
          </w:p>
        </w:tc>
        <w:tc>
          <w:tcPr>
            <w:tcW w:w="2213" w:type="dxa"/>
            <w:gridSpan w:val="2"/>
            <w:tcBorders>
              <w:top w:val="single" w:sz="8" w:space="0" w:color="000000"/>
              <w:bottom w:val="single" w:sz="8" w:space="0" w:color="000000"/>
              <w:right w:val="single" w:sz="8" w:space="0" w:color="000000"/>
            </w:tcBorders>
          </w:tcPr>
          <w:p>
            <w:pPr>
              <w:pStyle w:val="TableParagraph"/>
              <w:spacing w:before="15"/>
              <w:ind w:left="759" w:right="759"/>
              <w:rPr>
                <w:sz w:val="23"/>
              </w:rPr>
            </w:pPr>
            <w:r>
              <w:rPr>
                <w:sz w:val="23"/>
              </w:rPr>
              <w:t>Válido</w:t>
            </w:r>
          </w:p>
        </w:tc>
        <w:tc>
          <w:tcPr>
            <w:tcW w:w="2216" w:type="dxa"/>
            <w:gridSpan w:val="2"/>
            <w:tcBorders>
              <w:top w:val="single" w:sz="8" w:space="0" w:color="000000"/>
              <w:left w:val="single" w:sz="8" w:space="0" w:color="000000"/>
              <w:bottom w:val="single" w:sz="8" w:space="0" w:color="000000"/>
              <w:right w:val="single" w:sz="8" w:space="0" w:color="000000"/>
            </w:tcBorders>
          </w:tcPr>
          <w:p>
            <w:pPr>
              <w:pStyle w:val="TableParagraph"/>
              <w:spacing w:before="15"/>
              <w:ind w:left="693"/>
              <w:jc w:val="left"/>
              <w:rPr>
                <w:sz w:val="23"/>
              </w:rPr>
            </w:pPr>
            <w:r>
              <w:rPr>
                <w:sz w:val="23"/>
              </w:rPr>
              <w:t>Perdidos</w:t>
            </w:r>
          </w:p>
        </w:tc>
        <w:tc>
          <w:tcPr>
            <w:tcW w:w="2213" w:type="dxa"/>
            <w:gridSpan w:val="2"/>
            <w:tcBorders>
              <w:top w:val="single" w:sz="8" w:space="0" w:color="000000"/>
              <w:left w:val="single" w:sz="8" w:space="0" w:color="000000"/>
              <w:bottom w:val="single" w:sz="8" w:space="0" w:color="000000"/>
            </w:tcBorders>
          </w:tcPr>
          <w:p>
            <w:pPr>
              <w:pStyle w:val="TableParagraph"/>
              <w:spacing w:before="15"/>
              <w:ind w:left="759" w:right="759"/>
              <w:rPr>
                <w:sz w:val="23"/>
              </w:rPr>
            </w:pPr>
            <w:r>
              <w:rPr>
                <w:sz w:val="23"/>
              </w:rPr>
              <w:t>Total</w:t>
            </w:r>
          </w:p>
        </w:tc>
      </w:tr>
      <w:tr>
        <w:trPr>
          <w:trHeight w:val="446" w:hRule="exact"/>
        </w:trPr>
        <w:tc>
          <w:tcPr>
            <w:tcW w:w="737" w:type="dxa"/>
            <w:vMerge/>
          </w:tcPr>
          <w:p>
            <w:pPr/>
          </w:p>
        </w:tc>
        <w:tc>
          <w:tcPr>
            <w:tcW w:w="1016" w:type="dxa"/>
            <w:tcBorders>
              <w:top w:val="single" w:sz="8" w:space="0" w:color="000000"/>
              <w:right w:val="single" w:sz="8" w:space="0" w:color="000000"/>
            </w:tcBorders>
          </w:tcPr>
          <w:p>
            <w:pPr>
              <w:pStyle w:val="TableParagraph"/>
              <w:spacing w:before="15"/>
              <w:ind w:right="2"/>
              <w:rPr>
                <w:sz w:val="23"/>
              </w:rPr>
            </w:pPr>
            <w:r>
              <w:rPr>
                <w:w w:val="100"/>
                <w:sz w:val="23"/>
              </w:rPr>
              <w:t>N</w:t>
            </w:r>
          </w:p>
        </w:tc>
        <w:tc>
          <w:tcPr>
            <w:tcW w:w="1198" w:type="dxa"/>
            <w:tcBorders>
              <w:top w:val="single" w:sz="8" w:space="0" w:color="000000"/>
              <w:left w:val="single" w:sz="8" w:space="0" w:color="000000"/>
              <w:right w:val="single" w:sz="8" w:space="0" w:color="000000"/>
            </w:tcBorders>
          </w:tcPr>
          <w:p>
            <w:pPr>
              <w:pStyle w:val="TableParagraph"/>
              <w:spacing w:before="15"/>
              <w:ind w:right="102"/>
              <w:jc w:val="right"/>
              <w:rPr>
                <w:sz w:val="23"/>
              </w:rPr>
            </w:pPr>
            <w:r>
              <w:rPr>
                <w:sz w:val="23"/>
              </w:rPr>
              <w:t>Porcentaje</w:t>
            </w:r>
          </w:p>
        </w:tc>
        <w:tc>
          <w:tcPr>
            <w:tcW w:w="1015" w:type="dxa"/>
            <w:tcBorders>
              <w:top w:val="single" w:sz="8" w:space="0" w:color="000000"/>
              <w:left w:val="single" w:sz="8" w:space="0" w:color="000000"/>
              <w:right w:val="single" w:sz="8" w:space="0" w:color="000000"/>
            </w:tcBorders>
          </w:tcPr>
          <w:p>
            <w:pPr>
              <w:pStyle w:val="TableParagraph"/>
              <w:spacing w:before="15"/>
              <w:rPr>
                <w:sz w:val="23"/>
              </w:rPr>
            </w:pPr>
            <w:r>
              <w:rPr>
                <w:w w:val="100"/>
                <w:sz w:val="23"/>
              </w:rPr>
              <w:t>N</w:t>
            </w:r>
          </w:p>
        </w:tc>
        <w:tc>
          <w:tcPr>
            <w:tcW w:w="1200" w:type="dxa"/>
            <w:tcBorders>
              <w:top w:val="single" w:sz="8" w:space="0" w:color="000000"/>
              <w:left w:val="single" w:sz="8" w:space="0" w:color="000000"/>
              <w:right w:val="single" w:sz="8" w:space="0" w:color="000000"/>
            </w:tcBorders>
          </w:tcPr>
          <w:p>
            <w:pPr>
              <w:pStyle w:val="TableParagraph"/>
              <w:spacing w:before="15"/>
              <w:ind w:right="105"/>
              <w:jc w:val="right"/>
              <w:rPr>
                <w:sz w:val="23"/>
              </w:rPr>
            </w:pPr>
            <w:r>
              <w:rPr>
                <w:sz w:val="23"/>
              </w:rPr>
              <w:t>Porcentaje</w:t>
            </w:r>
          </w:p>
        </w:tc>
        <w:tc>
          <w:tcPr>
            <w:tcW w:w="1015" w:type="dxa"/>
            <w:tcBorders>
              <w:top w:val="single" w:sz="8" w:space="0" w:color="000000"/>
              <w:left w:val="single" w:sz="8" w:space="0" w:color="000000"/>
              <w:right w:val="single" w:sz="8" w:space="0" w:color="000000"/>
            </w:tcBorders>
          </w:tcPr>
          <w:p>
            <w:pPr>
              <w:pStyle w:val="TableParagraph"/>
              <w:spacing w:before="15"/>
              <w:rPr>
                <w:sz w:val="23"/>
              </w:rPr>
            </w:pPr>
            <w:r>
              <w:rPr>
                <w:w w:val="100"/>
                <w:sz w:val="23"/>
              </w:rPr>
              <w:t>N</w:t>
            </w:r>
          </w:p>
        </w:tc>
        <w:tc>
          <w:tcPr>
            <w:tcW w:w="1198" w:type="dxa"/>
            <w:tcBorders>
              <w:top w:val="single" w:sz="8" w:space="0" w:color="000000"/>
              <w:left w:val="single" w:sz="8" w:space="0" w:color="000000"/>
            </w:tcBorders>
          </w:tcPr>
          <w:p>
            <w:pPr>
              <w:pStyle w:val="TableParagraph"/>
              <w:spacing w:before="15"/>
              <w:ind w:right="98"/>
              <w:jc w:val="right"/>
              <w:rPr>
                <w:sz w:val="23"/>
              </w:rPr>
            </w:pPr>
            <w:r>
              <w:rPr>
                <w:sz w:val="23"/>
              </w:rPr>
              <w:t>Porcentaje</w:t>
            </w:r>
          </w:p>
        </w:tc>
      </w:tr>
      <w:tr>
        <w:trPr>
          <w:trHeight w:val="358" w:hRule="exact"/>
        </w:trPr>
        <w:tc>
          <w:tcPr>
            <w:tcW w:w="737" w:type="dxa"/>
            <w:tcBorders>
              <w:bottom w:val="nil"/>
            </w:tcBorders>
          </w:tcPr>
          <w:p>
            <w:pPr>
              <w:pStyle w:val="TableParagraph"/>
              <w:spacing w:line="261" w:lineRule="exact"/>
              <w:ind w:left="59"/>
              <w:jc w:val="left"/>
              <w:rPr>
                <w:sz w:val="23"/>
              </w:rPr>
            </w:pPr>
            <w:r>
              <w:rPr>
                <w:sz w:val="23"/>
              </w:rPr>
              <w:t>X1</w:t>
            </w:r>
          </w:p>
        </w:tc>
        <w:tc>
          <w:tcPr>
            <w:tcW w:w="1016" w:type="dxa"/>
            <w:tcBorders>
              <w:bottom w:val="nil"/>
              <w:right w:val="single" w:sz="8" w:space="0" w:color="000000"/>
            </w:tcBorders>
          </w:tcPr>
          <w:p>
            <w:pPr>
              <w:pStyle w:val="TableParagraph"/>
              <w:spacing w:line="261" w:lineRule="exact"/>
              <w:ind w:right="62"/>
              <w:jc w:val="right"/>
              <w:rPr>
                <w:sz w:val="23"/>
              </w:rPr>
            </w:pPr>
            <w:r>
              <w:rPr>
                <w:sz w:val="23"/>
              </w:rPr>
              <w:t>192</w:t>
            </w:r>
          </w:p>
        </w:tc>
        <w:tc>
          <w:tcPr>
            <w:tcW w:w="1198" w:type="dxa"/>
            <w:tcBorders>
              <w:left w:val="single" w:sz="8" w:space="0" w:color="000000"/>
              <w:bottom w:val="nil"/>
              <w:right w:val="single" w:sz="8" w:space="0" w:color="000000"/>
            </w:tcBorders>
          </w:tcPr>
          <w:p>
            <w:pPr>
              <w:pStyle w:val="TableParagraph"/>
              <w:spacing w:line="261" w:lineRule="exact"/>
              <w:ind w:right="55"/>
              <w:jc w:val="right"/>
              <w:rPr>
                <w:sz w:val="23"/>
              </w:rPr>
            </w:pPr>
            <w:r>
              <w:rPr>
                <w:sz w:val="23"/>
              </w:rPr>
              <w:t>100.0%</w:t>
            </w:r>
          </w:p>
        </w:tc>
        <w:tc>
          <w:tcPr>
            <w:tcW w:w="1015" w:type="dxa"/>
            <w:tcBorders>
              <w:left w:val="single" w:sz="8" w:space="0" w:color="000000"/>
              <w:bottom w:val="nil"/>
              <w:right w:val="single" w:sz="8" w:space="0" w:color="000000"/>
            </w:tcBorders>
          </w:tcPr>
          <w:p>
            <w:pPr>
              <w:pStyle w:val="TableParagraph"/>
              <w:spacing w:line="261" w:lineRule="exact"/>
              <w:ind w:right="59"/>
              <w:jc w:val="right"/>
              <w:rPr>
                <w:sz w:val="23"/>
              </w:rPr>
            </w:pPr>
            <w:r>
              <w:rPr>
                <w:w w:val="100"/>
                <w:sz w:val="23"/>
              </w:rPr>
              <w:t>0</w:t>
            </w:r>
          </w:p>
        </w:tc>
        <w:tc>
          <w:tcPr>
            <w:tcW w:w="1200" w:type="dxa"/>
            <w:tcBorders>
              <w:left w:val="single" w:sz="8" w:space="0" w:color="000000"/>
              <w:bottom w:val="nil"/>
              <w:right w:val="single" w:sz="8" w:space="0" w:color="000000"/>
            </w:tcBorders>
          </w:tcPr>
          <w:p>
            <w:pPr>
              <w:pStyle w:val="TableParagraph"/>
              <w:spacing w:line="261" w:lineRule="exact"/>
              <w:ind w:right="60"/>
              <w:jc w:val="right"/>
              <w:rPr>
                <w:sz w:val="23"/>
              </w:rPr>
            </w:pPr>
            <w:r>
              <w:rPr>
                <w:sz w:val="23"/>
              </w:rPr>
              <w:t>0.0%</w:t>
            </w:r>
          </w:p>
        </w:tc>
        <w:tc>
          <w:tcPr>
            <w:tcW w:w="1015" w:type="dxa"/>
            <w:tcBorders>
              <w:left w:val="single" w:sz="8" w:space="0" w:color="000000"/>
              <w:bottom w:val="nil"/>
              <w:right w:val="single" w:sz="8" w:space="0" w:color="000000"/>
            </w:tcBorders>
          </w:tcPr>
          <w:p>
            <w:pPr>
              <w:pStyle w:val="TableParagraph"/>
              <w:spacing w:line="261" w:lineRule="exact"/>
              <w:ind w:right="59"/>
              <w:jc w:val="right"/>
              <w:rPr>
                <w:sz w:val="23"/>
              </w:rPr>
            </w:pPr>
            <w:r>
              <w:rPr>
                <w:sz w:val="23"/>
              </w:rPr>
              <w:t>192</w:t>
            </w:r>
          </w:p>
        </w:tc>
        <w:tc>
          <w:tcPr>
            <w:tcW w:w="1198" w:type="dxa"/>
            <w:tcBorders>
              <w:left w:val="single" w:sz="8" w:space="0" w:color="000000"/>
              <w:bottom w:val="nil"/>
            </w:tcBorders>
          </w:tcPr>
          <w:p>
            <w:pPr>
              <w:pStyle w:val="TableParagraph"/>
              <w:spacing w:line="261" w:lineRule="exact"/>
              <w:ind w:right="56"/>
              <w:jc w:val="right"/>
              <w:rPr>
                <w:sz w:val="23"/>
              </w:rPr>
            </w:pPr>
            <w:r>
              <w:rPr>
                <w:sz w:val="23"/>
              </w:rPr>
              <w:t>100.0%</w:t>
            </w:r>
          </w:p>
        </w:tc>
      </w:tr>
      <w:tr>
        <w:trPr>
          <w:trHeight w:val="396" w:hRule="exact"/>
        </w:trPr>
        <w:tc>
          <w:tcPr>
            <w:tcW w:w="737" w:type="dxa"/>
            <w:tcBorders>
              <w:top w:val="nil"/>
              <w:bottom w:val="nil"/>
            </w:tcBorders>
          </w:tcPr>
          <w:p>
            <w:pPr>
              <w:pStyle w:val="TableParagraph"/>
              <w:spacing w:before="53"/>
              <w:ind w:left="59"/>
              <w:jc w:val="left"/>
              <w:rPr>
                <w:sz w:val="23"/>
              </w:rPr>
            </w:pPr>
            <w:r>
              <w:rPr>
                <w:sz w:val="23"/>
              </w:rPr>
              <w:t>X2</w:t>
            </w:r>
          </w:p>
        </w:tc>
        <w:tc>
          <w:tcPr>
            <w:tcW w:w="1016" w:type="dxa"/>
            <w:tcBorders>
              <w:top w:val="nil"/>
              <w:bottom w:val="nil"/>
              <w:right w:val="single" w:sz="8" w:space="0" w:color="000000"/>
            </w:tcBorders>
          </w:tcPr>
          <w:p>
            <w:pPr>
              <w:pStyle w:val="TableParagraph"/>
              <w:spacing w:before="53"/>
              <w:ind w:right="62"/>
              <w:jc w:val="right"/>
              <w:rPr>
                <w:sz w:val="23"/>
              </w:rPr>
            </w:pPr>
            <w:r>
              <w:rPr>
                <w:sz w:val="23"/>
              </w:rPr>
              <w:t>192</w:t>
            </w:r>
          </w:p>
        </w:tc>
        <w:tc>
          <w:tcPr>
            <w:tcW w:w="1198" w:type="dxa"/>
            <w:tcBorders>
              <w:top w:val="nil"/>
              <w:left w:val="single" w:sz="8" w:space="0" w:color="000000"/>
              <w:bottom w:val="nil"/>
              <w:right w:val="single" w:sz="8" w:space="0" w:color="000000"/>
            </w:tcBorders>
          </w:tcPr>
          <w:p>
            <w:pPr>
              <w:pStyle w:val="TableParagraph"/>
              <w:spacing w:before="53"/>
              <w:ind w:right="55"/>
              <w:jc w:val="right"/>
              <w:rPr>
                <w:sz w:val="23"/>
              </w:rPr>
            </w:pPr>
            <w:r>
              <w:rPr>
                <w:sz w:val="23"/>
              </w:rPr>
              <w:t>100.0%</w:t>
            </w:r>
          </w:p>
        </w:tc>
        <w:tc>
          <w:tcPr>
            <w:tcW w:w="1015" w:type="dxa"/>
            <w:tcBorders>
              <w:top w:val="nil"/>
              <w:left w:val="single" w:sz="8" w:space="0" w:color="000000"/>
              <w:bottom w:val="nil"/>
              <w:right w:val="single" w:sz="8" w:space="0" w:color="000000"/>
            </w:tcBorders>
          </w:tcPr>
          <w:p>
            <w:pPr>
              <w:pStyle w:val="TableParagraph"/>
              <w:spacing w:before="53"/>
              <w:ind w:right="59"/>
              <w:jc w:val="right"/>
              <w:rPr>
                <w:sz w:val="23"/>
              </w:rPr>
            </w:pPr>
            <w:r>
              <w:rPr>
                <w:w w:val="100"/>
                <w:sz w:val="23"/>
              </w:rPr>
              <w:t>0</w:t>
            </w:r>
          </w:p>
        </w:tc>
        <w:tc>
          <w:tcPr>
            <w:tcW w:w="1200" w:type="dxa"/>
            <w:tcBorders>
              <w:top w:val="nil"/>
              <w:left w:val="single" w:sz="8" w:space="0" w:color="000000"/>
              <w:bottom w:val="nil"/>
              <w:right w:val="single" w:sz="8" w:space="0" w:color="000000"/>
            </w:tcBorders>
          </w:tcPr>
          <w:p>
            <w:pPr>
              <w:pStyle w:val="TableParagraph"/>
              <w:spacing w:before="53"/>
              <w:ind w:right="60"/>
              <w:jc w:val="right"/>
              <w:rPr>
                <w:sz w:val="23"/>
              </w:rPr>
            </w:pPr>
            <w:r>
              <w:rPr>
                <w:sz w:val="23"/>
              </w:rPr>
              <w:t>0.0%</w:t>
            </w:r>
          </w:p>
        </w:tc>
        <w:tc>
          <w:tcPr>
            <w:tcW w:w="1015" w:type="dxa"/>
            <w:tcBorders>
              <w:top w:val="nil"/>
              <w:left w:val="single" w:sz="8" w:space="0" w:color="000000"/>
              <w:bottom w:val="nil"/>
              <w:right w:val="single" w:sz="8" w:space="0" w:color="000000"/>
            </w:tcBorders>
          </w:tcPr>
          <w:p>
            <w:pPr>
              <w:pStyle w:val="TableParagraph"/>
              <w:spacing w:before="53"/>
              <w:ind w:right="59"/>
              <w:jc w:val="right"/>
              <w:rPr>
                <w:sz w:val="23"/>
              </w:rPr>
            </w:pPr>
            <w:r>
              <w:rPr>
                <w:sz w:val="23"/>
              </w:rPr>
              <w:t>192</w:t>
            </w:r>
          </w:p>
        </w:tc>
        <w:tc>
          <w:tcPr>
            <w:tcW w:w="1198" w:type="dxa"/>
            <w:tcBorders>
              <w:top w:val="nil"/>
              <w:left w:val="single" w:sz="8" w:space="0" w:color="000000"/>
              <w:bottom w:val="nil"/>
            </w:tcBorders>
          </w:tcPr>
          <w:p>
            <w:pPr>
              <w:pStyle w:val="TableParagraph"/>
              <w:spacing w:before="53"/>
              <w:ind w:right="56"/>
              <w:jc w:val="right"/>
              <w:rPr>
                <w:sz w:val="23"/>
              </w:rPr>
            </w:pPr>
            <w:r>
              <w:rPr>
                <w:sz w:val="23"/>
              </w:rPr>
              <w:t>100.0%</w:t>
            </w:r>
          </w:p>
        </w:tc>
      </w:tr>
      <w:tr>
        <w:trPr>
          <w:trHeight w:val="397" w:hRule="exact"/>
        </w:trPr>
        <w:tc>
          <w:tcPr>
            <w:tcW w:w="737" w:type="dxa"/>
            <w:tcBorders>
              <w:top w:val="nil"/>
              <w:bottom w:val="nil"/>
            </w:tcBorders>
          </w:tcPr>
          <w:p>
            <w:pPr>
              <w:pStyle w:val="TableParagraph"/>
              <w:spacing w:before="53"/>
              <w:ind w:left="59"/>
              <w:jc w:val="left"/>
              <w:rPr>
                <w:sz w:val="23"/>
              </w:rPr>
            </w:pPr>
            <w:r>
              <w:rPr>
                <w:sz w:val="23"/>
              </w:rPr>
              <w:t>X3</w:t>
            </w:r>
          </w:p>
        </w:tc>
        <w:tc>
          <w:tcPr>
            <w:tcW w:w="1016" w:type="dxa"/>
            <w:tcBorders>
              <w:top w:val="nil"/>
              <w:bottom w:val="nil"/>
              <w:right w:val="single" w:sz="8" w:space="0" w:color="000000"/>
            </w:tcBorders>
          </w:tcPr>
          <w:p>
            <w:pPr>
              <w:pStyle w:val="TableParagraph"/>
              <w:spacing w:before="53"/>
              <w:ind w:right="62"/>
              <w:jc w:val="right"/>
              <w:rPr>
                <w:sz w:val="23"/>
              </w:rPr>
            </w:pPr>
            <w:r>
              <w:rPr>
                <w:sz w:val="23"/>
              </w:rPr>
              <w:t>192</w:t>
            </w:r>
          </w:p>
        </w:tc>
        <w:tc>
          <w:tcPr>
            <w:tcW w:w="1198" w:type="dxa"/>
            <w:tcBorders>
              <w:top w:val="nil"/>
              <w:left w:val="single" w:sz="8" w:space="0" w:color="000000"/>
              <w:bottom w:val="nil"/>
              <w:right w:val="single" w:sz="8" w:space="0" w:color="000000"/>
            </w:tcBorders>
          </w:tcPr>
          <w:p>
            <w:pPr>
              <w:pStyle w:val="TableParagraph"/>
              <w:spacing w:before="53"/>
              <w:ind w:right="55"/>
              <w:jc w:val="right"/>
              <w:rPr>
                <w:sz w:val="23"/>
              </w:rPr>
            </w:pPr>
            <w:r>
              <w:rPr>
                <w:sz w:val="23"/>
              </w:rPr>
              <w:t>100.0%</w:t>
            </w:r>
          </w:p>
        </w:tc>
        <w:tc>
          <w:tcPr>
            <w:tcW w:w="1015" w:type="dxa"/>
            <w:tcBorders>
              <w:top w:val="nil"/>
              <w:left w:val="single" w:sz="8" w:space="0" w:color="000000"/>
              <w:bottom w:val="nil"/>
              <w:right w:val="single" w:sz="8" w:space="0" w:color="000000"/>
            </w:tcBorders>
          </w:tcPr>
          <w:p>
            <w:pPr>
              <w:pStyle w:val="TableParagraph"/>
              <w:spacing w:before="53"/>
              <w:ind w:right="59"/>
              <w:jc w:val="right"/>
              <w:rPr>
                <w:sz w:val="23"/>
              </w:rPr>
            </w:pPr>
            <w:r>
              <w:rPr>
                <w:w w:val="100"/>
                <w:sz w:val="23"/>
              </w:rPr>
              <w:t>0</w:t>
            </w:r>
          </w:p>
        </w:tc>
        <w:tc>
          <w:tcPr>
            <w:tcW w:w="1200" w:type="dxa"/>
            <w:tcBorders>
              <w:top w:val="nil"/>
              <w:left w:val="single" w:sz="8" w:space="0" w:color="000000"/>
              <w:bottom w:val="nil"/>
              <w:right w:val="single" w:sz="8" w:space="0" w:color="000000"/>
            </w:tcBorders>
          </w:tcPr>
          <w:p>
            <w:pPr>
              <w:pStyle w:val="TableParagraph"/>
              <w:spacing w:before="53"/>
              <w:ind w:right="60"/>
              <w:jc w:val="right"/>
              <w:rPr>
                <w:sz w:val="23"/>
              </w:rPr>
            </w:pPr>
            <w:r>
              <w:rPr>
                <w:sz w:val="23"/>
              </w:rPr>
              <w:t>0.0%</w:t>
            </w:r>
          </w:p>
        </w:tc>
        <w:tc>
          <w:tcPr>
            <w:tcW w:w="1015" w:type="dxa"/>
            <w:tcBorders>
              <w:top w:val="nil"/>
              <w:left w:val="single" w:sz="8" w:space="0" w:color="000000"/>
              <w:bottom w:val="nil"/>
              <w:right w:val="single" w:sz="8" w:space="0" w:color="000000"/>
            </w:tcBorders>
          </w:tcPr>
          <w:p>
            <w:pPr>
              <w:pStyle w:val="TableParagraph"/>
              <w:spacing w:before="53"/>
              <w:ind w:right="59"/>
              <w:jc w:val="right"/>
              <w:rPr>
                <w:sz w:val="23"/>
              </w:rPr>
            </w:pPr>
            <w:r>
              <w:rPr>
                <w:sz w:val="23"/>
              </w:rPr>
              <w:t>192</w:t>
            </w:r>
          </w:p>
        </w:tc>
        <w:tc>
          <w:tcPr>
            <w:tcW w:w="1198" w:type="dxa"/>
            <w:tcBorders>
              <w:top w:val="nil"/>
              <w:left w:val="single" w:sz="8" w:space="0" w:color="000000"/>
              <w:bottom w:val="nil"/>
            </w:tcBorders>
          </w:tcPr>
          <w:p>
            <w:pPr>
              <w:pStyle w:val="TableParagraph"/>
              <w:spacing w:before="53"/>
              <w:ind w:right="56"/>
              <w:jc w:val="right"/>
              <w:rPr>
                <w:sz w:val="23"/>
              </w:rPr>
            </w:pPr>
            <w:r>
              <w:rPr>
                <w:sz w:val="23"/>
              </w:rPr>
              <w:t>100.0%</w:t>
            </w:r>
          </w:p>
        </w:tc>
      </w:tr>
      <w:tr>
        <w:trPr>
          <w:trHeight w:val="478" w:hRule="exact"/>
        </w:trPr>
        <w:tc>
          <w:tcPr>
            <w:tcW w:w="737" w:type="dxa"/>
            <w:tcBorders>
              <w:top w:val="nil"/>
            </w:tcBorders>
          </w:tcPr>
          <w:p>
            <w:pPr>
              <w:pStyle w:val="TableParagraph"/>
              <w:spacing w:before="54"/>
              <w:ind w:left="59"/>
              <w:jc w:val="left"/>
              <w:rPr>
                <w:sz w:val="23"/>
              </w:rPr>
            </w:pPr>
            <w:r>
              <w:rPr>
                <w:sz w:val="23"/>
              </w:rPr>
              <w:t>X4</w:t>
            </w:r>
          </w:p>
        </w:tc>
        <w:tc>
          <w:tcPr>
            <w:tcW w:w="1016" w:type="dxa"/>
            <w:tcBorders>
              <w:top w:val="nil"/>
              <w:right w:val="single" w:sz="8" w:space="0" w:color="000000"/>
            </w:tcBorders>
          </w:tcPr>
          <w:p>
            <w:pPr>
              <w:pStyle w:val="TableParagraph"/>
              <w:spacing w:before="54"/>
              <w:ind w:right="62"/>
              <w:jc w:val="right"/>
              <w:rPr>
                <w:sz w:val="23"/>
              </w:rPr>
            </w:pPr>
            <w:r>
              <w:rPr>
                <w:sz w:val="23"/>
              </w:rPr>
              <w:t>192</w:t>
            </w:r>
          </w:p>
        </w:tc>
        <w:tc>
          <w:tcPr>
            <w:tcW w:w="1198" w:type="dxa"/>
            <w:tcBorders>
              <w:top w:val="nil"/>
              <w:left w:val="single" w:sz="8" w:space="0" w:color="000000"/>
              <w:right w:val="single" w:sz="8" w:space="0" w:color="000000"/>
            </w:tcBorders>
          </w:tcPr>
          <w:p>
            <w:pPr>
              <w:pStyle w:val="TableParagraph"/>
              <w:spacing w:before="54"/>
              <w:ind w:right="55"/>
              <w:jc w:val="right"/>
              <w:rPr>
                <w:sz w:val="23"/>
              </w:rPr>
            </w:pPr>
            <w:r>
              <w:rPr>
                <w:sz w:val="23"/>
              </w:rPr>
              <w:t>100.0%</w:t>
            </w:r>
          </w:p>
        </w:tc>
        <w:tc>
          <w:tcPr>
            <w:tcW w:w="1015" w:type="dxa"/>
            <w:tcBorders>
              <w:top w:val="nil"/>
              <w:left w:val="single" w:sz="8" w:space="0" w:color="000000"/>
              <w:right w:val="single" w:sz="8" w:space="0" w:color="000000"/>
            </w:tcBorders>
          </w:tcPr>
          <w:p>
            <w:pPr>
              <w:pStyle w:val="TableParagraph"/>
              <w:spacing w:before="54"/>
              <w:ind w:right="59"/>
              <w:jc w:val="right"/>
              <w:rPr>
                <w:sz w:val="23"/>
              </w:rPr>
            </w:pPr>
            <w:r>
              <w:rPr>
                <w:w w:val="100"/>
                <w:sz w:val="23"/>
              </w:rPr>
              <w:t>0</w:t>
            </w:r>
          </w:p>
        </w:tc>
        <w:tc>
          <w:tcPr>
            <w:tcW w:w="1200" w:type="dxa"/>
            <w:tcBorders>
              <w:top w:val="nil"/>
              <w:left w:val="single" w:sz="8" w:space="0" w:color="000000"/>
              <w:right w:val="single" w:sz="8" w:space="0" w:color="000000"/>
            </w:tcBorders>
          </w:tcPr>
          <w:p>
            <w:pPr>
              <w:pStyle w:val="TableParagraph"/>
              <w:spacing w:before="54"/>
              <w:ind w:right="60"/>
              <w:jc w:val="right"/>
              <w:rPr>
                <w:sz w:val="23"/>
              </w:rPr>
            </w:pPr>
            <w:r>
              <w:rPr>
                <w:sz w:val="23"/>
              </w:rPr>
              <w:t>0.0%</w:t>
            </w:r>
          </w:p>
        </w:tc>
        <w:tc>
          <w:tcPr>
            <w:tcW w:w="1015" w:type="dxa"/>
            <w:tcBorders>
              <w:top w:val="nil"/>
              <w:left w:val="single" w:sz="8" w:space="0" w:color="000000"/>
              <w:right w:val="single" w:sz="8" w:space="0" w:color="000000"/>
            </w:tcBorders>
          </w:tcPr>
          <w:p>
            <w:pPr>
              <w:pStyle w:val="TableParagraph"/>
              <w:spacing w:before="54"/>
              <w:ind w:right="59"/>
              <w:jc w:val="right"/>
              <w:rPr>
                <w:sz w:val="23"/>
              </w:rPr>
            </w:pPr>
            <w:r>
              <w:rPr>
                <w:sz w:val="23"/>
              </w:rPr>
              <w:t>192</w:t>
            </w:r>
          </w:p>
        </w:tc>
        <w:tc>
          <w:tcPr>
            <w:tcW w:w="1198" w:type="dxa"/>
            <w:tcBorders>
              <w:top w:val="nil"/>
              <w:left w:val="single" w:sz="8" w:space="0" w:color="000000"/>
            </w:tcBorders>
          </w:tcPr>
          <w:p>
            <w:pPr>
              <w:pStyle w:val="TableParagraph"/>
              <w:spacing w:before="54"/>
              <w:ind w:right="56"/>
              <w:jc w:val="right"/>
              <w:rPr>
                <w:sz w:val="23"/>
              </w:rPr>
            </w:pPr>
            <w:r>
              <w:rPr>
                <w:sz w:val="23"/>
              </w:rPr>
              <w:t>100.0%</w:t>
            </w:r>
          </w:p>
        </w:tc>
      </w:tr>
    </w:tbl>
    <w:p>
      <w:pPr>
        <w:spacing w:after="0"/>
        <w:jc w:val="right"/>
        <w:rPr>
          <w:sz w:val="23"/>
        </w:rPr>
        <w:sectPr>
          <w:headerReference w:type="default" r:id="rId169"/>
          <w:pgSz w:w="12240" w:h="15840"/>
          <w:pgMar w:header="1727" w:footer="2140" w:top="1920" w:bottom="2320" w:left="1580" w:right="1600"/>
        </w:sectPr>
      </w:pPr>
    </w:p>
    <w:p>
      <w:pPr>
        <w:pStyle w:val="BodyText"/>
        <w:spacing w:before="9"/>
        <w:rPr>
          <w:sz w:val="10"/>
        </w:rPr>
      </w:pPr>
    </w:p>
    <w:p>
      <w:pPr>
        <w:pStyle w:val="BodyText"/>
        <w:spacing w:line="20" w:lineRule="exact"/>
        <w:ind w:left="455"/>
        <w:rPr>
          <w:sz w:val="2"/>
        </w:rPr>
      </w:pPr>
      <w:r>
        <w:rPr>
          <w:sz w:val="2"/>
        </w:rPr>
        <w:pict>
          <v:group style="width:407pt;height:.5pt;mso-position-horizontal-relative:char;mso-position-vertical-relative:line" coordorigin="0,0" coordsize="8140,10">
            <v:line style="position:absolute" from="5,5" to="8135,5" stroked="true" strokeweight=".5pt" strokecolor="#000000"/>
          </v:group>
        </w:pict>
      </w:r>
      <w:r>
        <w:rPr>
          <w:sz w:val="2"/>
        </w:rPr>
      </w:r>
    </w:p>
    <w:p>
      <w:pPr>
        <w:pStyle w:val="BodyText"/>
        <w:rPr>
          <w:sz w:val="20"/>
        </w:rPr>
      </w:pPr>
    </w:p>
    <w:p>
      <w:pPr>
        <w:pStyle w:val="BodyText"/>
        <w:spacing w:before="8"/>
        <w:rPr>
          <w:sz w:val="18"/>
        </w:rPr>
      </w:pPr>
    </w:p>
    <w:p>
      <w:pPr>
        <w:pStyle w:val="BodyText"/>
        <w:spacing w:before="71"/>
        <w:ind w:left="122" w:right="100"/>
        <w:jc w:val="center"/>
      </w:pPr>
      <w:r>
        <w:rPr/>
        <w:t>Cuadro 03. Descriptivos</w:t>
      </w:r>
    </w:p>
    <w:p>
      <w:pPr>
        <w:pStyle w:val="BodyText"/>
        <w:spacing w:before="10" w:after="1"/>
        <w:rPr>
          <w:sz w:val="11"/>
        </w:rPr>
      </w:pPr>
    </w:p>
    <w:tbl>
      <w:tblPr>
        <w:tblW w:w="0" w:type="auto"/>
        <w:jc w:val="left"/>
        <w:tblInd w:w="808"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446"/>
        <w:gridCol w:w="2440"/>
        <w:gridCol w:w="1589"/>
        <w:gridCol w:w="1476"/>
        <w:gridCol w:w="1477"/>
      </w:tblGrid>
      <w:tr>
        <w:trPr>
          <w:trHeight w:val="437" w:hRule="exact"/>
        </w:trPr>
        <w:tc>
          <w:tcPr>
            <w:tcW w:w="4475" w:type="dxa"/>
            <w:gridSpan w:val="3"/>
          </w:tcPr>
          <w:p>
            <w:pPr/>
          </w:p>
        </w:tc>
        <w:tc>
          <w:tcPr>
            <w:tcW w:w="1476" w:type="dxa"/>
            <w:tcBorders>
              <w:right w:val="single" w:sz="8" w:space="0" w:color="000000"/>
            </w:tcBorders>
          </w:tcPr>
          <w:p>
            <w:pPr>
              <w:pStyle w:val="TableParagraph"/>
              <w:spacing w:line="261" w:lineRule="exact"/>
              <w:rPr>
                <w:sz w:val="23"/>
              </w:rPr>
            </w:pPr>
            <w:r>
              <w:rPr>
                <w:sz w:val="23"/>
              </w:rPr>
              <w:t>Estadístico</w:t>
            </w:r>
          </w:p>
        </w:tc>
        <w:tc>
          <w:tcPr>
            <w:tcW w:w="1477" w:type="dxa"/>
            <w:tcBorders>
              <w:left w:val="single" w:sz="8" w:space="0" w:color="000000"/>
            </w:tcBorders>
          </w:tcPr>
          <w:p>
            <w:pPr>
              <w:pStyle w:val="TableParagraph"/>
              <w:spacing w:line="261" w:lineRule="exact"/>
              <w:ind w:left="69"/>
              <w:jc w:val="left"/>
              <w:rPr>
                <w:sz w:val="23"/>
              </w:rPr>
            </w:pPr>
            <w:r>
              <w:rPr>
                <w:sz w:val="23"/>
              </w:rPr>
              <w:t>Error estándar</w:t>
            </w:r>
          </w:p>
        </w:tc>
      </w:tr>
      <w:tr>
        <w:trPr>
          <w:trHeight w:val="823" w:hRule="exact"/>
        </w:trPr>
        <w:tc>
          <w:tcPr>
            <w:tcW w:w="446" w:type="dxa"/>
            <w:vMerge w:val="restart"/>
            <w:tcBorders>
              <w:right w:val="nil"/>
            </w:tcBorders>
          </w:tcPr>
          <w:p>
            <w:pPr>
              <w:pStyle w:val="TableParagraph"/>
              <w:jc w:val="left"/>
              <w:rPr>
                <w:sz w:val="22"/>
              </w:rPr>
            </w:pPr>
          </w:p>
          <w:p>
            <w:pPr>
              <w:pStyle w:val="TableParagraph"/>
              <w:spacing w:before="139"/>
              <w:ind w:left="71"/>
              <w:jc w:val="left"/>
              <w:rPr>
                <w:sz w:val="23"/>
              </w:rPr>
            </w:pPr>
            <w:r>
              <w:rPr>
                <w:sz w:val="23"/>
              </w:rPr>
              <w:t>X1</w:t>
            </w:r>
          </w:p>
        </w:tc>
        <w:tc>
          <w:tcPr>
            <w:tcW w:w="4028" w:type="dxa"/>
            <w:gridSpan w:val="2"/>
            <w:tcBorders>
              <w:left w:val="nil"/>
              <w:bottom w:val="single" w:sz="8" w:space="0" w:color="000000"/>
            </w:tcBorders>
          </w:tcPr>
          <w:p>
            <w:pPr>
              <w:pStyle w:val="TableParagraph"/>
              <w:spacing w:line="261" w:lineRule="exact"/>
              <w:ind w:left="1530" w:right="1531"/>
              <w:rPr>
                <w:sz w:val="23"/>
              </w:rPr>
            </w:pPr>
            <w:r>
              <w:rPr>
                <w:sz w:val="23"/>
              </w:rPr>
              <w:t>Media</w:t>
            </w:r>
          </w:p>
        </w:tc>
        <w:tc>
          <w:tcPr>
            <w:tcW w:w="1476" w:type="dxa"/>
            <w:tcBorders>
              <w:bottom w:val="single" w:sz="8" w:space="0" w:color="000000"/>
              <w:right w:val="single" w:sz="8" w:space="0" w:color="000000"/>
            </w:tcBorders>
          </w:tcPr>
          <w:p>
            <w:pPr>
              <w:pStyle w:val="TableParagraph"/>
              <w:spacing w:line="261" w:lineRule="exact"/>
              <w:ind w:left="2"/>
              <w:rPr>
                <w:sz w:val="23"/>
              </w:rPr>
            </w:pPr>
            <w:r>
              <w:rPr>
                <w:sz w:val="23"/>
              </w:rPr>
              <w:t>9.41184404845</w:t>
            </w:r>
          </w:p>
          <w:p>
            <w:pPr>
              <w:pStyle w:val="TableParagraph"/>
              <w:spacing w:before="131"/>
              <w:rPr>
                <w:sz w:val="23"/>
              </w:rPr>
            </w:pPr>
            <w:r>
              <w:rPr>
                <w:sz w:val="23"/>
              </w:rPr>
              <w:t>8287</w:t>
            </w:r>
          </w:p>
        </w:tc>
        <w:tc>
          <w:tcPr>
            <w:tcW w:w="1477" w:type="dxa"/>
            <w:tcBorders>
              <w:left w:val="single" w:sz="8" w:space="0" w:color="000000"/>
              <w:bottom w:val="single" w:sz="8" w:space="0" w:color="000000"/>
            </w:tcBorders>
          </w:tcPr>
          <w:p>
            <w:pPr>
              <w:pStyle w:val="TableParagraph"/>
              <w:spacing w:line="261" w:lineRule="exact"/>
              <w:ind w:left="1"/>
              <w:rPr>
                <w:sz w:val="23"/>
              </w:rPr>
            </w:pPr>
            <w:r>
              <w:rPr>
                <w:sz w:val="23"/>
              </w:rPr>
              <w:t>.051394496804</w:t>
            </w:r>
          </w:p>
          <w:p>
            <w:pPr>
              <w:pStyle w:val="TableParagraph"/>
              <w:spacing w:before="131"/>
              <w:ind w:right="2"/>
              <w:rPr>
                <w:sz w:val="23"/>
              </w:rPr>
            </w:pPr>
            <w:r>
              <w:rPr>
                <w:sz w:val="23"/>
              </w:rPr>
              <w:t>561</w:t>
            </w:r>
          </w:p>
        </w:tc>
      </w:tr>
      <w:tr>
        <w:trPr>
          <w:trHeight w:val="785" w:hRule="exact"/>
        </w:trPr>
        <w:tc>
          <w:tcPr>
            <w:tcW w:w="446" w:type="dxa"/>
            <w:vMerge/>
            <w:tcBorders>
              <w:right w:val="nil"/>
            </w:tcBorders>
          </w:tcPr>
          <w:p>
            <w:pPr/>
          </w:p>
        </w:tc>
        <w:tc>
          <w:tcPr>
            <w:tcW w:w="2440" w:type="dxa"/>
            <w:tcBorders>
              <w:top w:val="single" w:sz="8" w:space="0" w:color="000000"/>
              <w:left w:val="nil"/>
              <w:bottom w:val="nil"/>
              <w:right w:val="nil"/>
            </w:tcBorders>
          </w:tcPr>
          <w:p>
            <w:pPr>
              <w:pStyle w:val="TableParagraph"/>
              <w:spacing w:line="360" w:lineRule="auto" w:before="15"/>
              <w:ind w:left="134" w:right="95" w:firstLine="170"/>
              <w:jc w:val="left"/>
              <w:rPr>
                <w:sz w:val="23"/>
              </w:rPr>
            </w:pPr>
            <w:r>
              <w:rPr>
                <w:sz w:val="23"/>
              </w:rPr>
              <w:t>95% de intervalo de confianza para la media</w:t>
            </w:r>
          </w:p>
        </w:tc>
        <w:tc>
          <w:tcPr>
            <w:tcW w:w="1589" w:type="dxa"/>
            <w:tcBorders>
              <w:top w:val="single" w:sz="8" w:space="0" w:color="000000"/>
              <w:left w:val="nil"/>
              <w:bottom w:val="nil"/>
            </w:tcBorders>
          </w:tcPr>
          <w:p>
            <w:pPr>
              <w:pStyle w:val="TableParagraph"/>
              <w:spacing w:before="15"/>
              <w:ind w:left="61" w:right="41"/>
              <w:rPr>
                <w:sz w:val="23"/>
              </w:rPr>
            </w:pPr>
            <w:r>
              <w:rPr>
                <w:sz w:val="23"/>
              </w:rPr>
              <w:t>Límite inferior</w:t>
            </w:r>
          </w:p>
        </w:tc>
        <w:tc>
          <w:tcPr>
            <w:tcW w:w="1476" w:type="dxa"/>
            <w:tcBorders>
              <w:top w:val="single" w:sz="8" w:space="0" w:color="000000"/>
              <w:bottom w:val="nil"/>
              <w:right w:val="single" w:sz="8" w:space="0" w:color="000000"/>
            </w:tcBorders>
          </w:tcPr>
          <w:p>
            <w:pPr>
              <w:pStyle w:val="TableParagraph"/>
              <w:spacing w:before="15"/>
              <w:ind w:left="2"/>
              <w:rPr>
                <w:sz w:val="23"/>
              </w:rPr>
            </w:pPr>
            <w:r>
              <w:rPr>
                <w:sz w:val="23"/>
              </w:rPr>
              <w:t>9.31047035702</w:t>
            </w:r>
          </w:p>
          <w:p>
            <w:pPr>
              <w:pStyle w:val="TableParagraph"/>
              <w:spacing w:before="131"/>
              <w:rPr>
                <w:sz w:val="23"/>
              </w:rPr>
            </w:pPr>
            <w:r>
              <w:rPr>
                <w:sz w:val="23"/>
              </w:rPr>
              <w:t>8102</w:t>
            </w:r>
          </w:p>
        </w:tc>
        <w:tc>
          <w:tcPr>
            <w:tcW w:w="1477" w:type="dxa"/>
            <w:vMerge w:val="restart"/>
            <w:tcBorders>
              <w:top w:val="single" w:sz="8" w:space="0" w:color="000000"/>
              <w:left w:val="single" w:sz="8" w:space="0" w:color="000000"/>
            </w:tcBorders>
          </w:tcPr>
          <w:p>
            <w:pPr/>
          </w:p>
        </w:tc>
      </w:tr>
      <w:tr>
        <w:trPr>
          <w:trHeight w:val="884" w:hRule="exact"/>
        </w:trPr>
        <w:tc>
          <w:tcPr>
            <w:tcW w:w="446" w:type="dxa"/>
            <w:vMerge/>
            <w:tcBorders>
              <w:right w:val="nil"/>
            </w:tcBorders>
          </w:tcPr>
          <w:p>
            <w:pPr/>
          </w:p>
        </w:tc>
        <w:tc>
          <w:tcPr>
            <w:tcW w:w="2440" w:type="dxa"/>
            <w:tcBorders>
              <w:top w:val="nil"/>
              <w:left w:val="nil"/>
              <w:bottom w:val="single" w:sz="8" w:space="0" w:color="000000"/>
              <w:right w:val="nil"/>
            </w:tcBorders>
          </w:tcPr>
          <w:p>
            <w:pPr/>
          </w:p>
        </w:tc>
        <w:tc>
          <w:tcPr>
            <w:tcW w:w="1589" w:type="dxa"/>
            <w:tcBorders>
              <w:top w:val="nil"/>
              <w:left w:val="nil"/>
              <w:bottom w:val="single" w:sz="8" w:space="0" w:color="000000"/>
            </w:tcBorders>
          </w:tcPr>
          <w:p>
            <w:pPr>
              <w:pStyle w:val="TableParagraph"/>
              <w:spacing w:before="74"/>
              <w:ind w:left="61" w:right="43"/>
              <w:rPr>
                <w:sz w:val="23"/>
              </w:rPr>
            </w:pPr>
            <w:r>
              <w:rPr>
                <w:sz w:val="23"/>
              </w:rPr>
              <w:t>Límite superior</w:t>
            </w:r>
          </w:p>
        </w:tc>
        <w:tc>
          <w:tcPr>
            <w:tcW w:w="1476" w:type="dxa"/>
            <w:tcBorders>
              <w:top w:val="nil"/>
              <w:bottom w:val="single" w:sz="8" w:space="0" w:color="000000"/>
              <w:right w:val="single" w:sz="8" w:space="0" w:color="000000"/>
            </w:tcBorders>
          </w:tcPr>
          <w:p>
            <w:pPr>
              <w:pStyle w:val="TableParagraph"/>
              <w:spacing w:before="74"/>
              <w:ind w:left="2"/>
              <w:rPr>
                <w:sz w:val="23"/>
              </w:rPr>
            </w:pPr>
            <w:r>
              <w:rPr>
                <w:sz w:val="23"/>
              </w:rPr>
              <w:t>9.51321773988</w:t>
            </w:r>
          </w:p>
          <w:p>
            <w:pPr>
              <w:pStyle w:val="TableParagraph"/>
              <w:spacing w:before="134"/>
              <w:rPr>
                <w:sz w:val="23"/>
              </w:rPr>
            </w:pPr>
            <w:r>
              <w:rPr>
                <w:sz w:val="23"/>
              </w:rPr>
              <w:t>8471</w:t>
            </w:r>
          </w:p>
        </w:tc>
        <w:tc>
          <w:tcPr>
            <w:tcW w:w="1477" w:type="dxa"/>
            <w:vMerge/>
            <w:tcBorders>
              <w:left w:val="single" w:sz="8" w:space="0" w:color="000000"/>
              <w:bottom w:val="single" w:sz="8" w:space="0" w:color="000000"/>
            </w:tcBorders>
          </w:tcPr>
          <w:p>
            <w:pPr/>
          </w:p>
        </w:tc>
      </w:tr>
      <w:tr>
        <w:trPr>
          <w:trHeight w:val="833" w:hRule="exact"/>
        </w:trPr>
        <w:tc>
          <w:tcPr>
            <w:tcW w:w="446" w:type="dxa"/>
            <w:vMerge/>
            <w:tcBorders>
              <w:right w:val="nil"/>
            </w:tcBorders>
          </w:tcPr>
          <w:p>
            <w:pPr/>
          </w:p>
        </w:tc>
        <w:tc>
          <w:tcPr>
            <w:tcW w:w="4028" w:type="dxa"/>
            <w:gridSpan w:val="2"/>
            <w:tcBorders>
              <w:top w:val="single" w:sz="8" w:space="0" w:color="000000"/>
              <w:left w:val="nil"/>
              <w:bottom w:val="single" w:sz="8" w:space="0" w:color="000000"/>
            </w:tcBorders>
          </w:tcPr>
          <w:p>
            <w:pPr>
              <w:pStyle w:val="TableParagraph"/>
              <w:spacing w:before="13"/>
              <w:ind w:left="960"/>
              <w:jc w:val="left"/>
              <w:rPr>
                <w:sz w:val="23"/>
              </w:rPr>
            </w:pPr>
            <w:r>
              <w:rPr>
                <w:sz w:val="23"/>
              </w:rPr>
              <w:t>Media recortada al 5%</w:t>
            </w:r>
          </w:p>
        </w:tc>
        <w:tc>
          <w:tcPr>
            <w:tcW w:w="1476" w:type="dxa"/>
            <w:tcBorders>
              <w:top w:val="single" w:sz="8" w:space="0" w:color="000000"/>
              <w:bottom w:val="single" w:sz="8" w:space="0" w:color="000000"/>
              <w:right w:val="single" w:sz="8" w:space="0" w:color="000000"/>
            </w:tcBorders>
          </w:tcPr>
          <w:p>
            <w:pPr>
              <w:pStyle w:val="TableParagraph"/>
              <w:spacing w:before="13"/>
              <w:ind w:left="2"/>
              <w:rPr>
                <w:sz w:val="23"/>
              </w:rPr>
            </w:pPr>
            <w:r>
              <w:rPr>
                <w:sz w:val="23"/>
              </w:rPr>
              <w:t>9.40687918894</w:t>
            </w:r>
          </w:p>
          <w:p>
            <w:pPr>
              <w:pStyle w:val="TableParagraph"/>
              <w:spacing w:before="134"/>
              <w:rPr>
                <w:sz w:val="23"/>
              </w:rPr>
            </w:pPr>
            <w:r>
              <w:rPr>
                <w:sz w:val="23"/>
              </w:rPr>
              <w:t>1335</w:t>
            </w:r>
          </w:p>
        </w:tc>
        <w:tc>
          <w:tcPr>
            <w:tcW w:w="1477" w:type="dxa"/>
            <w:tcBorders>
              <w:top w:val="single" w:sz="8" w:space="0" w:color="000000"/>
              <w:left w:val="single" w:sz="8" w:space="0" w:color="000000"/>
              <w:bottom w:val="single" w:sz="8" w:space="0" w:color="000000"/>
            </w:tcBorders>
          </w:tcPr>
          <w:p>
            <w:pPr/>
          </w:p>
        </w:tc>
      </w:tr>
      <w:tr>
        <w:trPr>
          <w:trHeight w:val="437" w:hRule="exact"/>
        </w:trPr>
        <w:tc>
          <w:tcPr>
            <w:tcW w:w="446" w:type="dxa"/>
            <w:vMerge/>
            <w:tcBorders>
              <w:right w:val="nil"/>
            </w:tcBorders>
          </w:tcPr>
          <w:p>
            <w:pPr/>
          </w:p>
        </w:tc>
        <w:tc>
          <w:tcPr>
            <w:tcW w:w="4028" w:type="dxa"/>
            <w:gridSpan w:val="2"/>
            <w:tcBorders>
              <w:top w:val="single" w:sz="8" w:space="0" w:color="000000"/>
              <w:left w:val="nil"/>
              <w:bottom w:val="single" w:sz="8" w:space="0" w:color="000000"/>
            </w:tcBorders>
          </w:tcPr>
          <w:p>
            <w:pPr/>
          </w:p>
        </w:tc>
        <w:tc>
          <w:tcPr>
            <w:tcW w:w="1476" w:type="dxa"/>
            <w:tcBorders>
              <w:top w:val="single" w:sz="8" w:space="0" w:color="000000"/>
              <w:bottom w:val="single" w:sz="8" w:space="0" w:color="000000"/>
              <w:right w:val="single" w:sz="8" w:space="0" w:color="000000"/>
            </w:tcBorders>
          </w:tcPr>
          <w:p>
            <w:pPr/>
          </w:p>
        </w:tc>
        <w:tc>
          <w:tcPr>
            <w:tcW w:w="1477" w:type="dxa"/>
            <w:tcBorders>
              <w:top w:val="single" w:sz="8" w:space="0" w:color="000000"/>
              <w:left w:val="single" w:sz="8" w:space="0" w:color="000000"/>
              <w:bottom w:val="single" w:sz="8" w:space="0" w:color="000000"/>
            </w:tcBorders>
          </w:tcPr>
          <w:p>
            <w:pPr/>
          </w:p>
        </w:tc>
      </w:tr>
      <w:tr>
        <w:trPr>
          <w:trHeight w:val="833" w:hRule="exact"/>
        </w:trPr>
        <w:tc>
          <w:tcPr>
            <w:tcW w:w="446" w:type="dxa"/>
            <w:vMerge/>
            <w:tcBorders>
              <w:right w:val="nil"/>
            </w:tcBorders>
          </w:tcPr>
          <w:p>
            <w:pPr/>
          </w:p>
        </w:tc>
        <w:tc>
          <w:tcPr>
            <w:tcW w:w="4028" w:type="dxa"/>
            <w:gridSpan w:val="2"/>
            <w:tcBorders>
              <w:top w:val="single" w:sz="8" w:space="0" w:color="000000"/>
              <w:left w:val="nil"/>
              <w:bottom w:val="single" w:sz="8" w:space="0" w:color="000000"/>
            </w:tcBorders>
          </w:tcPr>
          <w:p>
            <w:pPr>
              <w:pStyle w:val="TableParagraph"/>
              <w:spacing w:before="15"/>
              <w:ind w:left="1530" w:right="1531"/>
              <w:rPr>
                <w:sz w:val="23"/>
              </w:rPr>
            </w:pPr>
            <w:r>
              <w:rPr>
                <w:sz w:val="23"/>
              </w:rPr>
              <w:t>Mediana</w:t>
            </w:r>
          </w:p>
        </w:tc>
        <w:tc>
          <w:tcPr>
            <w:tcW w:w="1476" w:type="dxa"/>
            <w:tcBorders>
              <w:top w:val="single" w:sz="8" w:space="0" w:color="000000"/>
              <w:bottom w:val="single" w:sz="8" w:space="0" w:color="000000"/>
              <w:right w:val="single" w:sz="8" w:space="0" w:color="000000"/>
            </w:tcBorders>
          </w:tcPr>
          <w:p>
            <w:pPr>
              <w:pStyle w:val="TableParagraph"/>
              <w:spacing w:before="15"/>
              <w:ind w:left="2"/>
              <w:rPr>
                <w:sz w:val="23"/>
              </w:rPr>
            </w:pPr>
            <w:r>
              <w:rPr>
                <w:sz w:val="23"/>
              </w:rPr>
              <w:t>9.36129851381</w:t>
            </w:r>
          </w:p>
          <w:p>
            <w:pPr>
              <w:pStyle w:val="TableParagraph"/>
              <w:spacing w:before="131"/>
              <w:rPr>
                <w:sz w:val="23"/>
              </w:rPr>
            </w:pPr>
            <w:r>
              <w:rPr>
                <w:sz w:val="23"/>
              </w:rPr>
              <w:t>5985</w:t>
            </w:r>
          </w:p>
        </w:tc>
        <w:tc>
          <w:tcPr>
            <w:tcW w:w="1477" w:type="dxa"/>
            <w:tcBorders>
              <w:top w:val="single" w:sz="8" w:space="0" w:color="000000"/>
              <w:left w:val="single" w:sz="8" w:space="0" w:color="000000"/>
              <w:bottom w:val="single" w:sz="8" w:space="0" w:color="000000"/>
            </w:tcBorders>
          </w:tcPr>
          <w:p>
            <w:pPr/>
          </w:p>
        </w:tc>
      </w:tr>
      <w:tr>
        <w:trPr>
          <w:trHeight w:val="437" w:hRule="exact"/>
        </w:trPr>
        <w:tc>
          <w:tcPr>
            <w:tcW w:w="446" w:type="dxa"/>
            <w:vMerge/>
            <w:tcBorders>
              <w:right w:val="nil"/>
            </w:tcBorders>
          </w:tcPr>
          <w:p>
            <w:pPr/>
          </w:p>
        </w:tc>
        <w:tc>
          <w:tcPr>
            <w:tcW w:w="4028" w:type="dxa"/>
            <w:gridSpan w:val="2"/>
            <w:tcBorders>
              <w:top w:val="single" w:sz="8" w:space="0" w:color="000000"/>
              <w:left w:val="nil"/>
              <w:bottom w:val="single" w:sz="8" w:space="0" w:color="000000"/>
            </w:tcBorders>
          </w:tcPr>
          <w:p>
            <w:pPr>
              <w:pStyle w:val="TableParagraph"/>
              <w:spacing w:before="15"/>
              <w:ind w:left="1531" w:right="1530"/>
              <w:rPr>
                <w:sz w:val="23"/>
              </w:rPr>
            </w:pPr>
            <w:r>
              <w:rPr>
                <w:sz w:val="23"/>
              </w:rPr>
              <w:t>Varianza</w:t>
            </w:r>
          </w:p>
        </w:tc>
        <w:tc>
          <w:tcPr>
            <w:tcW w:w="1476" w:type="dxa"/>
            <w:tcBorders>
              <w:top w:val="single" w:sz="8" w:space="0" w:color="000000"/>
              <w:bottom w:val="single" w:sz="8" w:space="0" w:color="000000"/>
              <w:right w:val="single" w:sz="8" w:space="0" w:color="000000"/>
            </w:tcBorders>
          </w:tcPr>
          <w:p>
            <w:pPr>
              <w:pStyle w:val="TableParagraph"/>
              <w:spacing w:before="15"/>
              <w:rPr>
                <w:sz w:val="23"/>
              </w:rPr>
            </w:pPr>
            <w:r>
              <w:rPr>
                <w:sz w:val="23"/>
              </w:rPr>
              <w:t>.507</w:t>
            </w:r>
          </w:p>
        </w:tc>
        <w:tc>
          <w:tcPr>
            <w:tcW w:w="1477" w:type="dxa"/>
            <w:tcBorders>
              <w:top w:val="single" w:sz="8" w:space="0" w:color="000000"/>
              <w:left w:val="single" w:sz="8" w:space="0" w:color="000000"/>
              <w:bottom w:val="single" w:sz="8" w:space="0" w:color="000000"/>
            </w:tcBorders>
          </w:tcPr>
          <w:p>
            <w:pPr/>
          </w:p>
        </w:tc>
      </w:tr>
      <w:tr>
        <w:trPr>
          <w:trHeight w:val="836" w:hRule="exact"/>
        </w:trPr>
        <w:tc>
          <w:tcPr>
            <w:tcW w:w="446" w:type="dxa"/>
            <w:vMerge/>
            <w:tcBorders>
              <w:right w:val="nil"/>
            </w:tcBorders>
          </w:tcPr>
          <w:p>
            <w:pPr/>
          </w:p>
        </w:tc>
        <w:tc>
          <w:tcPr>
            <w:tcW w:w="4028" w:type="dxa"/>
            <w:gridSpan w:val="2"/>
            <w:tcBorders>
              <w:top w:val="single" w:sz="8" w:space="0" w:color="000000"/>
              <w:left w:val="nil"/>
              <w:bottom w:val="single" w:sz="8" w:space="0" w:color="000000"/>
            </w:tcBorders>
          </w:tcPr>
          <w:p>
            <w:pPr>
              <w:pStyle w:val="TableParagraph"/>
              <w:spacing w:before="16"/>
              <w:ind w:left="1075"/>
              <w:jc w:val="left"/>
              <w:rPr>
                <w:sz w:val="23"/>
              </w:rPr>
            </w:pPr>
            <w:r>
              <w:rPr>
                <w:sz w:val="23"/>
              </w:rPr>
              <w:t>Desviación estándar</w:t>
            </w:r>
          </w:p>
        </w:tc>
        <w:tc>
          <w:tcPr>
            <w:tcW w:w="1476" w:type="dxa"/>
            <w:tcBorders>
              <w:top w:val="single" w:sz="8" w:space="0" w:color="000000"/>
              <w:bottom w:val="single" w:sz="8" w:space="0" w:color="000000"/>
              <w:right w:val="single" w:sz="8" w:space="0" w:color="000000"/>
            </w:tcBorders>
          </w:tcPr>
          <w:p>
            <w:pPr>
              <w:pStyle w:val="TableParagraph"/>
              <w:spacing w:before="16"/>
              <w:ind w:left="2"/>
              <w:rPr>
                <w:sz w:val="23"/>
              </w:rPr>
            </w:pPr>
            <w:r>
              <w:rPr>
                <w:sz w:val="23"/>
              </w:rPr>
              <w:t>.712143037559</w:t>
            </w:r>
          </w:p>
          <w:p>
            <w:pPr>
              <w:pStyle w:val="TableParagraph"/>
              <w:spacing w:before="131"/>
              <w:rPr>
                <w:sz w:val="23"/>
              </w:rPr>
            </w:pPr>
            <w:r>
              <w:rPr>
                <w:sz w:val="23"/>
              </w:rPr>
              <w:t>489</w:t>
            </w:r>
          </w:p>
        </w:tc>
        <w:tc>
          <w:tcPr>
            <w:tcW w:w="1477" w:type="dxa"/>
            <w:tcBorders>
              <w:top w:val="single" w:sz="8" w:space="0" w:color="000000"/>
              <w:left w:val="single" w:sz="8" w:space="0" w:color="000000"/>
              <w:bottom w:val="single" w:sz="8" w:space="0" w:color="000000"/>
            </w:tcBorders>
          </w:tcPr>
          <w:p>
            <w:pPr/>
          </w:p>
        </w:tc>
      </w:tr>
      <w:tr>
        <w:trPr>
          <w:trHeight w:val="833" w:hRule="exact"/>
        </w:trPr>
        <w:tc>
          <w:tcPr>
            <w:tcW w:w="446" w:type="dxa"/>
            <w:vMerge/>
            <w:tcBorders>
              <w:right w:val="nil"/>
            </w:tcBorders>
          </w:tcPr>
          <w:p>
            <w:pPr/>
          </w:p>
        </w:tc>
        <w:tc>
          <w:tcPr>
            <w:tcW w:w="4028" w:type="dxa"/>
            <w:gridSpan w:val="2"/>
            <w:tcBorders>
              <w:top w:val="single" w:sz="8" w:space="0" w:color="000000"/>
              <w:left w:val="nil"/>
              <w:bottom w:val="single" w:sz="8" w:space="0" w:color="000000"/>
            </w:tcBorders>
          </w:tcPr>
          <w:p>
            <w:pPr>
              <w:pStyle w:val="TableParagraph"/>
              <w:spacing w:before="13"/>
              <w:ind w:left="1531" w:right="1531"/>
              <w:rPr>
                <w:sz w:val="23"/>
              </w:rPr>
            </w:pPr>
            <w:r>
              <w:rPr>
                <w:sz w:val="23"/>
              </w:rPr>
              <w:t>Mínimo</w:t>
            </w:r>
          </w:p>
        </w:tc>
        <w:tc>
          <w:tcPr>
            <w:tcW w:w="1476" w:type="dxa"/>
            <w:tcBorders>
              <w:top w:val="single" w:sz="8" w:space="0" w:color="000000"/>
              <w:bottom w:val="single" w:sz="8" w:space="0" w:color="000000"/>
              <w:right w:val="single" w:sz="8" w:space="0" w:color="000000"/>
            </w:tcBorders>
          </w:tcPr>
          <w:p>
            <w:pPr>
              <w:pStyle w:val="TableParagraph"/>
              <w:spacing w:before="13"/>
              <w:ind w:left="2"/>
              <w:rPr>
                <w:sz w:val="23"/>
              </w:rPr>
            </w:pPr>
            <w:r>
              <w:rPr>
                <w:sz w:val="23"/>
              </w:rPr>
              <w:t>7.63046126178</w:t>
            </w:r>
          </w:p>
          <w:p>
            <w:pPr>
              <w:pStyle w:val="TableParagraph"/>
              <w:spacing w:before="134"/>
              <w:rPr>
                <w:sz w:val="23"/>
              </w:rPr>
            </w:pPr>
            <w:r>
              <w:rPr>
                <w:sz w:val="23"/>
              </w:rPr>
              <w:t>36270</w:t>
            </w:r>
          </w:p>
        </w:tc>
        <w:tc>
          <w:tcPr>
            <w:tcW w:w="1477" w:type="dxa"/>
            <w:tcBorders>
              <w:top w:val="single" w:sz="8" w:space="0" w:color="000000"/>
              <w:left w:val="single" w:sz="8" w:space="0" w:color="000000"/>
              <w:bottom w:val="single" w:sz="8" w:space="0" w:color="000000"/>
            </w:tcBorders>
          </w:tcPr>
          <w:p>
            <w:pPr/>
          </w:p>
        </w:tc>
      </w:tr>
      <w:tr>
        <w:trPr>
          <w:trHeight w:val="833" w:hRule="exact"/>
        </w:trPr>
        <w:tc>
          <w:tcPr>
            <w:tcW w:w="446" w:type="dxa"/>
            <w:vMerge/>
            <w:tcBorders>
              <w:bottom w:val="single" w:sz="8" w:space="0" w:color="000000"/>
              <w:right w:val="nil"/>
            </w:tcBorders>
          </w:tcPr>
          <w:p>
            <w:pPr/>
          </w:p>
        </w:tc>
        <w:tc>
          <w:tcPr>
            <w:tcW w:w="4028" w:type="dxa"/>
            <w:gridSpan w:val="2"/>
            <w:tcBorders>
              <w:top w:val="single" w:sz="8" w:space="0" w:color="000000"/>
              <w:left w:val="nil"/>
              <w:bottom w:val="single" w:sz="8" w:space="0" w:color="000000"/>
            </w:tcBorders>
          </w:tcPr>
          <w:p>
            <w:pPr>
              <w:pStyle w:val="TableParagraph"/>
              <w:spacing w:before="13"/>
              <w:ind w:left="1531" w:right="1531"/>
              <w:rPr>
                <w:sz w:val="23"/>
              </w:rPr>
            </w:pPr>
            <w:r>
              <w:rPr>
                <w:sz w:val="23"/>
              </w:rPr>
              <w:t>Máximo</w:t>
            </w:r>
          </w:p>
        </w:tc>
        <w:tc>
          <w:tcPr>
            <w:tcW w:w="1476" w:type="dxa"/>
            <w:tcBorders>
              <w:top w:val="single" w:sz="8" w:space="0" w:color="000000"/>
              <w:bottom w:val="single" w:sz="8" w:space="0" w:color="000000"/>
              <w:right w:val="single" w:sz="8" w:space="0" w:color="000000"/>
            </w:tcBorders>
          </w:tcPr>
          <w:p>
            <w:pPr>
              <w:pStyle w:val="TableParagraph"/>
              <w:spacing w:before="13"/>
              <w:ind w:left="2"/>
              <w:rPr>
                <w:sz w:val="23"/>
              </w:rPr>
            </w:pPr>
            <w:r>
              <w:rPr>
                <w:sz w:val="23"/>
              </w:rPr>
              <w:t>11.3756155140</w:t>
            </w:r>
          </w:p>
          <w:p>
            <w:pPr>
              <w:pStyle w:val="TableParagraph"/>
              <w:spacing w:before="134"/>
              <w:rPr>
                <w:sz w:val="23"/>
              </w:rPr>
            </w:pPr>
            <w:r>
              <w:rPr>
                <w:sz w:val="23"/>
              </w:rPr>
              <w:t>056220</w:t>
            </w:r>
          </w:p>
        </w:tc>
        <w:tc>
          <w:tcPr>
            <w:tcW w:w="1477" w:type="dxa"/>
            <w:tcBorders>
              <w:top w:val="single" w:sz="8" w:space="0" w:color="000000"/>
              <w:left w:val="single" w:sz="8" w:space="0" w:color="000000"/>
              <w:bottom w:val="single" w:sz="8" w:space="0" w:color="000000"/>
            </w:tcBorders>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9"/>
        </w:rPr>
      </w:pPr>
      <w:r>
        <w:rPr/>
        <w:pict>
          <v:line style="position:absolute;mso-position-horizontal-relative:page;mso-position-vertical-relative:paragraph;z-index:4624;mso-wrap-distance-left:0;mso-wrap-distance-right:0" from="85.103996pt,19.222694pt" to="525.960017pt,19.222694pt" stroked="true" strokeweight=".36pt" strokecolor="#000000">
            <w10:wrap type="topAndBottom"/>
          </v:line>
        </w:pict>
      </w:r>
    </w:p>
    <w:p>
      <w:pPr>
        <w:spacing w:after="0"/>
        <w:rPr>
          <w:sz w:val="29"/>
        </w:rPr>
        <w:sectPr>
          <w:headerReference w:type="default" r:id="rId170"/>
          <w:footerReference w:type="default" r:id="rId171"/>
          <w:pgSz w:w="12240" w:h="15840"/>
          <w:pgMar w:header="1414" w:footer="1462" w:top="1600" w:bottom="1660" w:left="1580" w:right="1600"/>
        </w:sectPr>
      </w:pPr>
    </w:p>
    <w:p>
      <w:pPr>
        <w:pStyle w:val="BodyText"/>
        <w:rPr>
          <w:sz w:val="20"/>
        </w:rPr>
      </w:pPr>
    </w:p>
    <w:p>
      <w:pPr>
        <w:pStyle w:val="BodyText"/>
        <w:spacing w:before="8"/>
        <w:rPr>
          <w:sz w:val="17"/>
        </w:rPr>
      </w:pPr>
    </w:p>
    <w:p>
      <w:pPr>
        <w:pStyle w:val="BodyText"/>
        <w:spacing w:before="70"/>
        <w:ind w:left="2719" w:right="64"/>
      </w:pPr>
      <w:r>
        <w:rPr/>
        <w:t>Cuadro 03. Descriptivos (continuaciòn)</w:t>
      </w:r>
    </w:p>
    <w:p>
      <w:pPr>
        <w:pStyle w:val="BodyText"/>
        <w:spacing w:before="6" w:after="1"/>
        <w:rPr>
          <w:sz w:val="10"/>
        </w:rPr>
      </w:pPr>
    </w:p>
    <w:tbl>
      <w:tblPr>
        <w:tblW w:w="0" w:type="auto"/>
        <w:jc w:val="left"/>
        <w:tblInd w:w="661"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737"/>
        <w:gridCol w:w="2440"/>
        <w:gridCol w:w="1589"/>
        <w:gridCol w:w="1476"/>
        <w:gridCol w:w="1477"/>
      </w:tblGrid>
      <w:tr>
        <w:trPr>
          <w:trHeight w:val="442" w:hRule="exact"/>
        </w:trPr>
        <w:tc>
          <w:tcPr>
            <w:tcW w:w="737" w:type="dxa"/>
            <w:vMerge w:val="restart"/>
            <w:tcBorders>
              <w:left w:val="single" w:sz="17" w:space="0" w:color="000000"/>
              <w:right w:val="nil"/>
            </w:tcBorders>
          </w:tcPr>
          <w:p>
            <w:pPr/>
          </w:p>
        </w:tc>
        <w:tc>
          <w:tcPr>
            <w:tcW w:w="4028" w:type="dxa"/>
            <w:gridSpan w:val="2"/>
            <w:tcBorders>
              <w:top w:val="single" w:sz="4" w:space="0" w:color="000000"/>
              <w:left w:val="nil"/>
              <w:bottom w:val="single" w:sz="8" w:space="0" w:color="000000"/>
            </w:tcBorders>
          </w:tcPr>
          <w:p>
            <w:pPr/>
          </w:p>
        </w:tc>
        <w:tc>
          <w:tcPr>
            <w:tcW w:w="1476" w:type="dxa"/>
            <w:tcBorders>
              <w:top w:val="single" w:sz="16" w:space="0" w:color="FFFFFF"/>
              <w:bottom w:val="single" w:sz="8" w:space="0" w:color="000000"/>
              <w:right w:val="single" w:sz="8" w:space="0" w:color="000000"/>
            </w:tcBorders>
          </w:tcPr>
          <w:p>
            <w:pPr/>
          </w:p>
        </w:tc>
        <w:tc>
          <w:tcPr>
            <w:tcW w:w="1477" w:type="dxa"/>
            <w:tcBorders>
              <w:top w:val="single" w:sz="16" w:space="0" w:color="FFFFFF"/>
              <w:left w:val="single" w:sz="8" w:space="0" w:color="000000"/>
              <w:bottom w:val="single" w:sz="8" w:space="0" w:color="000000"/>
              <w:right w:val="single" w:sz="17" w:space="0" w:color="000000"/>
            </w:tcBorders>
          </w:tcPr>
          <w:p>
            <w:pPr/>
          </w:p>
        </w:tc>
      </w:tr>
      <w:tr>
        <w:trPr>
          <w:trHeight w:val="835" w:hRule="exact"/>
        </w:trPr>
        <w:tc>
          <w:tcPr>
            <w:tcW w:w="737" w:type="dxa"/>
            <w:vMerge/>
            <w:tcBorders>
              <w:left w:val="single" w:sz="17" w:space="0" w:color="000000"/>
              <w:right w:val="nil"/>
            </w:tcBorders>
          </w:tcPr>
          <w:p>
            <w:pPr/>
          </w:p>
        </w:tc>
        <w:tc>
          <w:tcPr>
            <w:tcW w:w="4028" w:type="dxa"/>
            <w:gridSpan w:val="2"/>
            <w:tcBorders>
              <w:top w:val="single" w:sz="8" w:space="0" w:color="000000"/>
              <w:left w:val="nil"/>
              <w:bottom w:val="single" w:sz="8" w:space="0" w:color="000000"/>
            </w:tcBorders>
          </w:tcPr>
          <w:p>
            <w:pPr>
              <w:pStyle w:val="TableParagraph"/>
              <w:spacing w:before="15"/>
              <w:ind w:left="1531" w:right="1531"/>
              <w:rPr>
                <w:sz w:val="23"/>
              </w:rPr>
            </w:pPr>
            <w:r>
              <w:rPr>
                <w:sz w:val="23"/>
              </w:rPr>
              <w:t>Rango</w:t>
            </w:r>
          </w:p>
        </w:tc>
        <w:tc>
          <w:tcPr>
            <w:tcW w:w="1476" w:type="dxa"/>
            <w:tcBorders>
              <w:top w:val="single" w:sz="8" w:space="0" w:color="000000"/>
              <w:bottom w:val="single" w:sz="8" w:space="0" w:color="000000"/>
              <w:right w:val="single" w:sz="8" w:space="0" w:color="000000"/>
            </w:tcBorders>
          </w:tcPr>
          <w:p>
            <w:pPr>
              <w:pStyle w:val="TableParagraph"/>
              <w:spacing w:before="15"/>
              <w:ind w:left="2"/>
              <w:rPr>
                <w:sz w:val="23"/>
              </w:rPr>
            </w:pPr>
            <w:r>
              <w:rPr>
                <w:sz w:val="23"/>
              </w:rPr>
              <w:t>3.74515425222</w:t>
            </w:r>
          </w:p>
          <w:p>
            <w:pPr>
              <w:pStyle w:val="TableParagraph"/>
              <w:spacing w:before="131"/>
              <w:rPr>
                <w:sz w:val="23"/>
              </w:rPr>
            </w:pPr>
            <w:r>
              <w:rPr>
                <w:sz w:val="23"/>
              </w:rPr>
              <w:t>19947</w:t>
            </w:r>
          </w:p>
        </w:tc>
        <w:tc>
          <w:tcPr>
            <w:tcW w:w="1477" w:type="dxa"/>
            <w:tcBorders>
              <w:top w:val="single" w:sz="8" w:space="0" w:color="000000"/>
              <w:left w:val="single" w:sz="8" w:space="0" w:color="000000"/>
              <w:bottom w:val="single" w:sz="8" w:space="0" w:color="000000"/>
              <w:right w:val="single" w:sz="17" w:space="0" w:color="000000"/>
            </w:tcBorders>
          </w:tcPr>
          <w:p>
            <w:pPr/>
          </w:p>
        </w:tc>
      </w:tr>
      <w:tr>
        <w:trPr>
          <w:trHeight w:val="833" w:hRule="exact"/>
        </w:trPr>
        <w:tc>
          <w:tcPr>
            <w:tcW w:w="737" w:type="dxa"/>
            <w:vMerge/>
            <w:tcBorders>
              <w:left w:val="single" w:sz="17" w:space="0" w:color="000000"/>
              <w:right w:val="nil"/>
            </w:tcBorders>
          </w:tcPr>
          <w:p>
            <w:pPr/>
          </w:p>
        </w:tc>
        <w:tc>
          <w:tcPr>
            <w:tcW w:w="4028" w:type="dxa"/>
            <w:gridSpan w:val="2"/>
            <w:tcBorders>
              <w:top w:val="single" w:sz="8" w:space="0" w:color="000000"/>
              <w:left w:val="nil"/>
              <w:bottom w:val="single" w:sz="8" w:space="0" w:color="000000"/>
            </w:tcBorders>
          </w:tcPr>
          <w:p>
            <w:pPr>
              <w:pStyle w:val="TableParagraph"/>
              <w:spacing w:before="13"/>
              <w:ind w:left="1169"/>
              <w:jc w:val="left"/>
              <w:rPr>
                <w:sz w:val="23"/>
              </w:rPr>
            </w:pPr>
            <w:r>
              <w:rPr>
                <w:sz w:val="23"/>
              </w:rPr>
              <w:t>Rango intercuartil</w:t>
            </w:r>
          </w:p>
        </w:tc>
        <w:tc>
          <w:tcPr>
            <w:tcW w:w="1476" w:type="dxa"/>
            <w:tcBorders>
              <w:top w:val="single" w:sz="8" w:space="0" w:color="000000"/>
              <w:bottom w:val="single" w:sz="8" w:space="0" w:color="000000"/>
              <w:right w:val="single" w:sz="8" w:space="0" w:color="000000"/>
            </w:tcBorders>
          </w:tcPr>
          <w:p>
            <w:pPr>
              <w:pStyle w:val="TableParagraph"/>
              <w:spacing w:before="13"/>
              <w:ind w:left="2"/>
              <w:rPr>
                <w:sz w:val="23"/>
              </w:rPr>
            </w:pPr>
            <w:r>
              <w:rPr>
                <w:sz w:val="23"/>
              </w:rPr>
              <w:t>1.02925197237</w:t>
            </w:r>
          </w:p>
          <w:p>
            <w:pPr>
              <w:pStyle w:val="TableParagraph"/>
              <w:spacing w:before="134"/>
              <w:rPr>
                <w:sz w:val="23"/>
              </w:rPr>
            </w:pPr>
            <w:r>
              <w:rPr>
                <w:sz w:val="23"/>
              </w:rPr>
              <w:t>51940</w:t>
            </w:r>
          </w:p>
        </w:tc>
        <w:tc>
          <w:tcPr>
            <w:tcW w:w="1477" w:type="dxa"/>
            <w:tcBorders>
              <w:top w:val="single" w:sz="8" w:space="0" w:color="000000"/>
              <w:left w:val="single" w:sz="8" w:space="0" w:color="000000"/>
              <w:bottom w:val="single" w:sz="8" w:space="0" w:color="000000"/>
              <w:right w:val="single" w:sz="17" w:space="0" w:color="000000"/>
            </w:tcBorders>
          </w:tcPr>
          <w:p>
            <w:pPr/>
          </w:p>
        </w:tc>
      </w:tr>
      <w:tr>
        <w:trPr>
          <w:trHeight w:val="437" w:hRule="exact"/>
        </w:trPr>
        <w:tc>
          <w:tcPr>
            <w:tcW w:w="737" w:type="dxa"/>
            <w:vMerge/>
            <w:tcBorders>
              <w:left w:val="single" w:sz="17" w:space="0" w:color="000000"/>
              <w:right w:val="nil"/>
            </w:tcBorders>
          </w:tcPr>
          <w:p>
            <w:pPr/>
          </w:p>
        </w:tc>
        <w:tc>
          <w:tcPr>
            <w:tcW w:w="4028" w:type="dxa"/>
            <w:gridSpan w:val="2"/>
            <w:tcBorders>
              <w:top w:val="single" w:sz="8" w:space="0" w:color="000000"/>
              <w:left w:val="nil"/>
              <w:bottom w:val="single" w:sz="8" w:space="0" w:color="000000"/>
            </w:tcBorders>
          </w:tcPr>
          <w:p>
            <w:pPr>
              <w:pStyle w:val="TableParagraph"/>
              <w:spacing w:before="15"/>
              <w:ind w:left="1531" w:right="1531"/>
              <w:rPr>
                <w:sz w:val="23"/>
              </w:rPr>
            </w:pPr>
            <w:r>
              <w:rPr>
                <w:sz w:val="23"/>
              </w:rPr>
              <w:t>Asimetría</w:t>
            </w:r>
          </w:p>
        </w:tc>
        <w:tc>
          <w:tcPr>
            <w:tcW w:w="1476" w:type="dxa"/>
            <w:tcBorders>
              <w:top w:val="single" w:sz="8" w:space="0" w:color="000000"/>
              <w:bottom w:val="single" w:sz="8" w:space="0" w:color="000000"/>
              <w:right w:val="single" w:sz="8" w:space="0" w:color="000000"/>
            </w:tcBorders>
          </w:tcPr>
          <w:p>
            <w:pPr>
              <w:pStyle w:val="TableParagraph"/>
              <w:spacing w:before="15"/>
              <w:rPr>
                <w:sz w:val="23"/>
              </w:rPr>
            </w:pPr>
            <w:r>
              <w:rPr>
                <w:sz w:val="23"/>
              </w:rPr>
              <w:t>.128</w:t>
            </w:r>
          </w:p>
        </w:tc>
        <w:tc>
          <w:tcPr>
            <w:tcW w:w="1477" w:type="dxa"/>
            <w:tcBorders>
              <w:top w:val="single" w:sz="8" w:space="0" w:color="000000"/>
              <w:left w:val="single" w:sz="8" w:space="0" w:color="000000"/>
              <w:bottom w:val="single" w:sz="8" w:space="0" w:color="000000"/>
              <w:right w:val="single" w:sz="17" w:space="0" w:color="000000"/>
            </w:tcBorders>
          </w:tcPr>
          <w:p>
            <w:pPr>
              <w:pStyle w:val="TableParagraph"/>
              <w:spacing w:before="15"/>
              <w:rPr>
                <w:sz w:val="23"/>
              </w:rPr>
            </w:pPr>
            <w:r>
              <w:rPr>
                <w:sz w:val="23"/>
              </w:rPr>
              <w:t>.175</w:t>
            </w:r>
          </w:p>
        </w:tc>
      </w:tr>
      <w:tr>
        <w:trPr>
          <w:trHeight w:val="437" w:hRule="exact"/>
        </w:trPr>
        <w:tc>
          <w:tcPr>
            <w:tcW w:w="737" w:type="dxa"/>
            <w:vMerge/>
            <w:tcBorders>
              <w:left w:val="single" w:sz="17" w:space="0" w:color="000000"/>
              <w:bottom w:val="single" w:sz="8" w:space="0" w:color="000000"/>
              <w:right w:val="nil"/>
            </w:tcBorders>
          </w:tcPr>
          <w:p>
            <w:pPr/>
          </w:p>
        </w:tc>
        <w:tc>
          <w:tcPr>
            <w:tcW w:w="4028" w:type="dxa"/>
            <w:gridSpan w:val="2"/>
            <w:tcBorders>
              <w:top w:val="single" w:sz="8" w:space="0" w:color="000000"/>
              <w:left w:val="nil"/>
              <w:bottom w:val="single" w:sz="8" w:space="0" w:color="000000"/>
            </w:tcBorders>
          </w:tcPr>
          <w:p>
            <w:pPr>
              <w:pStyle w:val="TableParagraph"/>
              <w:spacing w:before="15"/>
              <w:ind w:left="1531" w:right="1531"/>
              <w:rPr>
                <w:sz w:val="23"/>
              </w:rPr>
            </w:pPr>
            <w:r>
              <w:rPr>
                <w:sz w:val="23"/>
              </w:rPr>
              <w:t>Curtosis</w:t>
            </w:r>
          </w:p>
        </w:tc>
        <w:tc>
          <w:tcPr>
            <w:tcW w:w="1476" w:type="dxa"/>
            <w:tcBorders>
              <w:top w:val="single" w:sz="8" w:space="0" w:color="000000"/>
              <w:bottom w:val="single" w:sz="8" w:space="0" w:color="000000"/>
              <w:right w:val="single" w:sz="8" w:space="0" w:color="000000"/>
            </w:tcBorders>
          </w:tcPr>
          <w:p>
            <w:pPr>
              <w:pStyle w:val="TableParagraph"/>
              <w:spacing w:before="15"/>
              <w:rPr>
                <w:sz w:val="23"/>
              </w:rPr>
            </w:pPr>
            <w:r>
              <w:rPr>
                <w:sz w:val="23"/>
              </w:rPr>
              <w:t>-.177</w:t>
            </w:r>
          </w:p>
        </w:tc>
        <w:tc>
          <w:tcPr>
            <w:tcW w:w="1477" w:type="dxa"/>
            <w:tcBorders>
              <w:top w:val="single" w:sz="8" w:space="0" w:color="000000"/>
              <w:left w:val="single" w:sz="8" w:space="0" w:color="000000"/>
              <w:bottom w:val="single" w:sz="8" w:space="0" w:color="000000"/>
              <w:right w:val="single" w:sz="17" w:space="0" w:color="000000"/>
            </w:tcBorders>
          </w:tcPr>
          <w:p>
            <w:pPr>
              <w:pStyle w:val="TableParagraph"/>
              <w:spacing w:before="15"/>
              <w:rPr>
                <w:sz w:val="23"/>
              </w:rPr>
            </w:pPr>
            <w:r>
              <w:rPr>
                <w:sz w:val="23"/>
              </w:rPr>
              <w:t>.349</w:t>
            </w:r>
          </w:p>
        </w:tc>
      </w:tr>
      <w:tr>
        <w:trPr>
          <w:trHeight w:val="814" w:hRule="exact"/>
        </w:trPr>
        <w:tc>
          <w:tcPr>
            <w:tcW w:w="737" w:type="dxa"/>
            <w:vMerge w:val="restart"/>
            <w:tcBorders>
              <w:top w:val="single" w:sz="8" w:space="0" w:color="000000"/>
              <w:left w:val="single" w:sz="17" w:space="0" w:color="000000"/>
              <w:right w:val="nil"/>
            </w:tcBorders>
          </w:tcPr>
          <w:p>
            <w:pPr>
              <w:pStyle w:val="TableParagraph"/>
              <w:jc w:val="left"/>
              <w:rPr>
                <w:sz w:val="22"/>
              </w:rPr>
            </w:pPr>
          </w:p>
          <w:p>
            <w:pPr>
              <w:pStyle w:val="TableParagraph"/>
              <w:spacing w:before="137"/>
              <w:ind w:left="216"/>
              <w:jc w:val="left"/>
              <w:rPr>
                <w:sz w:val="23"/>
              </w:rPr>
            </w:pPr>
            <w:r>
              <w:rPr>
                <w:sz w:val="23"/>
              </w:rPr>
              <w:t>X2</w:t>
            </w:r>
          </w:p>
        </w:tc>
        <w:tc>
          <w:tcPr>
            <w:tcW w:w="4028" w:type="dxa"/>
            <w:gridSpan w:val="2"/>
            <w:tcBorders>
              <w:top w:val="single" w:sz="8" w:space="0" w:color="000000"/>
              <w:left w:val="nil"/>
              <w:bottom w:val="single" w:sz="8" w:space="0" w:color="000000"/>
            </w:tcBorders>
          </w:tcPr>
          <w:p>
            <w:pPr>
              <w:pStyle w:val="TableParagraph"/>
              <w:spacing w:line="259" w:lineRule="exact"/>
              <w:ind w:left="1530" w:right="1531"/>
              <w:rPr>
                <w:sz w:val="23"/>
              </w:rPr>
            </w:pPr>
            <w:r>
              <w:rPr>
                <w:sz w:val="23"/>
              </w:rPr>
              <w:t>Media</w:t>
            </w:r>
          </w:p>
        </w:tc>
        <w:tc>
          <w:tcPr>
            <w:tcW w:w="1476" w:type="dxa"/>
            <w:tcBorders>
              <w:top w:val="single" w:sz="8" w:space="0" w:color="000000"/>
              <w:bottom w:val="single" w:sz="8" w:space="0" w:color="000000"/>
              <w:right w:val="single" w:sz="8" w:space="0" w:color="000000"/>
            </w:tcBorders>
          </w:tcPr>
          <w:p>
            <w:pPr>
              <w:pStyle w:val="TableParagraph"/>
              <w:spacing w:line="259" w:lineRule="exact"/>
              <w:ind w:left="2"/>
              <w:rPr>
                <w:sz w:val="23"/>
              </w:rPr>
            </w:pPr>
            <w:r>
              <w:rPr>
                <w:sz w:val="23"/>
              </w:rPr>
              <w:t>2.51175803284</w:t>
            </w:r>
          </w:p>
          <w:p>
            <w:pPr>
              <w:pStyle w:val="TableParagraph"/>
              <w:spacing w:before="131"/>
              <w:rPr>
                <w:sz w:val="23"/>
              </w:rPr>
            </w:pPr>
            <w:r>
              <w:rPr>
                <w:sz w:val="23"/>
              </w:rPr>
              <w:t>7811</w:t>
            </w:r>
          </w:p>
        </w:tc>
        <w:tc>
          <w:tcPr>
            <w:tcW w:w="1477" w:type="dxa"/>
            <w:tcBorders>
              <w:top w:val="single" w:sz="8" w:space="0" w:color="000000"/>
              <w:left w:val="single" w:sz="8" w:space="0" w:color="000000"/>
              <w:bottom w:val="single" w:sz="8" w:space="0" w:color="000000"/>
              <w:right w:val="single" w:sz="17" w:space="0" w:color="000000"/>
            </w:tcBorders>
          </w:tcPr>
          <w:p>
            <w:pPr>
              <w:pStyle w:val="TableParagraph"/>
              <w:spacing w:line="259" w:lineRule="exact"/>
              <w:rPr>
                <w:sz w:val="23"/>
              </w:rPr>
            </w:pPr>
            <w:r>
              <w:rPr>
                <w:sz w:val="23"/>
              </w:rPr>
              <w:t>.078010725721</w:t>
            </w:r>
          </w:p>
          <w:p>
            <w:pPr>
              <w:pStyle w:val="TableParagraph"/>
              <w:spacing w:before="131"/>
              <w:rPr>
                <w:sz w:val="23"/>
              </w:rPr>
            </w:pPr>
            <w:r>
              <w:rPr>
                <w:sz w:val="23"/>
              </w:rPr>
              <w:t>967</w:t>
            </w:r>
          </w:p>
        </w:tc>
      </w:tr>
      <w:tr>
        <w:trPr>
          <w:trHeight w:val="753" w:hRule="exact"/>
        </w:trPr>
        <w:tc>
          <w:tcPr>
            <w:tcW w:w="737" w:type="dxa"/>
            <w:vMerge/>
            <w:tcBorders>
              <w:left w:val="single" w:sz="17" w:space="0" w:color="000000"/>
              <w:right w:val="nil"/>
            </w:tcBorders>
          </w:tcPr>
          <w:p>
            <w:pPr/>
          </w:p>
        </w:tc>
        <w:tc>
          <w:tcPr>
            <w:tcW w:w="2440" w:type="dxa"/>
            <w:tcBorders>
              <w:top w:val="single" w:sz="8" w:space="0" w:color="000000"/>
              <w:left w:val="nil"/>
              <w:bottom w:val="nil"/>
              <w:right w:val="nil"/>
            </w:tcBorders>
          </w:tcPr>
          <w:p>
            <w:pPr>
              <w:pStyle w:val="TableParagraph"/>
              <w:spacing w:line="360" w:lineRule="auto"/>
              <w:ind w:left="134" w:right="95" w:firstLine="170"/>
              <w:jc w:val="left"/>
              <w:rPr>
                <w:sz w:val="23"/>
              </w:rPr>
            </w:pPr>
            <w:r>
              <w:rPr>
                <w:sz w:val="23"/>
              </w:rPr>
              <w:t>95% de intervalo de confianza para la media</w:t>
            </w:r>
          </w:p>
        </w:tc>
        <w:tc>
          <w:tcPr>
            <w:tcW w:w="1589" w:type="dxa"/>
            <w:tcBorders>
              <w:top w:val="single" w:sz="8" w:space="0" w:color="000000"/>
              <w:left w:val="nil"/>
              <w:bottom w:val="nil"/>
            </w:tcBorders>
          </w:tcPr>
          <w:p>
            <w:pPr>
              <w:pStyle w:val="TableParagraph"/>
              <w:spacing w:line="259" w:lineRule="exact"/>
              <w:ind w:left="114"/>
              <w:jc w:val="left"/>
              <w:rPr>
                <w:sz w:val="23"/>
              </w:rPr>
            </w:pPr>
            <w:r>
              <w:rPr>
                <w:sz w:val="23"/>
              </w:rPr>
              <w:t>Límite inferior</w:t>
            </w:r>
          </w:p>
        </w:tc>
        <w:tc>
          <w:tcPr>
            <w:tcW w:w="1476" w:type="dxa"/>
            <w:tcBorders>
              <w:top w:val="single" w:sz="8" w:space="0" w:color="000000"/>
              <w:bottom w:val="nil"/>
              <w:right w:val="single" w:sz="8" w:space="0" w:color="000000"/>
            </w:tcBorders>
          </w:tcPr>
          <w:p>
            <w:pPr>
              <w:pStyle w:val="TableParagraph"/>
              <w:spacing w:line="259" w:lineRule="exact"/>
              <w:ind w:left="2"/>
              <w:rPr>
                <w:sz w:val="23"/>
              </w:rPr>
            </w:pPr>
            <w:r>
              <w:rPr>
                <w:sz w:val="23"/>
              </w:rPr>
              <w:t>2.35788484156</w:t>
            </w:r>
          </w:p>
          <w:p>
            <w:pPr>
              <w:pStyle w:val="TableParagraph"/>
              <w:spacing w:before="131"/>
              <w:rPr>
                <w:sz w:val="23"/>
              </w:rPr>
            </w:pPr>
            <w:r>
              <w:rPr>
                <w:sz w:val="23"/>
              </w:rPr>
              <w:t>7111</w:t>
            </w:r>
          </w:p>
        </w:tc>
        <w:tc>
          <w:tcPr>
            <w:tcW w:w="1477" w:type="dxa"/>
            <w:vMerge w:val="restart"/>
            <w:tcBorders>
              <w:top w:val="single" w:sz="8" w:space="0" w:color="000000"/>
              <w:left w:val="single" w:sz="8" w:space="0" w:color="000000"/>
              <w:right w:val="single" w:sz="17" w:space="0" w:color="000000"/>
            </w:tcBorders>
          </w:tcPr>
          <w:p>
            <w:pPr/>
          </w:p>
        </w:tc>
      </w:tr>
      <w:tr>
        <w:trPr>
          <w:trHeight w:val="874" w:hRule="exact"/>
        </w:trPr>
        <w:tc>
          <w:tcPr>
            <w:tcW w:w="737" w:type="dxa"/>
            <w:vMerge/>
            <w:tcBorders>
              <w:left w:val="single" w:sz="17" w:space="0" w:color="000000"/>
              <w:right w:val="nil"/>
            </w:tcBorders>
          </w:tcPr>
          <w:p>
            <w:pPr/>
          </w:p>
        </w:tc>
        <w:tc>
          <w:tcPr>
            <w:tcW w:w="2440" w:type="dxa"/>
            <w:tcBorders>
              <w:top w:val="nil"/>
              <w:left w:val="nil"/>
              <w:bottom w:val="single" w:sz="8" w:space="0" w:color="000000"/>
              <w:right w:val="nil"/>
            </w:tcBorders>
          </w:tcPr>
          <w:p>
            <w:pPr/>
          </w:p>
        </w:tc>
        <w:tc>
          <w:tcPr>
            <w:tcW w:w="1589" w:type="dxa"/>
            <w:tcBorders>
              <w:top w:val="nil"/>
              <w:left w:val="nil"/>
              <w:bottom w:val="single" w:sz="8" w:space="0" w:color="000000"/>
            </w:tcBorders>
          </w:tcPr>
          <w:p>
            <w:pPr>
              <w:pStyle w:val="TableParagraph"/>
              <w:spacing w:before="64"/>
              <w:ind w:left="80"/>
              <w:jc w:val="left"/>
              <w:rPr>
                <w:sz w:val="23"/>
              </w:rPr>
            </w:pPr>
            <w:r>
              <w:rPr>
                <w:sz w:val="23"/>
              </w:rPr>
              <w:t>Límite superior</w:t>
            </w:r>
          </w:p>
        </w:tc>
        <w:tc>
          <w:tcPr>
            <w:tcW w:w="1476" w:type="dxa"/>
            <w:tcBorders>
              <w:top w:val="nil"/>
              <w:bottom w:val="single" w:sz="8" w:space="0" w:color="000000"/>
              <w:right w:val="single" w:sz="8" w:space="0" w:color="000000"/>
            </w:tcBorders>
          </w:tcPr>
          <w:p>
            <w:pPr>
              <w:pStyle w:val="TableParagraph"/>
              <w:spacing w:before="64"/>
              <w:ind w:left="2"/>
              <w:rPr>
                <w:sz w:val="23"/>
              </w:rPr>
            </w:pPr>
            <w:r>
              <w:rPr>
                <w:sz w:val="23"/>
              </w:rPr>
              <w:t>2.66563122412</w:t>
            </w:r>
          </w:p>
          <w:p>
            <w:pPr>
              <w:pStyle w:val="TableParagraph"/>
              <w:spacing w:before="131"/>
              <w:rPr>
                <w:sz w:val="23"/>
              </w:rPr>
            </w:pPr>
            <w:r>
              <w:rPr>
                <w:sz w:val="23"/>
              </w:rPr>
              <w:t>8510</w:t>
            </w:r>
          </w:p>
        </w:tc>
        <w:tc>
          <w:tcPr>
            <w:tcW w:w="1477" w:type="dxa"/>
            <w:vMerge/>
            <w:tcBorders>
              <w:left w:val="single" w:sz="8" w:space="0" w:color="000000"/>
              <w:bottom w:val="single" w:sz="8" w:space="0" w:color="000000"/>
              <w:right w:val="single" w:sz="17" w:space="0" w:color="000000"/>
            </w:tcBorders>
          </w:tcPr>
          <w:p>
            <w:pPr/>
          </w:p>
        </w:tc>
      </w:tr>
      <w:tr>
        <w:trPr>
          <w:trHeight w:val="814" w:hRule="exact"/>
        </w:trPr>
        <w:tc>
          <w:tcPr>
            <w:tcW w:w="737" w:type="dxa"/>
            <w:vMerge/>
            <w:tcBorders>
              <w:left w:val="single" w:sz="17" w:space="0" w:color="000000"/>
              <w:right w:val="nil"/>
            </w:tcBorders>
          </w:tcPr>
          <w:p>
            <w:pPr/>
          </w:p>
        </w:tc>
        <w:tc>
          <w:tcPr>
            <w:tcW w:w="4028" w:type="dxa"/>
            <w:gridSpan w:val="2"/>
            <w:tcBorders>
              <w:top w:val="single" w:sz="8" w:space="0" w:color="000000"/>
              <w:left w:val="nil"/>
              <w:bottom w:val="single" w:sz="8" w:space="0" w:color="000000"/>
            </w:tcBorders>
          </w:tcPr>
          <w:p>
            <w:pPr>
              <w:pStyle w:val="TableParagraph"/>
              <w:spacing w:line="259" w:lineRule="exact"/>
              <w:ind w:left="960"/>
              <w:jc w:val="left"/>
              <w:rPr>
                <w:sz w:val="23"/>
              </w:rPr>
            </w:pPr>
            <w:r>
              <w:rPr>
                <w:sz w:val="23"/>
              </w:rPr>
              <w:t>Media recortada al 5%</w:t>
            </w:r>
          </w:p>
        </w:tc>
        <w:tc>
          <w:tcPr>
            <w:tcW w:w="1476" w:type="dxa"/>
            <w:tcBorders>
              <w:top w:val="single" w:sz="8" w:space="0" w:color="000000"/>
              <w:bottom w:val="single" w:sz="8" w:space="0" w:color="000000"/>
              <w:right w:val="single" w:sz="8" w:space="0" w:color="000000"/>
            </w:tcBorders>
          </w:tcPr>
          <w:p>
            <w:pPr>
              <w:pStyle w:val="TableParagraph"/>
              <w:spacing w:line="259" w:lineRule="exact"/>
              <w:ind w:left="2"/>
              <w:rPr>
                <w:sz w:val="23"/>
              </w:rPr>
            </w:pPr>
            <w:r>
              <w:rPr>
                <w:sz w:val="23"/>
              </w:rPr>
              <w:t>2.49828435409</w:t>
            </w:r>
          </w:p>
          <w:p>
            <w:pPr>
              <w:pStyle w:val="TableParagraph"/>
              <w:spacing w:before="132"/>
              <w:rPr>
                <w:sz w:val="23"/>
              </w:rPr>
            </w:pPr>
            <w:r>
              <w:rPr>
                <w:sz w:val="23"/>
              </w:rPr>
              <w:t>2701</w:t>
            </w:r>
          </w:p>
        </w:tc>
        <w:tc>
          <w:tcPr>
            <w:tcW w:w="1477" w:type="dxa"/>
            <w:tcBorders>
              <w:top w:val="single" w:sz="8" w:space="0" w:color="000000"/>
              <w:left w:val="single" w:sz="8" w:space="0" w:color="000000"/>
              <w:bottom w:val="single" w:sz="8" w:space="0" w:color="000000"/>
              <w:right w:val="single" w:sz="17" w:space="0" w:color="000000"/>
            </w:tcBorders>
          </w:tcPr>
          <w:p>
            <w:pPr/>
          </w:p>
        </w:tc>
      </w:tr>
      <w:tr>
        <w:trPr>
          <w:trHeight w:val="811" w:hRule="exact"/>
        </w:trPr>
        <w:tc>
          <w:tcPr>
            <w:tcW w:w="737" w:type="dxa"/>
            <w:vMerge/>
            <w:tcBorders>
              <w:left w:val="single" w:sz="17" w:space="0" w:color="000000"/>
              <w:right w:val="nil"/>
            </w:tcBorders>
          </w:tcPr>
          <w:p>
            <w:pPr/>
          </w:p>
        </w:tc>
        <w:tc>
          <w:tcPr>
            <w:tcW w:w="4028" w:type="dxa"/>
            <w:gridSpan w:val="2"/>
            <w:tcBorders>
              <w:top w:val="single" w:sz="8" w:space="0" w:color="000000"/>
              <w:left w:val="nil"/>
              <w:bottom w:val="single" w:sz="8" w:space="0" w:color="000000"/>
            </w:tcBorders>
          </w:tcPr>
          <w:p>
            <w:pPr>
              <w:pStyle w:val="TableParagraph"/>
              <w:spacing w:line="259" w:lineRule="exact"/>
              <w:ind w:left="1530" w:right="1531"/>
              <w:rPr>
                <w:sz w:val="23"/>
              </w:rPr>
            </w:pPr>
            <w:r>
              <w:rPr>
                <w:sz w:val="23"/>
              </w:rPr>
              <w:t>Mediana</w:t>
            </w:r>
          </w:p>
        </w:tc>
        <w:tc>
          <w:tcPr>
            <w:tcW w:w="1476" w:type="dxa"/>
            <w:tcBorders>
              <w:top w:val="single" w:sz="8" w:space="0" w:color="000000"/>
              <w:bottom w:val="single" w:sz="8" w:space="0" w:color="000000"/>
              <w:right w:val="single" w:sz="8" w:space="0" w:color="000000"/>
            </w:tcBorders>
          </w:tcPr>
          <w:p>
            <w:pPr>
              <w:pStyle w:val="TableParagraph"/>
              <w:spacing w:line="259" w:lineRule="exact"/>
              <w:ind w:left="2"/>
              <w:rPr>
                <w:sz w:val="23"/>
              </w:rPr>
            </w:pPr>
            <w:r>
              <w:rPr>
                <w:sz w:val="23"/>
              </w:rPr>
              <w:t>2.30258509299</w:t>
            </w:r>
          </w:p>
          <w:p>
            <w:pPr>
              <w:pStyle w:val="TableParagraph"/>
              <w:spacing w:before="131"/>
              <w:rPr>
                <w:sz w:val="23"/>
              </w:rPr>
            </w:pPr>
            <w:r>
              <w:rPr>
                <w:sz w:val="23"/>
              </w:rPr>
              <w:t>4046</w:t>
            </w:r>
          </w:p>
        </w:tc>
        <w:tc>
          <w:tcPr>
            <w:tcW w:w="1477" w:type="dxa"/>
            <w:tcBorders>
              <w:top w:val="single" w:sz="8" w:space="0" w:color="000000"/>
              <w:left w:val="single" w:sz="8" w:space="0" w:color="000000"/>
              <w:bottom w:val="single" w:sz="8" w:space="0" w:color="000000"/>
              <w:right w:val="single" w:sz="17" w:space="0" w:color="000000"/>
            </w:tcBorders>
          </w:tcPr>
          <w:p>
            <w:pPr/>
          </w:p>
        </w:tc>
      </w:tr>
      <w:tr>
        <w:trPr>
          <w:trHeight w:val="418" w:hRule="exact"/>
        </w:trPr>
        <w:tc>
          <w:tcPr>
            <w:tcW w:w="737" w:type="dxa"/>
            <w:vMerge/>
            <w:tcBorders>
              <w:left w:val="single" w:sz="17" w:space="0" w:color="000000"/>
              <w:right w:val="nil"/>
            </w:tcBorders>
          </w:tcPr>
          <w:p>
            <w:pPr/>
          </w:p>
        </w:tc>
        <w:tc>
          <w:tcPr>
            <w:tcW w:w="4028" w:type="dxa"/>
            <w:gridSpan w:val="2"/>
            <w:tcBorders>
              <w:top w:val="single" w:sz="8" w:space="0" w:color="000000"/>
              <w:left w:val="nil"/>
              <w:bottom w:val="single" w:sz="8" w:space="0" w:color="000000"/>
            </w:tcBorders>
          </w:tcPr>
          <w:p>
            <w:pPr>
              <w:pStyle w:val="TableParagraph"/>
              <w:spacing w:line="261" w:lineRule="exact"/>
              <w:ind w:left="1531" w:right="1530"/>
              <w:rPr>
                <w:sz w:val="23"/>
              </w:rPr>
            </w:pPr>
            <w:r>
              <w:rPr>
                <w:sz w:val="23"/>
              </w:rPr>
              <w:t>Varianza</w:t>
            </w:r>
          </w:p>
        </w:tc>
        <w:tc>
          <w:tcPr>
            <w:tcW w:w="1476" w:type="dxa"/>
            <w:tcBorders>
              <w:top w:val="single" w:sz="8" w:space="0" w:color="000000"/>
              <w:bottom w:val="single" w:sz="8" w:space="0" w:color="000000"/>
              <w:right w:val="single" w:sz="8" w:space="0" w:color="000000"/>
            </w:tcBorders>
          </w:tcPr>
          <w:p>
            <w:pPr>
              <w:pStyle w:val="TableParagraph"/>
              <w:spacing w:line="261" w:lineRule="exact"/>
              <w:rPr>
                <w:sz w:val="23"/>
              </w:rPr>
            </w:pPr>
            <w:r>
              <w:rPr>
                <w:sz w:val="23"/>
              </w:rPr>
              <w:t>1.168</w:t>
            </w:r>
          </w:p>
        </w:tc>
        <w:tc>
          <w:tcPr>
            <w:tcW w:w="1477" w:type="dxa"/>
            <w:tcBorders>
              <w:top w:val="single" w:sz="8" w:space="0" w:color="000000"/>
              <w:left w:val="single" w:sz="8" w:space="0" w:color="000000"/>
              <w:bottom w:val="single" w:sz="8" w:space="0" w:color="000000"/>
              <w:right w:val="single" w:sz="17" w:space="0" w:color="000000"/>
            </w:tcBorders>
          </w:tcPr>
          <w:p>
            <w:pPr/>
          </w:p>
        </w:tc>
      </w:tr>
      <w:tr>
        <w:trPr>
          <w:trHeight w:val="814" w:hRule="exact"/>
        </w:trPr>
        <w:tc>
          <w:tcPr>
            <w:tcW w:w="737" w:type="dxa"/>
            <w:vMerge/>
            <w:tcBorders>
              <w:left w:val="single" w:sz="17" w:space="0" w:color="000000"/>
              <w:right w:val="nil"/>
            </w:tcBorders>
          </w:tcPr>
          <w:p>
            <w:pPr/>
          </w:p>
        </w:tc>
        <w:tc>
          <w:tcPr>
            <w:tcW w:w="4028" w:type="dxa"/>
            <w:gridSpan w:val="2"/>
            <w:tcBorders>
              <w:top w:val="single" w:sz="8" w:space="0" w:color="000000"/>
              <w:left w:val="nil"/>
              <w:bottom w:val="single" w:sz="8" w:space="0" w:color="000000"/>
            </w:tcBorders>
          </w:tcPr>
          <w:p>
            <w:pPr>
              <w:pStyle w:val="TableParagraph"/>
              <w:spacing w:line="259" w:lineRule="exact"/>
              <w:ind w:left="1075"/>
              <w:jc w:val="left"/>
              <w:rPr>
                <w:sz w:val="23"/>
              </w:rPr>
            </w:pPr>
            <w:r>
              <w:rPr>
                <w:sz w:val="23"/>
              </w:rPr>
              <w:t>Desviación estándar</w:t>
            </w:r>
          </w:p>
        </w:tc>
        <w:tc>
          <w:tcPr>
            <w:tcW w:w="1476" w:type="dxa"/>
            <w:tcBorders>
              <w:top w:val="single" w:sz="8" w:space="0" w:color="000000"/>
              <w:bottom w:val="single" w:sz="8" w:space="0" w:color="000000"/>
              <w:right w:val="single" w:sz="8" w:space="0" w:color="000000"/>
            </w:tcBorders>
          </w:tcPr>
          <w:p>
            <w:pPr>
              <w:pStyle w:val="TableParagraph"/>
              <w:spacing w:line="259" w:lineRule="exact"/>
              <w:ind w:left="2"/>
              <w:rPr>
                <w:sz w:val="23"/>
              </w:rPr>
            </w:pPr>
            <w:r>
              <w:rPr>
                <w:sz w:val="23"/>
              </w:rPr>
              <w:t>1.08094832388</w:t>
            </w:r>
          </w:p>
          <w:p>
            <w:pPr>
              <w:pStyle w:val="TableParagraph"/>
              <w:spacing w:before="134"/>
              <w:rPr>
                <w:sz w:val="23"/>
              </w:rPr>
            </w:pPr>
            <w:r>
              <w:rPr>
                <w:sz w:val="23"/>
              </w:rPr>
              <w:t>6139</w:t>
            </w:r>
          </w:p>
        </w:tc>
        <w:tc>
          <w:tcPr>
            <w:tcW w:w="1477" w:type="dxa"/>
            <w:tcBorders>
              <w:top w:val="single" w:sz="8" w:space="0" w:color="000000"/>
              <w:left w:val="single" w:sz="8" w:space="0" w:color="000000"/>
              <w:bottom w:val="single" w:sz="8" w:space="0" w:color="000000"/>
              <w:right w:val="single" w:sz="17" w:space="0" w:color="000000"/>
            </w:tcBorders>
          </w:tcPr>
          <w:p>
            <w:pPr/>
          </w:p>
        </w:tc>
      </w:tr>
      <w:tr>
        <w:trPr>
          <w:trHeight w:val="814" w:hRule="exact"/>
        </w:trPr>
        <w:tc>
          <w:tcPr>
            <w:tcW w:w="737" w:type="dxa"/>
            <w:vMerge/>
            <w:tcBorders>
              <w:left w:val="single" w:sz="17" w:space="0" w:color="000000"/>
              <w:bottom w:val="single" w:sz="8" w:space="0" w:color="000000"/>
              <w:right w:val="nil"/>
            </w:tcBorders>
          </w:tcPr>
          <w:p>
            <w:pPr/>
          </w:p>
        </w:tc>
        <w:tc>
          <w:tcPr>
            <w:tcW w:w="4028" w:type="dxa"/>
            <w:gridSpan w:val="2"/>
            <w:tcBorders>
              <w:top w:val="single" w:sz="8" w:space="0" w:color="000000"/>
              <w:left w:val="nil"/>
              <w:bottom w:val="single" w:sz="8" w:space="0" w:color="000000"/>
            </w:tcBorders>
          </w:tcPr>
          <w:p>
            <w:pPr>
              <w:pStyle w:val="TableParagraph"/>
              <w:spacing w:line="259" w:lineRule="exact"/>
              <w:ind w:left="1531" w:right="1531"/>
              <w:rPr>
                <w:sz w:val="23"/>
              </w:rPr>
            </w:pPr>
            <w:r>
              <w:rPr>
                <w:sz w:val="23"/>
              </w:rPr>
              <w:t>Mínimo</w:t>
            </w:r>
          </w:p>
        </w:tc>
        <w:tc>
          <w:tcPr>
            <w:tcW w:w="1476" w:type="dxa"/>
            <w:tcBorders>
              <w:top w:val="single" w:sz="8" w:space="0" w:color="000000"/>
              <w:bottom w:val="single" w:sz="8" w:space="0" w:color="000000"/>
              <w:right w:val="single" w:sz="8" w:space="0" w:color="000000"/>
            </w:tcBorders>
          </w:tcPr>
          <w:p>
            <w:pPr>
              <w:pStyle w:val="TableParagraph"/>
              <w:spacing w:line="259" w:lineRule="exact"/>
              <w:ind w:left="2"/>
              <w:rPr>
                <w:sz w:val="23"/>
              </w:rPr>
            </w:pPr>
            <w:r>
              <w:rPr>
                <w:sz w:val="23"/>
              </w:rPr>
              <w:t>.000000000000</w:t>
            </w:r>
          </w:p>
          <w:p>
            <w:pPr>
              <w:pStyle w:val="TableParagraph"/>
              <w:spacing w:before="134"/>
              <w:rPr>
                <w:sz w:val="23"/>
              </w:rPr>
            </w:pPr>
            <w:r>
              <w:rPr>
                <w:sz w:val="23"/>
              </w:rPr>
              <w:t>0000</w:t>
            </w:r>
          </w:p>
        </w:tc>
        <w:tc>
          <w:tcPr>
            <w:tcW w:w="1477" w:type="dxa"/>
            <w:tcBorders>
              <w:top w:val="single" w:sz="8" w:space="0" w:color="000000"/>
              <w:left w:val="single" w:sz="8" w:space="0" w:color="000000"/>
              <w:bottom w:val="single" w:sz="8" w:space="0" w:color="000000"/>
              <w:right w:val="single" w:sz="17" w:space="0" w:color="000000"/>
            </w:tcBorders>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1"/>
        </w:rPr>
      </w:pPr>
      <w:r>
        <w:rPr/>
        <w:pict>
          <v:line style="position:absolute;mso-position-horizontal-relative:page;mso-position-vertical-relative:paragraph;z-index:4648;mso-wrap-distance-left:0;mso-wrap-distance-right:0" from="85.103996pt,8.51986pt" to="516.969017pt,8.51986pt" stroked="true" strokeweight=".36pt" strokecolor="#000000">
            <w10:wrap type="topAndBottom"/>
          </v:line>
        </w:pict>
      </w:r>
    </w:p>
    <w:p>
      <w:pPr>
        <w:tabs>
          <w:tab w:pos="4003" w:val="left" w:leader="none"/>
          <w:tab w:pos="8240" w:val="left" w:leader="none"/>
        </w:tabs>
        <w:spacing w:before="73"/>
        <w:ind w:left="122" w:right="64" w:firstLine="0"/>
        <w:jc w:val="left"/>
        <w:rPr>
          <w:sz w:val="18"/>
        </w:rPr>
      </w:pPr>
      <w:r>
        <w:rPr>
          <w:sz w:val="18"/>
        </w:rPr>
        <w:t>Tesis</w:t>
      </w:r>
      <w:r>
        <w:rPr>
          <w:spacing w:val="-1"/>
          <w:sz w:val="18"/>
        </w:rPr>
        <w:t> </w:t>
      </w:r>
      <w:r>
        <w:rPr>
          <w:sz w:val="18"/>
        </w:rPr>
        <w:t>de</w:t>
      </w:r>
      <w:r>
        <w:rPr>
          <w:spacing w:val="-2"/>
          <w:sz w:val="18"/>
        </w:rPr>
        <w:t> </w:t>
      </w:r>
      <w:r>
        <w:rPr>
          <w:sz w:val="18"/>
        </w:rPr>
        <w:t>Maestría</w:t>
        <w:tab/>
        <w:t>Pedro</w:t>
      </w:r>
      <w:r>
        <w:rPr>
          <w:spacing w:val="-1"/>
          <w:sz w:val="18"/>
        </w:rPr>
        <w:t> </w:t>
      </w:r>
      <w:r>
        <w:rPr>
          <w:sz w:val="18"/>
        </w:rPr>
        <w:t>Hernández</w:t>
      </w:r>
      <w:r>
        <w:rPr>
          <w:spacing w:val="-3"/>
          <w:sz w:val="18"/>
        </w:rPr>
        <w:t> </w:t>
      </w:r>
      <w:r>
        <w:rPr>
          <w:sz w:val="18"/>
        </w:rPr>
        <w:t>Aguirre</w:t>
        <w:tab/>
        <w:t>Página</w:t>
      </w:r>
      <w:r>
        <w:rPr>
          <w:spacing w:val="-4"/>
          <w:sz w:val="18"/>
        </w:rPr>
        <w:t> </w:t>
      </w:r>
      <w:r>
        <w:rPr>
          <w:sz w:val="18"/>
        </w:rPr>
        <w:t>75</w:t>
      </w:r>
    </w:p>
    <w:p>
      <w:pPr>
        <w:spacing w:after="0"/>
        <w:jc w:val="left"/>
        <w:rPr>
          <w:sz w:val="18"/>
        </w:rPr>
        <w:sectPr>
          <w:headerReference w:type="default" r:id="rId172"/>
          <w:footerReference w:type="default" r:id="rId173"/>
          <w:pgSz w:w="12240" w:h="15840"/>
          <w:pgMar w:header="1414" w:footer="0" w:top="1600" w:bottom="280" w:left="1580" w:right="1600"/>
        </w:sectPr>
      </w:pPr>
    </w:p>
    <w:p>
      <w:pPr>
        <w:pStyle w:val="BodyText"/>
        <w:spacing w:before="2"/>
        <w:rPr>
          <w:sz w:val="29"/>
        </w:rPr>
      </w:pPr>
    </w:p>
    <w:p>
      <w:pPr>
        <w:pStyle w:val="BodyText"/>
        <w:spacing w:before="54"/>
        <w:ind w:left="2731" w:right="64"/>
        <w:rPr>
          <w:rFonts w:ascii="Calibri" w:hAnsi="Calibri"/>
        </w:rPr>
      </w:pPr>
      <w:r>
        <w:rPr>
          <w:rFonts w:ascii="Calibri" w:hAnsi="Calibri"/>
        </w:rPr>
        <w:t>Cuadro 03. Descriptivos (continuaciòn)</w:t>
      </w:r>
    </w:p>
    <w:p>
      <w:pPr>
        <w:pStyle w:val="BodyText"/>
        <w:spacing w:before="2"/>
        <w:rPr>
          <w:rFonts w:ascii="Calibri"/>
          <w:sz w:val="15"/>
        </w:rPr>
      </w:pPr>
    </w:p>
    <w:tbl>
      <w:tblPr>
        <w:tblW w:w="0" w:type="auto"/>
        <w:jc w:val="left"/>
        <w:tblInd w:w="6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7"/>
        <w:gridCol w:w="2440"/>
        <w:gridCol w:w="1588"/>
        <w:gridCol w:w="1476"/>
        <w:gridCol w:w="1477"/>
      </w:tblGrid>
      <w:tr>
        <w:trPr>
          <w:trHeight w:val="1747" w:hRule="exact"/>
        </w:trPr>
        <w:tc>
          <w:tcPr>
            <w:tcW w:w="737" w:type="dxa"/>
            <w:vMerge w:val="restart"/>
            <w:tcBorders>
              <w:left w:val="single" w:sz="17" w:space="0" w:color="000000"/>
              <w:right w:val="nil"/>
            </w:tcBorders>
          </w:tcPr>
          <w:p>
            <w:pPr/>
          </w:p>
        </w:tc>
        <w:tc>
          <w:tcPr>
            <w:tcW w:w="4028" w:type="dxa"/>
            <w:gridSpan w:val="2"/>
            <w:tcBorders>
              <w:left w:val="nil"/>
              <w:bottom w:val="single" w:sz="8" w:space="0" w:color="000000"/>
              <w:right w:val="single" w:sz="15" w:space="0" w:color="000000"/>
            </w:tcBorders>
          </w:tcPr>
          <w:p>
            <w:pPr>
              <w:pStyle w:val="TableParagraph"/>
              <w:spacing w:line="259" w:lineRule="exact"/>
              <w:ind w:left="1531" w:right="1531"/>
              <w:rPr>
                <w:sz w:val="23"/>
              </w:rPr>
            </w:pPr>
            <w:r>
              <w:rPr>
                <w:sz w:val="23"/>
              </w:rPr>
              <w:t>Máximo</w:t>
            </w:r>
          </w:p>
        </w:tc>
        <w:tc>
          <w:tcPr>
            <w:tcW w:w="1476" w:type="dxa"/>
            <w:tcBorders>
              <w:left w:val="single" w:sz="15" w:space="0" w:color="000000"/>
              <w:bottom w:val="single" w:sz="8" w:space="0" w:color="000000"/>
              <w:right w:val="single" w:sz="8" w:space="0" w:color="000000"/>
            </w:tcBorders>
          </w:tcPr>
          <w:p>
            <w:pPr>
              <w:pStyle w:val="TableParagraph"/>
              <w:jc w:val="left"/>
              <w:rPr>
                <w:rFonts w:ascii="Calibri"/>
                <w:sz w:val="22"/>
              </w:rPr>
            </w:pPr>
          </w:p>
          <w:p>
            <w:pPr>
              <w:pStyle w:val="TableParagraph"/>
              <w:spacing w:before="196"/>
              <w:ind w:left="2"/>
              <w:rPr>
                <w:sz w:val="23"/>
              </w:rPr>
            </w:pPr>
            <w:r>
              <w:rPr>
                <w:sz w:val="23"/>
              </w:rPr>
              <w:t>5.56068163101</w:t>
            </w:r>
          </w:p>
          <w:p>
            <w:pPr>
              <w:pStyle w:val="TableParagraph"/>
              <w:spacing w:before="131"/>
              <w:rPr>
                <w:sz w:val="23"/>
              </w:rPr>
            </w:pPr>
            <w:r>
              <w:rPr>
                <w:sz w:val="23"/>
              </w:rPr>
              <w:t>55280</w:t>
            </w:r>
          </w:p>
        </w:tc>
        <w:tc>
          <w:tcPr>
            <w:tcW w:w="1477" w:type="dxa"/>
            <w:tcBorders>
              <w:left w:val="single" w:sz="8" w:space="0" w:color="000000"/>
              <w:bottom w:val="single" w:sz="8" w:space="0" w:color="000000"/>
              <w:right w:val="single" w:sz="17" w:space="0" w:color="000000"/>
            </w:tcBorders>
          </w:tcPr>
          <w:p>
            <w:pPr/>
          </w:p>
        </w:tc>
      </w:tr>
      <w:tr>
        <w:trPr>
          <w:trHeight w:val="814" w:hRule="exact"/>
        </w:trPr>
        <w:tc>
          <w:tcPr>
            <w:tcW w:w="737" w:type="dxa"/>
            <w:vMerge/>
            <w:tcBorders>
              <w:left w:val="single" w:sz="17" w:space="0" w:color="000000"/>
              <w:right w:val="nil"/>
            </w:tcBorders>
          </w:tcPr>
          <w:p>
            <w:pPr/>
          </w:p>
        </w:tc>
        <w:tc>
          <w:tcPr>
            <w:tcW w:w="4028" w:type="dxa"/>
            <w:gridSpan w:val="2"/>
            <w:vMerge w:val="restart"/>
            <w:tcBorders>
              <w:top w:val="single" w:sz="8" w:space="0" w:color="000000"/>
              <w:left w:val="nil"/>
              <w:right w:val="single" w:sz="15" w:space="0" w:color="000000"/>
            </w:tcBorders>
          </w:tcPr>
          <w:p>
            <w:pPr>
              <w:pStyle w:val="TableParagraph"/>
              <w:spacing w:line="261" w:lineRule="exact"/>
              <w:ind w:left="1531" w:right="1531"/>
              <w:rPr>
                <w:sz w:val="23"/>
              </w:rPr>
            </w:pPr>
            <w:r>
              <w:rPr>
                <w:sz w:val="23"/>
              </w:rPr>
              <w:t>Rango</w:t>
            </w:r>
          </w:p>
        </w:tc>
        <w:tc>
          <w:tcPr>
            <w:tcW w:w="1476" w:type="dxa"/>
            <w:tcBorders>
              <w:top w:val="single" w:sz="8" w:space="0" w:color="000000"/>
              <w:left w:val="single" w:sz="15" w:space="0" w:color="000000"/>
              <w:bottom w:val="single" w:sz="8" w:space="0" w:color="000000"/>
              <w:right w:val="single" w:sz="8" w:space="0" w:color="000000"/>
            </w:tcBorders>
          </w:tcPr>
          <w:p>
            <w:pPr>
              <w:pStyle w:val="TableParagraph"/>
              <w:spacing w:line="261" w:lineRule="exact"/>
              <w:ind w:left="2"/>
              <w:rPr>
                <w:sz w:val="23"/>
              </w:rPr>
            </w:pPr>
            <w:r>
              <w:rPr>
                <w:sz w:val="23"/>
              </w:rPr>
              <w:t>5.56068163101</w:t>
            </w:r>
          </w:p>
          <w:p>
            <w:pPr>
              <w:pStyle w:val="TableParagraph"/>
              <w:spacing w:before="131"/>
              <w:rPr>
                <w:sz w:val="23"/>
              </w:rPr>
            </w:pPr>
            <w:r>
              <w:rPr>
                <w:sz w:val="23"/>
              </w:rPr>
              <w:t>55280</w:t>
            </w:r>
          </w:p>
        </w:tc>
        <w:tc>
          <w:tcPr>
            <w:tcW w:w="1477" w:type="dxa"/>
            <w:tcBorders>
              <w:top w:val="single" w:sz="8" w:space="0" w:color="000000"/>
              <w:left w:val="single" w:sz="8" w:space="0" w:color="000000"/>
              <w:bottom w:val="single" w:sz="8" w:space="0" w:color="000000"/>
              <w:right w:val="single" w:sz="17" w:space="0" w:color="000000"/>
            </w:tcBorders>
          </w:tcPr>
          <w:p>
            <w:pPr/>
          </w:p>
        </w:tc>
      </w:tr>
      <w:tr>
        <w:trPr>
          <w:trHeight w:val="418" w:hRule="exact"/>
        </w:trPr>
        <w:tc>
          <w:tcPr>
            <w:tcW w:w="737" w:type="dxa"/>
            <w:vMerge/>
            <w:tcBorders>
              <w:left w:val="single" w:sz="17" w:space="0" w:color="000000"/>
              <w:right w:val="nil"/>
            </w:tcBorders>
          </w:tcPr>
          <w:p>
            <w:pPr/>
          </w:p>
        </w:tc>
        <w:tc>
          <w:tcPr>
            <w:tcW w:w="4028" w:type="dxa"/>
            <w:gridSpan w:val="2"/>
            <w:vMerge/>
            <w:tcBorders>
              <w:left w:val="nil"/>
              <w:bottom w:val="single" w:sz="8" w:space="0" w:color="000000"/>
              <w:right w:val="single" w:sz="15" w:space="0" w:color="000000"/>
            </w:tcBorders>
          </w:tcPr>
          <w:p>
            <w:pPr/>
          </w:p>
        </w:tc>
        <w:tc>
          <w:tcPr>
            <w:tcW w:w="1476" w:type="dxa"/>
            <w:tcBorders>
              <w:top w:val="single" w:sz="8" w:space="0" w:color="000000"/>
              <w:left w:val="single" w:sz="15" w:space="0" w:color="000000"/>
              <w:bottom w:val="single" w:sz="8" w:space="0" w:color="000000"/>
              <w:right w:val="single" w:sz="8" w:space="0" w:color="000000"/>
            </w:tcBorders>
          </w:tcPr>
          <w:p>
            <w:pPr/>
          </w:p>
        </w:tc>
        <w:tc>
          <w:tcPr>
            <w:tcW w:w="1477" w:type="dxa"/>
            <w:tcBorders>
              <w:top w:val="single" w:sz="8" w:space="0" w:color="000000"/>
              <w:left w:val="single" w:sz="8" w:space="0" w:color="000000"/>
              <w:bottom w:val="single" w:sz="8" w:space="0" w:color="000000"/>
              <w:right w:val="single" w:sz="17" w:space="0" w:color="000000"/>
            </w:tcBorders>
          </w:tcPr>
          <w:p>
            <w:pPr/>
          </w:p>
        </w:tc>
      </w:tr>
      <w:tr>
        <w:trPr>
          <w:trHeight w:val="809" w:hRule="exact"/>
        </w:trPr>
        <w:tc>
          <w:tcPr>
            <w:tcW w:w="737" w:type="dxa"/>
            <w:vMerge/>
            <w:tcBorders>
              <w:left w:val="single" w:sz="17" w:space="0" w:color="000000"/>
              <w:right w:val="nil"/>
            </w:tcBorders>
          </w:tcPr>
          <w:p>
            <w:pPr/>
          </w:p>
        </w:tc>
        <w:tc>
          <w:tcPr>
            <w:tcW w:w="4028" w:type="dxa"/>
            <w:gridSpan w:val="2"/>
            <w:tcBorders>
              <w:top w:val="single" w:sz="8" w:space="0" w:color="000000"/>
              <w:left w:val="nil"/>
              <w:right w:val="single" w:sz="15" w:space="0" w:color="000000"/>
            </w:tcBorders>
          </w:tcPr>
          <w:p>
            <w:pPr>
              <w:pStyle w:val="TableParagraph"/>
              <w:spacing w:line="259" w:lineRule="exact"/>
              <w:ind w:left="1169"/>
              <w:jc w:val="left"/>
              <w:rPr>
                <w:sz w:val="23"/>
              </w:rPr>
            </w:pPr>
            <w:r>
              <w:rPr>
                <w:sz w:val="23"/>
              </w:rPr>
              <w:t>Rango intercuartil</w:t>
            </w:r>
          </w:p>
        </w:tc>
        <w:tc>
          <w:tcPr>
            <w:tcW w:w="1476" w:type="dxa"/>
            <w:tcBorders>
              <w:top w:val="single" w:sz="8" w:space="0" w:color="000000"/>
              <w:left w:val="single" w:sz="15" w:space="0" w:color="000000"/>
              <w:right w:val="single" w:sz="8" w:space="0" w:color="000000"/>
            </w:tcBorders>
          </w:tcPr>
          <w:p>
            <w:pPr>
              <w:pStyle w:val="TableParagraph"/>
              <w:spacing w:line="259" w:lineRule="exact"/>
              <w:ind w:left="2"/>
              <w:rPr>
                <w:sz w:val="23"/>
              </w:rPr>
            </w:pPr>
            <w:r>
              <w:rPr>
                <w:sz w:val="23"/>
              </w:rPr>
              <w:t>1.54044504094</w:t>
            </w:r>
          </w:p>
          <w:p>
            <w:pPr>
              <w:pStyle w:val="TableParagraph"/>
              <w:spacing w:before="134"/>
              <w:rPr>
                <w:sz w:val="23"/>
              </w:rPr>
            </w:pPr>
            <w:r>
              <w:rPr>
                <w:sz w:val="23"/>
              </w:rPr>
              <w:t>71488</w:t>
            </w:r>
          </w:p>
        </w:tc>
        <w:tc>
          <w:tcPr>
            <w:tcW w:w="1477" w:type="dxa"/>
            <w:tcBorders>
              <w:top w:val="single" w:sz="8" w:space="0" w:color="000000"/>
              <w:left w:val="single" w:sz="8" w:space="0" w:color="000000"/>
              <w:right w:val="single" w:sz="17" w:space="0" w:color="000000"/>
            </w:tcBorders>
          </w:tcPr>
          <w:p>
            <w:pPr/>
          </w:p>
        </w:tc>
      </w:tr>
      <w:tr>
        <w:trPr>
          <w:trHeight w:val="422" w:hRule="exact"/>
        </w:trPr>
        <w:tc>
          <w:tcPr>
            <w:tcW w:w="737" w:type="dxa"/>
            <w:vMerge/>
            <w:tcBorders>
              <w:left w:val="single" w:sz="17" w:space="0" w:color="000000"/>
              <w:right w:val="nil"/>
            </w:tcBorders>
          </w:tcPr>
          <w:p>
            <w:pPr/>
          </w:p>
        </w:tc>
        <w:tc>
          <w:tcPr>
            <w:tcW w:w="4028" w:type="dxa"/>
            <w:gridSpan w:val="2"/>
            <w:tcBorders>
              <w:left w:val="nil"/>
              <w:bottom w:val="single" w:sz="8" w:space="0" w:color="000000"/>
              <w:right w:val="single" w:sz="15" w:space="0" w:color="000000"/>
            </w:tcBorders>
          </w:tcPr>
          <w:p>
            <w:pPr>
              <w:pStyle w:val="TableParagraph"/>
              <w:spacing w:before="3"/>
              <w:ind w:left="1531" w:right="1531"/>
              <w:rPr>
                <w:sz w:val="23"/>
              </w:rPr>
            </w:pPr>
            <w:r>
              <w:rPr>
                <w:sz w:val="23"/>
              </w:rPr>
              <w:t>Asimetría</w:t>
            </w:r>
          </w:p>
        </w:tc>
        <w:tc>
          <w:tcPr>
            <w:tcW w:w="1476" w:type="dxa"/>
            <w:tcBorders>
              <w:left w:val="single" w:sz="15" w:space="0" w:color="000000"/>
              <w:bottom w:val="single" w:sz="8" w:space="0" w:color="000000"/>
              <w:right w:val="single" w:sz="8" w:space="0" w:color="000000"/>
            </w:tcBorders>
          </w:tcPr>
          <w:p>
            <w:pPr>
              <w:pStyle w:val="TableParagraph"/>
              <w:spacing w:before="3"/>
              <w:rPr>
                <w:sz w:val="23"/>
              </w:rPr>
            </w:pPr>
            <w:r>
              <w:rPr>
                <w:sz w:val="23"/>
              </w:rPr>
              <w:t>.099</w:t>
            </w:r>
          </w:p>
        </w:tc>
        <w:tc>
          <w:tcPr>
            <w:tcW w:w="1477" w:type="dxa"/>
            <w:tcBorders>
              <w:left w:val="single" w:sz="8" w:space="0" w:color="000000"/>
              <w:bottom w:val="single" w:sz="8" w:space="0" w:color="000000"/>
              <w:right w:val="single" w:sz="17" w:space="0" w:color="000000"/>
            </w:tcBorders>
          </w:tcPr>
          <w:p>
            <w:pPr>
              <w:pStyle w:val="TableParagraph"/>
              <w:spacing w:before="3"/>
              <w:rPr>
                <w:sz w:val="23"/>
              </w:rPr>
            </w:pPr>
            <w:r>
              <w:rPr>
                <w:sz w:val="23"/>
              </w:rPr>
              <w:t>.175</w:t>
            </w:r>
          </w:p>
        </w:tc>
      </w:tr>
      <w:tr>
        <w:trPr>
          <w:trHeight w:val="415" w:hRule="exact"/>
        </w:trPr>
        <w:tc>
          <w:tcPr>
            <w:tcW w:w="737" w:type="dxa"/>
            <w:vMerge/>
            <w:tcBorders>
              <w:left w:val="single" w:sz="17" w:space="0" w:color="000000"/>
              <w:bottom w:val="single" w:sz="8" w:space="0" w:color="000000"/>
              <w:right w:val="nil"/>
            </w:tcBorders>
          </w:tcPr>
          <w:p>
            <w:pPr/>
          </w:p>
        </w:tc>
        <w:tc>
          <w:tcPr>
            <w:tcW w:w="4028" w:type="dxa"/>
            <w:gridSpan w:val="2"/>
            <w:tcBorders>
              <w:top w:val="single" w:sz="8" w:space="0" w:color="000000"/>
              <w:left w:val="nil"/>
              <w:bottom w:val="single" w:sz="8" w:space="0" w:color="000000"/>
              <w:right w:val="single" w:sz="15" w:space="0" w:color="000000"/>
            </w:tcBorders>
          </w:tcPr>
          <w:p>
            <w:pPr>
              <w:pStyle w:val="TableParagraph"/>
              <w:spacing w:line="259" w:lineRule="exact"/>
              <w:ind w:left="1531" w:right="1531"/>
              <w:rPr>
                <w:sz w:val="23"/>
              </w:rPr>
            </w:pPr>
            <w:r>
              <w:rPr>
                <w:sz w:val="23"/>
              </w:rPr>
              <w:t>Curtosis</w:t>
            </w:r>
          </w:p>
        </w:tc>
        <w:tc>
          <w:tcPr>
            <w:tcW w:w="1476" w:type="dxa"/>
            <w:tcBorders>
              <w:top w:val="single" w:sz="8" w:space="0" w:color="000000"/>
              <w:left w:val="single" w:sz="15" w:space="0" w:color="000000"/>
              <w:bottom w:val="single" w:sz="8" w:space="0" w:color="000000"/>
              <w:right w:val="single" w:sz="8" w:space="0" w:color="000000"/>
            </w:tcBorders>
          </w:tcPr>
          <w:p>
            <w:pPr>
              <w:pStyle w:val="TableParagraph"/>
              <w:spacing w:line="259" w:lineRule="exact"/>
              <w:rPr>
                <w:sz w:val="23"/>
              </w:rPr>
            </w:pPr>
            <w:r>
              <w:rPr>
                <w:sz w:val="23"/>
              </w:rPr>
              <w:t>-.282</w:t>
            </w:r>
          </w:p>
        </w:tc>
        <w:tc>
          <w:tcPr>
            <w:tcW w:w="1477" w:type="dxa"/>
            <w:tcBorders>
              <w:top w:val="single" w:sz="8" w:space="0" w:color="000000"/>
              <w:left w:val="single" w:sz="8" w:space="0" w:color="000000"/>
              <w:bottom w:val="single" w:sz="8" w:space="0" w:color="000000"/>
              <w:right w:val="single" w:sz="17" w:space="0" w:color="000000"/>
            </w:tcBorders>
          </w:tcPr>
          <w:p>
            <w:pPr>
              <w:pStyle w:val="TableParagraph"/>
              <w:spacing w:line="259" w:lineRule="exact"/>
              <w:rPr>
                <w:sz w:val="23"/>
              </w:rPr>
            </w:pPr>
            <w:r>
              <w:rPr>
                <w:sz w:val="23"/>
              </w:rPr>
              <w:t>.349</w:t>
            </w:r>
          </w:p>
        </w:tc>
      </w:tr>
      <w:tr>
        <w:trPr>
          <w:trHeight w:val="814" w:hRule="exact"/>
        </w:trPr>
        <w:tc>
          <w:tcPr>
            <w:tcW w:w="737" w:type="dxa"/>
            <w:vMerge w:val="restart"/>
            <w:tcBorders>
              <w:top w:val="single" w:sz="8" w:space="0" w:color="000000"/>
              <w:left w:val="single" w:sz="17" w:space="0" w:color="000000"/>
              <w:right w:val="nil"/>
            </w:tcBorders>
          </w:tcPr>
          <w:p>
            <w:pPr>
              <w:pStyle w:val="TableParagraph"/>
              <w:spacing w:line="261" w:lineRule="exact"/>
              <w:ind w:left="216"/>
              <w:jc w:val="left"/>
              <w:rPr>
                <w:sz w:val="23"/>
              </w:rPr>
            </w:pPr>
            <w:r>
              <w:rPr>
                <w:sz w:val="23"/>
              </w:rPr>
              <w:t>X3</w:t>
            </w:r>
          </w:p>
        </w:tc>
        <w:tc>
          <w:tcPr>
            <w:tcW w:w="4028" w:type="dxa"/>
            <w:gridSpan w:val="2"/>
            <w:tcBorders>
              <w:top w:val="single" w:sz="8" w:space="0" w:color="000000"/>
              <w:left w:val="nil"/>
              <w:bottom w:val="single" w:sz="8" w:space="0" w:color="000000"/>
              <w:right w:val="single" w:sz="15" w:space="0" w:color="000000"/>
            </w:tcBorders>
          </w:tcPr>
          <w:p>
            <w:pPr>
              <w:pStyle w:val="TableParagraph"/>
              <w:spacing w:line="261" w:lineRule="exact"/>
              <w:ind w:left="1530" w:right="1531"/>
              <w:rPr>
                <w:sz w:val="23"/>
              </w:rPr>
            </w:pPr>
            <w:r>
              <w:rPr>
                <w:sz w:val="23"/>
              </w:rPr>
              <w:t>Media</w:t>
            </w:r>
          </w:p>
        </w:tc>
        <w:tc>
          <w:tcPr>
            <w:tcW w:w="1476" w:type="dxa"/>
            <w:tcBorders>
              <w:top w:val="single" w:sz="8" w:space="0" w:color="000000"/>
              <w:left w:val="single" w:sz="15" w:space="0" w:color="000000"/>
              <w:bottom w:val="single" w:sz="8" w:space="0" w:color="000000"/>
              <w:right w:val="single" w:sz="8" w:space="0" w:color="000000"/>
            </w:tcBorders>
          </w:tcPr>
          <w:p>
            <w:pPr>
              <w:pStyle w:val="TableParagraph"/>
              <w:spacing w:line="261" w:lineRule="exact"/>
              <w:ind w:left="2"/>
              <w:rPr>
                <w:sz w:val="23"/>
              </w:rPr>
            </w:pPr>
            <w:r>
              <w:rPr>
                <w:sz w:val="23"/>
              </w:rPr>
              <w:t>3.33137932028</w:t>
            </w:r>
          </w:p>
          <w:p>
            <w:pPr>
              <w:pStyle w:val="TableParagraph"/>
              <w:spacing w:before="131"/>
              <w:rPr>
                <w:sz w:val="23"/>
              </w:rPr>
            </w:pPr>
            <w:r>
              <w:rPr>
                <w:sz w:val="23"/>
              </w:rPr>
              <w:t>8677</w:t>
            </w:r>
          </w:p>
        </w:tc>
        <w:tc>
          <w:tcPr>
            <w:tcW w:w="1477" w:type="dxa"/>
            <w:tcBorders>
              <w:top w:val="single" w:sz="8" w:space="0" w:color="000000"/>
              <w:left w:val="single" w:sz="8" w:space="0" w:color="000000"/>
              <w:bottom w:val="single" w:sz="8" w:space="0" w:color="000000"/>
              <w:right w:val="single" w:sz="17" w:space="0" w:color="000000"/>
            </w:tcBorders>
          </w:tcPr>
          <w:p>
            <w:pPr>
              <w:pStyle w:val="TableParagraph"/>
              <w:spacing w:line="261" w:lineRule="exact"/>
              <w:rPr>
                <w:sz w:val="23"/>
              </w:rPr>
            </w:pPr>
            <w:r>
              <w:rPr>
                <w:sz w:val="23"/>
              </w:rPr>
              <w:t>.052014820393</w:t>
            </w:r>
          </w:p>
          <w:p>
            <w:pPr>
              <w:pStyle w:val="TableParagraph"/>
              <w:spacing w:before="131"/>
              <w:rPr>
                <w:sz w:val="23"/>
              </w:rPr>
            </w:pPr>
            <w:r>
              <w:rPr>
                <w:sz w:val="23"/>
              </w:rPr>
              <w:t>609</w:t>
            </w:r>
          </w:p>
        </w:tc>
      </w:tr>
      <w:tr>
        <w:trPr>
          <w:trHeight w:val="755" w:hRule="exact"/>
        </w:trPr>
        <w:tc>
          <w:tcPr>
            <w:tcW w:w="737" w:type="dxa"/>
            <w:vMerge/>
            <w:tcBorders>
              <w:left w:val="single" w:sz="17" w:space="0" w:color="000000"/>
              <w:right w:val="nil"/>
            </w:tcBorders>
          </w:tcPr>
          <w:p>
            <w:pPr/>
          </w:p>
        </w:tc>
        <w:tc>
          <w:tcPr>
            <w:tcW w:w="2440" w:type="dxa"/>
            <w:tcBorders>
              <w:top w:val="single" w:sz="8" w:space="0" w:color="000000"/>
              <w:left w:val="nil"/>
              <w:bottom w:val="nil"/>
              <w:right w:val="nil"/>
            </w:tcBorders>
          </w:tcPr>
          <w:p>
            <w:pPr>
              <w:pStyle w:val="TableParagraph"/>
              <w:spacing w:line="362" w:lineRule="auto"/>
              <w:ind w:left="134" w:right="96" w:firstLine="170"/>
              <w:jc w:val="left"/>
              <w:rPr>
                <w:sz w:val="23"/>
              </w:rPr>
            </w:pPr>
            <w:r>
              <w:rPr>
                <w:sz w:val="23"/>
              </w:rPr>
              <w:t>95% de intervalo de confianza para la media</w:t>
            </w:r>
          </w:p>
        </w:tc>
        <w:tc>
          <w:tcPr>
            <w:tcW w:w="1588" w:type="dxa"/>
            <w:tcBorders>
              <w:top w:val="single" w:sz="8" w:space="0" w:color="000000"/>
              <w:left w:val="nil"/>
              <w:bottom w:val="nil"/>
              <w:right w:val="single" w:sz="15" w:space="0" w:color="000000"/>
            </w:tcBorders>
          </w:tcPr>
          <w:p>
            <w:pPr>
              <w:pStyle w:val="TableParagraph"/>
              <w:spacing w:line="259" w:lineRule="exact"/>
              <w:ind w:left="113"/>
              <w:jc w:val="left"/>
              <w:rPr>
                <w:sz w:val="23"/>
              </w:rPr>
            </w:pPr>
            <w:r>
              <w:rPr>
                <w:sz w:val="23"/>
              </w:rPr>
              <w:t>Límite inferior</w:t>
            </w:r>
          </w:p>
        </w:tc>
        <w:tc>
          <w:tcPr>
            <w:tcW w:w="1476" w:type="dxa"/>
            <w:tcBorders>
              <w:top w:val="single" w:sz="8" w:space="0" w:color="000000"/>
              <w:left w:val="single" w:sz="15" w:space="0" w:color="000000"/>
              <w:bottom w:val="nil"/>
              <w:right w:val="single" w:sz="8" w:space="0" w:color="000000"/>
            </w:tcBorders>
          </w:tcPr>
          <w:p>
            <w:pPr>
              <w:pStyle w:val="TableParagraph"/>
              <w:spacing w:line="259" w:lineRule="exact"/>
              <w:ind w:left="2"/>
              <w:rPr>
                <w:sz w:val="23"/>
              </w:rPr>
            </w:pPr>
            <w:r>
              <w:rPr>
                <w:sz w:val="23"/>
              </w:rPr>
              <w:t>3.22878206415</w:t>
            </w:r>
          </w:p>
          <w:p>
            <w:pPr>
              <w:pStyle w:val="TableParagraph"/>
              <w:spacing w:before="134"/>
              <w:rPr>
                <w:sz w:val="23"/>
              </w:rPr>
            </w:pPr>
            <w:r>
              <w:rPr>
                <w:sz w:val="23"/>
              </w:rPr>
              <w:t>7739</w:t>
            </w:r>
          </w:p>
        </w:tc>
        <w:tc>
          <w:tcPr>
            <w:tcW w:w="1477" w:type="dxa"/>
            <w:vMerge w:val="restart"/>
            <w:tcBorders>
              <w:top w:val="single" w:sz="8" w:space="0" w:color="000000"/>
              <w:left w:val="single" w:sz="8" w:space="0" w:color="000000"/>
              <w:right w:val="single" w:sz="17" w:space="0" w:color="000000"/>
            </w:tcBorders>
          </w:tcPr>
          <w:p>
            <w:pPr/>
          </w:p>
        </w:tc>
      </w:tr>
      <w:tr>
        <w:trPr>
          <w:trHeight w:val="873" w:hRule="exact"/>
        </w:trPr>
        <w:tc>
          <w:tcPr>
            <w:tcW w:w="737" w:type="dxa"/>
            <w:vMerge/>
            <w:tcBorders>
              <w:left w:val="single" w:sz="17" w:space="0" w:color="000000"/>
              <w:bottom w:val="single" w:sz="8" w:space="0" w:color="000000"/>
              <w:right w:val="nil"/>
            </w:tcBorders>
          </w:tcPr>
          <w:p>
            <w:pPr/>
          </w:p>
        </w:tc>
        <w:tc>
          <w:tcPr>
            <w:tcW w:w="2440" w:type="dxa"/>
            <w:tcBorders>
              <w:top w:val="nil"/>
              <w:left w:val="nil"/>
              <w:bottom w:val="single" w:sz="8" w:space="0" w:color="000000"/>
              <w:right w:val="nil"/>
            </w:tcBorders>
          </w:tcPr>
          <w:p>
            <w:pPr/>
          </w:p>
        </w:tc>
        <w:tc>
          <w:tcPr>
            <w:tcW w:w="1588" w:type="dxa"/>
            <w:tcBorders>
              <w:top w:val="nil"/>
              <w:left w:val="nil"/>
              <w:bottom w:val="single" w:sz="8" w:space="0" w:color="000000"/>
              <w:right w:val="single" w:sz="15" w:space="0" w:color="000000"/>
            </w:tcBorders>
          </w:tcPr>
          <w:p>
            <w:pPr>
              <w:pStyle w:val="TableParagraph"/>
              <w:spacing w:before="63"/>
              <w:ind w:left="80"/>
              <w:jc w:val="left"/>
              <w:rPr>
                <w:sz w:val="23"/>
              </w:rPr>
            </w:pPr>
            <w:r>
              <w:rPr>
                <w:sz w:val="23"/>
              </w:rPr>
              <w:t>Límite superior</w:t>
            </w:r>
          </w:p>
        </w:tc>
        <w:tc>
          <w:tcPr>
            <w:tcW w:w="1476" w:type="dxa"/>
            <w:tcBorders>
              <w:top w:val="nil"/>
              <w:left w:val="single" w:sz="15" w:space="0" w:color="000000"/>
              <w:bottom w:val="single" w:sz="8" w:space="0" w:color="000000"/>
              <w:right w:val="single" w:sz="8" w:space="0" w:color="000000"/>
            </w:tcBorders>
          </w:tcPr>
          <w:p>
            <w:pPr>
              <w:pStyle w:val="TableParagraph"/>
              <w:spacing w:before="63"/>
              <w:ind w:left="2"/>
              <w:rPr>
                <w:sz w:val="23"/>
              </w:rPr>
            </w:pPr>
            <w:r>
              <w:rPr>
                <w:sz w:val="23"/>
              </w:rPr>
              <w:t>3.43397657641</w:t>
            </w:r>
          </w:p>
          <w:p>
            <w:pPr>
              <w:pStyle w:val="TableParagraph"/>
              <w:spacing w:before="134"/>
              <w:rPr>
                <w:sz w:val="23"/>
              </w:rPr>
            </w:pPr>
            <w:r>
              <w:rPr>
                <w:sz w:val="23"/>
              </w:rPr>
              <w:t>9616</w:t>
            </w:r>
          </w:p>
        </w:tc>
        <w:tc>
          <w:tcPr>
            <w:tcW w:w="1477" w:type="dxa"/>
            <w:vMerge/>
            <w:tcBorders>
              <w:left w:val="single" w:sz="8" w:space="0" w:color="000000"/>
              <w:bottom w:val="single" w:sz="8" w:space="0" w:color="000000"/>
              <w:right w:val="single" w:sz="17" w:space="0" w:color="000000"/>
            </w:tcBorders>
          </w:tcPr>
          <w:p>
            <w:pPr/>
          </w:p>
        </w:tc>
      </w:tr>
    </w:tbl>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10"/>
        </w:rPr>
      </w:pPr>
      <w:r>
        <w:rPr/>
        <w:pict>
          <v:line style="position:absolute;mso-position-horizontal-relative:page;mso-position-vertical-relative:paragraph;z-index:4672;mso-wrap-distance-left:0;mso-wrap-distance-right:0" from="85.103996pt,8.590466pt" to="516.969017pt,8.590466pt" stroked="true" strokeweight=".36pt" strokecolor="#000000">
            <w10:wrap type="topAndBottom"/>
          </v:line>
        </w:pict>
      </w:r>
    </w:p>
    <w:p>
      <w:pPr>
        <w:spacing w:after="0"/>
        <w:rPr>
          <w:rFonts w:ascii="Calibri"/>
          <w:sz w:val="10"/>
        </w:rPr>
        <w:sectPr>
          <w:headerReference w:type="default" r:id="rId174"/>
          <w:footerReference w:type="default" r:id="rId175"/>
          <w:pgSz w:w="12240" w:h="15840"/>
          <w:pgMar w:header="1434" w:footer="1503" w:top="1740" w:bottom="1700" w:left="1580" w:right="1600"/>
        </w:sectPr>
      </w:pPr>
    </w:p>
    <w:p>
      <w:pPr>
        <w:pStyle w:val="BodyText"/>
        <w:rPr>
          <w:rFonts w:ascii="Calibri"/>
          <w:sz w:val="20"/>
        </w:rPr>
      </w:pPr>
    </w:p>
    <w:p>
      <w:pPr>
        <w:pStyle w:val="BodyText"/>
        <w:spacing w:before="3"/>
        <w:rPr>
          <w:rFonts w:ascii="Calibri"/>
          <w:sz w:val="17"/>
        </w:rPr>
      </w:pPr>
    </w:p>
    <w:p>
      <w:pPr>
        <w:pStyle w:val="BodyText"/>
        <w:spacing w:before="71"/>
        <w:ind w:left="2719" w:right="64"/>
      </w:pPr>
      <w:r>
        <w:rPr/>
        <w:t>Cuadro 03. Descriptivos (continuaciòn)</w:t>
      </w:r>
    </w:p>
    <w:p>
      <w:pPr>
        <w:pStyle w:val="BodyText"/>
        <w:spacing w:before="10" w:after="1"/>
        <w:rPr>
          <w:sz w:val="11"/>
        </w:rPr>
      </w:pPr>
    </w:p>
    <w:tbl>
      <w:tblPr>
        <w:tblW w:w="0" w:type="auto"/>
        <w:jc w:val="left"/>
        <w:tblInd w:w="6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46"/>
        <w:gridCol w:w="2472"/>
        <w:gridCol w:w="1616"/>
        <w:gridCol w:w="1498"/>
        <w:gridCol w:w="1501"/>
      </w:tblGrid>
      <w:tr>
        <w:trPr>
          <w:trHeight w:val="809" w:hRule="exact"/>
        </w:trPr>
        <w:tc>
          <w:tcPr>
            <w:tcW w:w="746" w:type="dxa"/>
            <w:vMerge w:val="restart"/>
            <w:tcBorders>
              <w:left w:val="single" w:sz="17" w:space="0" w:color="000000"/>
              <w:right w:val="nil"/>
            </w:tcBorders>
          </w:tcPr>
          <w:p>
            <w:pPr/>
          </w:p>
        </w:tc>
        <w:tc>
          <w:tcPr>
            <w:tcW w:w="4088" w:type="dxa"/>
            <w:gridSpan w:val="2"/>
            <w:tcBorders>
              <w:left w:val="nil"/>
              <w:bottom w:val="single" w:sz="8" w:space="0" w:color="000000"/>
              <w:right w:val="single" w:sz="15" w:space="0" w:color="000000"/>
            </w:tcBorders>
          </w:tcPr>
          <w:p>
            <w:pPr>
              <w:pStyle w:val="TableParagraph"/>
              <w:spacing w:line="259" w:lineRule="exact"/>
              <w:ind w:left="989"/>
              <w:jc w:val="left"/>
              <w:rPr>
                <w:sz w:val="23"/>
              </w:rPr>
            </w:pPr>
            <w:r>
              <w:rPr>
                <w:sz w:val="23"/>
              </w:rPr>
              <w:t>Media recortada al 5%</w:t>
            </w:r>
          </w:p>
        </w:tc>
        <w:tc>
          <w:tcPr>
            <w:tcW w:w="1498" w:type="dxa"/>
            <w:tcBorders>
              <w:left w:val="single" w:sz="15" w:space="0" w:color="000000"/>
              <w:bottom w:val="single" w:sz="8" w:space="0" w:color="000000"/>
              <w:right w:val="single" w:sz="8" w:space="0" w:color="000000"/>
            </w:tcBorders>
          </w:tcPr>
          <w:p>
            <w:pPr>
              <w:pStyle w:val="TableParagraph"/>
              <w:spacing w:line="259" w:lineRule="exact"/>
              <w:ind w:left="4"/>
              <w:rPr>
                <w:sz w:val="23"/>
              </w:rPr>
            </w:pPr>
            <w:r>
              <w:rPr>
                <w:sz w:val="23"/>
              </w:rPr>
              <w:t>3.32083701297</w:t>
            </w:r>
          </w:p>
          <w:p>
            <w:pPr>
              <w:pStyle w:val="TableParagraph"/>
              <w:spacing w:before="134"/>
              <w:ind w:left="4"/>
              <w:rPr>
                <w:sz w:val="23"/>
              </w:rPr>
            </w:pPr>
            <w:r>
              <w:rPr>
                <w:sz w:val="23"/>
              </w:rPr>
              <w:t>4909</w:t>
            </w:r>
          </w:p>
        </w:tc>
        <w:tc>
          <w:tcPr>
            <w:tcW w:w="1501" w:type="dxa"/>
            <w:tcBorders>
              <w:left w:val="single" w:sz="8" w:space="0" w:color="000000"/>
              <w:bottom w:val="single" w:sz="8" w:space="0" w:color="000000"/>
              <w:right w:val="single" w:sz="17" w:space="0" w:color="000000"/>
            </w:tcBorders>
          </w:tcPr>
          <w:p>
            <w:pPr/>
          </w:p>
        </w:tc>
      </w:tr>
      <w:tr>
        <w:trPr>
          <w:trHeight w:val="814" w:hRule="exact"/>
        </w:trPr>
        <w:tc>
          <w:tcPr>
            <w:tcW w:w="746" w:type="dxa"/>
            <w:vMerge/>
            <w:tcBorders>
              <w:left w:val="single" w:sz="17" w:space="0" w:color="000000"/>
              <w:right w:val="nil"/>
            </w:tcBorders>
          </w:tcPr>
          <w:p>
            <w:pPr/>
          </w:p>
        </w:tc>
        <w:tc>
          <w:tcPr>
            <w:tcW w:w="4088" w:type="dxa"/>
            <w:gridSpan w:val="2"/>
            <w:tcBorders>
              <w:top w:val="single" w:sz="8" w:space="0" w:color="000000"/>
              <w:left w:val="nil"/>
              <w:bottom w:val="single" w:sz="8" w:space="0" w:color="000000"/>
              <w:right w:val="single" w:sz="15" w:space="0" w:color="000000"/>
            </w:tcBorders>
          </w:tcPr>
          <w:p>
            <w:pPr>
              <w:pStyle w:val="TableParagraph"/>
              <w:spacing w:line="259" w:lineRule="exact"/>
              <w:ind w:left="1561" w:right="1561"/>
              <w:rPr>
                <w:sz w:val="23"/>
              </w:rPr>
            </w:pPr>
            <w:r>
              <w:rPr>
                <w:sz w:val="23"/>
              </w:rPr>
              <w:t>Mediana</w:t>
            </w:r>
          </w:p>
        </w:tc>
        <w:tc>
          <w:tcPr>
            <w:tcW w:w="1498" w:type="dxa"/>
            <w:tcBorders>
              <w:top w:val="single" w:sz="8" w:space="0" w:color="000000"/>
              <w:left w:val="single" w:sz="15" w:space="0" w:color="000000"/>
              <w:bottom w:val="single" w:sz="8" w:space="0" w:color="000000"/>
              <w:right w:val="single" w:sz="8" w:space="0" w:color="000000"/>
            </w:tcBorders>
          </w:tcPr>
          <w:p>
            <w:pPr>
              <w:pStyle w:val="TableParagraph"/>
              <w:spacing w:line="259" w:lineRule="exact"/>
              <w:ind w:left="4"/>
              <w:rPr>
                <w:sz w:val="23"/>
              </w:rPr>
            </w:pPr>
            <w:r>
              <w:rPr>
                <w:sz w:val="23"/>
              </w:rPr>
              <w:t>3.33220451017</w:t>
            </w:r>
          </w:p>
          <w:p>
            <w:pPr>
              <w:pStyle w:val="TableParagraph"/>
              <w:spacing w:before="131"/>
              <w:ind w:left="4"/>
              <w:rPr>
                <w:sz w:val="23"/>
              </w:rPr>
            </w:pPr>
            <w:r>
              <w:rPr>
                <w:sz w:val="23"/>
              </w:rPr>
              <w:t>5204</w:t>
            </w:r>
          </w:p>
        </w:tc>
        <w:tc>
          <w:tcPr>
            <w:tcW w:w="1501" w:type="dxa"/>
            <w:tcBorders>
              <w:top w:val="single" w:sz="8" w:space="0" w:color="000000"/>
              <w:left w:val="single" w:sz="8" w:space="0" w:color="000000"/>
              <w:bottom w:val="single" w:sz="8" w:space="0" w:color="000000"/>
              <w:right w:val="single" w:sz="17" w:space="0" w:color="000000"/>
            </w:tcBorders>
          </w:tcPr>
          <w:p>
            <w:pPr/>
          </w:p>
        </w:tc>
      </w:tr>
      <w:tr>
        <w:trPr>
          <w:trHeight w:val="415" w:hRule="exact"/>
        </w:trPr>
        <w:tc>
          <w:tcPr>
            <w:tcW w:w="746" w:type="dxa"/>
            <w:vMerge/>
            <w:tcBorders>
              <w:left w:val="single" w:sz="17" w:space="0" w:color="000000"/>
              <w:right w:val="nil"/>
            </w:tcBorders>
          </w:tcPr>
          <w:p>
            <w:pPr/>
          </w:p>
        </w:tc>
        <w:tc>
          <w:tcPr>
            <w:tcW w:w="4088" w:type="dxa"/>
            <w:gridSpan w:val="2"/>
            <w:tcBorders>
              <w:top w:val="single" w:sz="8" w:space="0" w:color="000000"/>
              <w:left w:val="nil"/>
              <w:bottom w:val="single" w:sz="8" w:space="0" w:color="000000"/>
              <w:right w:val="single" w:sz="15" w:space="0" w:color="000000"/>
            </w:tcBorders>
          </w:tcPr>
          <w:p>
            <w:pPr>
              <w:pStyle w:val="TableParagraph"/>
              <w:spacing w:line="259" w:lineRule="exact"/>
              <w:ind w:left="1560" w:right="1561"/>
              <w:rPr>
                <w:sz w:val="23"/>
              </w:rPr>
            </w:pPr>
            <w:r>
              <w:rPr>
                <w:sz w:val="23"/>
              </w:rPr>
              <w:t>Varianza</w:t>
            </w:r>
          </w:p>
        </w:tc>
        <w:tc>
          <w:tcPr>
            <w:tcW w:w="1498" w:type="dxa"/>
            <w:tcBorders>
              <w:top w:val="single" w:sz="8" w:space="0" w:color="000000"/>
              <w:left w:val="single" w:sz="15" w:space="0" w:color="000000"/>
              <w:bottom w:val="single" w:sz="8" w:space="0" w:color="000000"/>
              <w:right w:val="single" w:sz="8" w:space="0" w:color="000000"/>
            </w:tcBorders>
          </w:tcPr>
          <w:p>
            <w:pPr>
              <w:pStyle w:val="TableParagraph"/>
              <w:spacing w:line="259" w:lineRule="exact"/>
              <w:ind w:left="535"/>
              <w:jc w:val="left"/>
              <w:rPr>
                <w:sz w:val="23"/>
              </w:rPr>
            </w:pPr>
            <w:r>
              <w:rPr>
                <w:sz w:val="23"/>
              </w:rPr>
              <w:t>.519</w:t>
            </w:r>
          </w:p>
        </w:tc>
        <w:tc>
          <w:tcPr>
            <w:tcW w:w="1501" w:type="dxa"/>
            <w:tcBorders>
              <w:top w:val="single" w:sz="8" w:space="0" w:color="000000"/>
              <w:left w:val="single" w:sz="8" w:space="0" w:color="000000"/>
              <w:bottom w:val="single" w:sz="8" w:space="0" w:color="000000"/>
              <w:right w:val="single" w:sz="17" w:space="0" w:color="000000"/>
            </w:tcBorders>
          </w:tcPr>
          <w:p>
            <w:pPr/>
          </w:p>
        </w:tc>
      </w:tr>
      <w:tr>
        <w:trPr>
          <w:trHeight w:val="814" w:hRule="exact"/>
        </w:trPr>
        <w:tc>
          <w:tcPr>
            <w:tcW w:w="746" w:type="dxa"/>
            <w:vMerge/>
            <w:tcBorders>
              <w:left w:val="single" w:sz="17" w:space="0" w:color="000000"/>
              <w:right w:val="nil"/>
            </w:tcBorders>
          </w:tcPr>
          <w:p>
            <w:pPr/>
          </w:p>
        </w:tc>
        <w:tc>
          <w:tcPr>
            <w:tcW w:w="4088" w:type="dxa"/>
            <w:gridSpan w:val="2"/>
            <w:tcBorders>
              <w:top w:val="single" w:sz="8" w:space="0" w:color="000000"/>
              <w:left w:val="nil"/>
              <w:bottom w:val="single" w:sz="8" w:space="0" w:color="000000"/>
              <w:right w:val="single" w:sz="15" w:space="0" w:color="000000"/>
            </w:tcBorders>
          </w:tcPr>
          <w:p>
            <w:pPr>
              <w:pStyle w:val="TableParagraph"/>
              <w:spacing w:line="261" w:lineRule="exact"/>
              <w:ind w:left="1104"/>
              <w:jc w:val="left"/>
              <w:rPr>
                <w:sz w:val="23"/>
              </w:rPr>
            </w:pPr>
            <w:r>
              <w:rPr>
                <w:sz w:val="23"/>
              </w:rPr>
              <w:t>Desviación estándar</w:t>
            </w:r>
          </w:p>
        </w:tc>
        <w:tc>
          <w:tcPr>
            <w:tcW w:w="1498" w:type="dxa"/>
            <w:tcBorders>
              <w:top w:val="single" w:sz="8" w:space="0" w:color="000000"/>
              <w:left w:val="single" w:sz="15" w:space="0" w:color="000000"/>
              <w:bottom w:val="single" w:sz="8" w:space="0" w:color="000000"/>
              <w:right w:val="single" w:sz="8" w:space="0" w:color="000000"/>
            </w:tcBorders>
          </w:tcPr>
          <w:p>
            <w:pPr>
              <w:pStyle w:val="TableParagraph"/>
              <w:spacing w:line="261" w:lineRule="exact"/>
              <w:ind w:left="4"/>
              <w:rPr>
                <w:sz w:val="23"/>
              </w:rPr>
            </w:pPr>
            <w:r>
              <w:rPr>
                <w:sz w:val="23"/>
              </w:rPr>
              <w:t>.720738493346</w:t>
            </w:r>
          </w:p>
          <w:p>
            <w:pPr>
              <w:pStyle w:val="TableParagraph"/>
              <w:spacing w:before="132"/>
              <w:ind w:left="4"/>
              <w:rPr>
                <w:sz w:val="23"/>
              </w:rPr>
            </w:pPr>
            <w:r>
              <w:rPr>
                <w:sz w:val="23"/>
              </w:rPr>
              <w:t>411</w:t>
            </w:r>
          </w:p>
        </w:tc>
        <w:tc>
          <w:tcPr>
            <w:tcW w:w="1501" w:type="dxa"/>
            <w:tcBorders>
              <w:top w:val="single" w:sz="8" w:space="0" w:color="000000"/>
              <w:left w:val="single" w:sz="8" w:space="0" w:color="000000"/>
              <w:bottom w:val="single" w:sz="8" w:space="0" w:color="000000"/>
              <w:right w:val="single" w:sz="17" w:space="0" w:color="000000"/>
            </w:tcBorders>
          </w:tcPr>
          <w:p>
            <w:pPr/>
          </w:p>
        </w:tc>
      </w:tr>
      <w:tr>
        <w:trPr>
          <w:trHeight w:val="814" w:hRule="exact"/>
        </w:trPr>
        <w:tc>
          <w:tcPr>
            <w:tcW w:w="746" w:type="dxa"/>
            <w:vMerge/>
            <w:tcBorders>
              <w:left w:val="single" w:sz="17" w:space="0" w:color="000000"/>
              <w:right w:val="nil"/>
            </w:tcBorders>
          </w:tcPr>
          <w:p>
            <w:pPr/>
          </w:p>
        </w:tc>
        <w:tc>
          <w:tcPr>
            <w:tcW w:w="4088" w:type="dxa"/>
            <w:gridSpan w:val="2"/>
            <w:tcBorders>
              <w:top w:val="single" w:sz="8" w:space="0" w:color="000000"/>
              <w:left w:val="nil"/>
              <w:bottom w:val="single" w:sz="8" w:space="0" w:color="000000"/>
              <w:right w:val="single" w:sz="15" w:space="0" w:color="000000"/>
            </w:tcBorders>
          </w:tcPr>
          <w:p>
            <w:pPr>
              <w:pStyle w:val="TableParagraph"/>
              <w:spacing w:line="261" w:lineRule="exact"/>
              <w:ind w:left="1561" w:right="1560"/>
              <w:rPr>
                <w:sz w:val="23"/>
              </w:rPr>
            </w:pPr>
            <w:r>
              <w:rPr>
                <w:sz w:val="23"/>
              </w:rPr>
              <w:t>Mínimo</w:t>
            </w:r>
          </w:p>
        </w:tc>
        <w:tc>
          <w:tcPr>
            <w:tcW w:w="1498" w:type="dxa"/>
            <w:tcBorders>
              <w:top w:val="single" w:sz="8" w:space="0" w:color="000000"/>
              <w:left w:val="single" w:sz="15" w:space="0" w:color="000000"/>
              <w:bottom w:val="single" w:sz="8" w:space="0" w:color="000000"/>
              <w:right w:val="single" w:sz="8" w:space="0" w:color="000000"/>
            </w:tcBorders>
          </w:tcPr>
          <w:p>
            <w:pPr>
              <w:pStyle w:val="TableParagraph"/>
              <w:spacing w:line="261" w:lineRule="exact"/>
              <w:ind w:left="4"/>
              <w:rPr>
                <w:sz w:val="23"/>
              </w:rPr>
            </w:pPr>
            <w:r>
              <w:rPr>
                <w:sz w:val="23"/>
              </w:rPr>
              <w:t>1.60943791243</w:t>
            </w:r>
          </w:p>
          <w:p>
            <w:pPr>
              <w:pStyle w:val="TableParagraph"/>
              <w:spacing w:before="131"/>
              <w:ind w:left="4"/>
              <w:rPr>
                <w:sz w:val="23"/>
              </w:rPr>
            </w:pPr>
            <w:r>
              <w:rPr>
                <w:sz w:val="23"/>
              </w:rPr>
              <w:t>41003</w:t>
            </w:r>
          </w:p>
        </w:tc>
        <w:tc>
          <w:tcPr>
            <w:tcW w:w="1501" w:type="dxa"/>
            <w:tcBorders>
              <w:top w:val="single" w:sz="8" w:space="0" w:color="000000"/>
              <w:left w:val="single" w:sz="8" w:space="0" w:color="000000"/>
              <w:bottom w:val="single" w:sz="8" w:space="0" w:color="000000"/>
              <w:right w:val="single" w:sz="17" w:space="0" w:color="000000"/>
            </w:tcBorders>
          </w:tcPr>
          <w:p>
            <w:pPr/>
          </w:p>
        </w:tc>
      </w:tr>
      <w:tr>
        <w:trPr>
          <w:trHeight w:val="814" w:hRule="exact"/>
        </w:trPr>
        <w:tc>
          <w:tcPr>
            <w:tcW w:w="746" w:type="dxa"/>
            <w:vMerge/>
            <w:tcBorders>
              <w:left w:val="single" w:sz="17" w:space="0" w:color="000000"/>
              <w:right w:val="nil"/>
            </w:tcBorders>
          </w:tcPr>
          <w:p>
            <w:pPr/>
          </w:p>
        </w:tc>
        <w:tc>
          <w:tcPr>
            <w:tcW w:w="4088" w:type="dxa"/>
            <w:gridSpan w:val="2"/>
            <w:tcBorders>
              <w:top w:val="single" w:sz="8" w:space="0" w:color="000000"/>
              <w:left w:val="nil"/>
              <w:bottom w:val="single" w:sz="8" w:space="0" w:color="000000"/>
              <w:right w:val="single" w:sz="15" w:space="0" w:color="000000"/>
            </w:tcBorders>
          </w:tcPr>
          <w:p>
            <w:pPr>
              <w:pStyle w:val="TableParagraph"/>
              <w:spacing w:line="261" w:lineRule="exact"/>
              <w:ind w:left="1561" w:right="1560"/>
              <w:rPr>
                <w:sz w:val="23"/>
              </w:rPr>
            </w:pPr>
            <w:r>
              <w:rPr>
                <w:sz w:val="23"/>
              </w:rPr>
              <w:t>Máximo</w:t>
            </w:r>
          </w:p>
        </w:tc>
        <w:tc>
          <w:tcPr>
            <w:tcW w:w="1498" w:type="dxa"/>
            <w:tcBorders>
              <w:top w:val="single" w:sz="8" w:space="0" w:color="000000"/>
              <w:left w:val="single" w:sz="15" w:space="0" w:color="000000"/>
              <w:bottom w:val="single" w:sz="8" w:space="0" w:color="000000"/>
              <w:right w:val="single" w:sz="8" w:space="0" w:color="000000"/>
            </w:tcBorders>
          </w:tcPr>
          <w:p>
            <w:pPr>
              <w:pStyle w:val="TableParagraph"/>
              <w:spacing w:line="261" w:lineRule="exact"/>
              <w:ind w:left="4"/>
              <w:rPr>
                <w:sz w:val="23"/>
              </w:rPr>
            </w:pPr>
            <w:r>
              <w:rPr>
                <w:sz w:val="23"/>
              </w:rPr>
              <w:t>5.22574667371</w:t>
            </w:r>
          </w:p>
          <w:p>
            <w:pPr>
              <w:pStyle w:val="TableParagraph"/>
              <w:spacing w:before="131"/>
              <w:ind w:left="4"/>
              <w:rPr>
                <w:sz w:val="23"/>
              </w:rPr>
            </w:pPr>
            <w:r>
              <w:rPr>
                <w:sz w:val="23"/>
              </w:rPr>
              <w:t>32020</w:t>
            </w:r>
          </w:p>
        </w:tc>
        <w:tc>
          <w:tcPr>
            <w:tcW w:w="1501" w:type="dxa"/>
            <w:tcBorders>
              <w:top w:val="single" w:sz="8" w:space="0" w:color="000000"/>
              <w:left w:val="single" w:sz="8" w:space="0" w:color="000000"/>
              <w:bottom w:val="single" w:sz="8" w:space="0" w:color="000000"/>
              <w:right w:val="single" w:sz="17" w:space="0" w:color="000000"/>
            </w:tcBorders>
          </w:tcPr>
          <w:p>
            <w:pPr/>
          </w:p>
        </w:tc>
      </w:tr>
      <w:tr>
        <w:trPr>
          <w:trHeight w:val="814" w:hRule="exact"/>
        </w:trPr>
        <w:tc>
          <w:tcPr>
            <w:tcW w:w="746" w:type="dxa"/>
            <w:vMerge/>
            <w:tcBorders>
              <w:left w:val="single" w:sz="17" w:space="0" w:color="000000"/>
              <w:right w:val="nil"/>
            </w:tcBorders>
          </w:tcPr>
          <w:p>
            <w:pPr/>
          </w:p>
        </w:tc>
        <w:tc>
          <w:tcPr>
            <w:tcW w:w="4088" w:type="dxa"/>
            <w:gridSpan w:val="2"/>
            <w:tcBorders>
              <w:top w:val="single" w:sz="8" w:space="0" w:color="000000"/>
              <w:left w:val="nil"/>
              <w:bottom w:val="single" w:sz="8" w:space="0" w:color="000000"/>
              <w:right w:val="single" w:sz="15" w:space="0" w:color="000000"/>
            </w:tcBorders>
          </w:tcPr>
          <w:p>
            <w:pPr>
              <w:pStyle w:val="TableParagraph"/>
              <w:spacing w:line="261" w:lineRule="exact"/>
              <w:ind w:left="1561" w:right="1561"/>
              <w:rPr>
                <w:sz w:val="23"/>
              </w:rPr>
            </w:pPr>
            <w:r>
              <w:rPr>
                <w:sz w:val="23"/>
              </w:rPr>
              <w:t>Rango</w:t>
            </w:r>
          </w:p>
        </w:tc>
        <w:tc>
          <w:tcPr>
            <w:tcW w:w="1498" w:type="dxa"/>
            <w:tcBorders>
              <w:top w:val="single" w:sz="8" w:space="0" w:color="000000"/>
              <w:left w:val="single" w:sz="15" w:space="0" w:color="000000"/>
              <w:bottom w:val="single" w:sz="8" w:space="0" w:color="000000"/>
              <w:right w:val="single" w:sz="8" w:space="0" w:color="000000"/>
            </w:tcBorders>
          </w:tcPr>
          <w:p>
            <w:pPr>
              <w:pStyle w:val="TableParagraph"/>
              <w:spacing w:line="261" w:lineRule="exact"/>
              <w:ind w:left="4"/>
              <w:rPr>
                <w:sz w:val="23"/>
              </w:rPr>
            </w:pPr>
            <w:r>
              <w:rPr>
                <w:sz w:val="23"/>
              </w:rPr>
              <w:t>3.61630876127</w:t>
            </w:r>
          </w:p>
          <w:p>
            <w:pPr>
              <w:pStyle w:val="TableParagraph"/>
              <w:spacing w:before="131"/>
              <w:ind w:left="4"/>
              <w:rPr>
                <w:sz w:val="23"/>
              </w:rPr>
            </w:pPr>
            <w:r>
              <w:rPr>
                <w:sz w:val="23"/>
              </w:rPr>
              <w:t>91010</w:t>
            </w:r>
          </w:p>
        </w:tc>
        <w:tc>
          <w:tcPr>
            <w:tcW w:w="1501" w:type="dxa"/>
            <w:tcBorders>
              <w:top w:val="single" w:sz="8" w:space="0" w:color="000000"/>
              <w:left w:val="single" w:sz="8" w:space="0" w:color="000000"/>
              <w:bottom w:val="single" w:sz="8" w:space="0" w:color="000000"/>
              <w:right w:val="single" w:sz="17" w:space="0" w:color="000000"/>
            </w:tcBorders>
          </w:tcPr>
          <w:p>
            <w:pPr/>
          </w:p>
        </w:tc>
      </w:tr>
      <w:tr>
        <w:trPr>
          <w:trHeight w:val="814" w:hRule="exact"/>
        </w:trPr>
        <w:tc>
          <w:tcPr>
            <w:tcW w:w="746" w:type="dxa"/>
            <w:vMerge/>
            <w:tcBorders>
              <w:left w:val="single" w:sz="17" w:space="0" w:color="000000"/>
              <w:right w:val="nil"/>
            </w:tcBorders>
          </w:tcPr>
          <w:p>
            <w:pPr/>
          </w:p>
        </w:tc>
        <w:tc>
          <w:tcPr>
            <w:tcW w:w="4088" w:type="dxa"/>
            <w:gridSpan w:val="2"/>
            <w:tcBorders>
              <w:top w:val="single" w:sz="8" w:space="0" w:color="000000"/>
              <w:left w:val="nil"/>
              <w:bottom w:val="single" w:sz="8" w:space="0" w:color="000000"/>
              <w:right w:val="single" w:sz="15" w:space="0" w:color="000000"/>
            </w:tcBorders>
          </w:tcPr>
          <w:p>
            <w:pPr>
              <w:pStyle w:val="TableParagraph"/>
              <w:spacing w:line="259" w:lineRule="exact"/>
              <w:ind w:left="1200"/>
              <w:jc w:val="left"/>
              <w:rPr>
                <w:sz w:val="23"/>
              </w:rPr>
            </w:pPr>
            <w:r>
              <w:rPr>
                <w:sz w:val="23"/>
              </w:rPr>
              <w:t>Rango intercuartil</w:t>
            </w:r>
          </w:p>
        </w:tc>
        <w:tc>
          <w:tcPr>
            <w:tcW w:w="1498" w:type="dxa"/>
            <w:tcBorders>
              <w:top w:val="single" w:sz="8" w:space="0" w:color="000000"/>
              <w:left w:val="single" w:sz="15" w:space="0" w:color="000000"/>
              <w:bottom w:val="single" w:sz="8" w:space="0" w:color="000000"/>
              <w:right w:val="single" w:sz="8" w:space="0" w:color="000000"/>
            </w:tcBorders>
          </w:tcPr>
          <w:p>
            <w:pPr>
              <w:pStyle w:val="TableParagraph"/>
              <w:spacing w:line="259" w:lineRule="exact"/>
              <w:ind w:left="4"/>
              <w:rPr>
                <w:sz w:val="23"/>
              </w:rPr>
            </w:pPr>
            <w:r>
              <w:rPr>
                <w:sz w:val="23"/>
              </w:rPr>
              <w:t>1.08247765838</w:t>
            </w:r>
          </w:p>
          <w:p>
            <w:pPr>
              <w:pStyle w:val="TableParagraph"/>
              <w:spacing w:before="134"/>
              <w:ind w:left="4"/>
              <w:rPr>
                <w:sz w:val="23"/>
              </w:rPr>
            </w:pPr>
            <w:r>
              <w:rPr>
                <w:sz w:val="23"/>
              </w:rPr>
              <w:t>37168</w:t>
            </w:r>
          </w:p>
        </w:tc>
        <w:tc>
          <w:tcPr>
            <w:tcW w:w="1501" w:type="dxa"/>
            <w:tcBorders>
              <w:top w:val="single" w:sz="8" w:space="0" w:color="000000"/>
              <w:left w:val="single" w:sz="8" w:space="0" w:color="000000"/>
              <w:bottom w:val="single" w:sz="8" w:space="0" w:color="000000"/>
              <w:right w:val="single" w:sz="17" w:space="0" w:color="000000"/>
            </w:tcBorders>
          </w:tcPr>
          <w:p>
            <w:pPr/>
          </w:p>
        </w:tc>
      </w:tr>
      <w:tr>
        <w:trPr>
          <w:trHeight w:val="418" w:hRule="exact"/>
        </w:trPr>
        <w:tc>
          <w:tcPr>
            <w:tcW w:w="746" w:type="dxa"/>
            <w:vMerge/>
            <w:tcBorders>
              <w:left w:val="single" w:sz="17" w:space="0" w:color="000000"/>
              <w:right w:val="nil"/>
            </w:tcBorders>
          </w:tcPr>
          <w:p>
            <w:pPr/>
          </w:p>
        </w:tc>
        <w:tc>
          <w:tcPr>
            <w:tcW w:w="4088" w:type="dxa"/>
            <w:gridSpan w:val="2"/>
            <w:tcBorders>
              <w:top w:val="single" w:sz="8" w:space="0" w:color="000000"/>
              <w:left w:val="nil"/>
              <w:bottom w:val="single" w:sz="8" w:space="0" w:color="000000"/>
              <w:right w:val="single" w:sz="15" w:space="0" w:color="000000"/>
            </w:tcBorders>
          </w:tcPr>
          <w:p>
            <w:pPr>
              <w:pStyle w:val="TableParagraph"/>
              <w:spacing w:line="259" w:lineRule="exact"/>
              <w:ind w:left="1561" w:right="1561"/>
              <w:rPr>
                <w:sz w:val="23"/>
              </w:rPr>
            </w:pPr>
            <w:r>
              <w:rPr>
                <w:sz w:val="23"/>
              </w:rPr>
              <w:t>Asimetría</w:t>
            </w:r>
          </w:p>
        </w:tc>
        <w:tc>
          <w:tcPr>
            <w:tcW w:w="1498" w:type="dxa"/>
            <w:tcBorders>
              <w:top w:val="single" w:sz="8" w:space="0" w:color="000000"/>
              <w:left w:val="single" w:sz="15" w:space="0" w:color="000000"/>
              <w:bottom w:val="single" w:sz="8" w:space="0" w:color="000000"/>
              <w:right w:val="single" w:sz="8" w:space="0" w:color="000000"/>
            </w:tcBorders>
          </w:tcPr>
          <w:p>
            <w:pPr>
              <w:pStyle w:val="TableParagraph"/>
              <w:spacing w:line="259" w:lineRule="exact"/>
              <w:ind w:left="535"/>
              <w:jc w:val="left"/>
              <w:rPr>
                <w:sz w:val="23"/>
              </w:rPr>
            </w:pPr>
            <w:r>
              <w:rPr>
                <w:sz w:val="23"/>
              </w:rPr>
              <w:t>.212</w:t>
            </w:r>
          </w:p>
        </w:tc>
        <w:tc>
          <w:tcPr>
            <w:tcW w:w="1501" w:type="dxa"/>
            <w:tcBorders>
              <w:top w:val="single" w:sz="8" w:space="0" w:color="000000"/>
              <w:left w:val="single" w:sz="8" w:space="0" w:color="000000"/>
              <w:bottom w:val="single" w:sz="8" w:space="0" w:color="000000"/>
              <w:right w:val="single" w:sz="17" w:space="0" w:color="000000"/>
            </w:tcBorders>
          </w:tcPr>
          <w:p>
            <w:pPr>
              <w:pStyle w:val="TableParagraph"/>
              <w:spacing w:line="259" w:lineRule="exact"/>
              <w:ind w:right="530"/>
              <w:jc w:val="right"/>
              <w:rPr>
                <w:sz w:val="23"/>
              </w:rPr>
            </w:pPr>
            <w:r>
              <w:rPr>
                <w:sz w:val="23"/>
              </w:rPr>
              <w:t>.175</w:t>
            </w:r>
          </w:p>
        </w:tc>
      </w:tr>
      <w:tr>
        <w:trPr>
          <w:trHeight w:val="415" w:hRule="exact"/>
        </w:trPr>
        <w:tc>
          <w:tcPr>
            <w:tcW w:w="746" w:type="dxa"/>
            <w:vMerge/>
            <w:tcBorders>
              <w:left w:val="single" w:sz="17" w:space="0" w:color="000000"/>
              <w:bottom w:val="single" w:sz="8" w:space="0" w:color="000000"/>
              <w:right w:val="nil"/>
            </w:tcBorders>
          </w:tcPr>
          <w:p>
            <w:pPr/>
          </w:p>
        </w:tc>
        <w:tc>
          <w:tcPr>
            <w:tcW w:w="4088" w:type="dxa"/>
            <w:gridSpan w:val="2"/>
            <w:tcBorders>
              <w:top w:val="single" w:sz="8" w:space="0" w:color="000000"/>
              <w:left w:val="nil"/>
              <w:bottom w:val="single" w:sz="8" w:space="0" w:color="000000"/>
              <w:right w:val="single" w:sz="15" w:space="0" w:color="000000"/>
            </w:tcBorders>
          </w:tcPr>
          <w:p>
            <w:pPr>
              <w:pStyle w:val="TableParagraph"/>
              <w:spacing w:line="259" w:lineRule="exact"/>
              <w:ind w:left="1561" w:right="1561"/>
              <w:rPr>
                <w:sz w:val="23"/>
              </w:rPr>
            </w:pPr>
            <w:r>
              <w:rPr>
                <w:sz w:val="23"/>
              </w:rPr>
              <w:t>Curtosis</w:t>
            </w:r>
          </w:p>
        </w:tc>
        <w:tc>
          <w:tcPr>
            <w:tcW w:w="1498" w:type="dxa"/>
            <w:tcBorders>
              <w:top w:val="single" w:sz="8" w:space="0" w:color="000000"/>
              <w:left w:val="single" w:sz="15" w:space="0" w:color="000000"/>
              <w:bottom w:val="single" w:sz="8" w:space="0" w:color="000000"/>
              <w:right w:val="single" w:sz="8" w:space="0" w:color="000000"/>
            </w:tcBorders>
          </w:tcPr>
          <w:p>
            <w:pPr>
              <w:pStyle w:val="TableParagraph"/>
              <w:spacing w:line="259" w:lineRule="exact"/>
              <w:ind w:left="496"/>
              <w:jc w:val="left"/>
              <w:rPr>
                <w:sz w:val="23"/>
              </w:rPr>
            </w:pPr>
            <w:r>
              <w:rPr>
                <w:sz w:val="23"/>
              </w:rPr>
              <w:t>-.387</w:t>
            </w:r>
          </w:p>
        </w:tc>
        <w:tc>
          <w:tcPr>
            <w:tcW w:w="1501" w:type="dxa"/>
            <w:tcBorders>
              <w:top w:val="single" w:sz="8" w:space="0" w:color="000000"/>
              <w:left w:val="single" w:sz="8" w:space="0" w:color="000000"/>
              <w:bottom w:val="single" w:sz="8" w:space="0" w:color="000000"/>
              <w:right w:val="single" w:sz="17" w:space="0" w:color="000000"/>
            </w:tcBorders>
          </w:tcPr>
          <w:p>
            <w:pPr>
              <w:pStyle w:val="TableParagraph"/>
              <w:spacing w:line="259" w:lineRule="exact"/>
              <w:ind w:right="530"/>
              <w:jc w:val="right"/>
              <w:rPr>
                <w:sz w:val="23"/>
              </w:rPr>
            </w:pPr>
            <w:r>
              <w:rPr>
                <w:sz w:val="23"/>
              </w:rPr>
              <w:t>.349</w:t>
            </w:r>
          </w:p>
        </w:tc>
      </w:tr>
      <w:tr>
        <w:trPr>
          <w:trHeight w:val="814" w:hRule="exact"/>
        </w:trPr>
        <w:tc>
          <w:tcPr>
            <w:tcW w:w="746" w:type="dxa"/>
            <w:vMerge w:val="restart"/>
            <w:tcBorders>
              <w:top w:val="single" w:sz="8" w:space="0" w:color="000000"/>
              <w:left w:val="single" w:sz="17" w:space="0" w:color="000000"/>
              <w:right w:val="nil"/>
            </w:tcBorders>
          </w:tcPr>
          <w:p>
            <w:pPr>
              <w:pStyle w:val="TableParagraph"/>
              <w:spacing w:line="261" w:lineRule="exact"/>
              <w:ind w:left="223"/>
              <w:jc w:val="left"/>
              <w:rPr>
                <w:sz w:val="23"/>
              </w:rPr>
            </w:pPr>
            <w:r>
              <w:rPr>
                <w:sz w:val="23"/>
              </w:rPr>
              <w:t>X4</w:t>
            </w:r>
          </w:p>
        </w:tc>
        <w:tc>
          <w:tcPr>
            <w:tcW w:w="4088" w:type="dxa"/>
            <w:gridSpan w:val="2"/>
            <w:tcBorders>
              <w:top w:val="single" w:sz="8" w:space="0" w:color="000000"/>
              <w:left w:val="nil"/>
              <w:bottom w:val="single" w:sz="8" w:space="0" w:color="000000"/>
              <w:right w:val="single" w:sz="15" w:space="0" w:color="000000"/>
            </w:tcBorders>
          </w:tcPr>
          <w:p>
            <w:pPr>
              <w:pStyle w:val="TableParagraph"/>
              <w:spacing w:line="261" w:lineRule="exact"/>
              <w:ind w:left="1561" w:right="1560"/>
              <w:rPr>
                <w:sz w:val="23"/>
              </w:rPr>
            </w:pPr>
            <w:r>
              <w:rPr>
                <w:sz w:val="23"/>
              </w:rPr>
              <w:t>Media</w:t>
            </w:r>
          </w:p>
        </w:tc>
        <w:tc>
          <w:tcPr>
            <w:tcW w:w="1498" w:type="dxa"/>
            <w:tcBorders>
              <w:top w:val="single" w:sz="8" w:space="0" w:color="000000"/>
              <w:left w:val="single" w:sz="15" w:space="0" w:color="000000"/>
              <w:bottom w:val="single" w:sz="8" w:space="0" w:color="000000"/>
              <w:right w:val="single" w:sz="8" w:space="0" w:color="000000"/>
            </w:tcBorders>
          </w:tcPr>
          <w:p>
            <w:pPr>
              <w:pStyle w:val="TableParagraph"/>
              <w:spacing w:line="261" w:lineRule="exact"/>
              <w:ind w:left="4"/>
              <w:rPr>
                <w:sz w:val="23"/>
              </w:rPr>
            </w:pPr>
            <w:r>
              <w:rPr>
                <w:sz w:val="23"/>
              </w:rPr>
              <w:t>10.2235747432</w:t>
            </w:r>
          </w:p>
          <w:p>
            <w:pPr>
              <w:pStyle w:val="TableParagraph"/>
              <w:spacing w:before="131"/>
              <w:ind w:left="4"/>
              <w:rPr>
                <w:sz w:val="23"/>
              </w:rPr>
            </w:pPr>
            <w:r>
              <w:rPr>
                <w:sz w:val="23"/>
              </w:rPr>
              <w:t>76490</w:t>
            </w:r>
          </w:p>
        </w:tc>
        <w:tc>
          <w:tcPr>
            <w:tcW w:w="1501" w:type="dxa"/>
            <w:tcBorders>
              <w:top w:val="single" w:sz="8" w:space="0" w:color="000000"/>
              <w:left w:val="single" w:sz="8" w:space="0" w:color="000000"/>
              <w:bottom w:val="single" w:sz="8" w:space="0" w:color="000000"/>
              <w:right w:val="single" w:sz="17" w:space="0" w:color="000000"/>
            </w:tcBorders>
          </w:tcPr>
          <w:p>
            <w:pPr>
              <w:pStyle w:val="TableParagraph"/>
              <w:spacing w:line="261" w:lineRule="exact"/>
              <w:ind w:left="4"/>
              <w:rPr>
                <w:sz w:val="23"/>
              </w:rPr>
            </w:pPr>
            <w:r>
              <w:rPr>
                <w:sz w:val="23"/>
              </w:rPr>
              <w:t>.043330543780</w:t>
            </w:r>
          </w:p>
          <w:p>
            <w:pPr>
              <w:pStyle w:val="TableParagraph"/>
              <w:spacing w:before="131"/>
              <w:rPr>
                <w:sz w:val="23"/>
              </w:rPr>
            </w:pPr>
            <w:r>
              <w:rPr>
                <w:sz w:val="23"/>
              </w:rPr>
              <w:t>733</w:t>
            </w:r>
          </w:p>
        </w:tc>
      </w:tr>
      <w:tr>
        <w:trPr>
          <w:trHeight w:val="784" w:hRule="exact"/>
        </w:trPr>
        <w:tc>
          <w:tcPr>
            <w:tcW w:w="746" w:type="dxa"/>
            <w:vMerge/>
            <w:tcBorders>
              <w:left w:val="single" w:sz="17" w:space="0" w:color="000000"/>
              <w:right w:val="nil"/>
            </w:tcBorders>
          </w:tcPr>
          <w:p>
            <w:pPr/>
          </w:p>
        </w:tc>
        <w:tc>
          <w:tcPr>
            <w:tcW w:w="2472" w:type="dxa"/>
            <w:tcBorders>
              <w:top w:val="single" w:sz="8" w:space="0" w:color="000000"/>
              <w:left w:val="nil"/>
              <w:bottom w:val="nil"/>
              <w:right w:val="nil"/>
            </w:tcBorders>
          </w:tcPr>
          <w:p>
            <w:pPr>
              <w:pStyle w:val="TableParagraph"/>
              <w:spacing w:line="360" w:lineRule="auto" w:before="15"/>
              <w:ind w:left="151" w:right="110" w:firstLine="172"/>
              <w:jc w:val="left"/>
              <w:rPr>
                <w:sz w:val="23"/>
              </w:rPr>
            </w:pPr>
            <w:r>
              <w:rPr>
                <w:sz w:val="23"/>
              </w:rPr>
              <w:t>95% de intervalo de confianza para la media</w:t>
            </w:r>
          </w:p>
        </w:tc>
        <w:tc>
          <w:tcPr>
            <w:tcW w:w="1616" w:type="dxa"/>
            <w:tcBorders>
              <w:top w:val="single" w:sz="8" w:space="0" w:color="000000"/>
              <w:left w:val="nil"/>
              <w:bottom w:val="nil"/>
              <w:right w:val="single" w:sz="15" w:space="0" w:color="000000"/>
            </w:tcBorders>
          </w:tcPr>
          <w:p>
            <w:pPr>
              <w:pStyle w:val="TableParagraph"/>
              <w:spacing w:before="15"/>
              <w:ind w:left="130"/>
              <w:jc w:val="left"/>
              <w:rPr>
                <w:sz w:val="23"/>
              </w:rPr>
            </w:pPr>
            <w:r>
              <w:rPr>
                <w:sz w:val="23"/>
              </w:rPr>
              <w:t>Límite inferior</w:t>
            </w:r>
          </w:p>
        </w:tc>
        <w:tc>
          <w:tcPr>
            <w:tcW w:w="1498" w:type="dxa"/>
            <w:tcBorders>
              <w:top w:val="single" w:sz="8" w:space="0" w:color="000000"/>
              <w:left w:val="single" w:sz="15" w:space="0" w:color="000000"/>
              <w:bottom w:val="nil"/>
              <w:right w:val="single" w:sz="8" w:space="0" w:color="000000"/>
            </w:tcBorders>
          </w:tcPr>
          <w:p>
            <w:pPr>
              <w:pStyle w:val="TableParagraph"/>
              <w:spacing w:before="15"/>
              <w:ind w:left="4"/>
              <w:rPr>
                <w:sz w:val="23"/>
              </w:rPr>
            </w:pPr>
            <w:r>
              <w:rPr>
                <w:sz w:val="23"/>
              </w:rPr>
              <w:t>10.1381068926</w:t>
            </w:r>
          </w:p>
          <w:p>
            <w:pPr>
              <w:pStyle w:val="TableParagraph"/>
              <w:spacing w:before="131"/>
              <w:ind w:left="4"/>
              <w:rPr>
                <w:sz w:val="23"/>
              </w:rPr>
            </w:pPr>
            <w:r>
              <w:rPr>
                <w:sz w:val="23"/>
              </w:rPr>
              <w:t>73070</w:t>
            </w:r>
          </w:p>
        </w:tc>
        <w:tc>
          <w:tcPr>
            <w:tcW w:w="1501" w:type="dxa"/>
            <w:vMerge w:val="restart"/>
            <w:tcBorders>
              <w:top w:val="single" w:sz="8" w:space="0" w:color="000000"/>
              <w:left w:val="single" w:sz="8" w:space="0" w:color="000000"/>
              <w:right w:val="single" w:sz="17" w:space="0" w:color="000000"/>
            </w:tcBorders>
          </w:tcPr>
          <w:p>
            <w:pPr/>
          </w:p>
        </w:tc>
      </w:tr>
      <w:tr>
        <w:trPr>
          <w:trHeight w:val="884" w:hRule="exact"/>
        </w:trPr>
        <w:tc>
          <w:tcPr>
            <w:tcW w:w="746" w:type="dxa"/>
            <w:vMerge/>
            <w:tcBorders>
              <w:left w:val="single" w:sz="17" w:space="0" w:color="000000"/>
              <w:bottom w:val="single" w:sz="15" w:space="0" w:color="000000"/>
              <w:right w:val="nil"/>
            </w:tcBorders>
          </w:tcPr>
          <w:p>
            <w:pPr/>
          </w:p>
        </w:tc>
        <w:tc>
          <w:tcPr>
            <w:tcW w:w="2472" w:type="dxa"/>
            <w:tcBorders>
              <w:top w:val="nil"/>
              <w:left w:val="nil"/>
              <w:bottom w:val="single" w:sz="8" w:space="0" w:color="000000"/>
              <w:right w:val="nil"/>
            </w:tcBorders>
          </w:tcPr>
          <w:p>
            <w:pPr/>
          </w:p>
        </w:tc>
        <w:tc>
          <w:tcPr>
            <w:tcW w:w="1616" w:type="dxa"/>
            <w:tcBorders>
              <w:top w:val="nil"/>
              <w:left w:val="nil"/>
              <w:bottom w:val="single" w:sz="8" w:space="0" w:color="000000"/>
              <w:right w:val="single" w:sz="15" w:space="0" w:color="000000"/>
            </w:tcBorders>
          </w:tcPr>
          <w:p>
            <w:pPr>
              <w:pStyle w:val="TableParagraph"/>
              <w:spacing w:before="74"/>
              <w:ind w:left="96"/>
              <w:jc w:val="left"/>
              <w:rPr>
                <w:sz w:val="23"/>
              </w:rPr>
            </w:pPr>
            <w:r>
              <w:rPr>
                <w:sz w:val="23"/>
              </w:rPr>
              <w:t>Límite superior</w:t>
            </w:r>
          </w:p>
        </w:tc>
        <w:tc>
          <w:tcPr>
            <w:tcW w:w="1498" w:type="dxa"/>
            <w:tcBorders>
              <w:top w:val="nil"/>
              <w:left w:val="single" w:sz="15" w:space="0" w:color="000000"/>
              <w:bottom w:val="single" w:sz="8" w:space="0" w:color="000000"/>
              <w:right w:val="single" w:sz="8" w:space="0" w:color="000000"/>
            </w:tcBorders>
          </w:tcPr>
          <w:p>
            <w:pPr>
              <w:pStyle w:val="TableParagraph"/>
              <w:spacing w:before="74"/>
              <w:ind w:left="4"/>
              <w:rPr>
                <w:sz w:val="23"/>
              </w:rPr>
            </w:pPr>
            <w:r>
              <w:rPr>
                <w:sz w:val="23"/>
              </w:rPr>
              <w:t>10.3090425938</w:t>
            </w:r>
          </w:p>
          <w:p>
            <w:pPr>
              <w:pStyle w:val="TableParagraph"/>
              <w:spacing w:before="132"/>
              <w:ind w:left="4"/>
              <w:rPr>
                <w:sz w:val="23"/>
              </w:rPr>
            </w:pPr>
            <w:r>
              <w:rPr>
                <w:sz w:val="23"/>
              </w:rPr>
              <w:t>79910</w:t>
            </w:r>
          </w:p>
        </w:tc>
        <w:tc>
          <w:tcPr>
            <w:tcW w:w="1501" w:type="dxa"/>
            <w:vMerge/>
            <w:tcBorders>
              <w:left w:val="single" w:sz="8" w:space="0" w:color="000000"/>
              <w:bottom w:val="single" w:sz="8" w:space="0" w:color="000000"/>
              <w:right w:val="single" w:sz="17" w:space="0" w:color="000000"/>
            </w:tcBorders>
          </w:tcPr>
          <w:p>
            <w:pPr/>
          </w:p>
        </w:tc>
      </w:tr>
    </w:tbl>
    <w:p>
      <w:pPr>
        <w:spacing w:after="0"/>
        <w:sectPr>
          <w:footerReference w:type="default" r:id="rId176"/>
          <w:pgSz w:w="12240" w:h="15840"/>
          <w:pgMar w:footer="1857" w:header="1434" w:top="1740" w:bottom="2040" w:left="1580" w:right="1600"/>
          <w:pgNumType w:start="77"/>
        </w:sectPr>
      </w:pPr>
    </w:p>
    <w:p>
      <w:pPr>
        <w:pStyle w:val="BodyText"/>
        <w:spacing w:line="20" w:lineRule="exact"/>
        <w:ind w:left="359"/>
        <w:rPr>
          <w:sz w:val="2"/>
        </w:rPr>
      </w:pPr>
      <w:r>
        <w:rPr>
          <w:sz w:val="2"/>
        </w:rPr>
        <w:pict>
          <v:group style="width:418.45pt;height:.5pt;mso-position-horizontal-relative:char;mso-position-vertical-relative:line" coordorigin="0,0" coordsize="8369,10">
            <v:line style="position:absolute" from="5,5" to="8364,5" stroked="true" strokeweight=".5pt" strokecolor="#000000"/>
          </v:group>
        </w:pict>
      </w:r>
      <w:r>
        <w:rPr>
          <w:sz w:val="2"/>
        </w:rPr>
      </w:r>
    </w:p>
    <w:p>
      <w:pPr>
        <w:pStyle w:val="BodyText"/>
        <w:rPr>
          <w:sz w:val="20"/>
        </w:rPr>
      </w:pPr>
    </w:p>
    <w:p>
      <w:pPr>
        <w:pStyle w:val="BodyText"/>
        <w:rPr>
          <w:sz w:val="20"/>
        </w:rPr>
      </w:pPr>
    </w:p>
    <w:p>
      <w:pPr>
        <w:pStyle w:val="BodyText"/>
        <w:spacing w:before="180"/>
        <w:ind w:left="2731" w:right="64"/>
        <w:rPr>
          <w:rFonts w:ascii="Calibri" w:hAnsi="Calibri"/>
        </w:rPr>
      </w:pPr>
      <w:r>
        <w:rPr>
          <w:rFonts w:ascii="Calibri" w:hAnsi="Calibri"/>
        </w:rPr>
        <w:t>Cuadro 03. Descriptivos (continuaciòn)</w:t>
      </w:r>
    </w:p>
    <w:p>
      <w:pPr>
        <w:pStyle w:val="BodyText"/>
        <w:spacing w:before="2"/>
        <w:rPr>
          <w:rFonts w:ascii="Calibri"/>
          <w:sz w:val="15"/>
        </w:rPr>
      </w:pPr>
    </w:p>
    <w:tbl>
      <w:tblPr>
        <w:tblW w:w="0" w:type="auto"/>
        <w:jc w:val="left"/>
        <w:tblInd w:w="6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7"/>
        <w:gridCol w:w="4021"/>
        <w:gridCol w:w="1418"/>
        <w:gridCol w:w="1558"/>
      </w:tblGrid>
      <w:tr>
        <w:trPr>
          <w:trHeight w:val="809" w:hRule="exact"/>
        </w:trPr>
        <w:tc>
          <w:tcPr>
            <w:tcW w:w="737" w:type="dxa"/>
            <w:vMerge w:val="restart"/>
            <w:tcBorders>
              <w:left w:val="single" w:sz="17" w:space="0" w:color="000000"/>
              <w:right w:val="nil"/>
            </w:tcBorders>
          </w:tcPr>
          <w:p>
            <w:pPr/>
          </w:p>
        </w:tc>
        <w:tc>
          <w:tcPr>
            <w:tcW w:w="4021" w:type="dxa"/>
            <w:tcBorders>
              <w:left w:val="nil"/>
              <w:bottom w:val="single" w:sz="8" w:space="0" w:color="000000"/>
              <w:right w:val="single" w:sz="15" w:space="0" w:color="000000"/>
            </w:tcBorders>
          </w:tcPr>
          <w:p>
            <w:pPr>
              <w:pStyle w:val="TableParagraph"/>
              <w:spacing w:line="259" w:lineRule="exact"/>
              <w:ind w:left="942" w:right="930"/>
              <w:rPr>
                <w:sz w:val="23"/>
              </w:rPr>
            </w:pPr>
            <w:r>
              <w:rPr>
                <w:sz w:val="23"/>
              </w:rPr>
              <w:t>Media recortada al 5%</w:t>
            </w:r>
          </w:p>
        </w:tc>
        <w:tc>
          <w:tcPr>
            <w:tcW w:w="1418" w:type="dxa"/>
            <w:tcBorders>
              <w:left w:val="single" w:sz="15" w:space="0" w:color="000000"/>
              <w:bottom w:val="single" w:sz="8" w:space="0" w:color="000000"/>
              <w:right w:val="single" w:sz="8" w:space="0" w:color="000000"/>
            </w:tcBorders>
          </w:tcPr>
          <w:p>
            <w:pPr>
              <w:pStyle w:val="TableParagraph"/>
              <w:spacing w:line="259" w:lineRule="exact"/>
              <w:ind w:left="13" w:right="13"/>
              <w:rPr>
                <w:sz w:val="23"/>
              </w:rPr>
            </w:pPr>
            <w:r>
              <w:rPr>
                <w:sz w:val="23"/>
              </w:rPr>
              <w:t>10.234385818</w:t>
            </w:r>
          </w:p>
          <w:p>
            <w:pPr>
              <w:pStyle w:val="TableParagraph"/>
              <w:spacing w:before="134"/>
              <w:ind w:left="13" w:right="13"/>
              <w:rPr>
                <w:sz w:val="23"/>
              </w:rPr>
            </w:pPr>
            <w:r>
              <w:rPr>
                <w:sz w:val="23"/>
              </w:rPr>
              <w:t>247336</w:t>
            </w:r>
          </w:p>
        </w:tc>
        <w:tc>
          <w:tcPr>
            <w:tcW w:w="1558" w:type="dxa"/>
            <w:tcBorders>
              <w:left w:val="single" w:sz="8" w:space="0" w:color="000000"/>
              <w:bottom w:val="single" w:sz="8" w:space="0" w:color="000000"/>
              <w:right w:val="single" w:sz="17" w:space="0" w:color="000000"/>
            </w:tcBorders>
          </w:tcPr>
          <w:p>
            <w:pPr/>
          </w:p>
        </w:tc>
      </w:tr>
      <w:tr>
        <w:trPr>
          <w:trHeight w:val="833" w:hRule="exact"/>
        </w:trPr>
        <w:tc>
          <w:tcPr>
            <w:tcW w:w="737" w:type="dxa"/>
            <w:vMerge/>
            <w:tcBorders>
              <w:left w:val="single" w:sz="17" w:space="0" w:color="000000"/>
              <w:right w:val="nil"/>
            </w:tcBorders>
          </w:tcPr>
          <w:p>
            <w:pPr/>
          </w:p>
        </w:tc>
        <w:tc>
          <w:tcPr>
            <w:tcW w:w="4021" w:type="dxa"/>
            <w:tcBorders>
              <w:top w:val="single" w:sz="8" w:space="0" w:color="000000"/>
              <w:left w:val="nil"/>
              <w:bottom w:val="single" w:sz="8" w:space="0" w:color="000000"/>
              <w:right w:val="single" w:sz="15" w:space="0" w:color="000000"/>
            </w:tcBorders>
          </w:tcPr>
          <w:p>
            <w:pPr>
              <w:pStyle w:val="TableParagraph"/>
              <w:spacing w:before="15"/>
              <w:ind w:left="940" w:right="930"/>
              <w:rPr>
                <w:sz w:val="23"/>
              </w:rPr>
            </w:pPr>
            <w:r>
              <w:rPr>
                <w:sz w:val="23"/>
              </w:rPr>
              <w:t>Mediana</w:t>
            </w:r>
          </w:p>
        </w:tc>
        <w:tc>
          <w:tcPr>
            <w:tcW w:w="1418" w:type="dxa"/>
            <w:tcBorders>
              <w:top w:val="single" w:sz="8" w:space="0" w:color="000000"/>
              <w:left w:val="single" w:sz="15" w:space="0" w:color="000000"/>
              <w:bottom w:val="single" w:sz="8" w:space="0" w:color="000000"/>
              <w:right w:val="single" w:sz="8" w:space="0" w:color="000000"/>
            </w:tcBorders>
          </w:tcPr>
          <w:p>
            <w:pPr>
              <w:pStyle w:val="TableParagraph"/>
              <w:spacing w:before="15"/>
              <w:ind w:left="13" w:right="13"/>
              <w:rPr>
                <w:sz w:val="23"/>
              </w:rPr>
            </w:pPr>
            <w:r>
              <w:rPr>
                <w:sz w:val="23"/>
              </w:rPr>
              <w:t>10.239959789</w:t>
            </w:r>
          </w:p>
          <w:p>
            <w:pPr>
              <w:pStyle w:val="TableParagraph"/>
              <w:spacing w:before="131"/>
              <w:ind w:left="13" w:right="13"/>
              <w:rPr>
                <w:sz w:val="23"/>
              </w:rPr>
            </w:pPr>
            <w:r>
              <w:rPr>
                <w:sz w:val="23"/>
              </w:rPr>
              <w:t>157341</w:t>
            </w:r>
          </w:p>
        </w:tc>
        <w:tc>
          <w:tcPr>
            <w:tcW w:w="1558" w:type="dxa"/>
            <w:tcBorders>
              <w:top w:val="single" w:sz="8" w:space="0" w:color="000000"/>
              <w:left w:val="single" w:sz="8" w:space="0" w:color="000000"/>
              <w:bottom w:val="single" w:sz="8" w:space="0" w:color="000000"/>
              <w:right w:val="single" w:sz="17" w:space="0" w:color="000000"/>
            </w:tcBorders>
          </w:tcPr>
          <w:p>
            <w:pPr/>
          </w:p>
        </w:tc>
      </w:tr>
      <w:tr>
        <w:trPr>
          <w:trHeight w:val="448" w:hRule="exact"/>
        </w:trPr>
        <w:tc>
          <w:tcPr>
            <w:tcW w:w="737" w:type="dxa"/>
            <w:vMerge/>
            <w:tcBorders>
              <w:left w:val="single" w:sz="17" w:space="0" w:color="000000"/>
              <w:bottom w:val="single" w:sz="15" w:space="0" w:color="000000"/>
              <w:right w:val="nil"/>
            </w:tcBorders>
          </w:tcPr>
          <w:p>
            <w:pPr/>
          </w:p>
        </w:tc>
        <w:tc>
          <w:tcPr>
            <w:tcW w:w="4021" w:type="dxa"/>
            <w:tcBorders>
              <w:top w:val="single" w:sz="8" w:space="0" w:color="000000"/>
              <w:left w:val="nil"/>
              <w:bottom w:val="single" w:sz="16" w:space="0" w:color="FFFFFF"/>
              <w:right w:val="single" w:sz="15" w:space="0" w:color="000000"/>
            </w:tcBorders>
          </w:tcPr>
          <w:p>
            <w:pPr>
              <w:pStyle w:val="TableParagraph"/>
              <w:spacing w:before="16"/>
              <w:ind w:left="942" w:right="929"/>
              <w:rPr>
                <w:sz w:val="23"/>
              </w:rPr>
            </w:pPr>
            <w:r>
              <w:rPr>
                <w:sz w:val="23"/>
              </w:rPr>
              <w:t>Varianza</w:t>
            </w:r>
          </w:p>
        </w:tc>
        <w:tc>
          <w:tcPr>
            <w:tcW w:w="1418" w:type="dxa"/>
            <w:tcBorders>
              <w:top w:val="single" w:sz="8" w:space="0" w:color="000000"/>
              <w:left w:val="single" w:sz="15" w:space="0" w:color="000000"/>
              <w:bottom w:val="single" w:sz="8" w:space="0" w:color="000000"/>
              <w:right w:val="single" w:sz="8" w:space="0" w:color="000000"/>
            </w:tcBorders>
          </w:tcPr>
          <w:p>
            <w:pPr>
              <w:pStyle w:val="TableParagraph"/>
              <w:spacing w:before="16"/>
              <w:ind w:left="13" w:right="13"/>
              <w:rPr>
                <w:sz w:val="23"/>
              </w:rPr>
            </w:pPr>
            <w:r>
              <w:rPr>
                <w:sz w:val="23"/>
              </w:rPr>
              <w:t>.360</w:t>
            </w:r>
          </w:p>
        </w:tc>
        <w:tc>
          <w:tcPr>
            <w:tcW w:w="1558" w:type="dxa"/>
            <w:tcBorders>
              <w:top w:val="single" w:sz="8" w:space="0" w:color="000000"/>
              <w:left w:val="single" w:sz="8" w:space="0" w:color="000000"/>
              <w:bottom w:val="single" w:sz="8" w:space="0" w:color="000000"/>
              <w:right w:val="single" w:sz="17" w:space="0" w:color="000000"/>
            </w:tcBorders>
          </w:tcPr>
          <w:p>
            <w:pPr/>
          </w:p>
        </w:tc>
      </w:tr>
      <w:tr>
        <w:trPr>
          <w:trHeight w:val="822" w:hRule="exact"/>
        </w:trPr>
        <w:tc>
          <w:tcPr>
            <w:tcW w:w="737" w:type="dxa"/>
            <w:vMerge w:val="restart"/>
            <w:tcBorders>
              <w:top w:val="single" w:sz="15" w:space="0" w:color="000000"/>
              <w:left w:val="single" w:sz="17" w:space="0" w:color="000000"/>
              <w:right w:val="nil"/>
            </w:tcBorders>
          </w:tcPr>
          <w:p>
            <w:pPr/>
          </w:p>
        </w:tc>
        <w:tc>
          <w:tcPr>
            <w:tcW w:w="4021" w:type="dxa"/>
            <w:tcBorders>
              <w:top w:val="single" w:sz="16" w:space="0" w:color="FFFFFF"/>
              <w:left w:val="nil"/>
              <w:bottom w:val="single" w:sz="8" w:space="0" w:color="000000"/>
              <w:right w:val="single" w:sz="15" w:space="0" w:color="000000"/>
            </w:tcBorders>
          </w:tcPr>
          <w:p>
            <w:pPr>
              <w:pStyle w:val="TableParagraph"/>
              <w:spacing w:line="259" w:lineRule="exact"/>
              <w:ind w:left="930" w:right="930"/>
              <w:rPr>
                <w:sz w:val="23"/>
              </w:rPr>
            </w:pPr>
            <w:r>
              <w:rPr>
                <w:sz w:val="23"/>
              </w:rPr>
              <w:t>Desviación estándar</w:t>
            </w:r>
          </w:p>
        </w:tc>
        <w:tc>
          <w:tcPr>
            <w:tcW w:w="1418" w:type="dxa"/>
            <w:tcBorders>
              <w:top w:val="single" w:sz="8" w:space="0" w:color="000000"/>
              <w:left w:val="single" w:sz="15" w:space="0" w:color="000000"/>
              <w:bottom w:val="single" w:sz="8" w:space="0" w:color="000000"/>
              <w:right w:val="single" w:sz="8" w:space="0" w:color="000000"/>
            </w:tcBorders>
          </w:tcPr>
          <w:p>
            <w:pPr>
              <w:pStyle w:val="TableParagraph"/>
              <w:spacing w:before="5"/>
              <w:ind w:left="13" w:right="13"/>
              <w:rPr>
                <w:sz w:val="23"/>
              </w:rPr>
            </w:pPr>
            <w:r>
              <w:rPr>
                <w:sz w:val="23"/>
              </w:rPr>
              <w:t>.60040562678</w:t>
            </w:r>
          </w:p>
          <w:p>
            <w:pPr>
              <w:pStyle w:val="TableParagraph"/>
              <w:spacing w:before="131"/>
              <w:ind w:left="13" w:right="13"/>
              <w:rPr>
                <w:sz w:val="23"/>
              </w:rPr>
            </w:pPr>
            <w:r>
              <w:rPr>
                <w:sz w:val="23"/>
              </w:rPr>
              <w:t>2535</w:t>
            </w:r>
          </w:p>
        </w:tc>
        <w:tc>
          <w:tcPr>
            <w:tcW w:w="1558" w:type="dxa"/>
            <w:tcBorders>
              <w:top w:val="single" w:sz="8" w:space="0" w:color="000000"/>
              <w:left w:val="single" w:sz="8" w:space="0" w:color="000000"/>
              <w:bottom w:val="single" w:sz="8" w:space="0" w:color="000000"/>
              <w:right w:val="single" w:sz="17" w:space="0" w:color="000000"/>
            </w:tcBorders>
          </w:tcPr>
          <w:p>
            <w:pPr/>
          </w:p>
        </w:tc>
      </w:tr>
      <w:tr>
        <w:trPr>
          <w:trHeight w:val="835" w:hRule="exact"/>
        </w:trPr>
        <w:tc>
          <w:tcPr>
            <w:tcW w:w="737" w:type="dxa"/>
            <w:vMerge/>
            <w:tcBorders>
              <w:left w:val="single" w:sz="17" w:space="0" w:color="000000"/>
              <w:right w:val="nil"/>
            </w:tcBorders>
          </w:tcPr>
          <w:p>
            <w:pPr/>
          </w:p>
        </w:tc>
        <w:tc>
          <w:tcPr>
            <w:tcW w:w="4021" w:type="dxa"/>
            <w:tcBorders>
              <w:top w:val="single" w:sz="8" w:space="0" w:color="000000"/>
              <w:left w:val="nil"/>
              <w:bottom w:val="single" w:sz="8" w:space="0" w:color="000000"/>
              <w:right w:val="single" w:sz="15" w:space="0" w:color="000000"/>
            </w:tcBorders>
          </w:tcPr>
          <w:p>
            <w:pPr>
              <w:pStyle w:val="TableParagraph"/>
              <w:spacing w:before="15"/>
              <w:ind w:left="931" w:right="930"/>
              <w:rPr>
                <w:sz w:val="23"/>
              </w:rPr>
            </w:pPr>
            <w:r>
              <w:rPr>
                <w:sz w:val="23"/>
              </w:rPr>
              <w:t>Mínimo</w:t>
            </w:r>
          </w:p>
        </w:tc>
        <w:tc>
          <w:tcPr>
            <w:tcW w:w="1418" w:type="dxa"/>
            <w:tcBorders>
              <w:top w:val="single" w:sz="8" w:space="0" w:color="000000"/>
              <w:left w:val="single" w:sz="15" w:space="0" w:color="000000"/>
              <w:bottom w:val="single" w:sz="8" w:space="0" w:color="000000"/>
              <w:right w:val="single" w:sz="8" w:space="0" w:color="000000"/>
            </w:tcBorders>
          </w:tcPr>
          <w:p>
            <w:pPr>
              <w:pStyle w:val="TableParagraph"/>
              <w:spacing w:before="15"/>
              <w:ind w:left="13" w:right="13"/>
              <w:rPr>
                <w:sz w:val="23"/>
              </w:rPr>
            </w:pPr>
            <w:r>
              <w:rPr>
                <w:sz w:val="23"/>
              </w:rPr>
              <w:t>8.5716813767</w:t>
            </w:r>
          </w:p>
          <w:p>
            <w:pPr>
              <w:pStyle w:val="TableParagraph"/>
              <w:spacing w:before="131"/>
              <w:ind w:left="13" w:right="13"/>
              <w:rPr>
                <w:sz w:val="23"/>
              </w:rPr>
            </w:pPr>
            <w:r>
              <w:rPr>
                <w:sz w:val="23"/>
              </w:rPr>
              <w:t>00306</w:t>
            </w:r>
          </w:p>
        </w:tc>
        <w:tc>
          <w:tcPr>
            <w:tcW w:w="1558" w:type="dxa"/>
            <w:tcBorders>
              <w:top w:val="single" w:sz="8" w:space="0" w:color="000000"/>
              <w:left w:val="single" w:sz="8" w:space="0" w:color="000000"/>
              <w:bottom w:val="single" w:sz="8" w:space="0" w:color="000000"/>
              <w:right w:val="single" w:sz="17" w:space="0" w:color="000000"/>
            </w:tcBorders>
          </w:tcPr>
          <w:p>
            <w:pPr/>
          </w:p>
        </w:tc>
      </w:tr>
      <w:tr>
        <w:trPr>
          <w:trHeight w:val="833" w:hRule="exact"/>
        </w:trPr>
        <w:tc>
          <w:tcPr>
            <w:tcW w:w="737" w:type="dxa"/>
            <w:vMerge/>
            <w:tcBorders>
              <w:left w:val="single" w:sz="17" w:space="0" w:color="000000"/>
              <w:right w:val="nil"/>
            </w:tcBorders>
          </w:tcPr>
          <w:p>
            <w:pPr/>
          </w:p>
        </w:tc>
        <w:tc>
          <w:tcPr>
            <w:tcW w:w="4021" w:type="dxa"/>
            <w:tcBorders>
              <w:top w:val="single" w:sz="8" w:space="0" w:color="000000"/>
              <w:left w:val="nil"/>
              <w:bottom w:val="single" w:sz="8" w:space="0" w:color="000000"/>
              <w:right w:val="single" w:sz="15" w:space="0" w:color="000000"/>
            </w:tcBorders>
          </w:tcPr>
          <w:p>
            <w:pPr>
              <w:pStyle w:val="TableParagraph"/>
              <w:spacing w:before="13"/>
              <w:ind w:left="931" w:right="930"/>
              <w:rPr>
                <w:sz w:val="23"/>
              </w:rPr>
            </w:pPr>
            <w:r>
              <w:rPr>
                <w:sz w:val="23"/>
              </w:rPr>
              <w:t>Máximo</w:t>
            </w:r>
          </w:p>
        </w:tc>
        <w:tc>
          <w:tcPr>
            <w:tcW w:w="1418" w:type="dxa"/>
            <w:tcBorders>
              <w:top w:val="single" w:sz="8" w:space="0" w:color="000000"/>
              <w:left w:val="single" w:sz="15" w:space="0" w:color="000000"/>
              <w:bottom w:val="single" w:sz="8" w:space="0" w:color="000000"/>
              <w:right w:val="single" w:sz="8" w:space="0" w:color="000000"/>
            </w:tcBorders>
          </w:tcPr>
          <w:p>
            <w:pPr>
              <w:pStyle w:val="TableParagraph"/>
              <w:spacing w:before="13"/>
              <w:ind w:left="13" w:right="13"/>
              <w:rPr>
                <w:sz w:val="23"/>
              </w:rPr>
            </w:pPr>
            <w:r>
              <w:rPr>
                <w:sz w:val="23"/>
              </w:rPr>
              <w:t>11.695247021</w:t>
            </w:r>
          </w:p>
          <w:p>
            <w:pPr>
              <w:pStyle w:val="TableParagraph"/>
              <w:spacing w:before="134"/>
              <w:ind w:left="13" w:right="13"/>
              <w:rPr>
                <w:sz w:val="23"/>
              </w:rPr>
            </w:pPr>
            <w:r>
              <w:rPr>
                <w:sz w:val="23"/>
              </w:rPr>
              <w:t>764184</w:t>
            </w:r>
          </w:p>
        </w:tc>
        <w:tc>
          <w:tcPr>
            <w:tcW w:w="1558" w:type="dxa"/>
            <w:tcBorders>
              <w:top w:val="single" w:sz="8" w:space="0" w:color="000000"/>
              <w:left w:val="single" w:sz="8" w:space="0" w:color="000000"/>
              <w:bottom w:val="single" w:sz="8" w:space="0" w:color="000000"/>
              <w:right w:val="single" w:sz="17" w:space="0" w:color="000000"/>
            </w:tcBorders>
          </w:tcPr>
          <w:p>
            <w:pPr/>
          </w:p>
        </w:tc>
      </w:tr>
      <w:tr>
        <w:trPr>
          <w:trHeight w:val="833" w:hRule="exact"/>
        </w:trPr>
        <w:tc>
          <w:tcPr>
            <w:tcW w:w="737" w:type="dxa"/>
            <w:vMerge/>
            <w:tcBorders>
              <w:left w:val="single" w:sz="17" w:space="0" w:color="000000"/>
              <w:right w:val="nil"/>
            </w:tcBorders>
          </w:tcPr>
          <w:p>
            <w:pPr/>
          </w:p>
        </w:tc>
        <w:tc>
          <w:tcPr>
            <w:tcW w:w="4021" w:type="dxa"/>
            <w:tcBorders>
              <w:top w:val="single" w:sz="8" w:space="0" w:color="000000"/>
              <w:left w:val="nil"/>
              <w:bottom w:val="single" w:sz="8" w:space="0" w:color="000000"/>
              <w:right w:val="single" w:sz="15" w:space="0" w:color="000000"/>
            </w:tcBorders>
          </w:tcPr>
          <w:p>
            <w:pPr>
              <w:pStyle w:val="TableParagraph"/>
              <w:spacing w:before="15"/>
              <w:ind w:left="930" w:right="930"/>
              <w:rPr>
                <w:sz w:val="23"/>
              </w:rPr>
            </w:pPr>
            <w:r>
              <w:rPr>
                <w:sz w:val="23"/>
              </w:rPr>
              <w:t>Rango</w:t>
            </w:r>
          </w:p>
        </w:tc>
        <w:tc>
          <w:tcPr>
            <w:tcW w:w="1418" w:type="dxa"/>
            <w:tcBorders>
              <w:top w:val="single" w:sz="8" w:space="0" w:color="000000"/>
              <w:left w:val="single" w:sz="15" w:space="0" w:color="000000"/>
              <w:bottom w:val="single" w:sz="8" w:space="0" w:color="000000"/>
              <w:right w:val="single" w:sz="8" w:space="0" w:color="000000"/>
            </w:tcBorders>
          </w:tcPr>
          <w:p>
            <w:pPr>
              <w:pStyle w:val="TableParagraph"/>
              <w:spacing w:before="15"/>
              <w:ind w:left="13" w:right="13"/>
              <w:rPr>
                <w:sz w:val="23"/>
              </w:rPr>
            </w:pPr>
            <w:r>
              <w:rPr>
                <w:sz w:val="23"/>
              </w:rPr>
              <w:t>3.1235656450</w:t>
            </w:r>
          </w:p>
          <w:p>
            <w:pPr>
              <w:pStyle w:val="TableParagraph"/>
              <w:spacing w:before="132"/>
              <w:ind w:left="13" w:right="13"/>
              <w:rPr>
                <w:sz w:val="23"/>
              </w:rPr>
            </w:pPr>
            <w:r>
              <w:rPr>
                <w:sz w:val="23"/>
              </w:rPr>
              <w:t>63877</w:t>
            </w:r>
          </w:p>
        </w:tc>
        <w:tc>
          <w:tcPr>
            <w:tcW w:w="1558" w:type="dxa"/>
            <w:tcBorders>
              <w:top w:val="single" w:sz="8" w:space="0" w:color="000000"/>
              <w:left w:val="single" w:sz="8" w:space="0" w:color="000000"/>
              <w:bottom w:val="single" w:sz="8" w:space="0" w:color="000000"/>
              <w:right w:val="single" w:sz="17" w:space="0" w:color="000000"/>
            </w:tcBorders>
          </w:tcPr>
          <w:p>
            <w:pPr/>
          </w:p>
        </w:tc>
      </w:tr>
      <w:tr>
        <w:trPr>
          <w:trHeight w:val="833" w:hRule="exact"/>
        </w:trPr>
        <w:tc>
          <w:tcPr>
            <w:tcW w:w="737" w:type="dxa"/>
            <w:vMerge/>
            <w:tcBorders>
              <w:left w:val="single" w:sz="17" w:space="0" w:color="000000"/>
              <w:right w:val="nil"/>
            </w:tcBorders>
          </w:tcPr>
          <w:p>
            <w:pPr/>
          </w:p>
        </w:tc>
        <w:tc>
          <w:tcPr>
            <w:tcW w:w="4021" w:type="dxa"/>
            <w:tcBorders>
              <w:top w:val="single" w:sz="8" w:space="0" w:color="000000"/>
              <w:left w:val="nil"/>
              <w:bottom w:val="single" w:sz="8" w:space="0" w:color="000000"/>
              <w:right w:val="single" w:sz="15" w:space="0" w:color="000000"/>
            </w:tcBorders>
          </w:tcPr>
          <w:p>
            <w:pPr>
              <w:pStyle w:val="TableParagraph"/>
              <w:spacing w:before="15"/>
              <w:ind w:left="930" w:right="930"/>
              <w:rPr>
                <w:sz w:val="23"/>
              </w:rPr>
            </w:pPr>
            <w:r>
              <w:rPr>
                <w:sz w:val="23"/>
              </w:rPr>
              <w:t>Rango intercuartil</w:t>
            </w:r>
          </w:p>
        </w:tc>
        <w:tc>
          <w:tcPr>
            <w:tcW w:w="1418" w:type="dxa"/>
            <w:tcBorders>
              <w:top w:val="single" w:sz="8" w:space="0" w:color="000000"/>
              <w:left w:val="single" w:sz="15" w:space="0" w:color="000000"/>
              <w:bottom w:val="single" w:sz="8" w:space="0" w:color="000000"/>
              <w:right w:val="single" w:sz="8" w:space="0" w:color="000000"/>
            </w:tcBorders>
          </w:tcPr>
          <w:p>
            <w:pPr>
              <w:pStyle w:val="TableParagraph"/>
              <w:spacing w:before="15"/>
              <w:ind w:left="13" w:right="13"/>
              <w:rPr>
                <w:sz w:val="23"/>
              </w:rPr>
            </w:pPr>
            <w:r>
              <w:rPr>
                <w:sz w:val="23"/>
              </w:rPr>
              <w:t>.84729786038</w:t>
            </w:r>
          </w:p>
          <w:p>
            <w:pPr>
              <w:pStyle w:val="TableParagraph"/>
              <w:spacing w:before="131"/>
              <w:ind w:left="13" w:right="13"/>
              <w:rPr>
                <w:sz w:val="23"/>
              </w:rPr>
            </w:pPr>
            <w:r>
              <w:rPr>
                <w:sz w:val="23"/>
              </w:rPr>
              <w:t>7203</w:t>
            </w:r>
          </w:p>
        </w:tc>
        <w:tc>
          <w:tcPr>
            <w:tcW w:w="1558" w:type="dxa"/>
            <w:tcBorders>
              <w:top w:val="single" w:sz="8" w:space="0" w:color="000000"/>
              <w:left w:val="single" w:sz="8" w:space="0" w:color="000000"/>
              <w:bottom w:val="single" w:sz="8" w:space="0" w:color="000000"/>
              <w:right w:val="single" w:sz="17" w:space="0" w:color="000000"/>
            </w:tcBorders>
          </w:tcPr>
          <w:p>
            <w:pPr/>
          </w:p>
        </w:tc>
      </w:tr>
      <w:tr>
        <w:trPr>
          <w:trHeight w:val="437" w:hRule="exact"/>
        </w:trPr>
        <w:tc>
          <w:tcPr>
            <w:tcW w:w="737" w:type="dxa"/>
            <w:vMerge/>
            <w:tcBorders>
              <w:left w:val="single" w:sz="17" w:space="0" w:color="000000"/>
              <w:right w:val="nil"/>
            </w:tcBorders>
          </w:tcPr>
          <w:p>
            <w:pPr/>
          </w:p>
        </w:tc>
        <w:tc>
          <w:tcPr>
            <w:tcW w:w="4021" w:type="dxa"/>
            <w:tcBorders>
              <w:top w:val="single" w:sz="8" w:space="0" w:color="000000"/>
              <w:left w:val="nil"/>
              <w:bottom w:val="single" w:sz="8" w:space="0" w:color="000000"/>
              <w:right w:val="single" w:sz="15" w:space="0" w:color="000000"/>
            </w:tcBorders>
          </w:tcPr>
          <w:p>
            <w:pPr>
              <w:pStyle w:val="TableParagraph"/>
              <w:spacing w:before="15"/>
              <w:ind w:left="930" w:right="930"/>
              <w:rPr>
                <w:sz w:val="23"/>
              </w:rPr>
            </w:pPr>
            <w:r>
              <w:rPr>
                <w:sz w:val="23"/>
              </w:rPr>
              <w:t>Asimetría</w:t>
            </w:r>
          </w:p>
        </w:tc>
        <w:tc>
          <w:tcPr>
            <w:tcW w:w="1418" w:type="dxa"/>
            <w:tcBorders>
              <w:top w:val="single" w:sz="8" w:space="0" w:color="000000"/>
              <w:left w:val="single" w:sz="15" w:space="0" w:color="000000"/>
              <w:bottom w:val="single" w:sz="8" w:space="0" w:color="000000"/>
              <w:right w:val="single" w:sz="8" w:space="0" w:color="000000"/>
            </w:tcBorders>
          </w:tcPr>
          <w:p>
            <w:pPr>
              <w:pStyle w:val="TableParagraph"/>
              <w:spacing w:before="15"/>
              <w:ind w:left="13" w:right="13"/>
              <w:rPr>
                <w:sz w:val="23"/>
              </w:rPr>
            </w:pPr>
            <w:r>
              <w:rPr>
                <w:sz w:val="23"/>
              </w:rPr>
              <w:t>-.228</w:t>
            </w:r>
          </w:p>
        </w:tc>
        <w:tc>
          <w:tcPr>
            <w:tcW w:w="1558" w:type="dxa"/>
            <w:tcBorders>
              <w:top w:val="single" w:sz="8" w:space="0" w:color="000000"/>
              <w:left w:val="single" w:sz="8" w:space="0" w:color="000000"/>
              <w:bottom w:val="single" w:sz="8" w:space="0" w:color="000000"/>
              <w:right w:val="single" w:sz="17" w:space="0" w:color="000000"/>
            </w:tcBorders>
          </w:tcPr>
          <w:p>
            <w:pPr>
              <w:pStyle w:val="TableParagraph"/>
              <w:spacing w:before="15"/>
              <w:ind w:right="560"/>
              <w:jc w:val="right"/>
              <w:rPr>
                <w:sz w:val="23"/>
              </w:rPr>
            </w:pPr>
            <w:r>
              <w:rPr>
                <w:sz w:val="23"/>
              </w:rPr>
              <w:t>.175</w:t>
            </w:r>
          </w:p>
        </w:tc>
      </w:tr>
      <w:tr>
        <w:trPr>
          <w:trHeight w:val="451" w:hRule="exact"/>
        </w:trPr>
        <w:tc>
          <w:tcPr>
            <w:tcW w:w="737" w:type="dxa"/>
            <w:vMerge/>
            <w:tcBorders>
              <w:left w:val="single" w:sz="17" w:space="0" w:color="000000"/>
              <w:bottom w:val="single" w:sz="17" w:space="0" w:color="000000"/>
              <w:right w:val="nil"/>
            </w:tcBorders>
          </w:tcPr>
          <w:p>
            <w:pPr/>
          </w:p>
        </w:tc>
        <w:tc>
          <w:tcPr>
            <w:tcW w:w="4021" w:type="dxa"/>
            <w:tcBorders>
              <w:top w:val="single" w:sz="8" w:space="0" w:color="000000"/>
              <w:left w:val="nil"/>
              <w:bottom w:val="single" w:sz="17" w:space="0" w:color="000000"/>
              <w:right w:val="single" w:sz="15" w:space="0" w:color="000000"/>
            </w:tcBorders>
          </w:tcPr>
          <w:p>
            <w:pPr>
              <w:pStyle w:val="TableParagraph"/>
              <w:spacing w:before="15"/>
              <w:ind w:left="930" w:right="930"/>
              <w:rPr>
                <w:sz w:val="23"/>
              </w:rPr>
            </w:pPr>
            <w:r>
              <w:rPr>
                <w:sz w:val="23"/>
              </w:rPr>
              <w:t>Curtosis</w:t>
            </w:r>
          </w:p>
        </w:tc>
        <w:tc>
          <w:tcPr>
            <w:tcW w:w="1418" w:type="dxa"/>
            <w:tcBorders>
              <w:top w:val="single" w:sz="8" w:space="0" w:color="000000"/>
              <w:left w:val="single" w:sz="15" w:space="0" w:color="000000"/>
              <w:bottom w:val="single" w:sz="17" w:space="0" w:color="000000"/>
              <w:right w:val="single" w:sz="8" w:space="0" w:color="000000"/>
            </w:tcBorders>
          </w:tcPr>
          <w:p>
            <w:pPr>
              <w:pStyle w:val="TableParagraph"/>
              <w:spacing w:before="15"/>
              <w:ind w:left="13" w:right="13"/>
              <w:rPr>
                <w:sz w:val="23"/>
              </w:rPr>
            </w:pPr>
            <w:r>
              <w:rPr>
                <w:sz w:val="23"/>
              </w:rPr>
              <w:t>-.258</w:t>
            </w:r>
          </w:p>
        </w:tc>
        <w:tc>
          <w:tcPr>
            <w:tcW w:w="1558" w:type="dxa"/>
            <w:tcBorders>
              <w:top w:val="single" w:sz="8" w:space="0" w:color="000000"/>
              <w:left w:val="single" w:sz="8" w:space="0" w:color="000000"/>
              <w:bottom w:val="single" w:sz="17" w:space="0" w:color="000000"/>
              <w:right w:val="single" w:sz="17" w:space="0" w:color="000000"/>
            </w:tcBorders>
          </w:tcPr>
          <w:p>
            <w:pPr>
              <w:pStyle w:val="TableParagraph"/>
              <w:spacing w:before="15"/>
              <w:ind w:right="560"/>
              <w:jc w:val="right"/>
              <w:rPr>
                <w:sz w:val="23"/>
              </w:rPr>
            </w:pPr>
            <w:r>
              <w:rPr>
                <w:sz w:val="23"/>
              </w:rPr>
              <w:t>.349</w:t>
            </w:r>
          </w:p>
        </w:tc>
      </w:tr>
    </w:tbl>
    <w:p>
      <w:pPr>
        <w:spacing w:after="0"/>
        <w:jc w:val="right"/>
        <w:rPr>
          <w:sz w:val="23"/>
        </w:rPr>
        <w:sectPr>
          <w:headerReference w:type="default" r:id="rId177"/>
          <w:pgSz w:w="12240" w:h="15840"/>
          <w:pgMar w:header="1866" w:footer="1857" w:top="2060" w:bottom="2040" w:left="1580" w:right="1600"/>
        </w:sectPr>
      </w:pPr>
    </w:p>
    <w:p>
      <w:pPr>
        <w:pStyle w:val="BodyText"/>
        <w:spacing w:before="1"/>
        <w:rPr>
          <w:rFonts w:ascii="Calibri"/>
          <w:sz w:val="2"/>
        </w:rPr>
      </w:pPr>
    </w:p>
    <w:p>
      <w:pPr>
        <w:pStyle w:val="BodyText"/>
        <w:spacing w:line="20" w:lineRule="exact"/>
        <w:ind w:left="359"/>
        <w:rPr>
          <w:rFonts w:ascii="Calibri"/>
          <w:sz w:val="2"/>
        </w:rPr>
      </w:pPr>
      <w:r>
        <w:rPr>
          <w:rFonts w:ascii="Calibri"/>
          <w:sz w:val="2"/>
        </w:rPr>
        <w:pict>
          <v:group style="width:418.45pt;height:.5pt;mso-position-horizontal-relative:char;mso-position-vertical-relative:line" coordorigin="0,0" coordsize="8369,10">
            <v:line style="position:absolute" from="5,5" to="8364,5" stroked="true" strokeweight=".5pt" strokecolor="#000000"/>
          </v:group>
        </w:pict>
      </w:r>
      <w:r>
        <w:rPr>
          <w:rFonts w:ascii="Calibri"/>
          <w:sz w:val="2"/>
        </w:rPr>
      </w:r>
    </w:p>
    <w:p>
      <w:pPr>
        <w:pStyle w:val="BodyText"/>
        <w:rPr>
          <w:rFonts w:ascii="Calibri"/>
          <w:sz w:val="20"/>
        </w:rPr>
      </w:pPr>
    </w:p>
    <w:p>
      <w:pPr>
        <w:pStyle w:val="BodyText"/>
        <w:spacing w:before="7"/>
        <w:rPr>
          <w:rFonts w:ascii="Calibri"/>
          <w:sz w:val="17"/>
        </w:rPr>
      </w:pPr>
    </w:p>
    <w:p>
      <w:pPr>
        <w:pStyle w:val="BodyText"/>
        <w:ind w:left="122" w:right="97"/>
        <w:jc w:val="center"/>
      </w:pPr>
      <w:r>
        <w:rPr/>
        <w:t>Cuadro 04. Estimadores-M</w:t>
      </w:r>
    </w:p>
    <w:p>
      <w:pPr>
        <w:pStyle w:val="BodyText"/>
        <w:spacing w:before="10" w:after="1"/>
        <w:rPr>
          <w:sz w:val="11"/>
        </w:rPr>
      </w:pPr>
    </w:p>
    <w:tbl>
      <w:tblPr>
        <w:tblW w:w="0" w:type="auto"/>
        <w:jc w:val="left"/>
        <w:tblInd w:w="1201"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737"/>
        <w:gridCol w:w="1477"/>
        <w:gridCol w:w="1476"/>
        <w:gridCol w:w="1476"/>
        <w:gridCol w:w="1477"/>
      </w:tblGrid>
      <w:tr>
        <w:trPr>
          <w:trHeight w:val="835" w:hRule="exact"/>
        </w:trPr>
        <w:tc>
          <w:tcPr>
            <w:tcW w:w="737" w:type="dxa"/>
          </w:tcPr>
          <w:p>
            <w:pPr/>
          </w:p>
        </w:tc>
        <w:tc>
          <w:tcPr>
            <w:tcW w:w="1477" w:type="dxa"/>
            <w:tcBorders>
              <w:right w:val="single" w:sz="8" w:space="0" w:color="000000"/>
            </w:tcBorders>
          </w:tcPr>
          <w:p>
            <w:pPr>
              <w:pStyle w:val="TableParagraph"/>
              <w:spacing w:line="360" w:lineRule="auto"/>
              <w:ind w:left="247" w:right="94" w:hanging="140"/>
              <w:jc w:val="left"/>
              <w:rPr>
                <w:sz w:val="23"/>
              </w:rPr>
            </w:pPr>
            <w:r>
              <w:rPr>
                <w:sz w:val="23"/>
              </w:rPr>
              <w:t>Estimador-M de Hubera</w:t>
            </w:r>
          </w:p>
        </w:tc>
        <w:tc>
          <w:tcPr>
            <w:tcW w:w="1476" w:type="dxa"/>
            <w:tcBorders>
              <w:left w:val="single" w:sz="8" w:space="0" w:color="000000"/>
              <w:right w:val="single" w:sz="8" w:space="0" w:color="000000"/>
            </w:tcBorders>
          </w:tcPr>
          <w:p>
            <w:pPr>
              <w:pStyle w:val="TableParagraph"/>
              <w:spacing w:line="360" w:lineRule="auto"/>
              <w:ind w:left="239" w:right="118" w:hanging="108"/>
              <w:jc w:val="left"/>
              <w:rPr>
                <w:sz w:val="23"/>
              </w:rPr>
            </w:pPr>
            <w:r>
              <w:rPr>
                <w:sz w:val="23"/>
              </w:rPr>
              <w:t>Biponderado de Tukeyb</w:t>
            </w:r>
          </w:p>
        </w:tc>
        <w:tc>
          <w:tcPr>
            <w:tcW w:w="1476" w:type="dxa"/>
            <w:tcBorders>
              <w:left w:val="single" w:sz="8" w:space="0" w:color="000000"/>
              <w:right w:val="single" w:sz="8" w:space="0" w:color="000000"/>
            </w:tcBorders>
          </w:tcPr>
          <w:p>
            <w:pPr>
              <w:pStyle w:val="TableParagraph"/>
              <w:spacing w:line="360" w:lineRule="auto"/>
              <w:ind w:left="172" w:right="101" w:hanging="63"/>
              <w:jc w:val="left"/>
              <w:rPr>
                <w:sz w:val="23"/>
              </w:rPr>
            </w:pPr>
            <w:r>
              <w:rPr>
                <w:sz w:val="23"/>
              </w:rPr>
              <w:t>Estimador-M de Hampelc</w:t>
            </w:r>
          </w:p>
        </w:tc>
        <w:tc>
          <w:tcPr>
            <w:tcW w:w="1477" w:type="dxa"/>
            <w:tcBorders>
              <w:left w:val="single" w:sz="8" w:space="0" w:color="000000"/>
            </w:tcBorders>
          </w:tcPr>
          <w:p>
            <w:pPr>
              <w:pStyle w:val="TableParagraph"/>
              <w:spacing w:line="360" w:lineRule="auto"/>
              <w:ind w:left="247" w:right="235" w:firstLine="86"/>
              <w:jc w:val="left"/>
              <w:rPr>
                <w:sz w:val="23"/>
              </w:rPr>
            </w:pPr>
            <w:r>
              <w:rPr>
                <w:sz w:val="23"/>
              </w:rPr>
              <w:t>Onda de Andrewsd</w:t>
            </w:r>
          </w:p>
        </w:tc>
      </w:tr>
      <w:tr>
        <w:trPr>
          <w:trHeight w:val="754" w:hRule="exact"/>
        </w:trPr>
        <w:tc>
          <w:tcPr>
            <w:tcW w:w="737" w:type="dxa"/>
            <w:tcBorders>
              <w:bottom w:val="nil"/>
            </w:tcBorders>
          </w:tcPr>
          <w:p>
            <w:pPr>
              <w:pStyle w:val="TableParagraph"/>
              <w:spacing w:line="259" w:lineRule="exact"/>
              <w:ind w:left="187" w:right="190"/>
              <w:rPr>
                <w:sz w:val="23"/>
              </w:rPr>
            </w:pPr>
            <w:r>
              <w:rPr>
                <w:sz w:val="23"/>
              </w:rPr>
              <w:t>X1</w:t>
            </w:r>
          </w:p>
        </w:tc>
        <w:tc>
          <w:tcPr>
            <w:tcW w:w="1477" w:type="dxa"/>
            <w:tcBorders>
              <w:bottom w:val="nil"/>
              <w:right w:val="single" w:sz="8" w:space="0" w:color="000000"/>
            </w:tcBorders>
          </w:tcPr>
          <w:p>
            <w:pPr>
              <w:pStyle w:val="TableParagraph"/>
              <w:spacing w:line="259" w:lineRule="exact"/>
              <w:ind w:left="1"/>
              <w:rPr>
                <w:sz w:val="23"/>
              </w:rPr>
            </w:pPr>
            <w:r>
              <w:rPr>
                <w:sz w:val="23"/>
              </w:rPr>
              <w:t>9.38286539348</w:t>
            </w:r>
          </w:p>
          <w:p>
            <w:pPr>
              <w:pStyle w:val="TableParagraph"/>
              <w:spacing w:before="134"/>
              <w:ind w:left="1" w:right="2"/>
              <w:rPr>
                <w:sz w:val="23"/>
              </w:rPr>
            </w:pPr>
            <w:r>
              <w:rPr>
                <w:sz w:val="23"/>
              </w:rPr>
              <w:t>1866</w:t>
            </w:r>
          </w:p>
        </w:tc>
        <w:tc>
          <w:tcPr>
            <w:tcW w:w="1476" w:type="dxa"/>
            <w:tcBorders>
              <w:left w:val="single" w:sz="8" w:space="0" w:color="000000"/>
              <w:bottom w:val="nil"/>
              <w:right w:val="single" w:sz="8" w:space="0" w:color="000000"/>
            </w:tcBorders>
          </w:tcPr>
          <w:p>
            <w:pPr>
              <w:pStyle w:val="TableParagraph"/>
              <w:spacing w:line="259" w:lineRule="exact"/>
              <w:ind w:left="1"/>
              <w:rPr>
                <w:sz w:val="23"/>
              </w:rPr>
            </w:pPr>
            <w:r>
              <w:rPr>
                <w:sz w:val="23"/>
              </w:rPr>
              <w:t>9.38209096078</w:t>
            </w:r>
          </w:p>
          <w:p>
            <w:pPr>
              <w:pStyle w:val="TableParagraph"/>
              <w:spacing w:before="134"/>
              <w:rPr>
                <w:sz w:val="23"/>
              </w:rPr>
            </w:pPr>
            <w:r>
              <w:rPr>
                <w:sz w:val="23"/>
              </w:rPr>
              <w:t>2248</w:t>
            </w:r>
          </w:p>
        </w:tc>
        <w:tc>
          <w:tcPr>
            <w:tcW w:w="1476" w:type="dxa"/>
            <w:tcBorders>
              <w:left w:val="single" w:sz="8" w:space="0" w:color="000000"/>
              <w:bottom w:val="nil"/>
              <w:right w:val="single" w:sz="8" w:space="0" w:color="000000"/>
            </w:tcBorders>
          </w:tcPr>
          <w:p>
            <w:pPr>
              <w:pStyle w:val="TableParagraph"/>
              <w:spacing w:line="259" w:lineRule="exact"/>
              <w:rPr>
                <w:sz w:val="23"/>
              </w:rPr>
            </w:pPr>
            <w:r>
              <w:rPr>
                <w:sz w:val="23"/>
              </w:rPr>
              <w:t>9.39241289557</w:t>
            </w:r>
          </w:p>
          <w:p>
            <w:pPr>
              <w:pStyle w:val="TableParagraph"/>
              <w:spacing w:before="134"/>
              <w:ind w:right="5"/>
              <w:rPr>
                <w:sz w:val="23"/>
              </w:rPr>
            </w:pPr>
            <w:r>
              <w:rPr>
                <w:sz w:val="23"/>
              </w:rPr>
              <w:t>2246</w:t>
            </w:r>
          </w:p>
        </w:tc>
        <w:tc>
          <w:tcPr>
            <w:tcW w:w="1477" w:type="dxa"/>
            <w:tcBorders>
              <w:left w:val="single" w:sz="8" w:space="0" w:color="000000"/>
              <w:bottom w:val="nil"/>
            </w:tcBorders>
          </w:tcPr>
          <w:p>
            <w:pPr>
              <w:pStyle w:val="TableParagraph"/>
              <w:spacing w:line="259" w:lineRule="exact"/>
              <w:ind w:right="2"/>
              <w:rPr>
                <w:sz w:val="23"/>
              </w:rPr>
            </w:pPr>
            <w:r>
              <w:rPr>
                <w:sz w:val="23"/>
              </w:rPr>
              <w:t>9.38205989663</w:t>
            </w:r>
          </w:p>
          <w:p>
            <w:pPr>
              <w:pStyle w:val="TableParagraph"/>
              <w:spacing w:before="134"/>
              <w:ind w:left="1" w:right="6"/>
              <w:rPr>
                <w:sz w:val="23"/>
              </w:rPr>
            </w:pPr>
            <w:r>
              <w:rPr>
                <w:sz w:val="23"/>
              </w:rPr>
              <w:t>6113</w:t>
            </w:r>
          </w:p>
        </w:tc>
      </w:tr>
      <w:tr>
        <w:trPr>
          <w:trHeight w:val="794" w:hRule="exact"/>
        </w:trPr>
        <w:tc>
          <w:tcPr>
            <w:tcW w:w="737" w:type="dxa"/>
            <w:tcBorders>
              <w:top w:val="nil"/>
              <w:bottom w:val="nil"/>
            </w:tcBorders>
          </w:tcPr>
          <w:p>
            <w:pPr>
              <w:pStyle w:val="TableParagraph"/>
              <w:spacing w:before="53"/>
              <w:ind w:left="187" w:right="190"/>
              <w:rPr>
                <w:sz w:val="23"/>
              </w:rPr>
            </w:pPr>
            <w:r>
              <w:rPr>
                <w:sz w:val="23"/>
              </w:rPr>
              <w:t>X2</w:t>
            </w:r>
          </w:p>
        </w:tc>
        <w:tc>
          <w:tcPr>
            <w:tcW w:w="1477" w:type="dxa"/>
            <w:tcBorders>
              <w:top w:val="nil"/>
              <w:bottom w:val="nil"/>
              <w:right w:val="single" w:sz="8" w:space="0" w:color="000000"/>
            </w:tcBorders>
          </w:tcPr>
          <w:p>
            <w:pPr>
              <w:pStyle w:val="TableParagraph"/>
              <w:spacing w:before="53"/>
              <w:ind w:left="1"/>
              <w:rPr>
                <w:sz w:val="23"/>
              </w:rPr>
            </w:pPr>
            <w:r>
              <w:rPr>
                <w:sz w:val="23"/>
              </w:rPr>
              <w:t>2.51118594724</w:t>
            </w:r>
          </w:p>
          <w:p>
            <w:pPr>
              <w:pStyle w:val="TableParagraph"/>
              <w:spacing w:before="131"/>
              <w:ind w:left="1" w:right="2"/>
              <w:rPr>
                <w:sz w:val="23"/>
              </w:rPr>
            </w:pPr>
            <w:r>
              <w:rPr>
                <w:sz w:val="23"/>
              </w:rPr>
              <w:t>4266</w:t>
            </w:r>
          </w:p>
        </w:tc>
        <w:tc>
          <w:tcPr>
            <w:tcW w:w="1476" w:type="dxa"/>
            <w:tcBorders>
              <w:top w:val="nil"/>
              <w:left w:val="single" w:sz="8" w:space="0" w:color="000000"/>
              <w:bottom w:val="nil"/>
              <w:right w:val="single" w:sz="8" w:space="0" w:color="000000"/>
            </w:tcBorders>
          </w:tcPr>
          <w:p>
            <w:pPr>
              <w:pStyle w:val="TableParagraph"/>
              <w:spacing w:before="53"/>
              <w:ind w:left="1"/>
              <w:rPr>
                <w:sz w:val="23"/>
              </w:rPr>
            </w:pPr>
            <w:r>
              <w:rPr>
                <w:sz w:val="23"/>
              </w:rPr>
              <w:t>2.49066649663</w:t>
            </w:r>
          </w:p>
          <w:p>
            <w:pPr>
              <w:pStyle w:val="TableParagraph"/>
              <w:spacing w:before="131"/>
              <w:rPr>
                <w:sz w:val="23"/>
              </w:rPr>
            </w:pPr>
            <w:r>
              <w:rPr>
                <w:sz w:val="23"/>
              </w:rPr>
              <w:t>4134</w:t>
            </w:r>
          </w:p>
        </w:tc>
        <w:tc>
          <w:tcPr>
            <w:tcW w:w="1476" w:type="dxa"/>
            <w:tcBorders>
              <w:top w:val="nil"/>
              <w:left w:val="single" w:sz="8" w:space="0" w:color="000000"/>
              <w:bottom w:val="nil"/>
              <w:right w:val="single" w:sz="8" w:space="0" w:color="000000"/>
            </w:tcBorders>
          </w:tcPr>
          <w:p>
            <w:pPr>
              <w:pStyle w:val="TableParagraph"/>
              <w:spacing w:before="53"/>
              <w:rPr>
                <w:sz w:val="23"/>
              </w:rPr>
            </w:pPr>
            <w:r>
              <w:rPr>
                <w:sz w:val="23"/>
              </w:rPr>
              <w:t>2.50127085502</w:t>
            </w:r>
          </w:p>
          <w:p>
            <w:pPr>
              <w:pStyle w:val="TableParagraph"/>
              <w:spacing w:before="131"/>
              <w:ind w:right="5"/>
              <w:rPr>
                <w:sz w:val="23"/>
              </w:rPr>
            </w:pPr>
            <w:r>
              <w:rPr>
                <w:sz w:val="23"/>
              </w:rPr>
              <w:t>2197</w:t>
            </w:r>
          </w:p>
        </w:tc>
        <w:tc>
          <w:tcPr>
            <w:tcW w:w="1477" w:type="dxa"/>
            <w:tcBorders>
              <w:top w:val="nil"/>
              <w:left w:val="single" w:sz="8" w:space="0" w:color="000000"/>
              <w:bottom w:val="nil"/>
            </w:tcBorders>
          </w:tcPr>
          <w:p>
            <w:pPr>
              <w:pStyle w:val="TableParagraph"/>
              <w:spacing w:before="53"/>
              <w:ind w:right="2"/>
              <w:rPr>
                <w:sz w:val="23"/>
              </w:rPr>
            </w:pPr>
            <w:r>
              <w:rPr>
                <w:sz w:val="23"/>
              </w:rPr>
              <w:t>2.49007169938</w:t>
            </w:r>
          </w:p>
          <w:p>
            <w:pPr>
              <w:pStyle w:val="TableParagraph"/>
              <w:spacing w:before="131"/>
              <w:ind w:left="1" w:right="6"/>
              <w:rPr>
                <w:sz w:val="23"/>
              </w:rPr>
            </w:pPr>
            <w:r>
              <w:rPr>
                <w:sz w:val="23"/>
              </w:rPr>
              <w:t>2676</w:t>
            </w:r>
          </w:p>
        </w:tc>
      </w:tr>
      <w:tr>
        <w:trPr>
          <w:trHeight w:val="793" w:hRule="exact"/>
        </w:trPr>
        <w:tc>
          <w:tcPr>
            <w:tcW w:w="737" w:type="dxa"/>
            <w:tcBorders>
              <w:top w:val="nil"/>
              <w:bottom w:val="nil"/>
            </w:tcBorders>
          </w:tcPr>
          <w:p>
            <w:pPr>
              <w:pStyle w:val="TableParagraph"/>
              <w:spacing w:before="55"/>
              <w:ind w:left="187" w:right="190"/>
              <w:rPr>
                <w:sz w:val="23"/>
              </w:rPr>
            </w:pPr>
            <w:r>
              <w:rPr>
                <w:sz w:val="23"/>
              </w:rPr>
              <w:t>X3</w:t>
            </w:r>
          </w:p>
        </w:tc>
        <w:tc>
          <w:tcPr>
            <w:tcW w:w="1477" w:type="dxa"/>
            <w:tcBorders>
              <w:top w:val="nil"/>
              <w:bottom w:val="nil"/>
              <w:right w:val="single" w:sz="8" w:space="0" w:color="000000"/>
            </w:tcBorders>
          </w:tcPr>
          <w:p>
            <w:pPr>
              <w:pStyle w:val="TableParagraph"/>
              <w:spacing w:before="55"/>
              <w:ind w:left="1"/>
              <w:rPr>
                <w:sz w:val="23"/>
              </w:rPr>
            </w:pPr>
            <w:r>
              <w:rPr>
                <w:sz w:val="23"/>
              </w:rPr>
              <w:t>3.30598799277</w:t>
            </w:r>
          </w:p>
          <w:p>
            <w:pPr>
              <w:pStyle w:val="TableParagraph"/>
              <w:spacing w:before="131"/>
              <w:ind w:left="1" w:right="2"/>
              <w:rPr>
                <w:sz w:val="23"/>
              </w:rPr>
            </w:pPr>
            <w:r>
              <w:rPr>
                <w:sz w:val="23"/>
              </w:rPr>
              <w:t>2176</w:t>
            </w:r>
          </w:p>
        </w:tc>
        <w:tc>
          <w:tcPr>
            <w:tcW w:w="1476" w:type="dxa"/>
            <w:tcBorders>
              <w:top w:val="nil"/>
              <w:left w:val="single" w:sz="8" w:space="0" w:color="000000"/>
              <w:bottom w:val="nil"/>
              <w:right w:val="single" w:sz="8" w:space="0" w:color="000000"/>
            </w:tcBorders>
          </w:tcPr>
          <w:p>
            <w:pPr>
              <w:pStyle w:val="TableParagraph"/>
              <w:spacing w:before="55"/>
              <w:ind w:left="1"/>
              <w:rPr>
                <w:sz w:val="23"/>
              </w:rPr>
            </w:pPr>
            <w:r>
              <w:rPr>
                <w:sz w:val="23"/>
              </w:rPr>
              <w:t>3.30032890863</w:t>
            </w:r>
          </w:p>
          <w:p>
            <w:pPr>
              <w:pStyle w:val="TableParagraph"/>
              <w:spacing w:before="131"/>
              <w:rPr>
                <w:sz w:val="23"/>
              </w:rPr>
            </w:pPr>
            <w:r>
              <w:rPr>
                <w:sz w:val="23"/>
              </w:rPr>
              <w:t>0525</w:t>
            </w:r>
          </w:p>
        </w:tc>
        <w:tc>
          <w:tcPr>
            <w:tcW w:w="1476" w:type="dxa"/>
            <w:tcBorders>
              <w:top w:val="nil"/>
              <w:left w:val="single" w:sz="8" w:space="0" w:color="000000"/>
              <w:bottom w:val="nil"/>
              <w:right w:val="single" w:sz="8" w:space="0" w:color="000000"/>
            </w:tcBorders>
          </w:tcPr>
          <w:p>
            <w:pPr>
              <w:pStyle w:val="TableParagraph"/>
              <w:spacing w:before="55"/>
              <w:rPr>
                <w:sz w:val="23"/>
              </w:rPr>
            </w:pPr>
            <w:r>
              <w:rPr>
                <w:sz w:val="23"/>
              </w:rPr>
              <w:t>3.30619698760</w:t>
            </w:r>
          </w:p>
          <w:p>
            <w:pPr>
              <w:pStyle w:val="TableParagraph"/>
              <w:spacing w:before="131"/>
              <w:ind w:right="5"/>
              <w:rPr>
                <w:sz w:val="23"/>
              </w:rPr>
            </w:pPr>
            <w:r>
              <w:rPr>
                <w:sz w:val="23"/>
              </w:rPr>
              <w:t>8341</w:t>
            </w:r>
          </w:p>
        </w:tc>
        <w:tc>
          <w:tcPr>
            <w:tcW w:w="1477" w:type="dxa"/>
            <w:tcBorders>
              <w:top w:val="nil"/>
              <w:left w:val="single" w:sz="8" w:space="0" w:color="000000"/>
              <w:bottom w:val="nil"/>
            </w:tcBorders>
          </w:tcPr>
          <w:p>
            <w:pPr>
              <w:pStyle w:val="TableParagraph"/>
              <w:spacing w:before="55"/>
              <w:ind w:right="2"/>
              <w:rPr>
                <w:sz w:val="23"/>
              </w:rPr>
            </w:pPr>
            <w:r>
              <w:rPr>
                <w:sz w:val="23"/>
              </w:rPr>
              <w:t>3.30037892026</w:t>
            </w:r>
          </w:p>
          <w:p>
            <w:pPr>
              <w:pStyle w:val="TableParagraph"/>
              <w:spacing w:before="131"/>
              <w:ind w:left="1" w:right="6"/>
              <w:rPr>
                <w:sz w:val="23"/>
              </w:rPr>
            </w:pPr>
            <w:r>
              <w:rPr>
                <w:sz w:val="23"/>
              </w:rPr>
              <w:t>1363</w:t>
            </w:r>
          </w:p>
        </w:tc>
      </w:tr>
      <w:tr>
        <w:trPr>
          <w:trHeight w:val="873" w:hRule="exact"/>
        </w:trPr>
        <w:tc>
          <w:tcPr>
            <w:tcW w:w="737" w:type="dxa"/>
            <w:tcBorders>
              <w:top w:val="nil"/>
            </w:tcBorders>
          </w:tcPr>
          <w:p>
            <w:pPr>
              <w:pStyle w:val="TableParagraph"/>
              <w:spacing w:before="53"/>
              <w:ind w:left="187" w:right="190"/>
              <w:rPr>
                <w:sz w:val="23"/>
              </w:rPr>
            </w:pPr>
            <w:r>
              <w:rPr>
                <w:sz w:val="23"/>
              </w:rPr>
              <w:t>X4</w:t>
            </w:r>
          </w:p>
        </w:tc>
        <w:tc>
          <w:tcPr>
            <w:tcW w:w="1477" w:type="dxa"/>
            <w:tcBorders>
              <w:top w:val="nil"/>
              <w:right w:val="single" w:sz="8" w:space="0" w:color="000000"/>
            </w:tcBorders>
          </w:tcPr>
          <w:p>
            <w:pPr>
              <w:pStyle w:val="TableParagraph"/>
              <w:spacing w:before="53"/>
              <w:ind w:left="1"/>
              <w:rPr>
                <w:sz w:val="23"/>
              </w:rPr>
            </w:pPr>
            <w:r>
              <w:rPr>
                <w:sz w:val="23"/>
              </w:rPr>
              <w:t>10.2438613968</w:t>
            </w:r>
          </w:p>
          <w:p>
            <w:pPr>
              <w:pStyle w:val="TableParagraph"/>
              <w:spacing w:before="131"/>
              <w:ind w:left="1" w:right="2"/>
              <w:rPr>
                <w:sz w:val="23"/>
              </w:rPr>
            </w:pPr>
            <w:r>
              <w:rPr>
                <w:sz w:val="23"/>
              </w:rPr>
              <w:t>09583</w:t>
            </w:r>
          </w:p>
        </w:tc>
        <w:tc>
          <w:tcPr>
            <w:tcW w:w="1476" w:type="dxa"/>
            <w:tcBorders>
              <w:top w:val="nil"/>
              <w:left w:val="single" w:sz="8" w:space="0" w:color="000000"/>
              <w:right w:val="single" w:sz="8" w:space="0" w:color="000000"/>
            </w:tcBorders>
          </w:tcPr>
          <w:p>
            <w:pPr>
              <w:pStyle w:val="TableParagraph"/>
              <w:spacing w:before="53"/>
              <w:ind w:left="1"/>
              <w:rPr>
                <w:sz w:val="23"/>
              </w:rPr>
            </w:pPr>
            <w:r>
              <w:rPr>
                <w:sz w:val="23"/>
              </w:rPr>
              <w:t>10.2472117424</w:t>
            </w:r>
          </w:p>
          <w:p>
            <w:pPr>
              <w:pStyle w:val="TableParagraph"/>
              <w:spacing w:before="131"/>
              <w:rPr>
                <w:sz w:val="23"/>
              </w:rPr>
            </w:pPr>
            <w:r>
              <w:rPr>
                <w:sz w:val="23"/>
              </w:rPr>
              <w:t>66370</w:t>
            </w:r>
          </w:p>
        </w:tc>
        <w:tc>
          <w:tcPr>
            <w:tcW w:w="1476" w:type="dxa"/>
            <w:tcBorders>
              <w:top w:val="nil"/>
              <w:left w:val="single" w:sz="8" w:space="0" w:color="000000"/>
              <w:right w:val="single" w:sz="8" w:space="0" w:color="000000"/>
            </w:tcBorders>
          </w:tcPr>
          <w:p>
            <w:pPr>
              <w:pStyle w:val="TableParagraph"/>
              <w:spacing w:before="53"/>
              <w:rPr>
                <w:sz w:val="23"/>
              </w:rPr>
            </w:pPr>
            <w:r>
              <w:rPr>
                <w:sz w:val="23"/>
              </w:rPr>
              <w:t>10.2394037109</w:t>
            </w:r>
          </w:p>
          <w:p>
            <w:pPr>
              <w:pStyle w:val="TableParagraph"/>
              <w:spacing w:before="131"/>
              <w:ind w:right="5"/>
              <w:rPr>
                <w:sz w:val="23"/>
              </w:rPr>
            </w:pPr>
            <w:r>
              <w:rPr>
                <w:sz w:val="23"/>
              </w:rPr>
              <w:t>39918</w:t>
            </w:r>
          </w:p>
        </w:tc>
        <w:tc>
          <w:tcPr>
            <w:tcW w:w="1477" w:type="dxa"/>
            <w:tcBorders>
              <w:top w:val="nil"/>
              <w:left w:val="single" w:sz="8" w:space="0" w:color="000000"/>
            </w:tcBorders>
          </w:tcPr>
          <w:p>
            <w:pPr>
              <w:pStyle w:val="TableParagraph"/>
              <w:spacing w:before="53"/>
              <w:ind w:right="2"/>
              <w:rPr>
                <w:sz w:val="23"/>
              </w:rPr>
            </w:pPr>
            <w:r>
              <w:rPr>
                <w:sz w:val="23"/>
              </w:rPr>
              <w:t>10.2473726508</w:t>
            </w:r>
          </w:p>
          <w:p>
            <w:pPr>
              <w:pStyle w:val="TableParagraph"/>
              <w:spacing w:before="131"/>
              <w:ind w:left="1" w:right="6"/>
              <w:rPr>
                <w:sz w:val="23"/>
              </w:rPr>
            </w:pPr>
            <w:r>
              <w:rPr>
                <w:sz w:val="23"/>
              </w:rPr>
              <w:t>55938</w:t>
            </w:r>
          </w:p>
        </w:tc>
      </w:tr>
    </w:tbl>
    <w:p>
      <w:pPr>
        <w:pStyle w:val="ListParagraph"/>
        <w:numPr>
          <w:ilvl w:val="2"/>
          <w:numId w:val="8"/>
        </w:numPr>
        <w:tabs>
          <w:tab w:pos="2892" w:val="left" w:leader="none"/>
        </w:tabs>
        <w:spacing w:line="259" w:lineRule="exact" w:before="0" w:after="0"/>
        <w:ind w:left="2892" w:right="0" w:hanging="219"/>
        <w:jc w:val="left"/>
        <w:rPr>
          <w:sz w:val="23"/>
        </w:rPr>
      </w:pPr>
      <w:r>
        <w:rPr>
          <w:sz w:val="23"/>
        </w:rPr>
        <w:t>La constante de ponderación es</w:t>
      </w:r>
      <w:r>
        <w:rPr>
          <w:spacing w:val="-12"/>
          <w:sz w:val="23"/>
        </w:rPr>
        <w:t> </w:t>
      </w:r>
      <w:r>
        <w:rPr>
          <w:sz w:val="23"/>
        </w:rPr>
        <w:t>1.339.</w:t>
      </w:r>
    </w:p>
    <w:p>
      <w:pPr>
        <w:pStyle w:val="ListParagraph"/>
        <w:numPr>
          <w:ilvl w:val="2"/>
          <w:numId w:val="8"/>
        </w:numPr>
        <w:tabs>
          <w:tab w:pos="2897" w:val="left" w:leader="none"/>
        </w:tabs>
        <w:spacing w:line="240" w:lineRule="auto" w:before="134" w:after="0"/>
        <w:ind w:left="2897" w:right="0" w:hanging="231"/>
        <w:jc w:val="left"/>
        <w:rPr>
          <w:sz w:val="23"/>
        </w:rPr>
      </w:pPr>
      <w:r>
        <w:rPr>
          <w:sz w:val="23"/>
        </w:rPr>
        <w:t>La constante de ponderación es</w:t>
      </w:r>
      <w:r>
        <w:rPr>
          <w:spacing w:val="-13"/>
          <w:sz w:val="23"/>
        </w:rPr>
        <w:t> </w:t>
      </w:r>
      <w:r>
        <w:rPr>
          <w:sz w:val="23"/>
        </w:rPr>
        <w:t>4.685.</w:t>
      </w:r>
    </w:p>
    <w:p>
      <w:pPr>
        <w:pStyle w:val="ListParagraph"/>
        <w:numPr>
          <w:ilvl w:val="2"/>
          <w:numId w:val="8"/>
        </w:numPr>
        <w:tabs>
          <w:tab w:pos="2076" w:val="left" w:leader="none"/>
        </w:tabs>
        <w:spacing w:line="240" w:lineRule="auto" w:before="131" w:after="0"/>
        <w:ind w:left="2075" w:right="0" w:hanging="218"/>
        <w:jc w:val="left"/>
        <w:rPr>
          <w:sz w:val="23"/>
        </w:rPr>
      </w:pPr>
      <w:r>
        <w:rPr>
          <w:sz w:val="23"/>
        </w:rPr>
        <w:t>Las constantes de ponderación son 1.700, 3.400 y</w:t>
      </w:r>
      <w:r>
        <w:rPr>
          <w:spacing w:val="-14"/>
          <w:sz w:val="23"/>
        </w:rPr>
        <w:t> </w:t>
      </w:r>
      <w:r>
        <w:rPr>
          <w:sz w:val="23"/>
        </w:rPr>
        <w:t>8.500</w:t>
      </w:r>
    </w:p>
    <w:p>
      <w:pPr>
        <w:pStyle w:val="ListParagraph"/>
        <w:numPr>
          <w:ilvl w:val="2"/>
          <w:numId w:val="8"/>
        </w:numPr>
        <w:tabs>
          <w:tab w:pos="2751" w:val="left" w:leader="none"/>
        </w:tabs>
        <w:spacing w:line="240" w:lineRule="auto" w:before="131" w:after="0"/>
        <w:ind w:left="2750" w:right="0" w:hanging="230"/>
        <w:jc w:val="left"/>
        <w:rPr>
          <w:sz w:val="23"/>
        </w:rPr>
      </w:pPr>
      <w:r>
        <w:rPr>
          <w:sz w:val="23"/>
        </w:rPr>
        <w:t>La constante de ponderación es</w:t>
      </w:r>
      <w:r>
        <w:rPr>
          <w:spacing w:val="-15"/>
          <w:sz w:val="23"/>
        </w:rPr>
        <w:t> </w:t>
      </w:r>
      <w:r>
        <w:rPr>
          <w:sz w:val="23"/>
        </w:rPr>
        <w:t>1.340*pi.</w:t>
      </w:r>
    </w:p>
    <w:p>
      <w:pPr>
        <w:pStyle w:val="BodyText"/>
        <w:rPr>
          <w:sz w:val="22"/>
        </w:rPr>
      </w:pPr>
    </w:p>
    <w:p>
      <w:pPr>
        <w:pStyle w:val="BodyText"/>
        <w:rPr>
          <w:sz w:val="22"/>
        </w:rPr>
      </w:pPr>
    </w:p>
    <w:p>
      <w:pPr>
        <w:pStyle w:val="BodyText"/>
        <w:rPr>
          <w:sz w:val="22"/>
        </w:rPr>
      </w:pPr>
    </w:p>
    <w:p>
      <w:pPr>
        <w:pStyle w:val="BodyText"/>
        <w:spacing w:before="167"/>
        <w:ind w:left="2947" w:right="64"/>
      </w:pPr>
      <w:r>
        <w:rPr/>
        <w:t>Cuadro 05. Pruebas de normalidad</w:t>
      </w:r>
    </w:p>
    <w:p>
      <w:pPr>
        <w:pStyle w:val="BodyText"/>
        <w:spacing w:before="10" w:after="1"/>
        <w:rPr>
          <w:sz w:val="11"/>
        </w:rPr>
      </w:pPr>
    </w:p>
    <w:tbl>
      <w:tblPr>
        <w:tblW w:w="0" w:type="auto"/>
        <w:jc w:val="left"/>
        <w:tblInd w:w="894"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737"/>
        <w:gridCol w:w="1229"/>
        <w:gridCol w:w="1015"/>
        <w:gridCol w:w="1016"/>
        <w:gridCol w:w="1229"/>
        <w:gridCol w:w="1015"/>
        <w:gridCol w:w="1016"/>
      </w:tblGrid>
      <w:tr>
        <w:trPr>
          <w:trHeight w:val="427" w:hRule="exact"/>
        </w:trPr>
        <w:tc>
          <w:tcPr>
            <w:tcW w:w="737" w:type="dxa"/>
            <w:vMerge w:val="restart"/>
          </w:tcPr>
          <w:p>
            <w:pPr/>
          </w:p>
        </w:tc>
        <w:tc>
          <w:tcPr>
            <w:tcW w:w="3260" w:type="dxa"/>
            <w:gridSpan w:val="3"/>
            <w:tcBorders>
              <w:bottom w:val="single" w:sz="8" w:space="0" w:color="000000"/>
              <w:right w:val="single" w:sz="8" w:space="0" w:color="000000"/>
            </w:tcBorders>
          </w:tcPr>
          <w:p>
            <w:pPr>
              <w:pStyle w:val="TableParagraph"/>
              <w:spacing w:line="261" w:lineRule="exact"/>
              <w:ind w:left="540"/>
              <w:jc w:val="left"/>
              <w:rPr>
                <w:sz w:val="23"/>
              </w:rPr>
            </w:pPr>
            <w:r>
              <w:rPr>
                <w:sz w:val="23"/>
              </w:rPr>
              <w:t>Kolmogorov-Smirnova</w:t>
            </w:r>
          </w:p>
        </w:tc>
        <w:tc>
          <w:tcPr>
            <w:tcW w:w="3260" w:type="dxa"/>
            <w:gridSpan w:val="3"/>
            <w:tcBorders>
              <w:left w:val="single" w:sz="8" w:space="0" w:color="000000"/>
              <w:bottom w:val="single" w:sz="8" w:space="0" w:color="000000"/>
            </w:tcBorders>
          </w:tcPr>
          <w:p>
            <w:pPr>
              <w:pStyle w:val="TableParagraph"/>
              <w:spacing w:line="261" w:lineRule="exact"/>
              <w:ind w:left="986"/>
              <w:jc w:val="left"/>
              <w:rPr>
                <w:sz w:val="23"/>
              </w:rPr>
            </w:pPr>
            <w:r>
              <w:rPr>
                <w:sz w:val="23"/>
              </w:rPr>
              <w:t>Shapiro-Wilk</w:t>
            </w:r>
          </w:p>
        </w:tc>
      </w:tr>
      <w:tr>
        <w:trPr>
          <w:trHeight w:val="446" w:hRule="exact"/>
        </w:trPr>
        <w:tc>
          <w:tcPr>
            <w:tcW w:w="737" w:type="dxa"/>
            <w:vMerge/>
          </w:tcPr>
          <w:p>
            <w:pPr/>
          </w:p>
        </w:tc>
        <w:tc>
          <w:tcPr>
            <w:tcW w:w="1229" w:type="dxa"/>
            <w:tcBorders>
              <w:top w:val="single" w:sz="8" w:space="0" w:color="000000"/>
              <w:right w:val="single" w:sz="8" w:space="0" w:color="000000"/>
            </w:tcBorders>
          </w:tcPr>
          <w:p>
            <w:pPr>
              <w:pStyle w:val="TableParagraph"/>
              <w:spacing w:before="15"/>
              <w:ind w:left="75" w:right="75"/>
              <w:rPr>
                <w:sz w:val="23"/>
              </w:rPr>
            </w:pPr>
            <w:r>
              <w:rPr>
                <w:sz w:val="23"/>
              </w:rPr>
              <w:t>Estadístico</w:t>
            </w:r>
          </w:p>
        </w:tc>
        <w:tc>
          <w:tcPr>
            <w:tcW w:w="1015" w:type="dxa"/>
            <w:tcBorders>
              <w:top w:val="single" w:sz="8" w:space="0" w:color="000000"/>
              <w:left w:val="single" w:sz="8" w:space="0" w:color="000000"/>
              <w:right w:val="single" w:sz="8" w:space="0" w:color="000000"/>
            </w:tcBorders>
          </w:tcPr>
          <w:p>
            <w:pPr>
              <w:pStyle w:val="TableParagraph"/>
              <w:spacing w:before="15"/>
              <w:ind w:left="297" w:right="305"/>
              <w:rPr>
                <w:sz w:val="23"/>
              </w:rPr>
            </w:pPr>
            <w:r>
              <w:rPr>
                <w:sz w:val="23"/>
              </w:rPr>
              <w:t>gl</w:t>
            </w:r>
          </w:p>
        </w:tc>
        <w:tc>
          <w:tcPr>
            <w:tcW w:w="1016" w:type="dxa"/>
            <w:tcBorders>
              <w:top w:val="single" w:sz="8" w:space="0" w:color="000000"/>
              <w:left w:val="single" w:sz="8" w:space="0" w:color="000000"/>
              <w:right w:val="single" w:sz="8" w:space="0" w:color="000000"/>
            </w:tcBorders>
          </w:tcPr>
          <w:p>
            <w:pPr>
              <w:pStyle w:val="TableParagraph"/>
              <w:spacing w:before="15"/>
              <w:ind w:left="213" w:right="221"/>
              <w:rPr>
                <w:sz w:val="23"/>
              </w:rPr>
            </w:pPr>
            <w:r>
              <w:rPr>
                <w:sz w:val="23"/>
              </w:rPr>
              <w:t>Sig.</w:t>
            </w:r>
          </w:p>
        </w:tc>
        <w:tc>
          <w:tcPr>
            <w:tcW w:w="1229" w:type="dxa"/>
            <w:tcBorders>
              <w:top w:val="single" w:sz="8" w:space="0" w:color="000000"/>
              <w:left w:val="single" w:sz="8" w:space="0" w:color="000000"/>
              <w:right w:val="single" w:sz="8" w:space="0" w:color="000000"/>
            </w:tcBorders>
          </w:tcPr>
          <w:p>
            <w:pPr>
              <w:pStyle w:val="TableParagraph"/>
              <w:spacing w:before="15"/>
              <w:ind w:left="78" w:right="82"/>
              <w:rPr>
                <w:sz w:val="23"/>
              </w:rPr>
            </w:pPr>
            <w:r>
              <w:rPr>
                <w:sz w:val="23"/>
              </w:rPr>
              <w:t>Estadístico</w:t>
            </w:r>
          </w:p>
        </w:tc>
        <w:tc>
          <w:tcPr>
            <w:tcW w:w="1015" w:type="dxa"/>
            <w:tcBorders>
              <w:top w:val="single" w:sz="8" w:space="0" w:color="000000"/>
              <w:left w:val="single" w:sz="8" w:space="0" w:color="000000"/>
              <w:right w:val="single" w:sz="8" w:space="0" w:color="000000"/>
            </w:tcBorders>
          </w:tcPr>
          <w:p>
            <w:pPr>
              <w:pStyle w:val="TableParagraph"/>
              <w:spacing w:before="15"/>
              <w:ind w:left="302" w:right="305"/>
              <w:rPr>
                <w:sz w:val="23"/>
              </w:rPr>
            </w:pPr>
            <w:r>
              <w:rPr>
                <w:sz w:val="23"/>
              </w:rPr>
              <w:t>gl</w:t>
            </w:r>
          </w:p>
        </w:tc>
        <w:tc>
          <w:tcPr>
            <w:tcW w:w="1016" w:type="dxa"/>
            <w:tcBorders>
              <w:top w:val="single" w:sz="8" w:space="0" w:color="000000"/>
              <w:left w:val="single" w:sz="8" w:space="0" w:color="000000"/>
            </w:tcBorders>
          </w:tcPr>
          <w:p>
            <w:pPr>
              <w:pStyle w:val="TableParagraph"/>
              <w:spacing w:before="15"/>
              <w:ind w:left="270" w:right="272"/>
              <w:rPr>
                <w:sz w:val="23"/>
              </w:rPr>
            </w:pPr>
            <w:r>
              <w:rPr>
                <w:sz w:val="23"/>
              </w:rPr>
              <w:t>Sig.</w:t>
            </w:r>
          </w:p>
        </w:tc>
      </w:tr>
      <w:tr>
        <w:trPr>
          <w:trHeight w:val="358" w:hRule="exact"/>
        </w:trPr>
        <w:tc>
          <w:tcPr>
            <w:tcW w:w="737" w:type="dxa"/>
            <w:tcBorders>
              <w:bottom w:val="nil"/>
            </w:tcBorders>
          </w:tcPr>
          <w:p>
            <w:pPr>
              <w:pStyle w:val="TableParagraph"/>
              <w:spacing w:line="261" w:lineRule="exact"/>
              <w:ind w:left="187" w:right="190"/>
              <w:rPr>
                <w:sz w:val="23"/>
              </w:rPr>
            </w:pPr>
            <w:r>
              <w:rPr>
                <w:sz w:val="23"/>
              </w:rPr>
              <w:t>X1</w:t>
            </w:r>
          </w:p>
        </w:tc>
        <w:tc>
          <w:tcPr>
            <w:tcW w:w="1229" w:type="dxa"/>
            <w:tcBorders>
              <w:bottom w:val="nil"/>
              <w:right w:val="single" w:sz="8" w:space="0" w:color="000000"/>
            </w:tcBorders>
          </w:tcPr>
          <w:p>
            <w:pPr>
              <w:pStyle w:val="TableParagraph"/>
              <w:spacing w:line="261" w:lineRule="exact"/>
              <w:ind w:left="75" w:right="75"/>
              <w:rPr>
                <w:sz w:val="23"/>
              </w:rPr>
            </w:pPr>
            <w:r>
              <w:rPr>
                <w:sz w:val="23"/>
              </w:rPr>
              <w:t>.034</w:t>
            </w:r>
          </w:p>
        </w:tc>
        <w:tc>
          <w:tcPr>
            <w:tcW w:w="1015" w:type="dxa"/>
            <w:tcBorders>
              <w:left w:val="single" w:sz="8" w:space="0" w:color="000000"/>
              <w:bottom w:val="nil"/>
              <w:right w:val="single" w:sz="8" w:space="0" w:color="000000"/>
            </w:tcBorders>
          </w:tcPr>
          <w:p>
            <w:pPr>
              <w:pStyle w:val="TableParagraph"/>
              <w:spacing w:line="261" w:lineRule="exact"/>
              <w:ind w:left="300" w:right="305"/>
              <w:rPr>
                <w:sz w:val="23"/>
              </w:rPr>
            </w:pPr>
            <w:r>
              <w:rPr>
                <w:sz w:val="23"/>
              </w:rPr>
              <w:t>192</w:t>
            </w:r>
          </w:p>
        </w:tc>
        <w:tc>
          <w:tcPr>
            <w:tcW w:w="1016" w:type="dxa"/>
            <w:tcBorders>
              <w:left w:val="single" w:sz="8" w:space="0" w:color="000000"/>
              <w:bottom w:val="nil"/>
              <w:right w:val="single" w:sz="8" w:space="0" w:color="000000"/>
            </w:tcBorders>
          </w:tcPr>
          <w:p>
            <w:pPr>
              <w:pStyle w:val="TableParagraph"/>
              <w:spacing w:line="261" w:lineRule="exact"/>
              <w:ind w:left="216" w:right="221"/>
              <w:rPr>
                <w:sz w:val="23"/>
              </w:rPr>
            </w:pPr>
            <w:r>
              <w:rPr>
                <w:sz w:val="23"/>
              </w:rPr>
              <w:t>.200*</w:t>
            </w:r>
          </w:p>
        </w:tc>
        <w:tc>
          <w:tcPr>
            <w:tcW w:w="1229" w:type="dxa"/>
            <w:tcBorders>
              <w:left w:val="single" w:sz="8" w:space="0" w:color="000000"/>
              <w:bottom w:val="nil"/>
              <w:right w:val="single" w:sz="8" w:space="0" w:color="000000"/>
            </w:tcBorders>
          </w:tcPr>
          <w:p>
            <w:pPr>
              <w:pStyle w:val="TableParagraph"/>
              <w:spacing w:line="261" w:lineRule="exact"/>
              <w:ind w:left="78" w:right="80"/>
              <w:rPr>
                <w:sz w:val="23"/>
              </w:rPr>
            </w:pPr>
            <w:r>
              <w:rPr>
                <w:sz w:val="23"/>
              </w:rPr>
              <w:t>.993</w:t>
            </w:r>
          </w:p>
        </w:tc>
        <w:tc>
          <w:tcPr>
            <w:tcW w:w="1015" w:type="dxa"/>
            <w:tcBorders>
              <w:left w:val="single" w:sz="8" w:space="0" w:color="000000"/>
              <w:bottom w:val="nil"/>
              <w:right w:val="single" w:sz="8" w:space="0" w:color="000000"/>
            </w:tcBorders>
          </w:tcPr>
          <w:p>
            <w:pPr>
              <w:pStyle w:val="TableParagraph"/>
              <w:spacing w:line="261" w:lineRule="exact"/>
              <w:ind w:left="303" w:right="303"/>
              <w:rPr>
                <w:sz w:val="23"/>
              </w:rPr>
            </w:pPr>
            <w:r>
              <w:rPr>
                <w:sz w:val="23"/>
              </w:rPr>
              <w:t>192</w:t>
            </w:r>
          </w:p>
        </w:tc>
        <w:tc>
          <w:tcPr>
            <w:tcW w:w="1016" w:type="dxa"/>
            <w:tcBorders>
              <w:left w:val="single" w:sz="8" w:space="0" w:color="000000"/>
              <w:bottom w:val="nil"/>
            </w:tcBorders>
          </w:tcPr>
          <w:p>
            <w:pPr>
              <w:pStyle w:val="TableParagraph"/>
              <w:spacing w:line="261" w:lineRule="exact"/>
              <w:ind w:left="271" w:right="272"/>
              <w:rPr>
                <w:sz w:val="23"/>
              </w:rPr>
            </w:pPr>
            <w:r>
              <w:rPr>
                <w:sz w:val="23"/>
              </w:rPr>
              <w:t>.558</w:t>
            </w:r>
          </w:p>
        </w:tc>
      </w:tr>
      <w:tr>
        <w:trPr>
          <w:trHeight w:val="397" w:hRule="exact"/>
        </w:trPr>
        <w:tc>
          <w:tcPr>
            <w:tcW w:w="737" w:type="dxa"/>
            <w:tcBorders>
              <w:top w:val="nil"/>
              <w:bottom w:val="nil"/>
            </w:tcBorders>
          </w:tcPr>
          <w:p>
            <w:pPr>
              <w:pStyle w:val="TableParagraph"/>
              <w:spacing w:before="53"/>
              <w:ind w:left="187" w:right="190"/>
              <w:rPr>
                <w:sz w:val="23"/>
              </w:rPr>
            </w:pPr>
            <w:r>
              <w:rPr>
                <w:sz w:val="23"/>
              </w:rPr>
              <w:t>X2</w:t>
            </w:r>
          </w:p>
        </w:tc>
        <w:tc>
          <w:tcPr>
            <w:tcW w:w="1229" w:type="dxa"/>
            <w:tcBorders>
              <w:top w:val="nil"/>
              <w:bottom w:val="nil"/>
              <w:right w:val="single" w:sz="8" w:space="0" w:color="000000"/>
            </w:tcBorders>
          </w:tcPr>
          <w:p>
            <w:pPr>
              <w:pStyle w:val="TableParagraph"/>
              <w:spacing w:before="53"/>
              <w:ind w:left="75" w:right="75"/>
              <w:rPr>
                <w:sz w:val="23"/>
              </w:rPr>
            </w:pPr>
            <w:r>
              <w:rPr>
                <w:sz w:val="23"/>
              </w:rPr>
              <w:t>.087</w:t>
            </w:r>
          </w:p>
        </w:tc>
        <w:tc>
          <w:tcPr>
            <w:tcW w:w="1015" w:type="dxa"/>
            <w:tcBorders>
              <w:top w:val="nil"/>
              <w:left w:val="single" w:sz="8" w:space="0" w:color="000000"/>
              <w:bottom w:val="nil"/>
              <w:right w:val="single" w:sz="8" w:space="0" w:color="000000"/>
            </w:tcBorders>
          </w:tcPr>
          <w:p>
            <w:pPr>
              <w:pStyle w:val="TableParagraph"/>
              <w:spacing w:before="53"/>
              <w:ind w:left="300" w:right="305"/>
              <w:rPr>
                <w:sz w:val="23"/>
              </w:rPr>
            </w:pPr>
            <w:r>
              <w:rPr>
                <w:sz w:val="23"/>
              </w:rPr>
              <w:t>192</w:t>
            </w:r>
          </w:p>
        </w:tc>
        <w:tc>
          <w:tcPr>
            <w:tcW w:w="1016" w:type="dxa"/>
            <w:tcBorders>
              <w:top w:val="nil"/>
              <w:left w:val="single" w:sz="8" w:space="0" w:color="000000"/>
              <w:bottom w:val="nil"/>
              <w:right w:val="single" w:sz="8" w:space="0" w:color="000000"/>
            </w:tcBorders>
          </w:tcPr>
          <w:p>
            <w:pPr>
              <w:pStyle w:val="TableParagraph"/>
              <w:spacing w:before="53"/>
              <w:ind w:left="216" w:right="221"/>
              <w:rPr>
                <w:sz w:val="23"/>
              </w:rPr>
            </w:pPr>
            <w:r>
              <w:rPr>
                <w:sz w:val="23"/>
              </w:rPr>
              <w:t>.001</w:t>
            </w:r>
          </w:p>
        </w:tc>
        <w:tc>
          <w:tcPr>
            <w:tcW w:w="1229" w:type="dxa"/>
            <w:tcBorders>
              <w:top w:val="nil"/>
              <w:left w:val="single" w:sz="8" w:space="0" w:color="000000"/>
              <w:bottom w:val="nil"/>
              <w:right w:val="single" w:sz="8" w:space="0" w:color="000000"/>
            </w:tcBorders>
          </w:tcPr>
          <w:p>
            <w:pPr>
              <w:pStyle w:val="TableParagraph"/>
              <w:spacing w:before="53"/>
              <w:ind w:left="78" w:right="80"/>
              <w:rPr>
                <w:sz w:val="23"/>
              </w:rPr>
            </w:pPr>
            <w:r>
              <w:rPr>
                <w:sz w:val="23"/>
              </w:rPr>
              <w:t>.990</w:t>
            </w:r>
          </w:p>
        </w:tc>
        <w:tc>
          <w:tcPr>
            <w:tcW w:w="1015" w:type="dxa"/>
            <w:tcBorders>
              <w:top w:val="nil"/>
              <w:left w:val="single" w:sz="8" w:space="0" w:color="000000"/>
              <w:bottom w:val="nil"/>
              <w:right w:val="single" w:sz="8" w:space="0" w:color="000000"/>
            </w:tcBorders>
          </w:tcPr>
          <w:p>
            <w:pPr>
              <w:pStyle w:val="TableParagraph"/>
              <w:spacing w:before="53"/>
              <w:ind w:left="303" w:right="303"/>
              <w:rPr>
                <w:sz w:val="23"/>
              </w:rPr>
            </w:pPr>
            <w:r>
              <w:rPr>
                <w:sz w:val="23"/>
              </w:rPr>
              <w:t>192</w:t>
            </w:r>
          </w:p>
        </w:tc>
        <w:tc>
          <w:tcPr>
            <w:tcW w:w="1016" w:type="dxa"/>
            <w:tcBorders>
              <w:top w:val="nil"/>
              <w:left w:val="single" w:sz="8" w:space="0" w:color="000000"/>
              <w:bottom w:val="nil"/>
            </w:tcBorders>
          </w:tcPr>
          <w:p>
            <w:pPr>
              <w:pStyle w:val="TableParagraph"/>
              <w:spacing w:before="53"/>
              <w:ind w:left="271" w:right="272"/>
              <w:rPr>
                <w:sz w:val="23"/>
              </w:rPr>
            </w:pPr>
            <w:r>
              <w:rPr>
                <w:sz w:val="23"/>
              </w:rPr>
              <w:t>.225</w:t>
            </w:r>
          </w:p>
        </w:tc>
      </w:tr>
      <w:tr>
        <w:trPr>
          <w:trHeight w:val="397" w:hRule="exact"/>
        </w:trPr>
        <w:tc>
          <w:tcPr>
            <w:tcW w:w="737" w:type="dxa"/>
            <w:tcBorders>
              <w:top w:val="nil"/>
              <w:bottom w:val="nil"/>
            </w:tcBorders>
          </w:tcPr>
          <w:p>
            <w:pPr>
              <w:pStyle w:val="TableParagraph"/>
              <w:spacing w:before="54"/>
              <w:ind w:left="187" w:right="190"/>
              <w:rPr>
                <w:sz w:val="23"/>
              </w:rPr>
            </w:pPr>
            <w:r>
              <w:rPr>
                <w:sz w:val="23"/>
              </w:rPr>
              <w:t>X3</w:t>
            </w:r>
          </w:p>
        </w:tc>
        <w:tc>
          <w:tcPr>
            <w:tcW w:w="1229" w:type="dxa"/>
            <w:tcBorders>
              <w:top w:val="nil"/>
              <w:bottom w:val="nil"/>
              <w:right w:val="single" w:sz="8" w:space="0" w:color="000000"/>
            </w:tcBorders>
          </w:tcPr>
          <w:p>
            <w:pPr>
              <w:pStyle w:val="TableParagraph"/>
              <w:spacing w:before="54"/>
              <w:ind w:left="75" w:right="75"/>
              <w:rPr>
                <w:sz w:val="23"/>
              </w:rPr>
            </w:pPr>
            <w:r>
              <w:rPr>
                <w:sz w:val="23"/>
              </w:rPr>
              <w:t>.056</w:t>
            </w:r>
          </w:p>
        </w:tc>
        <w:tc>
          <w:tcPr>
            <w:tcW w:w="1015" w:type="dxa"/>
            <w:tcBorders>
              <w:top w:val="nil"/>
              <w:left w:val="single" w:sz="8" w:space="0" w:color="000000"/>
              <w:bottom w:val="nil"/>
              <w:right w:val="single" w:sz="8" w:space="0" w:color="000000"/>
            </w:tcBorders>
          </w:tcPr>
          <w:p>
            <w:pPr>
              <w:pStyle w:val="TableParagraph"/>
              <w:spacing w:before="54"/>
              <w:ind w:left="300" w:right="305"/>
              <w:rPr>
                <w:sz w:val="23"/>
              </w:rPr>
            </w:pPr>
            <w:r>
              <w:rPr>
                <w:sz w:val="23"/>
              </w:rPr>
              <w:t>192</w:t>
            </w:r>
          </w:p>
        </w:tc>
        <w:tc>
          <w:tcPr>
            <w:tcW w:w="1016" w:type="dxa"/>
            <w:tcBorders>
              <w:top w:val="nil"/>
              <w:left w:val="single" w:sz="8" w:space="0" w:color="000000"/>
              <w:bottom w:val="nil"/>
              <w:right w:val="single" w:sz="8" w:space="0" w:color="000000"/>
            </w:tcBorders>
          </w:tcPr>
          <w:p>
            <w:pPr>
              <w:pStyle w:val="TableParagraph"/>
              <w:spacing w:before="54"/>
              <w:ind w:left="216" w:right="221"/>
              <w:rPr>
                <w:sz w:val="23"/>
              </w:rPr>
            </w:pPr>
            <w:r>
              <w:rPr>
                <w:sz w:val="23"/>
              </w:rPr>
              <w:t>.200*</w:t>
            </w:r>
          </w:p>
        </w:tc>
        <w:tc>
          <w:tcPr>
            <w:tcW w:w="1229" w:type="dxa"/>
            <w:tcBorders>
              <w:top w:val="nil"/>
              <w:left w:val="single" w:sz="8" w:space="0" w:color="000000"/>
              <w:bottom w:val="nil"/>
              <w:right w:val="single" w:sz="8" w:space="0" w:color="000000"/>
            </w:tcBorders>
          </w:tcPr>
          <w:p>
            <w:pPr>
              <w:pStyle w:val="TableParagraph"/>
              <w:spacing w:before="54"/>
              <w:ind w:left="78" w:right="80"/>
              <w:rPr>
                <w:sz w:val="23"/>
              </w:rPr>
            </w:pPr>
            <w:r>
              <w:rPr>
                <w:sz w:val="23"/>
              </w:rPr>
              <w:t>.989</w:t>
            </w:r>
          </w:p>
        </w:tc>
        <w:tc>
          <w:tcPr>
            <w:tcW w:w="1015" w:type="dxa"/>
            <w:tcBorders>
              <w:top w:val="nil"/>
              <w:left w:val="single" w:sz="8" w:space="0" w:color="000000"/>
              <w:bottom w:val="nil"/>
              <w:right w:val="single" w:sz="8" w:space="0" w:color="000000"/>
            </w:tcBorders>
          </w:tcPr>
          <w:p>
            <w:pPr>
              <w:pStyle w:val="TableParagraph"/>
              <w:spacing w:before="54"/>
              <w:ind w:left="303" w:right="303"/>
              <w:rPr>
                <w:sz w:val="23"/>
              </w:rPr>
            </w:pPr>
            <w:r>
              <w:rPr>
                <w:sz w:val="23"/>
              </w:rPr>
              <w:t>192</w:t>
            </w:r>
          </w:p>
        </w:tc>
        <w:tc>
          <w:tcPr>
            <w:tcW w:w="1016" w:type="dxa"/>
            <w:tcBorders>
              <w:top w:val="nil"/>
              <w:left w:val="single" w:sz="8" w:space="0" w:color="000000"/>
              <w:bottom w:val="nil"/>
            </w:tcBorders>
          </w:tcPr>
          <w:p>
            <w:pPr>
              <w:pStyle w:val="TableParagraph"/>
              <w:spacing w:before="54"/>
              <w:ind w:left="271" w:right="272"/>
              <w:rPr>
                <w:sz w:val="23"/>
              </w:rPr>
            </w:pPr>
            <w:r>
              <w:rPr>
                <w:sz w:val="23"/>
              </w:rPr>
              <w:t>.162</w:t>
            </w:r>
          </w:p>
        </w:tc>
      </w:tr>
      <w:tr>
        <w:trPr>
          <w:trHeight w:val="475" w:hRule="exact"/>
        </w:trPr>
        <w:tc>
          <w:tcPr>
            <w:tcW w:w="737" w:type="dxa"/>
            <w:tcBorders>
              <w:top w:val="nil"/>
            </w:tcBorders>
          </w:tcPr>
          <w:p>
            <w:pPr>
              <w:pStyle w:val="TableParagraph"/>
              <w:spacing w:before="53"/>
              <w:ind w:left="187" w:right="190"/>
              <w:rPr>
                <w:sz w:val="23"/>
              </w:rPr>
            </w:pPr>
            <w:r>
              <w:rPr>
                <w:sz w:val="23"/>
              </w:rPr>
              <w:t>X4</w:t>
            </w:r>
          </w:p>
        </w:tc>
        <w:tc>
          <w:tcPr>
            <w:tcW w:w="1229" w:type="dxa"/>
            <w:tcBorders>
              <w:top w:val="nil"/>
              <w:right w:val="single" w:sz="8" w:space="0" w:color="000000"/>
            </w:tcBorders>
          </w:tcPr>
          <w:p>
            <w:pPr>
              <w:pStyle w:val="TableParagraph"/>
              <w:spacing w:before="53"/>
              <w:ind w:left="75" w:right="75"/>
              <w:rPr>
                <w:sz w:val="23"/>
              </w:rPr>
            </w:pPr>
            <w:r>
              <w:rPr>
                <w:sz w:val="23"/>
              </w:rPr>
              <w:t>.052</w:t>
            </w:r>
          </w:p>
        </w:tc>
        <w:tc>
          <w:tcPr>
            <w:tcW w:w="1015" w:type="dxa"/>
            <w:tcBorders>
              <w:top w:val="nil"/>
              <w:left w:val="single" w:sz="8" w:space="0" w:color="000000"/>
              <w:right w:val="single" w:sz="8" w:space="0" w:color="000000"/>
            </w:tcBorders>
          </w:tcPr>
          <w:p>
            <w:pPr>
              <w:pStyle w:val="TableParagraph"/>
              <w:spacing w:before="53"/>
              <w:ind w:left="300" w:right="305"/>
              <w:rPr>
                <w:sz w:val="23"/>
              </w:rPr>
            </w:pPr>
            <w:r>
              <w:rPr>
                <w:sz w:val="23"/>
              </w:rPr>
              <w:t>192</w:t>
            </w:r>
          </w:p>
        </w:tc>
        <w:tc>
          <w:tcPr>
            <w:tcW w:w="1016" w:type="dxa"/>
            <w:tcBorders>
              <w:top w:val="nil"/>
              <w:left w:val="single" w:sz="8" w:space="0" w:color="000000"/>
              <w:right w:val="single" w:sz="8" w:space="0" w:color="000000"/>
            </w:tcBorders>
          </w:tcPr>
          <w:p>
            <w:pPr>
              <w:pStyle w:val="TableParagraph"/>
              <w:spacing w:before="53"/>
              <w:ind w:left="216" w:right="221"/>
              <w:rPr>
                <w:sz w:val="23"/>
              </w:rPr>
            </w:pPr>
            <w:r>
              <w:rPr>
                <w:sz w:val="23"/>
              </w:rPr>
              <w:t>.200*</w:t>
            </w:r>
          </w:p>
        </w:tc>
        <w:tc>
          <w:tcPr>
            <w:tcW w:w="1229" w:type="dxa"/>
            <w:tcBorders>
              <w:top w:val="nil"/>
              <w:left w:val="single" w:sz="8" w:space="0" w:color="000000"/>
              <w:right w:val="single" w:sz="8" w:space="0" w:color="000000"/>
            </w:tcBorders>
          </w:tcPr>
          <w:p>
            <w:pPr>
              <w:pStyle w:val="TableParagraph"/>
              <w:spacing w:before="53"/>
              <w:ind w:left="78" w:right="80"/>
              <w:rPr>
                <w:sz w:val="23"/>
              </w:rPr>
            </w:pPr>
            <w:r>
              <w:rPr>
                <w:sz w:val="23"/>
              </w:rPr>
              <w:t>.989</w:t>
            </w:r>
          </w:p>
        </w:tc>
        <w:tc>
          <w:tcPr>
            <w:tcW w:w="1015" w:type="dxa"/>
            <w:tcBorders>
              <w:top w:val="nil"/>
              <w:left w:val="single" w:sz="8" w:space="0" w:color="000000"/>
              <w:right w:val="single" w:sz="8" w:space="0" w:color="000000"/>
            </w:tcBorders>
          </w:tcPr>
          <w:p>
            <w:pPr>
              <w:pStyle w:val="TableParagraph"/>
              <w:spacing w:before="53"/>
              <w:ind w:left="303" w:right="303"/>
              <w:rPr>
                <w:sz w:val="23"/>
              </w:rPr>
            </w:pPr>
            <w:r>
              <w:rPr>
                <w:sz w:val="23"/>
              </w:rPr>
              <w:t>192</w:t>
            </w:r>
          </w:p>
        </w:tc>
        <w:tc>
          <w:tcPr>
            <w:tcW w:w="1016" w:type="dxa"/>
            <w:tcBorders>
              <w:top w:val="nil"/>
              <w:left w:val="single" w:sz="8" w:space="0" w:color="000000"/>
            </w:tcBorders>
          </w:tcPr>
          <w:p>
            <w:pPr>
              <w:pStyle w:val="TableParagraph"/>
              <w:spacing w:before="53"/>
              <w:ind w:left="271" w:right="272"/>
              <w:rPr>
                <w:sz w:val="23"/>
              </w:rPr>
            </w:pPr>
            <w:r>
              <w:rPr>
                <w:sz w:val="23"/>
              </w:rPr>
              <w:t>.168</w:t>
            </w:r>
          </w:p>
        </w:tc>
      </w:tr>
    </w:tbl>
    <w:p>
      <w:pPr>
        <w:pStyle w:val="BodyText"/>
        <w:spacing w:line="261" w:lineRule="exact"/>
        <w:ind w:left="1900" w:right="64"/>
      </w:pPr>
      <w:r>
        <w:rPr/>
        <w:t>*. Esto es un límite inferior de la significación verdadera.</w:t>
      </w:r>
    </w:p>
    <w:p>
      <w:pPr>
        <w:pStyle w:val="BodyText"/>
        <w:spacing w:before="131"/>
        <w:ind w:left="2568" w:right="64"/>
      </w:pPr>
      <w:r>
        <w:rPr/>
        <w:t>a. Corrección de significación de Lilliefors</w:t>
      </w:r>
    </w:p>
    <w:p>
      <w:pPr>
        <w:spacing w:after="0"/>
        <w:sectPr>
          <w:headerReference w:type="default" r:id="rId178"/>
          <w:pgSz w:w="12240" w:h="15840"/>
          <w:pgMar w:header="1414" w:footer="1857" w:top="1600" w:bottom="2060" w:left="1580" w:right="1600"/>
        </w:sectPr>
      </w:pPr>
    </w:p>
    <w:p>
      <w:pPr>
        <w:pStyle w:val="BodyText"/>
        <w:rPr>
          <w:sz w:val="20"/>
        </w:rPr>
      </w:pPr>
    </w:p>
    <w:p>
      <w:pPr>
        <w:pStyle w:val="BodyText"/>
        <w:rPr>
          <w:sz w:val="20"/>
        </w:rPr>
      </w:pPr>
    </w:p>
    <w:p>
      <w:pPr>
        <w:pStyle w:val="BodyText"/>
        <w:spacing w:before="1"/>
        <w:rPr>
          <w:sz w:val="29"/>
        </w:rPr>
      </w:pPr>
    </w:p>
    <w:p>
      <w:pPr>
        <w:pStyle w:val="BodyText"/>
        <w:spacing w:before="71"/>
        <w:ind w:left="122" w:right="103"/>
        <w:jc w:val="center"/>
      </w:pPr>
      <w:r>
        <w:rPr/>
        <w:drawing>
          <wp:anchor distT="0" distB="0" distL="0" distR="0" allowOverlap="1" layoutInCell="1" locked="0" behindDoc="0" simplePos="0" relativeHeight="4744">
            <wp:simplePos x="0" y="0"/>
            <wp:positionH relativeFrom="page">
              <wp:posOffset>1178877</wp:posOffset>
            </wp:positionH>
            <wp:positionV relativeFrom="paragraph">
              <wp:posOffset>300054</wp:posOffset>
            </wp:positionV>
            <wp:extent cx="5394082" cy="4297680"/>
            <wp:effectExtent l="0" t="0" r="0" b="0"/>
            <wp:wrapTopAndBottom/>
            <wp:docPr id="11" name="image20.png" descr=""/>
            <wp:cNvGraphicFramePr>
              <a:graphicFrameLocks noChangeAspect="1"/>
            </wp:cNvGraphicFramePr>
            <a:graphic>
              <a:graphicData uri="http://schemas.openxmlformats.org/drawingml/2006/picture">
                <pic:pic>
                  <pic:nvPicPr>
                    <pic:cNvPr id="12" name="image20.png"/>
                    <pic:cNvPicPr/>
                  </pic:nvPicPr>
                  <pic:blipFill>
                    <a:blip r:embed="rId181" cstate="print"/>
                    <a:stretch>
                      <a:fillRect/>
                    </a:stretch>
                  </pic:blipFill>
                  <pic:spPr>
                    <a:xfrm>
                      <a:off x="0" y="0"/>
                      <a:ext cx="5394082" cy="4297680"/>
                    </a:xfrm>
                    <a:prstGeom prst="rect">
                      <a:avLst/>
                    </a:prstGeom>
                  </pic:spPr>
                </pic:pic>
              </a:graphicData>
            </a:graphic>
          </wp:anchor>
        </w:drawing>
      </w:r>
      <w:r>
        <w:rPr/>
        <w:t>Figura 03. Histograma para X1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9"/>
        </w:rPr>
      </w:pPr>
      <w:r>
        <w:rPr/>
        <w:pict>
          <v:line style="position:absolute;mso-position-horizontal-relative:page;mso-position-vertical-relative:paragraph;z-index:4768;mso-wrap-distance-left:0;mso-wrap-distance-right:0" from="85.103996pt,19.084648pt" to="516.969017pt,19.084648pt" stroked="true" strokeweight=".36pt" strokecolor="#000000">
            <w10:wrap type="topAndBottom"/>
          </v:line>
        </w:pict>
      </w:r>
    </w:p>
    <w:p>
      <w:pPr>
        <w:spacing w:after="0"/>
        <w:rPr>
          <w:sz w:val="29"/>
        </w:rPr>
        <w:sectPr>
          <w:headerReference w:type="default" r:id="rId179"/>
          <w:footerReference w:type="default" r:id="rId180"/>
          <w:pgSz w:w="12240" w:h="15840"/>
          <w:pgMar w:header="1833" w:footer="1568" w:top="2040" w:bottom="1760" w:left="1580" w:right="1600"/>
          <w:pgNumType w:start="80"/>
        </w:sectPr>
      </w:pPr>
    </w:p>
    <w:p>
      <w:pPr>
        <w:pStyle w:val="BodyText"/>
        <w:rPr>
          <w:sz w:val="20"/>
        </w:rPr>
      </w:pPr>
    </w:p>
    <w:p>
      <w:pPr>
        <w:pStyle w:val="BodyText"/>
        <w:spacing w:before="9"/>
        <w:rPr>
          <w:sz w:val="20"/>
        </w:rPr>
      </w:pPr>
    </w:p>
    <w:p>
      <w:pPr>
        <w:pStyle w:val="BodyText"/>
        <w:ind w:left="2793"/>
      </w:pPr>
      <w:r>
        <w:rPr/>
        <w:drawing>
          <wp:anchor distT="0" distB="0" distL="0" distR="0" allowOverlap="1" layoutInCell="1" locked="0" behindDoc="0" simplePos="0" relativeHeight="4792">
            <wp:simplePos x="0" y="0"/>
            <wp:positionH relativeFrom="page">
              <wp:posOffset>1080135</wp:posOffset>
            </wp:positionH>
            <wp:positionV relativeFrom="paragraph">
              <wp:posOffset>254969</wp:posOffset>
            </wp:positionV>
            <wp:extent cx="5839405" cy="4396549"/>
            <wp:effectExtent l="0" t="0" r="0" b="0"/>
            <wp:wrapTopAndBottom/>
            <wp:docPr id="13" name="image21.jpeg" descr=""/>
            <wp:cNvGraphicFramePr>
              <a:graphicFrameLocks noChangeAspect="1"/>
            </wp:cNvGraphicFramePr>
            <a:graphic>
              <a:graphicData uri="http://schemas.openxmlformats.org/drawingml/2006/picture">
                <pic:pic>
                  <pic:nvPicPr>
                    <pic:cNvPr id="14" name="image21.jpeg"/>
                    <pic:cNvPicPr/>
                  </pic:nvPicPr>
                  <pic:blipFill>
                    <a:blip r:embed="rId183" cstate="print"/>
                    <a:stretch>
                      <a:fillRect/>
                    </a:stretch>
                  </pic:blipFill>
                  <pic:spPr>
                    <a:xfrm>
                      <a:off x="0" y="0"/>
                      <a:ext cx="5839405" cy="4396549"/>
                    </a:xfrm>
                    <a:prstGeom prst="rect">
                      <a:avLst/>
                    </a:prstGeom>
                  </pic:spPr>
                </pic:pic>
              </a:graphicData>
            </a:graphic>
          </wp:anchor>
        </w:drawing>
      </w:r>
      <w:r>
        <w:rPr/>
        <w:t>Figura 04. Gràfico Q-Q normal de X1</w:t>
      </w:r>
    </w:p>
    <w:p>
      <w:pPr>
        <w:spacing w:after="0"/>
        <w:sectPr>
          <w:footerReference w:type="default" r:id="rId182"/>
          <w:pgSz w:w="12240" w:h="15840"/>
          <w:pgMar w:footer="1775" w:header="1833" w:top="2080" w:bottom="1960" w:left="1580" w:right="1220"/>
          <w:pgNumType w:start="81"/>
        </w:sectPr>
      </w:pPr>
    </w:p>
    <w:p>
      <w:pPr>
        <w:pStyle w:val="BodyText"/>
        <w:spacing w:before="1"/>
        <w:rPr>
          <w:sz w:val="2"/>
        </w:rPr>
      </w:pPr>
    </w:p>
    <w:p>
      <w:pPr>
        <w:pStyle w:val="BodyText"/>
        <w:spacing w:line="20" w:lineRule="exact"/>
        <w:ind w:left="359"/>
        <w:rPr>
          <w:sz w:val="2"/>
        </w:rPr>
      </w:pPr>
      <w:r>
        <w:rPr>
          <w:sz w:val="2"/>
        </w:rPr>
        <w:pict>
          <v:group style="width:418.45pt;height:.5pt;mso-position-horizontal-relative:char;mso-position-vertical-relative:line" coordorigin="0,0" coordsize="8369,10">
            <v:line style="position:absolute" from="5,5" to="8364,5" stroked="true" strokeweight=".5pt" strokecolor="#000000"/>
          </v:group>
        </w:pict>
      </w:r>
      <w:r>
        <w:rPr>
          <w:sz w:val="2"/>
        </w:rPr>
      </w:r>
    </w:p>
    <w:p>
      <w:pPr>
        <w:pStyle w:val="BodyText"/>
        <w:rPr>
          <w:sz w:val="20"/>
        </w:rPr>
      </w:pPr>
    </w:p>
    <w:p>
      <w:pPr>
        <w:pStyle w:val="BodyText"/>
        <w:rPr>
          <w:sz w:val="20"/>
        </w:rPr>
      </w:pPr>
    </w:p>
    <w:p>
      <w:pPr>
        <w:pStyle w:val="BodyText"/>
        <w:spacing w:before="3"/>
        <w:rPr>
          <w:sz w:val="28"/>
        </w:rPr>
      </w:pPr>
    </w:p>
    <w:p>
      <w:pPr>
        <w:pStyle w:val="BodyText"/>
        <w:spacing w:before="70"/>
        <w:ind w:left="122" w:right="102"/>
        <w:jc w:val="center"/>
      </w:pPr>
      <w:r>
        <w:rPr/>
        <w:drawing>
          <wp:anchor distT="0" distB="0" distL="0" distR="0" allowOverlap="1" layoutInCell="1" locked="0" behindDoc="0" simplePos="0" relativeHeight="4840">
            <wp:simplePos x="0" y="0"/>
            <wp:positionH relativeFrom="page">
              <wp:posOffset>1082357</wp:posOffset>
            </wp:positionH>
            <wp:positionV relativeFrom="paragraph">
              <wp:posOffset>299800</wp:posOffset>
            </wp:positionV>
            <wp:extent cx="5605787" cy="4226052"/>
            <wp:effectExtent l="0" t="0" r="0" b="0"/>
            <wp:wrapTopAndBottom/>
            <wp:docPr id="15" name="image22.png" descr=""/>
            <wp:cNvGraphicFramePr>
              <a:graphicFrameLocks noChangeAspect="1"/>
            </wp:cNvGraphicFramePr>
            <a:graphic>
              <a:graphicData uri="http://schemas.openxmlformats.org/drawingml/2006/picture">
                <pic:pic>
                  <pic:nvPicPr>
                    <pic:cNvPr id="16" name="image22.png"/>
                    <pic:cNvPicPr/>
                  </pic:nvPicPr>
                  <pic:blipFill>
                    <a:blip r:embed="rId185" cstate="print"/>
                    <a:stretch>
                      <a:fillRect/>
                    </a:stretch>
                  </pic:blipFill>
                  <pic:spPr>
                    <a:xfrm>
                      <a:off x="0" y="0"/>
                      <a:ext cx="5605787" cy="4226052"/>
                    </a:xfrm>
                    <a:prstGeom prst="rect">
                      <a:avLst/>
                    </a:prstGeom>
                  </pic:spPr>
                </pic:pic>
              </a:graphicData>
            </a:graphic>
          </wp:anchor>
        </w:drawing>
      </w:r>
      <w:r>
        <w:rPr/>
        <w:t>Figura 05. Histograma para X2</w:t>
      </w:r>
    </w:p>
    <w:p>
      <w:pPr>
        <w:spacing w:after="0"/>
        <w:jc w:val="center"/>
        <w:sectPr>
          <w:headerReference w:type="default" r:id="rId184"/>
          <w:pgSz w:w="12240" w:h="15840"/>
          <w:pgMar w:header="2209" w:footer="1775" w:top="2400" w:bottom="1960" w:left="1580" w:right="1600"/>
        </w:sectPr>
      </w:pPr>
    </w:p>
    <w:p>
      <w:pPr>
        <w:pStyle w:val="BodyText"/>
        <w:rPr>
          <w:sz w:val="20"/>
        </w:rPr>
      </w:pPr>
    </w:p>
    <w:p>
      <w:pPr>
        <w:pStyle w:val="BodyText"/>
        <w:rPr>
          <w:sz w:val="20"/>
        </w:rPr>
      </w:pPr>
    </w:p>
    <w:p>
      <w:pPr>
        <w:pStyle w:val="BodyText"/>
        <w:rPr>
          <w:sz w:val="20"/>
        </w:rPr>
      </w:pPr>
    </w:p>
    <w:p>
      <w:pPr>
        <w:pStyle w:val="BodyText"/>
        <w:spacing w:before="5"/>
        <w:rPr>
          <w:sz w:val="19"/>
        </w:rPr>
      </w:pPr>
    </w:p>
    <w:p>
      <w:pPr>
        <w:pStyle w:val="BodyText"/>
        <w:ind w:left="2791" w:right="64"/>
      </w:pPr>
      <w:r>
        <w:rPr/>
        <w:drawing>
          <wp:anchor distT="0" distB="0" distL="0" distR="0" allowOverlap="1" layoutInCell="1" locked="0" behindDoc="0" simplePos="0" relativeHeight="4864">
            <wp:simplePos x="0" y="0"/>
            <wp:positionH relativeFrom="page">
              <wp:posOffset>1235710</wp:posOffset>
            </wp:positionH>
            <wp:positionV relativeFrom="paragraph">
              <wp:posOffset>255349</wp:posOffset>
            </wp:positionV>
            <wp:extent cx="5300307" cy="4001262"/>
            <wp:effectExtent l="0" t="0" r="0" b="0"/>
            <wp:wrapTopAndBottom/>
            <wp:docPr id="17" name="image23.png" descr=""/>
            <wp:cNvGraphicFramePr>
              <a:graphicFrameLocks noChangeAspect="1"/>
            </wp:cNvGraphicFramePr>
            <a:graphic>
              <a:graphicData uri="http://schemas.openxmlformats.org/drawingml/2006/picture">
                <pic:pic>
                  <pic:nvPicPr>
                    <pic:cNvPr id="18" name="image23.png"/>
                    <pic:cNvPicPr/>
                  </pic:nvPicPr>
                  <pic:blipFill>
                    <a:blip r:embed="rId188" cstate="print"/>
                    <a:stretch>
                      <a:fillRect/>
                    </a:stretch>
                  </pic:blipFill>
                  <pic:spPr>
                    <a:xfrm>
                      <a:off x="0" y="0"/>
                      <a:ext cx="5300307" cy="4001262"/>
                    </a:xfrm>
                    <a:prstGeom prst="rect">
                      <a:avLst/>
                    </a:prstGeom>
                  </pic:spPr>
                </pic:pic>
              </a:graphicData>
            </a:graphic>
          </wp:anchor>
        </w:drawing>
      </w:r>
      <w:r>
        <w:rPr/>
        <w:t>Figura 06. Gràfico Q-Q normal de X2</w:t>
      </w:r>
    </w:p>
    <w:p>
      <w:pPr>
        <w:spacing w:after="0"/>
        <w:sectPr>
          <w:headerReference w:type="default" r:id="rId186"/>
          <w:footerReference w:type="default" r:id="rId187"/>
          <w:pgSz w:w="12240" w:h="15840"/>
          <w:pgMar w:header="1881" w:footer="1619" w:top="2040" w:bottom="1800" w:left="1580" w:right="1600"/>
          <w:pgNumType w:start="83"/>
        </w:sectPr>
      </w:pPr>
    </w:p>
    <w:p>
      <w:pPr>
        <w:pStyle w:val="BodyText"/>
        <w:rPr>
          <w:sz w:val="20"/>
        </w:rPr>
      </w:pPr>
    </w:p>
    <w:p>
      <w:pPr>
        <w:pStyle w:val="BodyText"/>
        <w:spacing w:before="7"/>
        <w:rPr>
          <w:sz w:val="20"/>
        </w:rPr>
      </w:pPr>
    </w:p>
    <w:p>
      <w:pPr>
        <w:pStyle w:val="BodyText"/>
        <w:ind w:left="3086" w:right="3145"/>
        <w:jc w:val="center"/>
      </w:pPr>
      <w:r>
        <w:rPr/>
        <w:t>Figura 07. Histograma para X3</w:t>
      </w:r>
    </w:p>
    <w:p>
      <w:pPr>
        <w:pStyle w:val="BodyText"/>
        <w:spacing w:before="8"/>
        <w:rPr>
          <w:sz w:val="8"/>
        </w:rPr>
      </w:pPr>
      <w:r>
        <w:rPr/>
        <w:drawing>
          <wp:anchor distT="0" distB="0" distL="0" distR="0" allowOverlap="1" layoutInCell="1" locked="0" behindDoc="0" simplePos="0" relativeHeight="4888">
            <wp:simplePos x="0" y="0"/>
            <wp:positionH relativeFrom="page">
              <wp:posOffset>1080135</wp:posOffset>
            </wp:positionH>
            <wp:positionV relativeFrom="paragraph">
              <wp:posOffset>88549</wp:posOffset>
            </wp:positionV>
            <wp:extent cx="5658301" cy="4271010"/>
            <wp:effectExtent l="0" t="0" r="0" b="0"/>
            <wp:wrapTopAndBottom/>
            <wp:docPr id="19" name="image24.png" descr=""/>
            <wp:cNvGraphicFramePr>
              <a:graphicFrameLocks noChangeAspect="1"/>
            </wp:cNvGraphicFramePr>
            <a:graphic>
              <a:graphicData uri="http://schemas.openxmlformats.org/drawingml/2006/picture">
                <pic:pic>
                  <pic:nvPicPr>
                    <pic:cNvPr id="20" name="image24.png"/>
                    <pic:cNvPicPr/>
                  </pic:nvPicPr>
                  <pic:blipFill>
                    <a:blip r:embed="rId189" cstate="print"/>
                    <a:stretch>
                      <a:fillRect/>
                    </a:stretch>
                  </pic:blipFill>
                  <pic:spPr>
                    <a:xfrm>
                      <a:off x="0" y="0"/>
                      <a:ext cx="5658301" cy="4271010"/>
                    </a:xfrm>
                    <a:prstGeom prst="rect">
                      <a:avLst/>
                    </a:prstGeom>
                  </pic:spPr>
                </pic:pic>
              </a:graphicData>
            </a:graphic>
          </wp:anchor>
        </w:drawing>
      </w:r>
    </w:p>
    <w:p>
      <w:pPr>
        <w:spacing w:after="0"/>
        <w:rPr>
          <w:sz w:val="8"/>
        </w:rPr>
        <w:sectPr>
          <w:pgSz w:w="12240" w:h="15840"/>
          <w:pgMar w:header="1881" w:footer="1619" w:top="2040" w:bottom="1820" w:left="1580" w:right="1520"/>
        </w:sectPr>
      </w:pPr>
    </w:p>
    <w:p>
      <w:pPr>
        <w:pStyle w:val="BodyText"/>
        <w:rPr>
          <w:sz w:val="20"/>
        </w:rPr>
      </w:pPr>
    </w:p>
    <w:p>
      <w:pPr>
        <w:pStyle w:val="BodyText"/>
        <w:spacing w:before="9"/>
        <w:rPr>
          <w:sz w:val="20"/>
        </w:rPr>
      </w:pPr>
    </w:p>
    <w:p>
      <w:pPr>
        <w:pStyle w:val="BodyText"/>
        <w:ind w:left="2793" w:right="64"/>
      </w:pPr>
      <w:r>
        <w:rPr/>
        <w:drawing>
          <wp:anchor distT="0" distB="0" distL="0" distR="0" allowOverlap="1" layoutInCell="1" locked="0" behindDoc="0" simplePos="0" relativeHeight="4912">
            <wp:simplePos x="0" y="0"/>
            <wp:positionH relativeFrom="page">
              <wp:posOffset>1102677</wp:posOffset>
            </wp:positionH>
            <wp:positionV relativeFrom="paragraph">
              <wp:posOffset>254969</wp:posOffset>
            </wp:positionV>
            <wp:extent cx="5541448" cy="4172235"/>
            <wp:effectExtent l="0" t="0" r="0" b="0"/>
            <wp:wrapTopAndBottom/>
            <wp:docPr id="21" name="image25.jpeg" descr=""/>
            <wp:cNvGraphicFramePr>
              <a:graphicFrameLocks noChangeAspect="1"/>
            </wp:cNvGraphicFramePr>
            <a:graphic>
              <a:graphicData uri="http://schemas.openxmlformats.org/drawingml/2006/picture">
                <pic:pic>
                  <pic:nvPicPr>
                    <pic:cNvPr id="22" name="image25.jpeg"/>
                    <pic:cNvPicPr/>
                  </pic:nvPicPr>
                  <pic:blipFill>
                    <a:blip r:embed="rId192" cstate="print"/>
                    <a:stretch>
                      <a:fillRect/>
                    </a:stretch>
                  </pic:blipFill>
                  <pic:spPr>
                    <a:xfrm>
                      <a:off x="0" y="0"/>
                      <a:ext cx="5541448" cy="4172235"/>
                    </a:xfrm>
                    <a:prstGeom prst="rect">
                      <a:avLst/>
                    </a:prstGeom>
                  </pic:spPr>
                </pic:pic>
              </a:graphicData>
            </a:graphic>
          </wp:anchor>
        </w:drawing>
      </w:r>
      <w:r>
        <w:rPr/>
        <w:t>Figura 08. Gràfico Q-Q normal de X3</w:t>
      </w:r>
    </w:p>
    <w:p>
      <w:pPr>
        <w:spacing w:after="0"/>
        <w:sectPr>
          <w:headerReference w:type="default" r:id="rId190"/>
          <w:footerReference w:type="default" r:id="rId191"/>
          <w:pgSz w:w="12240" w:h="15840"/>
          <w:pgMar w:header="2229" w:footer="1758" w:top="2440" w:bottom="1940" w:left="1580" w:right="1600"/>
          <w:pgNumType w:start="85"/>
        </w:sectPr>
      </w:pPr>
    </w:p>
    <w:p>
      <w:pPr>
        <w:pStyle w:val="BodyText"/>
        <w:rPr>
          <w:sz w:val="20"/>
        </w:rPr>
      </w:pPr>
    </w:p>
    <w:p>
      <w:pPr>
        <w:pStyle w:val="BodyText"/>
        <w:rPr>
          <w:sz w:val="20"/>
        </w:rPr>
      </w:pPr>
    </w:p>
    <w:p>
      <w:pPr>
        <w:pStyle w:val="BodyText"/>
        <w:spacing w:before="1"/>
        <w:rPr>
          <w:sz w:val="29"/>
        </w:rPr>
      </w:pPr>
    </w:p>
    <w:p>
      <w:pPr>
        <w:pStyle w:val="BodyText"/>
        <w:spacing w:before="71"/>
        <w:ind w:left="122" w:right="102"/>
        <w:jc w:val="center"/>
      </w:pPr>
      <w:r>
        <w:rPr/>
        <w:drawing>
          <wp:anchor distT="0" distB="0" distL="0" distR="0" allowOverlap="1" layoutInCell="1" locked="0" behindDoc="0" simplePos="0" relativeHeight="4936">
            <wp:simplePos x="0" y="0"/>
            <wp:positionH relativeFrom="page">
              <wp:posOffset>1104900</wp:posOffset>
            </wp:positionH>
            <wp:positionV relativeFrom="paragraph">
              <wp:posOffset>300435</wp:posOffset>
            </wp:positionV>
            <wp:extent cx="5538509" cy="4181094"/>
            <wp:effectExtent l="0" t="0" r="0" b="0"/>
            <wp:wrapTopAndBottom/>
            <wp:docPr id="23" name="image26.png" descr=""/>
            <wp:cNvGraphicFramePr>
              <a:graphicFrameLocks noChangeAspect="1"/>
            </wp:cNvGraphicFramePr>
            <a:graphic>
              <a:graphicData uri="http://schemas.openxmlformats.org/drawingml/2006/picture">
                <pic:pic>
                  <pic:nvPicPr>
                    <pic:cNvPr id="24" name="image26.png"/>
                    <pic:cNvPicPr/>
                  </pic:nvPicPr>
                  <pic:blipFill>
                    <a:blip r:embed="rId193" cstate="print"/>
                    <a:stretch>
                      <a:fillRect/>
                    </a:stretch>
                  </pic:blipFill>
                  <pic:spPr>
                    <a:xfrm>
                      <a:off x="0" y="0"/>
                      <a:ext cx="5538509" cy="4181094"/>
                    </a:xfrm>
                    <a:prstGeom prst="rect">
                      <a:avLst/>
                    </a:prstGeom>
                  </pic:spPr>
                </pic:pic>
              </a:graphicData>
            </a:graphic>
          </wp:anchor>
        </w:drawing>
      </w:r>
      <w:r>
        <w:rPr/>
        <w:t>Figura 09. Histograma para X4</w:t>
      </w:r>
    </w:p>
    <w:p>
      <w:pPr>
        <w:spacing w:after="0"/>
        <w:jc w:val="center"/>
        <w:sectPr>
          <w:pgSz w:w="12240" w:h="15840"/>
          <w:pgMar w:header="2229" w:footer="1758" w:top="2440" w:bottom="1940" w:left="1580" w:right="1600"/>
        </w:sectPr>
      </w:pPr>
    </w:p>
    <w:p>
      <w:pPr>
        <w:pStyle w:val="BodyText"/>
        <w:rPr>
          <w:sz w:val="20"/>
        </w:rPr>
      </w:pPr>
    </w:p>
    <w:p>
      <w:pPr>
        <w:pStyle w:val="BodyText"/>
        <w:rPr>
          <w:sz w:val="20"/>
        </w:rPr>
      </w:pPr>
    </w:p>
    <w:p>
      <w:pPr>
        <w:pStyle w:val="BodyText"/>
        <w:spacing w:before="1"/>
        <w:rPr>
          <w:sz w:val="29"/>
        </w:rPr>
      </w:pPr>
    </w:p>
    <w:p>
      <w:pPr>
        <w:pStyle w:val="BodyText"/>
        <w:spacing w:before="71"/>
        <w:ind w:left="2793"/>
      </w:pPr>
      <w:r>
        <w:rPr/>
        <w:drawing>
          <wp:anchor distT="0" distB="0" distL="0" distR="0" allowOverlap="1" layoutInCell="1" locked="0" behindDoc="0" simplePos="0" relativeHeight="4960">
            <wp:simplePos x="0" y="0"/>
            <wp:positionH relativeFrom="page">
              <wp:posOffset>1080135</wp:posOffset>
            </wp:positionH>
            <wp:positionV relativeFrom="paragraph">
              <wp:posOffset>300435</wp:posOffset>
            </wp:positionV>
            <wp:extent cx="5663538" cy="4252912"/>
            <wp:effectExtent l="0" t="0" r="0" b="0"/>
            <wp:wrapTopAndBottom/>
            <wp:docPr id="25" name="image27.jpeg" descr=""/>
            <wp:cNvGraphicFramePr>
              <a:graphicFrameLocks noChangeAspect="1"/>
            </wp:cNvGraphicFramePr>
            <a:graphic>
              <a:graphicData uri="http://schemas.openxmlformats.org/drawingml/2006/picture">
                <pic:pic>
                  <pic:nvPicPr>
                    <pic:cNvPr id="26" name="image27.jpeg"/>
                    <pic:cNvPicPr/>
                  </pic:nvPicPr>
                  <pic:blipFill>
                    <a:blip r:embed="rId195" cstate="print"/>
                    <a:stretch>
                      <a:fillRect/>
                    </a:stretch>
                  </pic:blipFill>
                  <pic:spPr>
                    <a:xfrm>
                      <a:off x="0" y="0"/>
                      <a:ext cx="5663538" cy="4252912"/>
                    </a:xfrm>
                    <a:prstGeom prst="rect">
                      <a:avLst/>
                    </a:prstGeom>
                  </pic:spPr>
                </pic:pic>
              </a:graphicData>
            </a:graphic>
          </wp:anchor>
        </w:drawing>
      </w:r>
      <w:r>
        <w:rPr/>
        <w:t>Figura 10. Gràfico Q-Q normal de X4</w:t>
      </w:r>
    </w:p>
    <w:p>
      <w:pPr>
        <w:spacing w:after="0"/>
        <w:sectPr>
          <w:footerReference w:type="default" r:id="rId194"/>
          <w:pgSz w:w="12240" w:h="15840"/>
          <w:pgMar w:footer="1629" w:header="2229" w:top="2440" w:bottom="1820" w:left="1580" w:right="1480"/>
          <w:pgNumType w:start="87"/>
        </w:sectPr>
      </w:pPr>
    </w:p>
    <w:p>
      <w:pPr>
        <w:pStyle w:val="BodyText"/>
        <w:spacing w:before="1"/>
        <w:rPr>
          <w:sz w:val="2"/>
        </w:rPr>
      </w:pPr>
    </w:p>
    <w:p>
      <w:pPr>
        <w:pStyle w:val="BodyText"/>
        <w:spacing w:line="20" w:lineRule="exact"/>
        <w:ind w:left="359"/>
        <w:rPr>
          <w:sz w:val="2"/>
        </w:rPr>
      </w:pPr>
      <w:r>
        <w:rPr>
          <w:sz w:val="2"/>
        </w:rPr>
        <w:pict>
          <v:group style="width:418.45pt;height:.5pt;mso-position-horizontal-relative:char;mso-position-vertical-relative:line" coordorigin="0,0" coordsize="8369,10">
            <v:line style="position:absolute" from="5,5" to="8364,5" stroked="true" strokeweight=".5pt" strokecolor="#000000"/>
          </v:group>
        </w:pict>
      </w:r>
      <w:r>
        <w:rPr>
          <w:sz w:val="2"/>
        </w:rPr>
      </w:r>
    </w:p>
    <w:p>
      <w:pPr>
        <w:pStyle w:val="BodyText"/>
        <w:rPr>
          <w:sz w:val="20"/>
        </w:rPr>
      </w:pPr>
    </w:p>
    <w:p>
      <w:pPr>
        <w:pStyle w:val="BodyText"/>
        <w:rPr>
          <w:sz w:val="20"/>
        </w:rPr>
      </w:pPr>
    </w:p>
    <w:p>
      <w:pPr>
        <w:pStyle w:val="BodyText"/>
        <w:spacing w:before="3"/>
        <w:rPr>
          <w:sz w:val="28"/>
        </w:rPr>
      </w:pPr>
    </w:p>
    <w:p>
      <w:pPr>
        <w:pStyle w:val="BodyText"/>
        <w:spacing w:before="70"/>
        <w:ind w:left="122" w:right="98"/>
        <w:jc w:val="center"/>
      </w:pPr>
      <w:r>
        <w:rPr/>
        <w:t>Cuadro 06. Correlaciones</w:t>
      </w:r>
    </w:p>
    <w:p>
      <w:pPr>
        <w:pStyle w:val="BodyText"/>
        <w:spacing w:before="10" w:after="1"/>
        <w:rPr>
          <w:sz w:val="11"/>
        </w:rPr>
      </w:pPr>
    </w:p>
    <w:tbl>
      <w:tblPr>
        <w:tblW w:w="0" w:type="auto"/>
        <w:jc w:val="left"/>
        <w:tblInd w:w="441"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1612"/>
        <w:gridCol w:w="2310"/>
        <w:gridCol w:w="1124"/>
        <w:gridCol w:w="850"/>
        <w:gridCol w:w="1133"/>
        <w:gridCol w:w="1135"/>
      </w:tblGrid>
      <w:tr>
        <w:trPr>
          <w:trHeight w:val="835" w:hRule="exact"/>
        </w:trPr>
        <w:tc>
          <w:tcPr>
            <w:tcW w:w="3922" w:type="dxa"/>
            <w:gridSpan w:val="2"/>
          </w:tcPr>
          <w:p>
            <w:pPr/>
          </w:p>
        </w:tc>
        <w:tc>
          <w:tcPr>
            <w:tcW w:w="1124" w:type="dxa"/>
            <w:tcBorders>
              <w:right w:val="single" w:sz="8" w:space="0" w:color="000000"/>
            </w:tcBorders>
          </w:tcPr>
          <w:p>
            <w:pPr>
              <w:pStyle w:val="TableParagraph"/>
              <w:spacing w:line="360" w:lineRule="auto"/>
              <w:ind w:left="155" w:right="140" w:firstLine="84"/>
              <w:jc w:val="left"/>
              <w:rPr>
                <w:sz w:val="23"/>
              </w:rPr>
            </w:pPr>
            <w:r>
              <w:rPr>
                <w:sz w:val="23"/>
              </w:rPr>
              <w:t>PROD CARNE</w:t>
            </w:r>
          </w:p>
        </w:tc>
        <w:tc>
          <w:tcPr>
            <w:tcW w:w="850" w:type="dxa"/>
            <w:tcBorders>
              <w:left w:val="single" w:sz="8" w:space="0" w:color="000000"/>
              <w:right w:val="single" w:sz="8" w:space="0" w:color="000000"/>
            </w:tcBorders>
          </w:tcPr>
          <w:p>
            <w:pPr>
              <w:pStyle w:val="TableParagraph"/>
              <w:spacing w:line="360" w:lineRule="auto"/>
              <w:ind w:left="175" w:right="34" w:hanging="128"/>
              <w:jc w:val="left"/>
              <w:rPr>
                <w:sz w:val="23"/>
              </w:rPr>
            </w:pPr>
            <w:r>
              <w:rPr>
                <w:sz w:val="23"/>
              </w:rPr>
              <w:t>PASTO NAT</w:t>
            </w:r>
          </w:p>
        </w:tc>
        <w:tc>
          <w:tcPr>
            <w:tcW w:w="1133" w:type="dxa"/>
            <w:tcBorders>
              <w:left w:val="single" w:sz="8" w:space="0" w:color="000000"/>
              <w:right w:val="single" w:sz="8" w:space="0" w:color="000000"/>
            </w:tcBorders>
          </w:tcPr>
          <w:p>
            <w:pPr>
              <w:pStyle w:val="TableParagraph"/>
              <w:jc w:val="left"/>
              <w:rPr>
                <w:sz w:val="22"/>
              </w:rPr>
            </w:pPr>
          </w:p>
          <w:p>
            <w:pPr>
              <w:pStyle w:val="TableParagraph"/>
              <w:spacing w:before="139"/>
              <w:ind w:left="11" w:right="14"/>
              <w:rPr>
                <w:sz w:val="23"/>
              </w:rPr>
            </w:pPr>
            <w:r>
              <w:rPr>
                <w:sz w:val="23"/>
              </w:rPr>
              <w:t>CABEZAS</w:t>
            </w:r>
          </w:p>
        </w:tc>
        <w:tc>
          <w:tcPr>
            <w:tcW w:w="1135" w:type="dxa"/>
            <w:tcBorders>
              <w:left w:val="single" w:sz="8" w:space="0" w:color="000000"/>
            </w:tcBorders>
          </w:tcPr>
          <w:p>
            <w:pPr>
              <w:pStyle w:val="TableParagraph"/>
              <w:spacing w:line="360" w:lineRule="auto"/>
              <w:ind w:left="103" w:right="89" w:firstLine="64"/>
              <w:jc w:val="left"/>
              <w:rPr>
                <w:sz w:val="23"/>
              </w:rPr>
            </w:pPr>
            <w:r>
              <w:rPr>
                <w:sz w:val="23"/>
              </w:rPr>
              <w:t>GASTO ALIMEN</w:t>
            </w:r>
          </w:p>
        </w:tc>
      </w:tr>
      <w:tr>
        <w:trPr>
          <w:trHeight w:val="376" w:hRule="exact"/>
        </w:trPr>
        <w:tc>
          <w:tcPr>
            <w:tcW w:w="1612" w:type="dxa"/>
            <w:tcBorders>
              <w:bottom w:val="nil"/>
              <w:right w:val="nil"/>
            </w:tcBorders>
          </w:tcPr>
          <w:p>
            <w:pPr>
              <w:pStyle w:val="TableParagraph"/>
              <w:spacing w:line="259" w:lineRule="exact"/>
              <w:ind w:left="51" w:right="51"/>
              <w:rPr>
                <w:sz w:val="23"/>
              </w:rPr>
            </w:pPr>
            <w:r>
              <w:rPr>
                <w:sz w:val="23"/>
              </w:rPr>
              <w:t>PROD CARNE</w:t>
            </w:r>
          </w:p>
        </w:tc>
        <w:tc>
          <w:tcPr>
            <w:tcW w:w="2310" w:type="dxa"/>
            <w:tcBorders>
              <w:left w:val="nil"/>
              <w:bottom w:val="nil"/>
            </w:tcBorders>
          </w:tcPr>
          <w:p>
            <w:pPr>
              <w:pStyle w:val="TableParagraph"/>
              <w:spacing w:line="259" w:lineRule="exact"/>
              <w:ind w:left="52" w:right="51"/>
              <w:rPr>
                <w:sz w:val="23"/>
              </w:rPr>
            </w:pPr>
            <w:r>
              <w:rPr>
                <w:sz w:val="23"/>
              </w:rPr>
              <w:t>Correlación de Pearson</w:t>
            </w:r>
          </w:p>
        </w:tc>
        <w:tc>
          <w:tcPr>
            <w:tcW w:w="1124" w:type="dxa"/>
            <w:tcBorders>
              <w:bottom w:val="nil"/>
              <w:right w:val="single" w:sz="8" w:space="0" w:color="000000"/>
            </w:tcBorders>
          </w:tcPr>
          <w:p>
            <w:pPr>
              <w:pStyle w:val="TableParagraph"/>
              <w:spacing w:line="259" w:lineRule="exact"/>
              <w:ind w:right="2"/>
              <w:rPr>
                <w:sz w:val="23"/>
              </w:rPr>
            </w:pPr>
            <w:r>
              <w:rPr>
                <w:w w:val="100"/>
                <w:sz w:val="23"/>
              </w:rPr>
              <w:t>1</w:t>
            </w:r>
          </w:p>
        </w:tc>
        <w:tc>
          <w:tcPr>
            <w:tcW w:w="850" w:type="dxa"/>
            <w:tcBorders>
              <w:left w:val="single" w:sz="8" w:space="0" w:color="000000"/>
              <w:bottom w:val="nil"/>
              <w:right w:val="single" w:sz="8" w:space="0" w:color="000000"/>
            </w:tcBorders>
          </w:tcPr>
          <w:p>
            <w:pPr>
              <w:pStyle w:val="TableParagraph"/>
              <w:spacing w:line="259" w:lineRule="exact"/>
              <w:ind w:left="77" w:right="79"/>
              <w:rPr>
                <w:sz w:val="23"/>
              </w:rPr>
            </w:pPr>
            <w:r>
              <w:rPr>
                <w:sz w:val="23"/>
              </w:rPr>
              <w:t>.555**</w:t>
            </w:r>
          </w:p>
        </w:tc>
        <w:tc>
          <w:tcPr>
            <w:tcW w:w="1133" w:type="dxa"/>
            <w:tcBorders>
              <w:left w:val="single" w:sz="8" w:space="0" w:color="000000"/>
              <w:bottom w:val="nil"/>
              <w:right w:val="single" w:sz="8" w:space="0" w:color="000000"/>
            </w:tcBorders>
          </w:tcPr>
          <w:p>
            <w:pPr>
              <w:pStyle w:val="TableParagraph"/>
              <w:spacing w:line="259" w:lineRule="exact"/>
              <w:ind w:left="11" w:right="11"/>
              <w:rPr>
                <w:sz w:val="23"/>
              </w:rPr>
            </w:pPr>
            <w:r>
              <w:rPr>
                <w:sz w:val="23"/>
              </w:rPr>
              <w:t>.980**</w:t>
            </w:r>
          </w:p>
        </w:tc>
        <w:tc>
          <w:tcPr>
            <w:tcW w:w="1135" w:type="dxa"/>
            <w:tcBorders>
              <w:left w:val="single" w:sz="8" w:space="0" w:color="000000"/>
              <w:bottom w:val="nil"/>
            </w:tcBorders>
          </w:tcPr>
          <w:p>
            <w:pPr>
              <w:pStyle w:val="TableParagraph"/>
              <w:spacing w:line="259" w:lineRule="exact"/>
              <w:ind w:left="216" w:right="216"/>
              <w:rPr>
                <w:sz w:val="23"/>
              </w:rPr>
            </w:pPr>
            <w:r>
              <w:rPr>
                <w:sz w:val="23"/>
              </w:rPr>
              <w:t>.226**</w:t>
            </w:r>
          </w:p>
        </w:tc>
      </w:tr>
      <w:tr>
        <w:trPr>
          <w:trHeight w:val="437" w:hRule="exact"/>
        </w:trPr>
        <w:tc>
          <w:tcPr>
            <w:tcW w:w="1612" w:type="dxa"/>
            <w:tcBorders>
              <w:top w:val="nil"/>
              <w:bottom w:val="nil"/>
              <w:right w:val="nil"/>
            </w:tcBorders>
          </w:tcPr>
          <w:p>
            <w:pPr/>
          </w:p>
        </w:tc>
        <w:tc>
          <w:tcPr>
            <w:tcW w:w="2310" w:type="dxa"/>
            <w:tcBorders>
              <w:top w:val="nil"/>
              <w:left w:val="nil"/>
              <w:bottom w:val="nil"/>
            </w:tcBorders>
          </w:tcPr>
          <w:p>
            <w:pPr>
              <w:pStyle w:val="TableParagraph"/>
              <w:spacing w:before="74"/>
              <w:ind w:left="52" w:right="51"/>
              <w:rPr>
                <w:sz w:val="23"/>
              </w:rPr>
            </w:pPr>
            <w:r>
              <w:rPr>
                <w:sz w:val="23"/>
              </w:rPr>
              <w:t>Sig. (bilateral)</w:t>
            </w:r>
          </w:p>
        </w:tc>
        <w:tc>
          <w:tcPr>
            <w:tcW w:w="1124" w:type="dxa"/>
            <w:tcBorders>
              <w:top w:val="nil"/>
              <w:bottom w:val="nil"/>
              <w:right w:val="single" w:sz="8" w:space="0" w:color="000000"/>
            </w:tcBorders>
          </w:tcPr>
          <w:p>
            <w:pPr/>
          </w:p>
        </w:tc>
        <w:tc>
          <w:tcPr>
            <w:tcW w:w="850" w:type="dxa"/>
            <w:tcBorders>
              <w:top w:val="nil"/>
              <w:left w:val="single" w:sz="8" w:space="0" w:color="000000"/>
              <w:bottom w:val="nil"/>
              <w:right w:val="single" w:sz="8" w:space="0" w:color="000000"/>
            </w:tcBorders>
          </w:tcPr>
          <w:p>
            <w:pPr>
              <w:pStyle w:val="TableParagraph"/>
              <w:spacing w:before="74"/>
              <w:ind w:left="77" w:right="79"/>
              <w:rPr>
                <w:sz w:val="23"/>
              </w:rPr>
            </w:pPr>
            <w:r>
              <w:rPr>
                <w:sz w:val="23"/>
              </w:rPr>
              <w:t>.000</w:t>
            </w:r>
          </w:p>
        </w:tc>
        <w:tc>
          <w:tcPr>
            <w:tcW w:w="1133" w:type="dxa"/>
            <w:tcBorders>
              <w:top w:val="nil"/>
              <w:left w:val="single" w:sz="8" w:space="0" w:color="000000"/>
              <w:bottom w:val="nil"/>
              <w:right w:val="single" w:sz="8" w:space="0" w:color="000000"/>
            </w:tcBorders>
          </w:tcPr>
          <w:p>
            <w:pPr>
              <w:pStyle w:val="TableParagraph"/>
              <w:spacing w:before="74"/>
              <w:ind w:left="11" w:right="11"/>
              <w:rPr>
                <w:sz w:val="23"/>
              </w:rPr>
            </w:pPr>
            <w:r>
              <w:rPr>
                <w:sz w:val="23"/>
              </w:rPr>
              <w:t>.000</w:t>
            </w:r>
          </w:p>
        </w:tc>
        <w:tc>
          <w:tcPr>
            <w:tcW w:w="1135" w:type="dxa"/>
            <w:tcBorders>
              <w:top w:val="nil"/>
              <w:left w:val="single" w:sz="8" w:space="0" w:color="000000"/>
              <w:bottom w:val="nil"/>
            </w:tcBorders>
          </w:tcPr>
          <w:p>
            <w:pPr>
              <w:pStyle w:val="TableParagraph"/>
              <w:spacing w:before="74"/>
              <w:ind w:left="216" w:right="216"/>
              <w:rPr>
                <w:sz w:val="23"/>
              </w:rPr>
            </w:pPr>
            <w:r>
              <w:rPr>
                <w:sz w:val="23"/>
              </w:rPr>
              <w:t>.002</w:t>
            </w:r>
          </w:p>
        </w:tc>
      </w:tr>
      <w:tr>
        <w:trPr>
          <w:trHeight w:val="486" w:hRule="exact"/>
        </w:trPr>
        <w:tc>
          <w:tcPr>
            <w:tcW w:w="1612" w:type="dxa"/>
            <w:tcBorders>
              <w:top w:val="nil"/>
              <w:bottom w:val="single" w:sz="8" w:space="0" w:color="000000"/>
              <w:right w:val="nil"/>
            </w:tcBorders>
          </w:tcPr>
          <w:p>
            <w:pPr/>
          </w:p>
        </w:tc>
        <w:tc>
          <w:tcPr>
            <w:tcW w:w="2310" w:type="dxa"/>
            <w:tcBorders>
              <w:top w:val="nil"/>
              <w:left w:val="nil"/>
              <w:bottom w:val="single" w:sz="8" w:space="0" w:color="000000"/>
            </w:tcBorders>
          </w:tcPr>
          <w:p>
            <w:pPr>
              <w:pStyle w:val="TableParagraph"/>
              <w:spacing w:before="74"/>
              <w:ind w:left="4"/>
              <w:rPr>
                <w:sz w:val="23"/>
              </w:rPr>
            </w:pPr>
            <w:r>
              <w:rPr>
                <w:w w:val="100"/>
                <w:sz w:val="23"/>
              </w:rPr>
              <w:t>N</w:t>
            </w:r>
          </w:p>
        </w:tc>
        <w:tc>
          <w:tcPr>
            <w:tcW w:w="1124" w:type="dxa"/>
            <w:tcBorders>
              <w:top w:val="nil"/>
              <w:bottom w:val="single" w:sz="8" w:space="0" w:color="000000"/>
              <w:right w:val="single" w:sz="8" w:space="0" w:color="000000"/>
            </w:tcBorders>
          </w:tcPr>
          <w:p>
            <w:pPr>
              <w:pStyle w:val="TableParagraph"/>
              <w:spacing w:before="74"/>
              <w:ind w:left="209" w:right="212"/>
              <w:rPr>
                <w:sz w:val="23"/>
              </w:rPr>
            </w:pPr>
            <w:r>
              <w:rPr>
                <w:sz w:val="23"/>
              </w:rPr>
              <w:t>192</w:t>
            </w:r>
          </w:p>
        </w:tc>
        <w:tc>
          <w:tcPr>
            <w:tcW w:w="850" w:type="dxa"/>
            <w:tcBorders>
              <w:top w:val="nil"/>
              <w:left w:val="single" w:sz="8" w:space="0" w:color="000000"/>
              <w:bottom w:val="single" w:sz="8" w:space="0" w:color="000000"/>
              <w:right w:val="single" w:sz="8" w:space="0" w:color="000000"/>
            </w:tcBorders>
          </w:tcPr>
          <w:p>
            <w:pPr>
              <w:pStyle w:val="TableParagraph"/>
              <w:spacing w:before="74"/>
              <w:ind w:left="77" w:right="79"/>
              <w:rPr>
                <w:sz w:val="23"/>
              </w:rPr>
            </w:pPr>
            <w:r>
              <w:rPr>
                <w:sz w:val="23"/>
              </w:rPr>
              <w:t>192</w:t>
            </w:r>
          </w:p>
        </w:tc>
        <w:tc>
          <w:tcPr>
            <w:tcW w:w="1133" w:type="dxa"/>
            <w:tcBorders>
              <w:top w:val="nil"/>
              <w:left w:val="single" w:sz="8" w:space="0" w:color="000000"/>
              <w:bottom w:val="single" w:sz="8" w:space="0" w:color="000000"/>
              <w:right w:val="single" w:sz="8" w:space="0" w:color="000000"/>
            </w:tcBorders>
          </w:tcPr>
          <w:p>
            <w:pPr>
              <w:pStyle w:val="TableParagraph"/>
              <w:spacing w:before="74"/>
              <w:ind w:left="11" w:right="11"/>
              <w:rPr>
                <w:sz w:val="23"/>
              </w:rPr>
            </w:pPr>
            <w:r>
              <w:rPr>
                <w:sz w:val="23"/>
              </w:rPr>
              <w:t>192</w:t>
            </w:r>
          </w:p>
        </w:tc>
        <w:tc>
          <w:tcPr>
            <w:tcW w:w="1135" w:type="dxa"/>
            <w:tcBorders>
              <w:top w:val="nil"/>
              <w:left w:val="single" w:sz="8" w:space="0" w:color="000000"/>
              <w:bottom w:val="single" w:sz="8" w:space="0" w:color="000000"/>
            </w:tcBorders>
          </w:tcPr>
          <w:p>
            <w:pPr>
              <w:pStyle w:val="TableParagraph"/>
              <w:spacing w:before="74"/>
              <w:ind w:left="216" w:right="216"/>
              <w:rPr>
                <w:sz w:val="23"/>
              </w:rPr>
            </w:pPr>
            <w:r>
              <w:rPr>
                <w:sz w:val="23"/>
              </w:rPr>
              <w:t>192</w:t>
            </w:r>
          </w:p>
        </w:tc>
      </w:tr>
      <w:tr>
        <w:trPr>
          <w:trHeight w:val="358" w:hRule="exact"/>
        </w:trPr>
        <w:tc>
          <w:tcPr>
            <w:tcW w:w="1612" w:type="dxa"/>
            <w:tcBorders>
              <w:top w:val="single" w:sz="8" w:space="0" w:color="000000"/>
              <w:bottom w:val="nil"/>
              <w:right w:val="nil"/>
            </w:tcBorders>
          </w:tcPr>
          <w:p>
            <w:pPr>
              <w:pStyle w:val="TableParagraph"/>
              <w:spacing w:line="261" w:lineRule="exact"/>
              <w:ind w:left="51" w:right="51"/>
              <w:rPr>
                <w:sz w:val="23"/>
              </w:rPr>
            </w:pPr>
            <w:r>
              <w:rPr>
                <w:sz w:val="23"/>
              </w:rPr>
              <w:t>PASTO NAT</w:t>
            </w:r>
          </w:p>
        </w:tc>
        <w:tc>
          <w:tcPr>
            <w:tcW w:w="2310" w:type="dxa"/>
            <w:tcBorders>
              <w:top w:val="single" w:sz="8" w:space="0" w:color="000000"/>
              <w:left w:val="nil"/>
              <w:bottom w:val="nil"/>
            </w:tcBorders>
          </w:tcPr>
          <w:p>
            <w:pPr>
              <w:pStyle w:val="TableParagraph"/>
              <w:spacing w:line="261" w:lineRule="exact"/>
              <w:ind w:left="52" w:right="51"/>
              <w:rPr>
                <w:sz w:val="23"/>
              </w:rPr>
            </w:pPr>
            <w:r>
              <w:rPr>
                <w:sz w:val="23"/>
              </w:rPr>
              <w:t>Correlación de Pearson</w:t>
            </w:r>
          </w:p>
        </w:tc>
        <w:tc>
          <w:tcPr>
            <w:tcW w:w="1124" w:type="dxa"/>
            <w:tcBorders>
              <w:top w:val="single" w:sz="8" w:space="0" w:color="000000"/>
              <w:bottom w:val="nil"/>
              <w:right w:val="single" w:sz="8" w:space="0" w:color="000000"/>
            </w:tcBorders>
          </w:tcPr>
          <w:p>
            <w:pPr>
              <w:pStyle w:val="TableParagraph"/>
              <w:spacing w:line="261" w:lineRule="exact"/>
              <w:ind w:left="209" w:right="212"/>
              <w:rPr>
                <w:sz w:val="23"/>
              </w:rPr>
            </w:pPr>
            <w:r>
              <w:rPr>
                <w:sz w:val="23"/>
              </w:rPr>
              <w:t>.555**</w:t>
            </w:r>
          </w:p>
        </w:tc>
        <w:tc>
          <w:tcPr>
            <w:tcW w:w="850" w:type="dxa"/>
            <w:tcBorders>
              <w:top w:val="single" w:sz="8" w:space="0" w:color="000000"/>
              <w:left w:val="single" w:sz="8" w:space="0" w:color="000000"/>
              <w:bottom w:val="nil"/>
              <w:right w:val="single" w:sz="8" w:space="0" w:color="000000"/>
            </w:tcBorders>
          </w:tcPr>
          <w:p>
            <w:pPr>
              <w:pStyle w:val="TableParagraph"/>
              <w:spacing w:line="261" w:lineRule="exact"/>
              <w:ind w:right="2"/>
              <w:rPr>
                <w:sz w:val="23"/>
              </w:rPr>
            </w:pPr>
            <w:r>
              <w:rPr>
                <w:w w:val="100"/>
                <w:sz w:val="23"/>
              </w:rPr>
              <w:t>1</w:t>
            </w:r>
          </w:p>
        </w:tc>
        <w:tc>
          <w:tcPr>
            <w:tcW w:w="1133" w:type="dxa"/>
            <w:tcBorders>
              <w:top w:val="single" w:sz="8" w:space="0" w:color="000000"/>
              <w:left w:val="single" w:sz="8" w:space="0" w:color="000000"/>
              <w:bottom w:val="nil"/>
              <w:right w:val="single" w:sz="8" w:space="0" w:color="000000"/>
            </w:tcBorders>
          </w:tcPr>
          <w:p>
            <w:pPr>
              <w:pStyle w:val="TableParagraph"/>
              <w:spacing w:line="261" w:lineRule="exact"/>
              <w:ind w:left="11" w:right="11"/>
              <w:rPr>
                <w:sz w:val="23"/>
              </w:rPr>
            </w:pPr>
            <w:r>
              <w:rPr>
                <w:sz w:val="23"/>
              </w:rPr>
              <w:t>.580**</w:t>
            </w:r>
          </w:p>
        </w:tc>
        <w:tc>
          <w:tcPr>
            <w:tcW w:w="1135" w:type="dxa"/>
            <w:tcBorders>
              <w:top w:val="single" w:sz="8" w:space="0" w:color="000000"/>
              <w:left w:val="single" w:sz="8" w:space="0" w:color="000000"/>
              <w:bottom w:val="nil"/>
            </w:tcBorders>
          </w:tcPr>
          <w:p>
            <w:pPr>
              <w:pStyle w:val="TableParagraph"/>
              <w:spacing w:line="261" w:lineRule="exact"/>
              <w:ind w:left="216" w:right="216"/>
              <w:rPr>
                <w:sz w:val="23"/>
              </w:rPr>
            </w:pPr>
            <w:r>
              <w:rPr>
                <w:sz w:val="23"/>
              </w:rPr>
              <w:t>.119</w:t>
            </w:r>
          </w:p>
        </w:tc>
      </w:tr>
      <w:tr>
        <w:trPr>
          <w:trHeight w:val="416" w:hRule="exact"/>
        </w:trPr>
        <w:tc>
          <w:tcPr>
            <w:tcW w:w="1612" w:type="dxa"/>
            <w:tcBorders>
              <w:top w:val="nil"/>
              <w:bottom w:val="nil"/>
              <w:right w:val="nil"/>
            </w:tcBorders>
          </w:tcPr>
          <w:p>
            <w:pPr/>
          </w:p>
        </w:tc>
        <w:tc>
          <w:tcPr>
            <w:tcW w:w="2310" w:type="dxa"/>
            <w:tcBorders>
              <w:top w:val="nil"/>
              <w:left w:val="nil"/>
              <w:bottom w:val="nil"/>
            </w:tcBorders>
          </w:tcPr>
          <w:p>
            <w:pPr>
              <w:pStyle w:val="TableParagraph"/>
              <w:spacing w:before="63"/>
              <w:ind w:left="52" w:right="51"/>
              <w:rPr>
                <w:sz w:val="23"/>
              </w:rPr>
            </w:pPr>
            <w:r>
              <w:rPr>
                <w:sz w:val="23"/>
              </w:rPr>
              <w:t>Sig. (bilateral)</w:t>
            </w:r>
          </w:p>
        </w:tc>
        <w:tc>
          <w:tcPr>
            <w:tcW w:w="1124" w:type="dxa"/>
            <w:tcBorders>
              <w:top w:val="nil"/>
              <w:bottom w:val="nil"/>
              <w:right w:val="single" w:sz="8" w:space="0" w:color="000000"/>
            </w:tcBorders>
          </w:tcPr>
          <w:p>
            <w:pPr>
              <w:pStyle w:val="TableParagraph"/>
              <w:spacing w:before="63"/>
              <w:ind w:left="209" w:right="212"/>
              <w:rPr>
                <w:sz w:val="23"/>
              </w:rPr>
            </w:pPr>
            <w:r>
              <w:rPr>
                <w:sz w:val="23"/>
              </w:rPr>
              <w:t>.000</w:t>
            </w:r>
          </w:p>
        </w:tc>
        <w:tc>
          <w:tcPr>
            <w:tcW w:w="850" w:type="dxa"/>
            <w:tcBorders>
              <w:top w:val="nil"/>
              <w:left w:val="single" w:sz="8" w:space="0" w:color="000000"/>
              <w:bottom w:val="nil"/>
              <w:right w:val="single" w:sz="8" w:space="0" w:color="000000"/>
            </w:tcBorders>
          </w:tcPr>
          <w:p>
            <w:pPr/>
          </w:p>
        </w:tc>
        <w:tc>
          <w:tcPr>
            <w:tcW w:w="1133" w:type="dxa"/>
            <w:tcBorders>
              <w:top w:val="nil"/>
              <w:left w:val="single" w:sz="8" w:space="0" w:color="000000"/>
              <w:bottom w:val="nil"/>
              <w:right w:val="single" w:sz="8" w:space="0" w:color="000000"/>
            </w:tcBorders>
          </w:tcPr>
          <w:p>
            <w:pPr>
              <w:pStyle w:val="TableParagraph"/>
              <w:spacing w:before="63"/>
              <w:ind w:left="11" w:right="11"/>
              <w:rPr>
                <w:sz w:val="23"/>
              </w:rPr>
            </w:pPr>
            <w:r>
              <w:rPr>
                <w:sz w:val="23"/>
              </w:rPr>
              <w:t>.000</w:t>
            </w:r>
          </w:p>
        </w:tc>
        <w:tc>
          <w:tcPr>
            <w:tcW w:w="1135" w:type="dxa"/>
            <w:tcBorders>
              <w:top w:val="nil"/>
              <w:left w:val="single" w:sz="8" w:space="0" w:color="000000"/>
              <w:bottom w:val="nil"/>
            </w:tcBorders>
          </w:tcPr>
          <w:p>
            <w:pPr>
              <w:pStyle w:val="TableParagraph"/>
              <w:spacing w:before="63"/>
              <w:ind w:left="216" w:right="216"/>
              <w:rPr>
                <w:sz w:val="23"/>
              </w:rPr>
            </w:pPr>
            <w:r>
              <w:rPr>
                <w:sz w:val="23"/>
              </w:rPr>
              <w:t>.100</w:t>
            </w:r>
          </w:p>
        </w:tc>
      </w:tr>
      <w:tr>
        <w:trPr>
          <w:trHeight w:val="476" w:hRule="exact"/>
        </w:trPr>
        <w:tc>
          <w:tcPr>
            <w:tcW w:w="1612" w:type="dxa"/>
            <w:tcBorders>
              <w:top w:val="nil"/>
              <w:bottom w:val="single" w:sz="8" w:space="0" w:color="000000"/>
              <w:right w:val="nil"/>
            </w:tcBorders>
          </w:tcPr>
          <w:p>
            <w:pPr/>
          </w:p>
        </w:tc>
        <w:tc>
          <w:tcPr>
            <w:tcW w:w="2310" w:type="dxa"/>
            <w:tcBorders>
              <w:top w:val="nil"/>
              <w:left w:val="nil"/>
              <w:bottom w:val="single" w:sz="8" w:space="0" w:color="000000"/>
            </w:tcBorders>
          </w:tcPr>
          <w:p>
            <w:pPr>
              <w:pStyle w:val="TableParagraph"/>
              <w:spacing w:before="64"/>
              <w:ind w:left="4"/>
              <w:rPr>
                <w:sz w:val="23"/>
              </w:rPr>
            </w:pPr>
            <w:r>
              <w:rPr>
                <w:w w:val="100"/>
                <w:sz w:val="23"/>
              </w:rPr>
              <w:t>N</w:t>
            </w:r>
          </w:p>
        </w:tc>
        <w:tc>
          <w:tcPr>
            <w:tcW w:w="1124" w:type="dxa"/>
            <w:tcBorders>
              <w:top w:val="nil"/>
              <w:bottom w:val="single" w:sz="8" w:space="0" w:color="000000"/>
              <w:right w:val="single" w:sz="8" w:space="0" w:color="000000"/>
            </w:tcBorders>
          </w:tcPr>
          <w:p>
            <w:pPr>
              <w:pStyle w:val="TableParagraph"/>
              <w:spacing w:before="64"/>
              <w:ind w:left="209" w:right="212"/>
              <w:rPr>
                <w:sz w:val="23"/>
              </w:rPr>
            </w:pPr>
            <w:r>
              <w:rPr>
                <w:sz w:val="23"/>
              </w:rPr>
              <w:t>192</w:t>
            </w:r>
          </w:p>
        </w:tc>
        <w:tc>
          <w:tcPr>
            <w:tcW w:w="850" w:type="dxa"/>
            <w:tcBorders>
              <w:top w:val="nil"/>
              <w:left w:val="single" w:sz="8" w:space="0" w:color="000000"/>
              <w:bottom w:val="single" w:sz="8" w:space="0" w:color="000000"/>
              <w:right w:val="single" w:sz="8" w:space="0" w:color="000000"/>
            </w:tcBorders>
          </w:tcPr>
          <w:p>
            <w:pPr>
              <w:pStyle w:val="TableParagraph"/>
              <w:spacing w:before="64"/>
              <w:ind w:left="77" w:right="79"/>
              <w:rPr>
                <w:sz w:val="23"/>
              </w:rPr>
            </w:pPr>
            <w:r>
              <w:rPr>
                <w:sz w:val="23"/>
              </w:rPr>
              <w:t>192</w:t>
            </w:r>
          </w:p>
        </w:tc>
        <w:tc>
          <w:tcPr>
            <w:tcW w:w="1133" w:type="dxa"/>
            <w:tcBorders>
              <w:top w:val="nil"/>
              <w:left w:val="single" w:sz="8" w:space="0" w:color="000000"/>
              <w:bottom w:val="single" w:sz="8" w:space="0" w:color="000000"/>
              <w:right w:val="single" w:sz="8" w:space="0" w:color="000000"/>
            </w:tcBorders>
          </w:tcPr>
          <w:p>
            <w:pPr>
              <w:pStyle w:val="TableParagraph"/>
              <w:spacing w:before="64"/>
              <w:ind w:left="11" w:right="11"/>
              <w:rPr>
                <w:sz w:val="23"/>
              </w:rPr>
            </w:pPr>
            <w:r>
              <w:rPr>
                <w:sz w:val="23"/>
              </w:rPr>
              <w:t>192</w:t>
            </w:r>
          </w:p>
        </w:tc>
        <w:tc>
          <w:tcPr>
            <w:tcW w:w="1135" w:type="dxa"/>
            <w:tcBorders>
              <w:top w:val="nil"/>
              <w:left w:val="single" w:sz="8" w:space="0" w:color="000000"/>
              <w:bottom w:val="single" w:sz="8" w:space="0" w:color="000000"/>
            </w:tcBorders>
          </w:tcPr>
          <w:p>
            <w:pPr>
              <w:pStyle w:val="TableParagraph"/>
              <w:spacing w:before="64"/>
              <w:ind w:left="216" w:right="216"/>
              <w:rPr>
                <w:sz w:val="23"/>
              </w:rPr>
            </w:pPr>
            <w:r>
              <w:rPr>
                <w:sz w:val="23"/>
              </w:rPr>
              <w:t>192</w:t>
            </w:r>
          </w:p>
        </w:tc>
      </w:tr>
      <w:tr>
        <w:trPr>
          <w:trHeight w:val="358" w:hRule="exact"/>
        </w:trPr>
        <w:tc>
          <w:tcPr>
            <w:tcW w:w="1612" w:type="dxa"/>
            <w:tcBorders>
              <w:top w:val="single" w:sz="8" w:space="0" w:color="000000"/>
              <w:bottom w:val="nil"/>
              <w:right w:val="nil"/>
            </w:tcBorders>
          </w:tcPr>
          <w:p>
            <w:pPr>
              <w:pStyle w:val="TableParagraph"/>
              <w:spacing w:line="261" w:lineRule="exact"/>
              <w:ind w:left="51" w:right="51"/>
              <w:rPr>
                <w:sz w:val="23"/>
              </w:rPr>
            </w:pPr>
            <w:r>
              <w:rPr>
                <w:sz w:val="23"/>
              </w:rPr>
              <w:t>CABEZAS</w:t>
            </w:r>
          </w:p>
        </w:tc>
        <w:tc>
          <w:tcPr>
            <w:tcW w:w="2310" w:type="dxa"/>
            <w:tcBorders>
              <w:top w:val="single" w:sz="8" w:space="0" w:color="000000"/>
              <w:left w:val="nil"/>
              <w:bottom w:val="nil"/>
            </w:tcBorders>
          </w:tcPr>
          <w:p>
            <w:pPr>
              <w:pStyle w:val="TableParagraph"/>
              <w:spacing w:line="261" w:lineRule="exact"/>
              <w:ind w:left="52" w:right="50"/>
              <w:rPr>
                <w:sz w:val="23"/>
              </w:rPr>
            </w:pPr>
            <w:r>
              <w:rPr>
                <w:sz w:val="23"/>
              </w:rPr>
              <w:t>Correlación de Pearson</w:t>
            </w:r>
          </w:p>
        </w:tc>
        <w:tc>
          <w:tcPr>
            <w:tcW w:w="1124" w:type="dxa"/>
            <w:tcBorders>
              <w:top w:val="single" w:sz="8" w:space="0" w:color="000000"/>
              <w:bottom w:val="nil"/>
              <w:right w:val="single" w:sz="8" w:space="0" w:color="000000"/>
            </w:tcBorders>
          </w:tcPr>
          <w:p>
            <w:pPr>
              <w:pStyle w:val="TableParagraph"/>
              <w:spacing w:line="261" w:lineRule="exact"/>
              <w:ind w:left="209" w:right="212"/>
              <w:rPr>
                <w:sz w:val="23"/>
              </w:rPr>
            </w:pPr>
            <w:r>
              <w:rPr>
                <w:sz w:val="23"/>
              </w:rPr>
              <w:t>.980**</w:t>
            </w:r>
          </w:p>
        </w:tc>
        <w:tc>
          <w:tcPr>
            <w:tcW w:w="850" w:type="dxa"/>
            <w:tcBorders>
              <w:top w:val="single" w:sz="8" w:space="0" w:color="000000"/>
              <w:left w:val="single" w:sz="8" w:space="0" w:color="000000"/>
              <w:bottom w:val="nil"/>
              <w:right w:val="single" w:sz="8" w:space="0" w:color="000000"/>
            </w:tcBorders>
          </w:tcPr>
          <w:p>
            <w:pPr>
              <w:pStyle w:val="TableParagraph"/>
              <w:spacing w:line="261" w:lineRule="exact"/>
              <w:ind w:left="77" w:right="79"/>
              <w:rPr>
                <w:sz w:val="23"/>
              </w:rPr>
            </w:pPr>
            <w:r>
              <w:rPr>
                <w:sz w:val="23"/>
              </w:rPr>
              <w:t>.580**</w:t>
            </w:r>
          </w:p>
        </w:tc>
        <w:tc>
          <w:tcPr>
            <w:tcW w:w="1133" w:type="dxa"/>
            <w:tcBorders>
              <w:top w:val="single" w:sz="8" w:space="0" w:color="000000"/>
              <w:left w:val="single" w:sz="8" w:space="0" w:color="000000"/>
              <w:bottom w:val="nil"/>
              <w:right w:val="single" w:sz="8" w:space="0" w:color="000000"/>
            </w:tcBorders>
          </w:tcPr>
          <w:p>
            <w:pPr>
              <w:pStyle w:val="TableParagraph"/>
              <w:spacing w:line="261" w:lineRule="exact"/>
              <w:rPr>
                <w:sz w:val="23"/>
              </w:rPr>
            </w:pPr>
            <w:r>
              <w:rPr>
                <w:w w:val="100"/>
                <w:sz w:val="23"/>
              </w:rPr>
              <w:t>1</w:t>
            </w:r>
          </w:p>
        </w:tc>
        <w:tc>
          <w:tcPr>
            <w:tcW w:w="1135" w:type="dxa"/>
            <w:tcBorders>
              <w:top w:val="single" w:sz="8" w:space="0" w:color="000000"/>
              <w:left w:val="single" w:sz="8" w:space="0" w:color="000000"/>
              <w:bottom w:val="nil"/>
            </w:tcBorders>
          </w:tcPr>
          <w:p>
            <w:pPr>
              <w:pStyle w:val="TableParagraph"/>
              <w:spacing w:line="261" w:lineRule="exact"/>
              <w:ind w:left="216" w:right="216"/>
              <w:rPr>
                <w:sz w:val="23"/>
              </w:rPr>
            </w:pPr>
            <w:r>
              <w:rPr>
                <w:sz w:val="23"/>
              </w:rPr>
              <w:t>.244**</w:t>
            </w:r>
          </w:p>
        </w:tc>
      </w:tr>
      <w:tr>
        <w:trPr>
          <w:trHeight w:val="416" w:hRule="exact"/>
        </w:trPr>
        <w:tc>
          <w:tcPr>
            <w:tcW w:w="1612" w:type="dxa"/>
            <w:tcBorders>
              <w:top w:val="nil"/>
              <w:bottom w:val="nil"/>
              <w:right w:val="nil"/>
            </w:tcBorders>
          </w:tcPr>
          <w:p>
            <w:pPr/>
          </w:p>
        </w:tc>
        <w:tc>
          <w:tcPr>
            <w:tcW w:w="2310" w:type="dxa"/>
            <w:tcBorders>
              <w:top w:val="nil"/>
              <w:left w:val="nil"/>
              <w:bottom w:val="nil"/>
            </w:tcBorders>
          </w:tcPr>
          <w:p>
            <w:pPr>
              <w:pStyle w:val="TableParagraph"/>
              <w:spacing w:before="63"/>
              <w:ind w:left="52" w:right="51"/>
              <w:rPr>
                <w:sz w:val="23"/>
              </w:rPr>
            </w:pPr>
            <w:r>
              <w:rPr>
                <w:sz w:val="23"/>
              </w:rPr>
              <w:t>Sig. (bilateral)</w:t>
            </w:r>
          </w:p>
        </w:tc>
        <w:tc>
          <w:tcPr>
            <w:tcW w:w="1124" w:type="dxa"/>
            <w:tcBorders>
              <w:top w:val="nil"/>
              <w:bottom w:val="nil"/>
              <w:right w:val="single" w:sz="8" w:space="0" w:color="000000"/>
            </w:tcBorders>
          </w:tcPr>
          <w:p>
            <w:pPr>
              <w:pStyle w:val="TableParagraph"/>
              <w:spacing w:before="63"/>
              <w:ind w:left="209" w:right="212"/>
              <w:rPr>
                <w:sz w:val="23"/>
              </w:rPr>
            </w:pPr>
            <w:r>
              <w:rPr>
                <w:sz w:val="23"/>
              </w:rPr>
              <w:t>.000</w:t>
            </w:r>
          </w:p>
        </w:tc>
        <w:tc>
          <w:tcPr>
            <w:tcW w:w="850" w:type="dxa"/>
            <w:tcBorders>
              <w:top w:val="nil"/>
              <w:left w:val="single" w:sz="8" w:space="0" w:color="000000"/>
              <w:bottom w:val="nil"/>
              <w:right w:val="single" w:sz="8" w:space="0" w:color="000000"/>
            </w:tcBorders>
          </w:tcPr>
          <w:p>
            <w:pPr>
              <w:pStyle w:val="TableParagraph"/>
              <w:spacing w:before="63"/>
              <w:ind w:left="77" w:right="79"/>
              <w:rPr>
                <w:sz w:val="23"/>
              </w:rPr>
            </w:pPr>
            <w:r>
              <w:rPr>
                <w:sz w:val="23"/>
              </w:rPr>
              <w:t>.000</w:t>
            </w:r>
          </w:p>
        </w:tc>
        <w:tc>
          <w:tcPr>
            <w:tcW w:w="1133" w:type="dxa"/>
            <w:tcBorders>
              <w:top w:val="nil"/>
              <w:left w:val="single" w:sz="8" w:space="0" w:color="000000"/>
              <w:bottom w:val="nil"/>
              <w:right w:val="single" w:sz="8" w:space="0" w:color="000000"/>
            </w:tcBorders>
          </w:tcPr>
          <w:p>
            <w:pPr/>
          </w:p>
        </w:tc>
        <w:tc>
          <w:tcPr>
            <w:tcW w:w="1135" w:type="dxa"/>
            <w:tcBorders>
              <w:top w:val="nil"/>
              <w:left w:val="single" w:sz="8" w:space="0" w:color="000000"/>
              <w:bottom w:val="nil"/>
            </w:tcBorders>
          </w:tcPr>
          <w:p>
            <w:pPr>
              <w:pStyle w:val="TableParagraph"/>
              <w:spacing w:before="63"/>
              <w:ind w:left="216" w:right="216"/>
              <w:rPr>
                <w:sz w:val="23"/>
              </w:rPr>
            </w:pPr>
            <w:r>
              <w:rPr>
                <w:sz w:val="23"/>
              </w:rPr>
              <w:t>.001</w:t>
            </w:r>
          </w:p>
        </w:tc>
      </w:tr>
      <w:tr>
        <w:trPr>
          <w:trHeight w:val="476" w:hRule="exact"/>
        </w:trPr>
        <w:tc>
          <w:tcPr>
            <w:tcW w:w="1612" w:type="dxa"/>
            <w:tcBorders>
              <w:top w:val="nil"/>
              <w:bottom w:val="single" w:sz="8" w:space="0" w:color="000000"/>
              <w:right w:val="nil"/>
            </w:tcBorders>
          </w:tcPr>
          <w:p>
            <w:pPr/>
          </w:p>
        </w:tc>
        <w:tc>
          <w:tcPr>
            <w:tcW w:w="2310" w:type="dxa"/>
            <w:tcBorders>
              <w:top w:val="nil"/>
              <w:left w:val="nil"/>
              <w:bottom w:val="single" w:sz="8" w:space="0" w:color="000000"/>
            </w:tcBorders>
          </w:tcPr>
          <w:p>
            <w:pPr>
              <w:pStyle w:val="TableParagraph"/>
              <w:spacing w:before="64"/>
              <w:ind w:left="4"/>
              <w:rPr>
                <w:sz w:val="23"/>
              </w:rPr>
            </w:pPr>
            <w:r>
              <w:rPr>
                <w:w w:val="100"/>
                <w:sz w:val="23"/>
              </w:rPr>
              <w:t>N</w:t>
            </w:r>
          </w:p>
        </w:tc>
        <w:tc>
          <w:tcPr>
            <w:tcW w:w="1124" w:type="dxa"/>
            <w:tcBorders>
              <w:top w:val="nil"/>
              <w:bottom w:val="single" w:sz="8" w:space="0" w:color="000000"/>
              <w:right w:val="single" w:sz="8" w:space="0" w:color="000000"/>
            </w:tcBorders>
          </w:tcPr>
          <w:p>
            <w:pPr>
              <w:pStyle w:val="TableParagraph"/>
              <w:spacing w:before="64"/>
              <w:ind w:left="209" w:right="212"/>
              <w:rPr>
                <w:sz w:val="23"/>
              </w:rPr>
            </w:pPr>
            <w:r>
              <w:rPr>
                <w:sz w:val="23"/>
              </w:rPr>
              <w:t>192</w:t>
            </w:r>
          </w:p>
        </w:tc>
        <w:tc>
          <w:tcPr>
            <w:tcW w:w="850" w:type="dxa"/>
            <w:tcBorders>
              <w:top w:val="nil"/>
              <w:left w:val="single" w:sz="8" w:space="0" w:color="000000"/>
              <w:bottom w:val="single" w:sz="8" w:space="0" w:color="000000"/>
              <w:right w:val="single" w:sz="8" w:space="0" w:color="000000"/>
            </w:tcBorders>
          </w:tcPr>
          <w:p>
            <w:pPr>
              <w:pStyle w:val="TableParagraph"/>
              <w:spacing w:before="64"/>
              <w:ind w:left="77" w:right="79"/>
              <w:rPr>
                <w:sz w:val="23"/>
              </w:rPr>
            </w:pPr>
            <w:r>
              <w:rPr>
                <w:sz w:val="23"/>
              </w:rPr>
              <w:t>192</w:t>
            </w:r>
          </w:p>
        </w:tc>
        <w:tc>
          <w:tcPr>
            <w:tcW w:w="1133" w:type="dxa"/>
            <w:tcBorders>
              <w:top w:val="nil"/>
              <w:left w:val="single" w:sz="8" w:space="0" w:color="000000"/>
              <w:bottom w:val="single" w:sz="8" w:space="0" w:color="000000"/>
              <w:right w:val="single" w:sz="8" w:space="0" w:color="000000"/>
            </w:tcBorders>
          </w:tcPr>
          <w:p>
            <w:pPr>
              <w:pStyle w:val="TableParagraph"/>
              <w:spacing w:before="64"/>
              <w:ind w:left="11" w:right="11"/>
              <w:rPr>
                <w:sz w:val="23"/>
              </w:rPr>
            </w:pPr>
            <w:r>
              <w:rPr>
                <w:sz w:val="23"/>
              </w:rPr>
              <w:t>192</w:t>
            </w:r>
          </w:p>
        </w:tc>
        <w:tc>
          <w:tcPr>
            <w:tcW w:w="1135" w:type="dxa"/>
            <w:tcBorders>
              <w:top w:val="nil"/>
              <w:left w:val="single" w:sz="8" w:space="0" w:color="000000"/>
              <w:bottom w:val="single" w:sz="8" w:space="0" w:color="000000"/>
            </w:tcBorders>
          </w:tcPr>
          <w:p>
            <w:pPr>
              <w:pStyle w:val="TableParagraph"/>
              <w:spacing w:before="64"/>
              <w:ind w:left="216" w:right="216"/>
              <w:rPr>
                <w:sz w:val="23"/>
              </w:rPr>
            </w:pPr>
            <w:r>
              <w:rPr>
                <w:sz w:val="23"/>
              </w:rPr>
              <w:t>192</w:t>
            </w:r>
          </w:p>
        </w:tc>
      </w:tr>
      <w:tr>
        <w:trPr>
          <w:trHeight w:val="369" w:hRule="exact"/>
        </w:trPr>
        <w:tc>
          <w:tcPr>
            <w:tcW w:w="1612" w:type="dxa"/>
            <w:vMerge w:val="restart"/>
            <w:tcBorders>
              <w:top w:val="single" w:sz="8" w:space="0" w:color="000000"/>
              <w:right w:val="nil"/>
            </w:tcBorders>
          </w:tcPr>
          <w:p>
            <w:pPr>
              <w:pStyle w:val="TableParagraph"/>
              <w:spacing w:line="360" w:lineRule="auto"/>
              <w:ind w:left="350" w:right="328" w:firstLine="64"/>
              <w:jc w:val="left"/>
              <w:rPr>
                <w:sz w:val="23"/>
              </w:rPr>
            </w:pPr>
            <w:r>
              <w:rPr>
                <w:sz w:val="23"/>
              </w:rPr>
              <w:t>GASTO ALIMEN</w:t>
            </w:r>
          </w:p>
        </w:tc>
        <w:tc>
          <w:tcPr>
            <w:tcW w:w="2310" w:type="dxa"/>
            <w:tcBorders>
              <w:top w:val="single" w:sz="8" w:space="0" w:color="000000"/>
              <w:left w:val="nil"/>
              <w:bottom w:val="nil"/>
            </w:tcBorders>
          </w:tcPr>
          <w:p>
            <w:pPr>
              <w:pStyle w:val="TableParagraph"/>
              <w:spacing w:line="261" w:lineRule="exact"/>
              <w:ind w:left="52" w:right="51"/>
              <w:rPr>
                <w:sz w:val="23"/>
              </w:rPr>
            </w:pPr>
            <w:r>
              <w:rPr>
                <w:sz w:val="23"/>
              </w:rPr>
              <w:t>Correlación de Pearson</w:t>
            </w:r>
          </w:p>
        </w:tc>
        <w:tc>
          <w:tcPr>
            <w:tcW w:w="1124" w:type="dxa"/>
            <w:tcBorders>
              <w:top w:val="single" w:sz="8" w:space="0" w:color="000000"/>
              <w:bottom w:val="nil"/>
              <w:right w:val="single" w:sz="8" w:space="0" w:color="000000"/>
            </w:tcBorders>
          </w:tcPr>
          <w:p>
            <w:pPr>
              <w:pStyle w:val="TableParagraph"/>
              <w:spacing w:line="261" w:lineRule="exact"/>
              <w:ind w:left="209" w:right="212"/>
              <w:rPr>
                <w:sz w:val="23"/>
              </w:rPr>
            </w:pPr>
            <w:r>
              <w:rPr>
                <w:sz w:val="23"/>
              </w:rPr>
              <w:t>.226**</w:t>
            </w:r>
          </w:p>
        </w:tc>
        <w:tc>
          <w:tcPr>
            <w:tcW w:w="850" w:type="dxa"/>
            <w:tcBorders>
              <w:top w:val="single" w:sz="8" w:space="0" w:color="000000"/>
              <w:left w:val="single" w:sz="8" w:space="0" w:color="000000"/>
              <w:bottom w:val="nil"/>
              <w:right w:val="single" w:sz="8" w:space="0" w:color="000000"/>
            </w:tcBorders>
          </w:tcPr>
          <w:p>
            <w:pPr>
              <w:pStyle w:val="TableParagraph"/>
              <w:spacing w:line="261" w:lineRule="exact"/>
              <w:ind w:left="77" w:right="79"/>
              <w:rPr>
                <w:sz w:val="23"/>
              </w:rPr>
            </w:pPr>
            <w:r>
              <w:rPr>
                <w:sz w:val="23"/>
              </w:rPr>
              <w:t>.119</w:t>
            </w:r>
          </w:p>
        </w:tc>
        <w:tc>
          <w:tcPr>
            <w:tcW w:w="1133" w:type="dxa"/>
            <w:tcBorders>
              <w:top w:val="single" w:sz="8" w:space="0" w:color="000000"/>
              <w:left w:val="single" w:sz="8" w:space="0" w:color="000000"/>
              <w:bottom w:val="nil"/>
              <w:right w:val="single" w:sz="8" w:space="0" w:color="000000"/>
            </w:tcBorders>
          </w:tcPr>
          <w:p>
            <w:pPr>
              <w:pStyle w:val="TableParagraph"/>
              <w:spacing w:line="261" w:lineRule="exact"/>
              <w:ind w:left="11" w:right="11"/>
              <w:rPr>
                <w:sz w:val="23"/>
              </w:rPr>
            </w:pPr>
            <w:r>
              <w:rPr>
                <w:sz w:val="23"/>
              </w:rPr>
              <w:t>.244**</w:t>
            </w:r>
          </w:p>
        </w:tc>
        <w:tc>
          <w:tcPr>
            <w:tcW w:w="1135" w:type="dxa"/>
            <w:tcBorders>
              <w:top w:val="single" w:sz="8" w:space="0" w:color="000000"/>
              <w:left w:val="single" w:sz="8" w:space="0" w:color="000000"/>
              <w:bottom w:val="nil"/>
            </w:tcBorders>
          </w:tcPr>
          <w:p>
            <w:pPr>
              <w:pStyle w:val="TableParagraph"/>
              <w:spacing w:line="261" w:lineRule="exact"/>
              <w:rPr>
                <w:sz w:val="23"/>
              </w:rPr>
            </w:pPr>
            <w:r>
              <w:rPr>
                <w:w w:val="100"/>
                <w:sz w:val="23"/>
              </w:rPr>
              <w:t>1</w:t>
            </w:r>
          </w:p>
        </w:tc>
      </w:tr>
      <w:tr>
        <w:trPr>
          <w:trHeight w:val="436" w:hRule="exact"/>
        </w:trPr>
        <w:tc>
          <w:tcPr>
            <w:tcW w:w="1612" w:type="dxa"/>
            <w:vMerge/>
            <w:tcBorders>
              <w:bottom w:val="nil"/>
              <w:right w:val="nil"/>
            </w:tcBorders>
          </w:tcPr>
          <w:p>
            <w:pPr/>
          </w:p>
        </w:tc>
        <w:tc>
          <w:tcPr>
            <w:tcW w:w="2310" w:type="dxa"/>
            <w:tcBorders>
              <w:top w:val="nil"/>
              <w:left w:val="nil"/>
              <w:bottom w:val="nil"/>
            </w:tcBorders>
          </w:tcPr>
          <w:p>
            <w:pPr>
              <w:pStyle w:val="TableParagraph"/>
              <w:spacing w:before="74"/>
              <w:ind w:left="52" w:right="51"/>
              <w:rPr>
                <w:sz w:val="23"/>
              </w:rPr>
            </w:pPr>
            <w:r>
              <w:rPr>
                <w:sz w:val="23"/>
              </w:rPr>
              <w:t>Sig. (bilateral)</w:t>
            </w:r>
          </w:p>
        </w:tc>
        <w:tc>
          <w:tcPr>
            <w:tcW w:w="1124" w:type="dxa"/>
            <w:tcBorders>
              <w:top w:val="nil"/>
              <w:bottom w:val="nil"/>
              <w:right w:val="single" w:sz="8" w:space="0" w:color="000000"/>
            </w:tcBorders>
          </w:tcPr>
          <w:p>
            <w:pPr>
              <w:pStyle w:val="TableParagraph"/>
              <w:spacing w:before="74"/>
              <w:ind w:left="209" w:right="212"/>
              <w:rPr>
                <w:sz w:val="23"/>
              </w:rPr>
            </w:pPr>
            <w:r>
              <w:rPr>
                <w:sz w:val="23"/>
              </w:rPr>
              <w:t>.002</w:t>
            </w:r>
          </w:p>
        </w:tc>
        <w:tc>
          <w:tcPr>
            <w:tcW w:w="850" w:type="dxa"/>
            <w:tcBorders>
              <w:top w:val="nil"/>
              <w:left w:val="single" w:sz="8" w:space="0" w:color="000000"/>
              <w:bottom w:val="nil"/>
              <w:right w:val="single" w:sz="8" w:space="0" w:color="000000"/>
            </w:tcBorders>
          </w:tcPr>
          <w:p>
            <w:pPr>
              <w:pStyle w:val="TableParagraph"/>
              <w:spacing w:before="74"/>
              <w:ind w:left="77" w:right="79"/>
              <w:rPr>
                <w:sz w:val="23"/>
              </w:rPr>
            </w:pPr>
            <w:r>
              <w:rPr>
                <w:sz w:val="23"/>
              </w:rPr>
              <w:t>.100</w:t>
            </w:r>
          </w:p>
        </w:tc>
        <w:tc>
          <w:tcPr>
            <w:tcW w:w="1133" w:type="dxa"/>
            <w:tcBorders>
              <w:top w:val="nil"/>
              <w:left w:val="single" w:sz="8" w:space="0" w:color="000000"/>
              <w:bottom w:val="nil"/>
              <w:right w:val="single" w:sz="8" w:space="0" w:color="000000"/>
            </w:tcBorders>
          </w:tcPr>
          <w:p>
            <w:pPr>
              <w:pStyle w:val="TableParagraph"/>
              <w:spacing w:before="74"/>
              <w:ind w:left="11" w:right="11"/>
              <w:rPr>
                <w:sz w:val="23"/>
              </w:rPr>
            </w:pPr>
            <w:r>
              <w:rPr>
                <w:sz w:val="23"/>
              </w:rPr>
              <w:t>.001</w:t>
            </w:r>
          </w:p>
        </w:tc>
        <w:tc>
          <w:tcPr>
            <w:tcW w:w="1135" w:type="dxa"/>
            <w:tcBorders>
              <w:top w:val="nil"/>
              <w:left w:val="single" w:sz="8" w:space="0" w:color="000000"/>
              <w:bottom w:val="nil"/>
            </w:tcBorders>
          </w:tcPr>
          <w:p>
            <w:pPr/>
          </w:p>
        </w:tc>
      </w:tr>
      <w:tr>
        <w:trPr>
          <w:trHeight w:val="496" w:hRule="exact"/>
        </w:trPr>
        <w:tc>
          <w:tcPr>
            <w:tcW w:w="1612" w:type="dxa"/>
            <w:tcBorders>
              <w:top w:val="nil"/>
              <w:right w:val="nil"/>
            </w:tcBorders>
          </w:tcPr>
          <w:p>
            <w:pPr/>
          </w:p>
        </w:tc>
        <w:tc>
          <w:tcPr>
            <w:tcW w:w="2310" w:type="dxa"/>
            <w:tcBorders>
              <w:top w:val="nil"/>
              <w:left w:val="nil"/>
            </w:tcBorders>
          </w:tcPr>
          <w:p>
            <w:pPr>
              <w:pStyle w:val="TableParagraph"/>
              <w:spacing w:before="72"/>
              <w:ind w:left="4"/>
              <w:rPr>
                <w:sz w:val="23"/>
              </w:rPr>
            </w:pPr>
            <w:r>
              <w:rPr>
                <w:w w:val="100"/>
                <w:sz w:val="23"/>
              </w:rPr>
              <w:t>N</w:t>
            </w:r>
          </w:p>
        </w:tc>
        <w:tc>
          <w:tcPr>
            <w:tcW w:w="1124" w:type="dxa"/>
            <w:tcBorders>
              <w:top w:val="nil"/>
              <w:right w:val="single" w:sz="8" w:space="0" w:color="000000"/>
            </w:tcBorders>
          </w:tcPr>
          <w:p>
            <w:pPr>
              <w:pStyle w:val="TableParagraph"/>
              <w:spacing w:before="72"/>
              <w:ind w:left="209" w:right="212"/>
              <w:rPr>
                <w:sz w:val="23"/>
              </w:rPr>
            </w:pPr>
            <w:r>
              <w:rPr>
                <w:sz w:val="23"/>
              </w:rPr>
              <w:t>192</w:t>
            </w:r>
          </w:p>
        </w:tc>
        <w:tc>
          <w:tcPr>
            <w:tcW w:w="850" w:type="dxa"/>
            <w:tcBorders>
              <w:top w:val="nil"/>
              <w:left w:val="single" w:sz="8" w:space="0" w:color="000000"/>
              <w:right w:val="single" w:sz="8" w:space="0" w:color="000000"/>
            </w:tcBorders>
          </w:tcPr>
          <w:p>
            <w:pPr>
              <w:pStyle w:val="TableParagraph"/>
              <w:spacing w:before="72"/>
              <w:ind w:left="77" w:right="79"/>
              <w:rPr>
                <w:sz w:val="23"/>
              </w:rPr>
            </w:pPr>
            <w:r>
              <w:rPr>
                <w:sz w:val="23"/>
              </w:rPr>
              <w:t>192</w:t>
            </w:r>
          </w:p>
        </w:tc>
        <w:tc>
          <w:tcPr>
            <w:tcW w:w="1133" w:type="dxa"/>
            <w:tcBorders>
              <w:top w:val="nil"/>
              <w:left w:val="single" w:sz="8" w:space="0" w:color="000000"/>
              <w:right w:val="single" w:sz="8" w:space="0" w:color="000000"/>
            </w:tcBorders>
          </w:tcPr>
          <w:p>
            <w:pPr>
              <w:pStyle w:val="TableParagraph"/>
              <w:spacing w:before="72"/>
              <w:ind w:left="11" w:right="11"/>
              <w:rPr>
                <w:sz w:val="23"/>
              </w:rPr>
            </w:pPr>
            <w:r>
              <w:rPr>
                <w:sz w:val="23"/>
              </w:rPr>
              <w:t>192</w:t>
            </w:r>
          </w:p>
        </w:tc>
        <w:tc>
          <w:tcPr>
            <w:tcW w:w="1135" w:type="dxa"/>
            <w:tcBorders>
              <w:top w:val="nil"/>
              <w:left w:val="single" w:sz="8" w:space="0" w:color="000000"/>
            </w:tcBorders>
          </w:tcPr>
          <w:p>
            <w:pPr>
              <w:pStyle w:val="TableParagraph"/>
              <w:spacing w:before="72"/>
              <w:ind w:left="216" w:right="216"/>
              <w:rPr>
                <w:sz w:val="23"/>
              </w:rPr>
            </w:pPr>
            <w:r>
              <w:rPr>
                <w:sz w:val="23"/>
              </w:rPr>
              <w:t>192</w:t>
            </w:r>
          </w:p>
        </w:tc>
      </w:tr>
    </w:tbl>
    <w:p>
      <w:pPr>
        <w:pStyle w:val="BodyText"/>
        <w:spacing w:line="259" w:lineRule="exact"/>
        <w:ind w:left="1785" w:right="64"/>
      </w:pPr>
      <w:r>
        <w:rPr/>
        <w:t>**. La correlación es significativa en el nivel 0,01 (2 colas).</w:t>
      </w:r>
    </w:p>
    <w:p>
      <w:pPr>
        <w:spacing w:after="0" w:line="259" w:lineRule="exact"/>
        <w:sectPr>
          <w:headerReference w:type="default" r:id="rId196"/>
          <w:pgSz w:w="12240" w:h="15840"/>
          <w:pgMar w:header="1861" w:footer="1629" w:top="2060" w:bottom="1880" w:left="1580" w:right="1600"/>
        </w:sectPr>
      </w:pPr>
    </w:p>
    <w:p>
      <w:pPr>
        <w:pStyle w:val="BodyText"/>
        <w:spacing w:before="2"/>
        <w:rPr>
          <w:sz w:val="2"/>
        </w:rPr>
      </w:pPr>
    </w:p>
    <w:p>
      <w:pPr>
        <w:pStyle w:val="BodyText"/>
        <w:spacing w:line="20" w:lineRule="exact"/>
        <w:ind w:left="539"/>
        <w:rPr>
          <w:sz w:val="2"/>
        </w:rPr>
      </w:pPr>
      <w:r>
        <w:rPr>
          <w:sz w:val="2"/>
        </w:rPr>
        <w:pict>
          <v:group style="width:418.45pt;height:.5pt;mso-position-horizontal-relative:char;mso-position-vertical-relative:line" coordorigin="0,0" coordsize="8369,10">
            <v:line style="position:absolute" from="5,5" to="8364,5" stroked="true" strokeweight=".5pt" strokecolor="#000000"/>
          </v:group>
        </w:pict>
      </w:r>
      <w:r>
        <w:rPr>
          <w:sz w:val="2"/>
        </w:rPr>
      </w:r>
    </w:p>
    <w:p>
      <w:pPr>
        <w:pStyle w:val="BodyText"/>
        <w:rPr>
          <w:sz w:val="20"/>
        </w:rPr>
      </w:pPr>
    </w:p>
    <w:p>
      <w:pPr>
        <w:pStyle w:val="BodyText"/>
        <w:rPr>
          <w:sz w:val="20"/>
        </w:rPr>
      </w:pPr>
    </w:p>
    <w:p>
      <w:pPr>
        <w:pStyle w:val="BodyText"/>
        <w:spacing w:before="2"/>
        <w:rPr>
          <w:sz w:val="28"/>
        </w:rPr>
      </w:pPr>
    </w:p>
    <w:p>
      <w:pPr>
        <w:pStyle w:val="BodyText"/>
        <w:spacing w:before="71"/>
        <w:ind w:left="2827"/>
      </w:pPr>
      <w:r>
        <w:rPr/>
        <w:t>Cuadro 07. Correlaciones no parametrica</w:t>
      </w:r>
    </w:p>
    <w:p>
      <w:pPr>
        <w:pStyle w:val="BodyText"/>
        <w:spacing w:before="1" w:after="1"/>
        <w:rPr>
          <w:sz w:val="12"/>
        </w:rPr>
      </w:pPr>
    </w:p>
    <w:tbl>
      <w:tblPr>
        <w:tblW w:w="0" w:type="auto"/>
        <w:jc w:val="left"/>
        <w:tblInd w:w="119"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1099"/>
        <w:gridCol w:w="1667"/>
        <w:gridCol w:w="2611"/>
        <w:gridCol w:w="811"/>
        <w:gridCol w:w="852"/>
        <w:gridCol w:w="1133"/>
        <w:gridCol w:w="994"/>
      </w:tblGrid>
      <w:tr>
        <w:trPr>
          <w:trHeight w:val="833" w:hRule="exact"/>
        </w:trPr>
        <w:tc>
          <w:tcPr>
            <w:tcW w:w="5377" w:type="dxa"/>
            <w:gridSpan w:val="3"/>
          </w:tcPr>
          <w:p>
            <w:pPr/>
          </w:p>
        </w:tc>
        <w:tc>
          <w:tcPr>
            <w:tcW w:w="811" w:type="dxa"/>
            <w:tcBorders>
              <w:right w:val="single" w:sz="8" w:space="0" w:color="000000"/>
            </w:tcBorders>
          </w:tcPr>
          <w:p>
            <w:pPr>
              <w:pStyle w:val="TableParagraph"/>
              <w:spacing w:line="362" w:lineRule="auto"/>
              <w:ind w:right="-18" w:firstLine="84"/>
              <w:jc w:val="left"/>
              <w:rPr>
                <w:sz w:val="23"/>
              </w:rPr>
            </w:pPr>
            <w:r>
              <w:rPr>
                <w:sz w:val="23"/>
              </w:rPr>
              <w:t>PROD CARNE</w:t>
            </w:r>
          </w:p>
        </w:tc>
        <w:tc>
          <w:tcPr>
            <w:tcW w:w="852" w:type="dxa"/>
            <w:tcBorders>
              <w:left w:val="single" w:sz="8" w:space="0" w:color="000000"/>
              <w:right w:val="single" w:sz="8" w:space="0" w:color="000000"/>
            </w:tcBorders>
          </w:tcPr>
          <w:p>
            <w:pPr>
              <w:pStyle w:val="TableParagraph"/>
              <w:spacing w:line="362" w:lineRule="auto"/>
              <w:ind w:left="177" w:right="35" w:hanging="128"/>
              <w:jc w:val="left"/>
              <w:rPr>
                <w:sz w:val="23"/>
              </w:rPr>
            </w:pPr>
            <w:r>
              <w:rPr>
                <w:sz w:val="23"/>
              </w:rPr>
              <w:t>PASTO NAT</w:t>
            </w:r>
          </w:p>
        </w:tc>
        <w:tc>
          <w:tcPr>
            <w:tcW w:w="1133" w:type="dxa"/>
            <w:tcBorders>
              <w:left w:val="single" w:sz="8" w:space="0" w:color="000000"/>
              <w:right w:val="single" w:sz="8" w:space="0" w:color="000000"/>
            </w:tcBorders>
          </w:tcPr>
          <w:p>
            <w:pPr>
              <w:pStyle w:val="TableParagraph"/>
              <w:jc w:val="left"/>
              <w:rPr>
                <w:sz w:val="22"/>
              </w:rPr>
            </w:pPr>
          </w:p>
          <w:p>
            <w:pPr>
              <w:pStyle w:val="TableParagraph"/>
              <w:spacing w:before="139"/>
              <w:ind w:left="11" w:right="14"/>
              <w:rPr>
                <w:sz w:val="23"/>
              </w:rPr>
            </w:pPr>
            <w:r>
              <w:rPr>
                <w:sz w:val="23"/>
              </w:rPr>
              <w:t>CABEZAS</w:t>
            </w:r>
          </w:p>
        </w:tc>
        <w:tc>
          <w:tcPr>
            <w:tcW w:w="994" w:type="dxa"/>
            <w:tcBorders>
              <w:left w:val="single" w:sz="8" w:space="0" w:color="000000"/>
            </w:tcBorders>
          </w:tcPr>
          <w:p>
            <w:pPr>
              <w:pStyle w:val="TableParagraph"/>
              <w:spacing w:line="362" w:lineRule="auto"/>
              <w:ind w:left="33" w:right="17" w:firstLine="64"/>
              <w:jc w:val="left"/>
              <w:rPr>
                <w:sz w:val="23"/>
              </w:rPr>
            </w:pPr>
            <w:r>
              <w:rPr>
                <w:sz w:val="23"/>
              </w:rPr>
              <w:t>GASTO ALIMEN</w:t>
            </w:r>
          </w:p>
        </w:tc>
      </w:tr>
      <w:tr>
        <w:trPr>
          <w:trHeight w:val="379" w:hRule="exact"/>
        </w:trPr>
        <w:tc>
          <w:tcPr>
            <w:tcW w:w="1099" w:type="dxa"/>
            <w:vMerge w:val="restart"/>
            <w:tcBorders>
              <w:right w:val="nil"/>
            </w:tcBorders>
          </w:tcPr>
          <w:p>
            <w:pPr>
              <w:pStyle w:val="TableParagraph"/>
              <w:spacing w:line="360" w:lineRule="auto"/>
              <w:ind w:left="79" w:right="61" w:firstLine="129"/>
              <w:jc w:val="left"/>
              <w:rPr>
                <w:sz w:val="23"/>
              </w:rPr>
            </w:pPr>
            <w:r>
              <w:rPr>
                <w:sz w:val="23"/>
              </w:rPr>
              <w:t>Rho de Spearman</w:t>
            </w:r>
          </w:p>
        </w:tc>
        <w:tc>
          <w:tcPr>
            <w:tcW w:w="1667" w:type="dxa"/>
            <w:tcBorders>
              <w:left w:val="nil"/>
              <w:bottom w:val="nil"/>
              <w:right w:val="nil"/>
            </w:tcBorders>
          </w:tcPr>
          <w:p>
            <w:pPr>
              <w:pStyle w:val="TableParagraph"/>
              <w:spacing w:line="261" w:lineRule="exact"/>
              <w:ind w:left="101" w:right="75"/>
              <w:rPr>
                <w:sz w:val="23"/>
              </w:rPr>
            </w:pPr>
            <w:r>
              <w:rPr>
                <w:sz w:val="23"/>
              </w:rPr>
              <w:t>PROD CARNE</w:t>
            </w:r>
          </w:p>
        </w:tc>
        <w:tc>
          <w:tcPr>
            <w:tcW w:w="2611" w:type="dxa"/>
            <w:tcBorders>
              <w:left w:val="nil"/>
              <w:bottom w:val="nil"/>
            </w:tcBorders>
          </w:tcPr>
          <w:p>
            <w:pPr>
              <w:pStyle w:val="TableParagraph"/>
              <w:spacing w:line="261" w:lineRule="exact"/>
              <w:ind w:left="75" w:right="50"/>
              <w:rPr>
                <w:sz w:val="23"/>
              </w:rPr>
            </w:pPr>
            <w:r>
              <w:rPr>
                <w:sz w:val="23"/>
              </w:rPr>
              <w:t>Coeficiente de correlación</w:t>
            </w:r>
          </w:p>
        </w:tc>
        <w:tc>
          <w:tcPr>
            <w:tcW w:w="811" w:type="dxa"/>
            <w:tcBorders>
              <w:bottom w:val="nil"/>
              <w:right w:val="single" w:sz="8" w:space="0" w:color="000000"/>
            </w:tcBorders>
          </w:tcPr>
          <w:p>
            <w:pPr>
              <w:pStyle w:val="TableParagraph"/>
              <w:spacing w:line="261" w:lineRule="exact"/>
              <w:ind w:left="129" w:right="-18"/>
              <w:jc w:val="left"/>
              <w:rPr>
                <w:sz w:val="23"/>
              </w:rPr>
            </w:pPr>
            <w:r>
              <w:rPr>
                <w:sz w:val="23"/>
              </w:rPr>
              <w:t>1.000</w:t>
            </w:r>
          </w:p>
        </w:tc>
        <w:tc>
          <w:tcPr>
            <w:tcW w:w="852" w:type="dxa"/>
            <w:tcBorders>
              <w:left w:val="single" w:sz="8" w:space="0" w:color="000000"/>
              <w:bottom w:val="nil"/>
              <w:right w:val="single" w:sz="8" w:space="0" w:color="000000"/>
            </w:tcBorders>
          </w:tcPr>
          <w:p>
            <w:pPr>
              <w:pStyle w:val="TableParagraph"/>
              <w:spacing w:line="261" w:lineRule="exact"/>
              <w:ind w:right="98"/>
              <w:jc w:val="right"/>
              <w:rPr>
                <w:sz w:val="23"/>
              </w:rPr>
            </w:pPr>
            <w:r>
              <w:rPr>
                <w:sz w:val="23"/>
              </w:rPr>
              <w:t>.543**</w:t>
            </w:r>
          </w:p>
        </w:tc>
        <w:tc>
          <w:tcPr>
            <w:tcW w:w="1133" w:type="dxa"/>
            <w:tcBorders>
              <w:left w:val="single" w:sz="8" w:space="0" w:color="000000"/>
              <w:bottom w:val="nil"/>
              <w:right w:val="single" w:sz="8" w:space="0" w:color="000000"/>
            </w:tcBorders>
          </w:tcPr>
          <w:p>
            <w:pPr>
              <w:pStyle w:val="TableParagraph"/>
              <w:spacing w:line="261" w:lineRule="exact"/>
              <w:ind w:left="11" w:right="11"/>
              <w:rPr>
                <w:sz w:val="23"/>
              </w:rPr>
            </w:pPr>
            <w:r>
              <w:rPr>
                <w:sz w:val="23"/>
              </w:rPr>
              <w:t>.982**</w:t>
            </w:r>
          </w:p>
        </w:tc>
        <w:tc>
          <w:tcPr>
            <w:tcW w:w="994" w:type="dxa"/>
            <w:tcBorders>
              <w:left w:val="single" w:sz="8" w:space="0" w:color="000000"/>
              <w:bottom w:val="nil"/>
            </w:tcBorders>
          </w:tcPr>
          <w:p>
            <w:pPr>
              <w:pStyle w:val="TableParagraph"/>
              <w:spacing w:line="261" w:lineRule="exact"/>
              <w:ind w:left="145" w:right="147"/>
              <w:rPr>
                <w:sz w:val="23"/>
              </w:rPr>
            </w:pPr>
            <w:r>
              <w:rPr>
                <w:sz w:val="23"/>
              </w:rPr>
              <w:t>.241**</w:t>
            </w:r>
          </w:p>
        </w:tc>
      </w:tr>
      <w:tr>
        <w:trPr>
          <w:trHeight w:val="437" w:hRule="exact"/>
        </w:trPr>
        <w:tc>
          <w:tcPr>
            <w:tcW w:w="1099" w:type="dxa"/>
            <w:vMerge/>
            <w:tcBorders>
              <w:right w:val="nil"/>
            </w:tcBorders>
          </w:tcPr>
          <w:p>
            <w:pPr/>
          </w:p>
        </w:tc>
        <w:tc>
          <w:tcPr>
            <w:tcW w:w="1667" w:type="dxa"/>
            <w:tcBorders>
              <w:top w:val="nil"/>
              <w:left w:val="nil"/>
              <w:bottom w:val="nil"/>
              <w:right w:val="nil"/>
            </w:tcBorders>
          </w:tcPr>
          <w:p>
            <w:pPr/>
          </w:p>
        </w:tc>
        <w:tc>
          <w:tcPr>
            <w:tcW w:w="2611" w:type="dxa"/>
            <w:tcBorders>
              <w:top w:val="nil"/>
              <w:left w:val="nil"/>
              <w:bottom w:val="nil"/>
            </w:tcBorders>
          </w:tcPr>
          <w:p>
            <w:pPr>
              <w:pStyle w:val="TableParagraph"/>
              <w:spacing w:before="74"/>
              <w:ind w:left="75" w:right="47"/>
              <w:rPr>
                <w:sz w:val="23"/>
              </w:rPr>
            </w:pPr>
            <w:r>
              <w:rPr>
                <w:sz w:val="23"/>
              </w:rPr>
              <w:t>Sig. (bilateral)</w:t>
            </w:r>
          </w:p>
        </w:tc>
        <w:tc>
          <w:tcPr>
            <w:tcW w:w="811" w:type="dxa"/>
            <w:tcBorders>
              <w:top w:val="nil"/>
              <w:bottom w:val="nil"/>
              <w:right w:val="single" w:sz="8" w:space="0" w:color="000000"/>
            </w:tcBorders>
          </w:tcPr>
          <w:p>
            <w:pPr>
              <w:pStyle w:val="TableParagraph"/>
              <w:spacing w:before="74"/>
              <w:ind w:right="2"/>
              <w:rPr>
                <w:sz w:val="23"/>
              </w:rPr>
            </w:pPr>
            <w:r>
              <w:rPr>
                <w:w w:val="100"/>
                <w:sz w:val="23"/>
              </w:rPr>
              <w:t>.</w:t>
            </w:r>
          </w:p>
        </w:tc>
        <w:tc>
          <w:tcPr>
            <w:tcW w:w="852" w:type="dxa"/>
            <w:tcBorders>
              <w:top w:val="nil"/>
              <w:left w:val="single" w:sz="8" w:space="0" w:color="000000"/>
              <w:bottom w:val="nil"/>
              <w:right w:val="single" w:sz="8" w:space="0" w:color="000000"/>
            </w:tcBorders>
          </w:tcPr>
          <w:p>
            <w:pPr>
              <w:pStyle w:val="TableParagraph"/>
              <w:spacing w:before="74"/>
              <w:ind w:left="213" w:right="35"/>
              <w:jc w:val="left"/>
              <w:rPr>
                <w:sz w:val="23"/>
              </w:rPr>
            </w:pPr>
            <w:r>
              <w:rPr>
                <w:sz w:val="23"/>
              </w:rPr>
              <w:t>.000</w:t>
            </w:r>
          </w:p>
        </w:tc>
        <w:tc>
          <w:tcPr>
            <w:tcW w:w="1133" w:type="dxa"/>
            <w:tcBorders>
              <w:top w:val="nil"/>
              <w:left w:val="single" w:sz="8" w:space="0" w:color="000000"/>
              <w:bottom w:val="nil"/>
              <w:right w:val="single" w:sz="8" w:space="0" w:color="000000"/>
            </w:tcBorders>
          </w:tcPr>
          <w:p>
            <w:pPr>
              <w:pStyle w:val="TableParagraph"/>
              <w:spacing w:before="74"/>
              <w:ind w:left="11" w:right="11"/>
              <w:rPr>
                <w:sz w:val="23"/>
              </w:rPr>
            </w:pPr>
            <w:r>
              <w:rPr>
                <w:sz w:val="23"/>
              </w:rPr>
              <w:t>.000</w:t>
            </w:r>
          </w:p>
        </w:tc>
        <w:tc>
          <w:tcPr>
            <w:tcW w:w="994" w:type="dxa"/>
            <w:tcBorders>
              <w:top w:val="nil"/>
              <w:left w:val="single" w:sz="8" w:space="0" w:color="000000"/>
              <w:bottom w:val="nil"/>
            </w:tcBorders>
          </w:tcPr>
          <w:p>
            <w:pPr>
              <w:pStyle w:val="TableParagraph"/>
              <w:spacing w:before="74"/>
              <w:ind w:left="145" w:right="147"/>
              <w:rPr>
                <w:sz w:val="23"/>
              </w:rPr>
            </w:pPr>
            <w:r>
              <w:rPr>
                <w:sz w:val="23"/>
              </w:rPr>
              <w:t>.001</w:t>
            </w:r>
          </w:p>
        </w:tc>
      </w:tr>
      <w:tr>
        <w:trPr>
          <w:trHeight w:val="486" w:hRule="exact"/>
        </w:trPr>
        <w:tc>
          <w:tcPr>
            <w:tcW w:w="1099" w:type="dxa"/>
            <w:vMerge/>
            <w:tcBorders>
              <w:right w:val="nil"/>
            </w:tcBorders>
          </w:tcPr>
          <w:p>
            <w:pPr/>
          </w:p>
        </w:tc>
        <w:tc>
          <w:tcPr>
            <w:tcW w:w="1667" w:type="dxa"/>
            <w:tcBorders>
              <w:top w:val="nil"/>
              <w:left w:val="nil"/>
              <w:bottom w:val="single" w:sz="8" w:space="0" w:color="000000"/>
              <w:right w:val="nil"/>
            </w:tcBorders>
          </w:tcPr>
          <w:p>
            <w:pPr/>
          </w:p>
        </w:tc>
        <w:tc>
          <w:tcPr>
            <w:tcW w:w="2611" w:type="dxa"/>
            <w:tcBorders>
              <w:top w:val="nil"/>
              <w:left w:val="nil"/>
              <w:bottom w:val="single" w:sz="8" w:space="0" w:color="000000"/>
            </w:tcBorders>
          </w:tcPr>
          <w:p>
            <w:pPr>
              <w:pStyle w:val="TableParagraph"/>
              <w:spacing w:before="74"/>
              <w:ind w:left="26"/>
              <w:rPr>
                <w:sz w:val="23"/>
              </w:rPr>
            </w:pPr>
            <w:r>
              <w:rPr>
                <w:w w:val="100"/>
                <w:sz w:val="23"/>
              </w:rPr>
              <w:t>N</w:t>
            </w:r>
          </w:p>
        </w:tc>
        <w:tc>
          <w:tcPr>
            <w:tcW w:w="811" w:type="dxa"/>
            <w:tcBorders>
              <w:top w:val="nil"/>
              <w:bottom w:val="single" w:sz="8" w:space="0" w:color="000000"/>
              <w:right w:val="single" w:sz="8" w:space="0" w:color="000000"/>
            </w:tcBorders>
          </w:tcPr>
          <w:p>
            <w:pPr>
              <w:pStyle w:val="TableParagraph"/>
              <w:spacing w:before="74"/>
              <w:ind w:left="216" w:right="-18"/>
              <w:jc w:val="left"/>
              <w:rPr>
                <w:sz w:val="23"/>
              </w:rPr>
            </w:pPr>
            <w:r>
              <w:rPr>
                <w:sz w:val="23"/>
              </w:rPr>
              <w:t>192</w:t>
            </w:r>
          </w:p>
        </w:tc>
        <w:tc>
          <w:tcPr>
            <w:tcW w:w="852" w:type="dxa"/>
            <w:tcBorders>
              <w:top w:val="nil"/>
              <w:left w:val="single" w:sz="8" w:space="0" w:color="000000"/>
              <w:bottom w:val="single" w:sz="8" w:space="0" w:color="000000"/>
              <w:right w:val="single" w:sz="8" w:space="0" w:color="000000"/>
            </w:tcBorders>
          </w:tcPr>
          <w:p>
            <w:pPr>
              <w:pStyle w:val="TableParagraph"/>
              <w:spacing w:before="74"/>
              <w:ind w:left="242" w:right="35"/>
              <w:jc w:val="left"/>
              <w:rPr>
                <w:sz w:val="23"/>
              </w:rPr>
            </w:pPr>
            <w:r>
              <w:rPr>
                <w:sz w:val="23"/>
              </w:rPr>
              <w:t>192</w:t>
            </w:r>
          </w:p>
        </w:tc>
        <w:tc>
          <w:tcPr>
            <w:tcW w:w="1133" w:type="dxa"/>
            <w:tcBorders>
              <w:top w:val="nil"/>
              <w:left w:val="single" w:sz="8" w:space="0" w:color="000000"/>
              <w:bottom w:val="single" w:sz="8" w:space="0" w:color="000000"/>
              <w:right w:val="single" w:sz="8" w:space="0" w:color="000000"/>
            </w:tcBorders>
          </w:tcPr>
          <w:p>
            <w:pPr>
              <w:pStyle w:val="TableParagraph"/>
              <w:spacing w:before="74"/>
              <w:ind w:left="11" w:right="11"/>
              <w:rPr>
                <w:sz w:val="23"/>
              </w:rPr>
            </w:pPr>
            <w:r>
              <w:rPr>
                <w:sz w:val="23"/>
              </w:rPr>
              <w:t>192</w:t>
            </w:r>
          </w:p>
        </w:tc>
        <w:tc>
          <w:tcPr>
            <w:tcW w:w="994" w:type="dxa"/>
            <w:tcBorders>
              <w:top w:val="nil"/>
              <w:left w:val="single" w:sz="8" w:space="0" w:color="000000"/>
              <w:bottom w:val="single" w:sz="8" w:space="0" w:color="000000"/>
            </w:tcBorders>
          </w:tcPr>
          <w:p>
            <w:pPr>
              <w:pStyle w:val="TableParagraph"/>
              <w:spacing w:before="74"/>
              <w:ind w:left="145" w:right="147"/>
              <w:rPr>
                <w:sz w:val="23"/>
              </w:rPr>
            </w:pPr>
            <w:r>
              <w:rPr>
                <w:sz w:val="23"/>
              </w:rPr>
              <w:t>192</w:t>
            </w:r>
          </w:p>
        </w:tc>
      </w:tr>
      <w:tr>
        <w:trPr>
          <w:trHeight w:val="387" w:hRule="exact"/>
        </w:trPr>
        <w:tc>
          <w:tcPr>
            <w:tcW w:w="1099" w:type="dxa"/>
            <w:vMerge/>
            <w:tcBorders>
              <w:right w:val="nil"/>
            </w:tcBorders>
          </w:tcPr>
          <w:p>
            <w:pPr/>
          </w:p>
        </w:tc>
        <w:tc>
          <w:tcPr>
            <w:tcW w:w="1667" w:type="dxa"/>
            <w:tcBorders>
              <w:top w:val="single" w:sz="8" w:space="0" w:color="000000"/>
              <w:left w:val="nil"/>
              <w:bottom w:val="nil"/>
              <w:right w:val="nil"/>
            </w:tcBorders>
          </w:tcPr>
          <w:p>
            <w:pPr>
              <w:pStyle w:val="TableParagraph"/>
              <w:spacing w:before="15"/>
              <w:ind w:left="97" w:right="75"/>
              <w:rPr>
                <w:sz w:val="23"/>
              </w:rPr>
            </w:pPr>
            <w:r>
              <w:rPr>
                <w:sz w:val="23"/>
              </w:rPr>
              <w:t>PASTO NAT</w:t>
            </w:r>
          </w:p>
        </w:tc>
        <w:tc>
          <w:tcPr>
            <w:tcW w:w="2611" w:type="dxa"/>
            <w:tcBorders>
              <w:top w:val="single" w:sz="8" w:space="0" w:color="000000"/>
              <w:left w:val="nil"/>
              <w:bottom w:val="nil"/>
            </w:tcBorders>
          </w:tcPr>
          <w:p>
            <w:pPr>
              <w:pStyle w:val="TableParagraph"/>
              <w:spacing w:before="15"/>
              <w:ind w:left="75" w:right="50"/>
              <w:rPr>
                <w:sz w:val="23"/>
              </w:rPr>
            </w:pPr>
            <w:r>
              <w:rPr>
                <w:sz w:val="23"/>
              </w:rPr>
              <w:t>Coeficiente de correlación</w:t>
            </w:r>
          </w:p>
        </w:tc>
        <w:tc>
          <w:tcPr>
            <w:tcW w:w="811" w:type="dxa"/>
            <w:tcBorders>
              <w:top w:val="single" w:sz="8" w:space="0" w:color="000000"/>
              <w:bottom w:val="nil"/>
              <w:right w:val="single" w:sz="8" w:space="0" w:color="000000"/>
            </w:tcBorders>
          </w:tcPr>
          <w:p>
            <w:pPr>
              <w:pStyle w:val="TableParagraph"/>
              <w:spacing w:before="15"/>
              <w:ind w:left="72" w:right="-18"/>
              <w:jc w:val="left"/>
              <w:rPr>
                <w:sz w:val="23"/>
              </w:rPr>
            </w:pPr>
            <w:r>
              <w:rPr>
                <w:sz w:val="23"/>
              </w:rPr>
              <w:t>.543**</w:t>
            </w:r>
          </w:p>
        </w:tc>
        <w:tc>
          <w:tcPr>
            <w:tcW w:w="852" w:type="dxa"/>
            <w:tcBorders>
              <w:top w:val="single" w:sz="8" w:space="0" w:color="000000"/>
              <w:left w:val="single" w:sz="8" w:space="0" w:color="000000"/>
              <w:bottom w:val="nil"/>
              <w:right w:val="single" w:sz="8" w:space="0" w:color="000000"/>
            </w:tcBorders>
          </w:tcPr>
          <w:p>
            <w:pPr>
              <w:pStyle w:val="TableParagraph"/>
              <w:spacing w:before="15"/>
              <w:ind w:right="156"/>
              <w:jc w:val="right"/>
              <w:rPr>
                <w:sz w:val="23"/>
              </w:rPr>
            </w:pPr>
            <w:r>
              <w:rPr>
                <w:sz w:val="23"/>
              </w:rPr>
              <w:t>1.000</w:t>
            </w:r>
          </w:p>
        </w:tc>
        <w:tc>
          <w:tcPr>
            <w:tcW w:w="1133" w:type="dxa"/>
            <w:tcBorders>
              <w:top w:val="single" w:sz="8" w:space="0" w:color="000000"/>
              <w:left w:val="single" w:sz="8" w:space="0" w:color="000000"/>
              <w:bottom w:val="nil"/>
              <w:right w:val="single" w:sz="8" w:space="0" w:color="000000"/>
            </w:tcBorders>
          </w:tcPr>
          <w:p>
            <w:pPr>
              <w:pStyle w:val="TableParagraph"/>
              <w:spacing w:before="15"/>
              <w:ind w:left="11" w:right="11"/>
              <w:rPr>
                <w:sz w:val="23"/>
              </w:rPr>
            </w:pPr>
            <w:r>
              <w:rPr>
                <w:sz w:val="23"/>
              </w:rPr>
              <w:t>.563**</w:t>
            </w:r>
          </w:p>
        </w:tc>
        <w:tc>
          <w:tcPr>
            <w:tcW w:w="994" w:type="dxa"/>
            <w:tcBorders>
              <w:top w:val="single" w:sz="8" w:space="0" w:color="000000"/>
              <w:left w:val="single" w:sz="8" w:space="0" w:color="000000"/>
              <w:bottom w:val="nil"/>
            </w:tcBorders>
          </w:tcPr>
          <w:p>
            <w:pPr>
              <w:pStyle w:val="TableParagraph"/>
              <w:spacing w:before="15"/>
              <w:ind w:left="145" w:right="147"/>
              <w:rPr>
                <w:sz w:val="23"/>
              </w:rPr>
            </w:pPr>
            <w:r>
              <w:rPr>
                <w:sz w:val="23"/>
              </w:rPr>
              <w:t>.097</w:t>
            </w:r>
          </w:p>
        </w:tc>
      </w:tr>
      <w:tr>
        <w:trPr>
          <w:trHeight w:val="436" w:hRule="exact"/>
        </w:trPr>
        <w:tc>
          <w:tcPr>
            <w:tcW w:w="1099" w:type="dxa"/>
            <w:vMerge/>
            <w:tcBorders>
              <w:right w:val="nil"/>
            </w:tcBorders>
          </w:tcPr>
          <w:p>
            <w:pPr/>
          </w:p>
        </w:tc>
        <w:tc>
          <w:tcPr>
            <w:tcW w:w="1667" w:type="dxa"/>
            <w:tcBorders>
              <w:top w:val="nil"/>
              <w:left w:val="nil"/>
              <w:bottom w:val="nil"/>
              <w:right w:val="nil"/>
            </w:tcBorders>
          </w:tcPr>
          <w:p>
            <w:pPr/>
          </w:p>
        </w:tc>
        <w:tc>
          <w:tcPr>
            <w:tcW w:w="2611" w:type="dxa"/>
            <w:tcBorders>
              <w:top w:val="nil"/>
              <w:left w:val="nil"/>
              <w:bottom w:val="nil"/>
            </w:tcBorders>
          </w:tcPr>
          <w:p>
            <w:pPr>
              <w:pStyle w:val="TableParagraph"/>
              <w:spacing w:before="72"/>
              <w:ind w:left="75" w:right="47"/>
              <w:rPr>
                <w:sz w:val="23"/>
              </w:rPr>
            </w:pPr>
            <w:r>
              <w:rPr>
                <w:sz w:val="23"/>
              </w:rPr>
              <w:t>Sig. (bilateral)</w:t>
            </w:r>
          </w:p>
        </w:tc>
        <w:tc>
          <w:tcPr>
            <w:tcW w:w="811" w:type="dxa"/>
            <w:tcBorders>
              <w:top w:val="nil"/>
              <w:bottom w:val="nil"/>
              <w:right w:val="single" w:sz="8" w:space="0" w:color="000000"/>
            </w:tcBorders>
          </w:tcPr>
          <w:p>
            <w:pPr>
              <w:pStyle w:val="TableParagraph"/>
              <w:spacing w:before="72"/>
              <w:ind w:left="187" w:right="-18"/>
              <w:jc w:val="left"/>
              <w:rPr>
                <w:sz w:val="23"/>
              </w:rPr>
            </w:pPr>
            <w:r>
              <w:rPr>
                <w:sz w:val="23"/>
              </w:rPr>
              <w:t>.000</w:t>
            </w:r>
          </w:p>
        </w:tc>
        <w:tc>
          <w:tcPr>
            <w:tcW w:w="852" w:type="dxa"/>
            <w:tcBorders>
              <w:top w:val="nil"/>
              <w:left w:val="single" w:sz="8" w:space="0" w:color="000000"/>
              <w:bottom w:val="nil"/>
              <w:right w:val="single" w:sz="8" w:space="0" w:color="000000"/>
            </w:tcBorders>
          </w:tcPr>
          <w:p>
            <w:pPr>
              <w:pStyle w:val="TableParagraph"/>
              <w:spacing w:before="72"/>
              <w:rPr>
                <w:sz w:val="23"/>
              </w:rPr>
            </w:pPr>
            <w:r>
              <w:rPr>
                <w:w w:val="100"/>
                <w:sz w:val="23"/>
              </w:rPr>
              <w:t>.</w:t>
            </w:r>
          </w:p>
        </w:tc>
        <w:tc>
          <w:tcPr>
            <w:tcW w:w="1133" w:type="dxa"/>
            <w:tcBorders>
              <w:top w:val="nil"/>
              <w:left w:val="single" w:sz="8" w:space="0" w:color="000000"/>
              <w:bottom w:val="nil"/>
              <w:right w:val="single" w:sz="8" w:space="0" w:color="000000"/>
            </w:tcBorders>
          </w:tcPr>
          <w:p>
            <w:pPr>
              <w:pStyle w:val="TableParagraph"/>
              <w:spacing w:before="72"/>
              <w:ind w:left="11" w:right="11"/>
              <w:rPr>
                <w:sz w:val="23"/>
              </w:rPr>
            </w:pPr>
            <w:r>
              <w:rPr>
                <w:sz w:val="23"/>
              </w:rPr>
              <w:t>.000</w:t>
            </w:r>
          </w:p>
        </w:tc>
        <w:tc>
          <w:tcPr>
            <w:tcW w:w="994" w:type="dxa"/>
            <w:tcBorders>
              <w:top w:val="nil"/>
              <w:left w:val="single" w:sz="8" w:space="0" w:color="000000"/>
              <w:bottom w:val="nil"/>
            </w:tcBorders>
          </w:tcPr>
          <w:p>
            <w:pPr>
              <w:pStyle w:val="TableParagraph"/>
              <w:spacing w:before="72"/>
              <w:ind w:left="145" w:right="147"/>
              <w:rPr>
                <w:sz w:val="23"/>
              </w:rPr>
            </w:pPr>
            <w:r>
              <w:rPr>
                <w:sz w:val="23"/>
              </w:rPr>
              <w:t>.179</w:t>
            </w:r>
          </w:p>
        </w:tc>
      </w:tr>
      <w:tr>
        <w:trPr>
          <w:trHeight w:val="488" w:hRule="exact"/>
        </w:trPr>
        <w:tc>
          <w:tcPr>
            <w:tcW w:w="1099" w:type="dxa"/>
            <w:vMerge/>
            <w:tcBorders>
              <w:right w:val="nil"/>
            </w:tcBorders>
          </w:tcPr>
          <w:p>
            <w:pPr/>
          </w:p>
        </w:tc>
        <w:tc>
          <w:tcPr>
            <w:tcW w:w="1667" w:type="dxa"/>
            <w:tcBorders>
              <w:top w:val="nil"/>
              <w:left w:val="nil"/>
              <w:bottom w:val="single" w:sz="8" w:space="0" w:color="000000"/>
              <w:right w:val="nil"/>
            </w:tcBorders>
          </w:tcPr>
          <w:p>
            <w:pPr/>
          </w:p>
        </w:tc>
        <w:tc>
          <w:tcPr>
            <w:tcW w:w="2611" w:type="dxa"/>
            <w:tcBorders>
              <w:top w:val="nil"/>
              <w:left w:val="nil"/>
              <w:bottom w:val="single" w:sz="8" w:space="0" w:color="000000"/>
            </w:tcBorders>
          </w:tcPr>
          <w:p>
            <w:pPr>
              <w:pStyle w:val="TableParagraph"/>
              <w:spacing w:before="74"/>
              <w:ind w:left="26"/>
              <w:rPr>
                <w:sz w:val="23"/>
              </w:rPr>
            </w:pPr>
            <w:r>
              <w:rPr>
                <w:w w:val="100"/>
                <w:sz w:val="23"/>
              </w:rPr>
              <w:t>N</w:t>
            </w:r>
          </w:p>
        </w:tc>
        <w:tc>
          <w:tcPr>
            <w:tcW w:w="811" w:type="dxa"/>
            <w:tcBorders>
              <w:top w:val="nil"/>
              <w:bottom w:val="single" w:sz="8" w:space="0" w:color="000000"/>
              <w:right w:val="single" w:sz="8" w:space="0" w:color="000000"/>
            </w:tcBorders>
          </w:tcPr>
          <w:p>
            <w:pPr>
              <w:pStyle w:val="TableParagraph"/>
              <w:spacing w:before="74"/>
              <w:ind w:left="216" w:right="-18"/>
              <w:jc w:val="left"/>
              <w:rPr>
                <w:sz w:val="23"/>
              </w:rPr>
            </w:pPr>
            <w:r>
              <w:rPr>
                <w:sz w:val="23"/>
              </w:rPr>
              <w:t>192</w:t>
            </w:r>
          </w:p>
        </w:tc>
        <w:tc>
          <w:tcPr>
            <w:tcW w:w="852" w:type="dxa"/>
            <w:tcBorders>
              <w:top w:val="nil"/>
              <w:left w:val="single" w:sz="8" w:space="0" w:color="000000"/>
              <w:bottom w:val="single" w:sz="8" w:space="0" w:color="000000"/>
              <w:right w:val="single" w:sz="8" w:space="0" w:color="000000"/>
            </w:tcBorders>
          </w:tcPr>
          <w:p>
            <w:pPr>
              <w:pStyle w:val="TableParagraph"/>
              <w:spacing w:before="74"/>
              <w:ind w:left="242" w:right="35"/>
              <w:jc w:val="left"/>
              <w:rPr>
                <w:sz w:val="23"/>
              </w:rPr>
            </w:pPr>
            <w:r>
              <w:rPr>
                <w:sz w:val="23"/>
              </w:rPr>
              <w:t>192</w:t>
            </w:r>
          </w:p>
        </w:tc>
        <w:tc>
          <w:tcPr>
            <w:tcW w:w="1133" w:type="dxa"/>
            <w:tcBorders>
              <w:top w:val="nil"/>
              <w:left w:val="single" w:sz="8" w:space="0" w:color="000000"/>
              <w:bottom w:val="single" w:sz="8" w:space="0" w:color="000000"/>
              <w:right w:val="single" w:sz="8" w:space="0" w:color="000000"/>
            </w:tcBorders>
          </w:tcPr>
          <w:p>
            <w:pPr>
              <w:pStyle w:val="TableParagraph"/>
              <w:spacing w:before="74"/>
              <w:ind w:left="11" w:right="11"/>
              <w:rPr>
                <w:sz w:val="23"/>
              </w:rPr>
            </w:pPr>
            <w:r>
              <w:rPr>
                <w:sz w:val="23"/>
              </w:rPr>
              <w:t>192</w:t>
            </w:r>
          </w:p>
        </w:tc>
        <w:tc>
          <w:tcPr>
            <w:tcW w:w="994" w:type="dxa"/>
            <w:tcBorders>
              <w:top w:val="nil"/>
              <w:left w:val="single" w:sz="8" w:space="0" w:color="000000"/>
              <w:bottom w:val="single" w:sz="8" w:space="0" w:color="000000"/>
            </w:tcBorders>
          </w:tcPr>
          <w:p>
            <w:pPr>
              <w:pStyle w:val="TableParagraph"/>
              <w:spacing w:before="74"/>
              <w:ind w:left="145" w:right="147"/>
              <w:rPr>
                <w:sz w:val="23"/>
              </w:rPr>
            </w:pPr>
            <w:r>
              <w:rPr>
                <w:sz w:val="23"/>
              </w:rPr>
              <w:t>192</w:t>
            </w:r>
          </w:p>
        </w:tc>
      </w:tr>
      <w:tr>
        <w:trPr>
          <w:trHeight w:val="386" w:hRule="exact"/>
        </w:trPr>
        <w:tc>
          <w:tcPr>
            <w:tcW w:w="1099" w:type="dxa"/>
            <w:vMerge/>
            <w:tcBorders>
              <w:right w:val="nil"/>
            </w:tcBorders>
          </w:tcPr>
          <w:p>
            <w:pPr/>
          </w:p>
        </w:tc>
        <w:tc>
          <w:tcPr>
            <w:tcW w:w="1667" w:type="dxa"/>
            <w:tcBorders>
              <w:top w:val="single" w:sz="8" w:space="0" w:color="000000"/>
              <w:left w:val="nil"/>
              <w:bottom w:val="nil"/>
              <w:right w:val="nil"/>
            </w:tcBorders>
          </w:tcPr>
          <w:p>
            <w:pPr>
              <w:pStyle w:val="TableParagraph"/>
              <w:spacing w:before="13"/>
              <w:ind w:left="98" w:right="75"/>
              <w:rPr>
                <w:sz w:val="23"/>
              </w:rPr>
            </w:pPr>
            <w:r>
              <w:rPr>
                <w:sz w:val="23"/>
              </w:rPr>
              <w:t>CABEZAS</w:t>
            </w:r>
          </w:p>
        </w:tc>
        <w:tc>
          <w:tcPr>
            <w:tcW w:w="2611" w:type="dxa"/>
            <w:tcBorders>
              <w:top w:val="single" w:sz="8" w:space="0" w:color="000000"/>
              <w:left w:val="nil"/>
              <w:bottom w:val="nil"/>
            </w:tcBorders>
          </w:tcPr>
          <w:p>
            <w:pPr>
              <w:pStyle w:val="TableParagraph"/>
              <w:spacing w:before="13"/>
              <w:ind w:left="75" w:right="50"/>
              <w:rPr>
                <w:sz w:val="23"/>
              </w:rPr>
            </w:pPr>
            <w:r>
              <w:rPr>
                <w:sz w:val="23"/>
              </w:rPr>
              <w:t>Coeficiente de correlación</w:t>
            </w:r>
          </w:p>
        </w:tc>
        <w:tc>
          <w:tcPr>
            <w:tcW w:w="811" w:type="dxa"/>
            <w:tcBorders>
              <w:top w:val="single" w:sz="8" w:space="0" w:color="000000"/>
              <w:bottom w:val="nil"/>
              <w:right w:val="single" w:sz="8" w:space="0" w:color="000000"/>
            </w:tcBorders>
          </w:tcPr>
          <w:p>
            <w:pPr>
              <w:pStyle w:val="TableParagraph"/>
              <w:spacing w:before="13"/>
              <w:ind w:left="72" w:right="-18"/>
              <w:jc w:val="left"/>
              <w:rPr>
                <w:sz w:val="23"/>
              </w:rPr>
            </w:pPr>
            <w:r>
              <w:rPr>
                <w:sz w:val="23"/>
              </w:rPr>
              <w:t>.982**</w:t>
            </w:r>
          </w:p>
        </w:tc>
        <w:tc>
          <w:tcPr>
            <w:tcW w:w="852" w:type="dxa"/>
            <w:tcBorders>
              <w:top w:val="single" w:sz="8" w:space="0" w:color="000000"/>
              <w:left w:val="single" w:sz="8" w:space="0" w:color="000000"/>
              <w:bottom w:val="nil"/>
              <w:right w:val="single" w:sz="8" w:space="0" w:color="000000"/>
            </w:tcBorders>
          </w:tcPr>
          <w:p>
            <w:pPr>
              <w:pStyle w:val="TableParagraph"/>
              <w:spacing w:before="13"/>
              <w:ind w:right="98"/>
              <w:jc w:val="right"/>
              <w:rPr>
                <w:sz w:val="23"/>
              </w:rPr>
            </w:pPr>
            <w:r>
              <w:rPr>
                <w:sz w:val="23"/>
              </w:rPr>
              <w:t>.563**</w:t>
            </w:r>
          </w:p>
        </w:tc>
        <w:tc>
          <w:tcPr>
            <w:tcW w:w="1133" w:type="dxa"/>
            <w:tcBorders>
              <w:top w:val="single" w:sz="8" w:space="0" w:color="000000"/>
              <w:left w:val="single" w:sz="8" w:space="0" w:color="000000"/>
              <w:bottom w:val="nil"/>
              <w:right w:val="single" w:sz="8" w:space="0" w:color="000000"/>
            </w:tcBorders>
          </w:tcPr>
          <w:p>
            <w:pPr>
              <w:pStyle w:val="TableParagraph"/>
              <w:spacing w:before="13"/>
              <w:ind w:left="11" w:right="11"/>
              <w:rPr>
                <w:sz w:val="23"/>
              </w:rPr>
            </w:pPr>
            <w:r>
              <w:rPr>
                <w:sz w:val="23"/>
              </w:rPr>
              <w:t>1.000</w:t>
            </w:r>
          </w:p>
        </w:tc>
        <w:tc>
          <w:tcPr>
            <w:tcW w:w="994" w:type="dxa"/>
            <w:tcBorders>
              <w:top w:val="single" w:sz="8" w:space="0" w:color="000000"/>
              <w:left w:val="single" w:sz="8" w:space="0" w:color="000000"/>
              <w:bottom w:val="nil"/>
            </w:tcBorders>
          </w:tcPr>
          <w:p>
            <w:pPr>
              <w:pStyle w:val="TableParagraph"/>
              <w:spacing w:before="13"/>
              <w:ind w:left="145" w:right="147"/>
              <w:rPr>
                <w:sz w:val="23"/>
              </w:rPr>
            </w:pPr>
            <w:r>
              <w:rPr>
                <w:sz w:val="23"/>
              </w:rPr>
              <w:t>.257**</w:t>
            </w:r>
          </w:p>
        </w:tc>
      </w:tr>
      <w:tr>
        <w:trPr>
          <w:trHeight w:val="437" w:hRule="exact"/>
        </w:trPr>
        <w:tc>
          <w:tcPr>
            <w:tcW w:w="1099" w:type="dxa"/>
            <w:vMerge/>
            <w:tcBorders>
              <w:right w:val="nil"/>
            </w:tcBorders>
          </w:tcPr>
          <w:p>
            <w:pPr/>
          </w:p>
        </w:tc>
        <w:tc>
          <w:tcPr>
            <w:tcW w:w="1667" w:type="dxa"/>
            <w:tcBorders>
              <w:top w:val="nil"/>
              <w:left w:val="nil"/>
              <w:bottom w:val="nil"/>
              <w:right w:val="nil"/>
            </w:tcBorders>
          </w:tcPr>
          <w:p>
            <w:pPr/>
          </w:p>
        </w:tc>
        <w:tc>
          <w:tcPr>
            <w:tcW w:w="2611" w:type="dxa"/>
            <w:tcBorders>
              <w:top w:val="nil"/>
              <w:left w:val="nil"/>
              <w:bottom w:val="nil"/>
            </w:tcBorders>
          </w:tcPr>
          <w:p>
            <w:pPr>
              <w:pStyle w:val="TableParagraph"/>
              <w:spacing w:before="74"/>
              <w:ind w:left="75" w:right="47"/>
              <w:rPr>
                <w:sz w:val="23"/>
              </w:rPr>
            </w:pPr>
            <w:r>
              <w:rPr>
                <w:sz w:val="23"/>
              </w:rPr>
              <w:t>Sig. (bilateral)</w:t>
            </w:r>
          </w:p>
        </w:tc>
        <w:tc>
          <w:tcPr>
            <w:tcW w:w="811" w:type="dxa"/>
            <w:tcBorders>
              <w:top w:val="nil"/>
              <w:bottom w:val="nil"/>
              <w:right w:val="single" w:sz="8" w:space="0" w:color="000000"/>
            </w:tcBorders>
          </w:tcPr>
          <w:p>
            <w:pPr>
              <w:pStyle w:val="TableParagraph"/>
              <w:spacing w:before="74"/>
              <w:ind w:left="187" w:right="-18"/>
              <w:jc w:val="left"/>
              <w:rPr>
                <w:sz w:val="23"/>
              </w:rPr>
            </w:pPr>
            <w:r>
              <w:rPr>
                <w:sz w:val="23"/>
              </w:rPr>
              <w:t>.000</w:t>
            </w:r>
          </w:p>
        </w:tc>
        <w:tc>
          <w:tcPr>
            <w:tcW w:w="852" w:type="dxa"/>
            <w:tcBorders>
              <w:top w:val="nil"/>
              <w:left w:val="single" w:sz="8" w:space="0" w:color="000000"/>
              <w:bottom w:val="nil"/>
              <w:right w:val="single" w:sz="8" w:space="0" w:color="000000"/>
            </w:tcBorders>
          </w:tcPr>
          <w:p>
            <w:pPr>
              <w:pStyle w:val="TableParagraph"/>
              <w:spacing w:before="74"/>
              <w:ind w:left="213" w:right="35"/>
              <w:jc w:val="left"/>
              <w:rPr>
                <w:sz w:val="23"/>
              </w:rPr>
            </w:pPr>
            <w:r>
              <w:rPr>
                <w:sz w:val="23"/>
              </w:rPr>
              <w:t>.000</w:t>
            </w:r>
          </w:p>
        </w:tc>
        <w:tc>
          <w:tcPr>
            <w:tcW w:w="1133" w:type="dxa"/>
            <w:tcBorders>
              <w:top w:val="nil"/>
              <w:left w:val="single" w:sz="8" w:space="0" w:color="000000"/>
              <w:bottom w:val="nil"/>
              <w:right w:val="single" w:sz="8" w:space="0" w:color="000000"/>
            </w:tcBorders>
          </w:tcPr>
          <w:p>
            <w:pPr>
              <w:pStyle w:val="TableParagraph"/>
              <w:spacing w:before="74"/>
              <w:rPr>
                <w:sz w:val="23"/>
              </w:rPr>
            </w:pPr>
            <w:r>
              <w:rPr>
                <w:w w:val="100"/>
                <w:sz w:val="23"/>
              </w:rPr>
              <w:t>.</w:t>
            </w:r>
          </w:p>
        </w:tc>
        <w:tc>
          <w:tcPr>
            <w:tcW w:w="994" w:type="dxa"/>
            <w:tcBorders>
              <w:top w:val="nil"/>
              <w:left w:val="single" w:sz="8" w:space="0" w:color="000000"/>
              <w:bottom w:val="nil"/>
            </w:tcBorders>
          </w:tcPr>
          <w:p>
            <w:pPr>
              <w:pStyle w:val="TableParagraph"/>
              <w:spacing w:before="74"/>
              <w:ind w:left="145" w:right="147"/>
              <w:rPr>
                <w:sz w:val="23"/>
              </w:rPr>
            </w:pPr>
            <w:r>
              <w:rPr>
                <w:sz w:val="23"/>
              </w:rPr>
              <w:t>.000</w:t>
            </w:r>
          </w:p>
        </w:tc>
      </w:tr>
      <w:tr>
        <w:trPr>
          <w:trHeight w:val="488" w:hRule="exact"/>
        </w:trPr>
        <w:tc>
          <w:tcPr>
            <w:tcW w:w="1099" w:type="dxa"/>
            <w:vMerge/>
            <w:tcBorders>
              <w:right w:val="nil"/>
            </w:tcBorders>
          </w:tcPr>
          <w:p>
            <w:pPr/>
          </w:p>
        </w:tc>
        <w:tc>
          <w:tcPr>
            <w:tcW w:w="1667" w:type="dxa"/>
            <w:tcBorders>
              <w:top w:val="nil"/>
              <w:left w:val="nil"/>
              <w:bottom w:val="single" w:sz="8" w:space="0" w:color="000000"/>
              <w:right w:val="nil"/>
            </w:tcBorders>
          </w:tcPr>
          <w:p>
            <w:pPr/>
          </w:p>
        </w:tc>
        <w:tc>
          <w:tcPr>
            <w:tcW w:w="2611" w:type="dxa"/>
            <w:tcBorders>
              <w:top w:val="nil"/>
              <w:left w:val="nil"/>
              <w:bottom w:val="single" w:sz="8" w:space="0" w:color="000000"/>
            </w:tcBorders>
          </w:tcPr>
          <w:p>
            <w:pPr>
              <w:pStyle w:val="TableParagraph"/>
              <w:spacing w:before="74"/>
              <w:ind w:left="26"/>
              <w:rPr>
                <w:sz w:val="23"/>
              </w:rPr>
            </w:pPr>
            <w:r>
              <w:rPr>
                <w:w w:val="100"/>
                <w:sz w:val="23"/>
              </w:rPr>
              <w:t>N</w:t>
            </w:r>
          </w:p>
        </w:tc>
        <w:tc>
          <w:tcPr>
            <w:tcW w:w="811" w:type="dxa"/>
            <w:tcBorders>
              <w:top w:val="nil"/>
              <w:bottom w:val="single" w:sz="8" w:space="0" w:color="000000"/>
              <w:right w:val="single" w:sz="8" w:space="0" w:color="000000"/>
            </w:tcBorders>
          </w:tcPr>
          <w:p>
            <w:pPr>
              <w:pStyle w:val="TableParagraph"/>
              <w:spacing w:before="74"/>
              <w:ind w:left="216" w:right="-18"/>
              <w:jc w:val="left"/>
              <w:rPr>
                <w:sz w:val="23"/>
              </w:rPr>
            </w:pPr>
            <w:r>
              <w:rPr>
                <w:sz w:val="23"/>
              </w:rPr>
              <w:t>192</w:t>
            </w:r>
          </w:p>
        </w:tc>
        <w:tc>
          <w:tcPr>
            <w:tcW w:w="852" w:type="dxa"/>
            <w:tcBorders>
              <w:top w:val="nil"/>
              <w:left w:val="single" w:sz="8" w:space="0" w:color="000000"/>
              <w:bottom w:val="single" w:sz="8" w:space="0" w:color="000000"/>
              <w:right w:val="single" w:sz="8" w:space="0" w:color="000000"/>
            </w:tcBorders>
          </w:tcPr>
          <w:p>
            <w:pPr>
              <w:pStyle w:val="TableParagraph"/>
              <w:spacing w:before="74"/>
              <w:ind w:left="242" w:right="35"/>
              <w:jc w:val="left"/>
              <w:rPr>
                <w:sz w:val="23"/>
              </w:rPr>
            </w:pPr>
            <w:r>
              <w:rPr>
                <w:sz w:val="23"/>
              </w:rPr>
              <w:t>192</w:t>
            </w:r>
          </w:p>
        </w:tc>
        <w:tc>
          <w:tcPr>
            <w:tcW w:w="1133" w:type="dxa"/>
            <w:tcBorders>
              <w:top w:val="nil"/>
              <w:left w:val="single" w:sz="8" w:space="0" w:color="000000"/>
              <w:bottom w:val="single" w:sz="8" w:space="0" w:color="000000"/>
              <w:right w:val="single" w:sz="8" w:space="0" w:color="000000"/>
            </w:tcBorders>
          </w:tcPr>
          <w:p>
            <w:pPr>
              <w:pStyle w:val="TableParagraph"/>
              <w:spacing w:before="74"/>
              <w:ind w:left="11" w:right="11"/>
              <w:rPr>
                <w:sz w:val="23"/>
              </w:rPr>
            </w:pPr>
            <w:r>
              <w:rPr>
                <w:sz w:val="23"/>
              </w:rPr>
              <w:t>192</w:t>
            </w:r>
          </w:p>
        </w:tc>
        <w:tc>
          <w:tcPr>
            <w:tcW w:w="994" w:type="dxa"/>
            <w:tcBorders>
              <w:top w:val="nil"/>
              <w:left w:val="single" w:sz="8" w:space="0" w:color="000000"/>
              <w:bottom w:val="single" w:sz="8" w:space="0" w:color="000000"/>
            </w:tcBorders>
          </w:tcPr>
          <w:p>
            <w:pPr>
              <w:pStyle w:val="TableParagraph"/>
              <w:spacing w:before="74"/>
              <w:ind w:left="145" w:right="147"/>
              <w:rPr>
                <w:sz w:val="23"/>
              </w:rPr>
            </w:pPr>
            <w:r>
              <w:rPr>
                <w:sz w:val="23"/>
              </w:rPr>
              <w:t>192</w:t>
            </w:r>
          </w:p>
        </w:tc>
      </w:tr>
      <w:tr>
        <w:trPr>
          <w:trHeight w:val="386" w:hRule="exact"/>
        </w:trPr>
        <w:tc>
          <w:tcPr>
            <w:tcW w:w="1099" w:type="dxa"/>
            <w:vMerge/>
            <w:tcBorders>
              <w:right w:val="nil"/>
            </w:tcBorders>
          </w:tcPr>
          <w:p>
            <w:pPr/>
          </w:p>
        </w:tc>
        <w:tc>
          <w:tcPr>
            <w:tcW w:w="1667" w:type="dxa"/>
            <w:vMerge w:val="restart"/>
            <w:tcBorders>
              <w:top w:val="single" w:sz="8" w:space="0" w:color="000000"/>
              <w:left w:val="nil"/>
              <w:right w:val="nil"/>
            </w:tcBorders>
          </w:tcPr>
          <w:p>
            <w:pPr>
              <w:pStyle w:val="TableParagraph"/>
              <w:spacing w:line="362" w:lineRule="auto" w:before="13"/>
              <w:ind w:left="398" w:right="354" w:firstLine="64"/>
              <w:jc w:val="left"/>
              <w:rPr>
                <w:sz w:val="23"/>
              </w:rPr>
            </w:pPr>
            <w:r>
              <w:rPr>
                <w:sz w:val="23"/>
              </w:rPr>
              <w:t>GASTO ALIMEN</w:t>
            </w:r>
          </w:p>
        </w:tc>
        <w:tc>
          <w:tcPr>
            <w:tcW w:w="2611" w:type="dxa"/>
            <w:tcBorders>
              <w:top w:val="single" w:sz="8" w:space="0" w:color="000000"/>
              <w:left w:val="nil"/>
              <w:bottom w:val="nil"/>
            </w:tcBorders>
          </w:tcPr>
          <w:p>
            <w:pPr>
              <w:pStyle w:val="TableParagraph"/>
              <w:spacing w:before="13"/>
              <w:ind w:left="75" w:right="50"/>
              <w:rPr>
                <w:sz w:val="23"/>
              </w:rPr>
            </w:pPr>
            <w:r>
              <w:rPr>
                <w:sz w:val="23"/>
              </w:rPr>
              <w:t>Coeficiente de correlación</w:t>
            </w:r>
          </w:p>
        </w:tc>
        <w:tc>
          <w:tcPr>
            <w:tcW w:w="811" w:type="dxa"/>
            <w:tcBorders>
              <w:top w:val="single" w:sz="8" w:space="0" w:color="000000"/>
              <w:bottom w:val="nil"/>
              <w:right w:val="single" w:sz="8" w:space="0" w:color="000000"/>
            </w:tcBorders>
          </w:tcPr>
          <w:p>
            <w:pPr>
              <w:pStyle w:val="TableParagraph"/>
              <w:spacing w:before="13"/>
              <w:ind w:left="72" w:right="-18"/>
              <w:jc w:val="left"/>
              <w:rPr>
                <w:sz w:val="23"/>
              </w:rPr>
            </w:pPr>
            <w:r>
              <w:rPr>
                <w:sz w:val="23"/>
              </w:rPr>
              <w:t>.241**</w:t>
            </w:r>
          </w:p>
        </w:tc>
        <w:tc>
          <w:tcPr>
            <w:tcW w:w="852" w:type="dxa"/>
            <w:tcBorders>
              <w:top w:val="single" w:sz="8" w:space="0" w:color="000000"/>
              <w:left w:val="single" w:sz="8" w:space="0" w:color="000000"/>
              <w:bottom w:val="nil"/>
              <w:right w:val="single" w:sz="8" w:space="0" w:color="000000"/>
            </w:tcBorders>
          </w:tcPr>
          <w:p>
            <w:pPr>
              <w:pStyle w:val="TableParagraph"/>
              <w:spacing w:before="13"/>
              <w:ind w:left="213" w:right="35"/>
              <w:jc w:val="left"/>
              <w:rPr>
                <w:sz w:val="23"/>
              </w:rPr>
            </w:pPr>
            <w:r>
              <w:rPr>
                <w:sz w:val="23"/>
              </w:rPr>
              <w:t>.097</w:t>
            </w:r>
          </w:p>
        </w:tc>
        <w:tc>
          <w:tcPr>
            <w:tcW w:w="1133" w:type="dxa"/>
            <w:tcBorders>
              <w:top w:val="single" w:sz="8" w:space="0" w:color="000000"/>
              <w:left w:val="single" w:sz="8" w:space="0" w:color="000000"/>
              <w:bottom w:val="nil"/>
              <w:right w:val="single" w:sz="8" w:space="0" w:color="000000"/>
            </w:tcBorders>
          </w:tcPr>
          <w:p>
            <w:pPr>
              <w:pStyle w:val="TableParagraph"/>
              <w:spacing w:before="13"/>
              <w:ind w:left="11" w:right="11"/>
              <w:rPr>
                <w:sz w:val="23"/>
              </w:rPr>
            </w:pPr>
            <w:r>
              <w:rPr>
                <w:sz w:val="23"/>
              </w:rPr>
              <w:t>.257**</w:t>
            </w:r>
          </w:p>
        </w:tc>
        <w:tc>
          <w:tcPr>
            <w:tcW w:w="994" w:type="dxa"/>
            <w:tcBorders>
              <w:top w:val="single" w:sz="8" w:space="0" w:color="000000"/>
              <w:left w:val="single" w:sz="8" w:space="0" w:color="000000"/>
              <w:bottom w:val="nil"/>
            </w:tcBorders>
          </w:tcPr>
          <w:p>
            <w:pPr>
              <w:pStyle w:val="TableParagraph"/>
              <w:spacing w:before="13"/>
              <w:ind w:left="145" w:right="147"/>
              <w:rPr>
                <w:sz w:val="23"/>
              </w:rPr>
            </w:pPr>
            <w:r>
              <w:rPr>
                <w:sz w:val="23"/>
              </w:rPr>
              <w:t>1.000</w:t>
            </w:r>
          </w:p>
        </w:tc>
      </w:tr>
      <w:tr>
        <w:trPr>
          <w:trHeight w:val="437" w:hRule="exact"/>
        </w:trPr>
        <w:tc>
          <w:tcPr>
            <w:tcW w:w="1099" w:type="dxa"/>
            <w:vMerge/>
            <w:tcBorders>
              <w:right w:val="nil"/>
            </w:tcBorders>
          </w:tcPr>
          <w:p>
            <w:pPr/>
          </w:p>
        </w:tc>
        <w:tc>
          <w:tcPr>
            <w:tcW w:w="1667" w:type="dxa"/>
            <w:vMerge/>
            <w:tcBorders>
              <w:left w:val="nil"/>
              <w:bottom w:val="nil"/>
              <w:right w:val="nil"/>
            </w:tcBorders>
          </w:tcPr>
          <w:p>
            <w:pPr/>
          </w:p>
        </w:tc>
        <w:tc>
          <w:tcPr>
            <w:tcW w:w="2611" w:type="dxa"/>
            <w:tcBorders>
              <w:top w:val="nil"/>
              <w:left w:val="nil"/>
              <w:bottom w:val="nil"/>
            </w:tcBorders>
          </w:tcPr>
          <w:p>
            <w:pPr>
              <w:pStyle w:val="TableParagraph"/>
              <w:spacing w:before="74"/>
              <w:ind w:left="75" w:right="47"/>
              <w:rPr>
                <w:sz w:val="23"/>
              </w:rPr>
            </w:pPr>
            <w:r>
              <w:rPr>
                <w:sz w:val="23"/>
              </w:rPr>
              <w:t>Sig. (bilateral)</w:t>
            </w:r>
          </w:p>
        </w:tc>
        <w:tc>
          <w:tcPr>
            <w:tcW w:w="811" w:type="dxa"/>
            <w:tcBorders>
              <w:top w:val="nil"/>
              <w:bottom w:val="nil"/>
              <w:right w:val="single" w:sz="8" w:space="0" w:color="000000"/>
            </w:tcBorders>
          </w:tcPr>
          <w:p>
            <w:pPr>
              <w:pStyle w:val="TableParagraph"/>
              <w:spacing w:before="74"/>
              <w:ind w:left="187" w:right="-18"/>
              <w:jc w:val="left"/>
              <w:rPr>
                <w:sz w:val="23"/>
              </w:rPr>
            </w:pPr>
            <w:r>
              <w:rPr>
                <w:sz w:val="23"/>
              </w:rPr>
              <w:t>.001</w:t>
            </w:r>
          </w:p>
        </w:tc>
        <w:tc>
          <w:tcPr>
            <w:tcW w:w="852" w:type="dxa"/>
            <w:tcBorders>
              <w:top w:val="nil"/>
              <w:left w:val="single" w:sz="8" w:space="0" w:color="000000"/>
              <w:bottom w:val="nil"/>
              <w:right w:val="single" w:sz="8" w:space="0" w:color="000000"/>
            </w:tcBorders>
          </w:tcPr>
          <w:p>
            <w:pPr>
              <w:pStyle w:val="TableParagraph"/>
              <w:spacing w:before="74"/>
              <w:ind w:left="213" w:right="35"/>
              <w:jc w:val="left"/>
              <w:rPr>
                <w:sz w:val="23"/>
              </w:rPr>
            </w:pPr>
            <w:r>
              <w:rPr>
                <w:sz w:val="23"/>
              </w:rPr>
              <w:t>.179</w:t>
            </w:r>
          </w:p>
        </w:tc>
        <w:tc>
          <w:tcPr>
            <w:tcW w:w="1133" w:type="dxa"/>
            <w:tcBorders>
              <w:top w:val="nil"/>
              <w:left w:val="single" w:sz="8" w:space="0" w:color="000000"/>
              <w:bottom w:val="nil"/>
              <w:right w:val="single" w:sz="8" w:space="0" w:color="000000"/>
            </w:tcBorders>
          </w:tcPr>
          <w:p>
            <w:pPr>
              <w:pStyle w:val="TableParagraph"/>
              <w:spacing w:before="74"/>
              <w:ind w:left="11" w:right="11"/>
              <w:rPr>
                <w:sz w:val="23"/>
              </w:rPr>
            </w:pPr>
            <w:r>
              <w:rPr>
                <w:sz w:val="23"/>
              </w:rPr>
              <w:t>.000</w:t>
            </w:r>
          </w:p>
        </w:tc>
        <w:tc>
          <w:tcPr>
            <w:tcW w:w="994" w:type="dxa"/>
            <w:tcBorders>
              <w:top w:val="nil"/>
              <w:left w:val="single" w:sz="8" w:space="0" w:color="000000"/>
              <w:bottom w:val="nil"/>
            </w:tcBorders>
          </w:tcPr>
          <w:p>
            <w:pPr>
              <w:pStyle w:val="TableParagraph"/>
              <w:spacing w:before="74"/>
              <w:ind w:right="2"/>
              <w:rPr>
                <w:sz w:val="23"/>
              </w:rPr>
            </w:pPr>
            <w:r>
              <w:rPr>
                <w:w w:val="100"/>
                <w:sz w:val="23"/>
              </w:rPr>
              <w:t>.</w:t>
            </w:r>
          </w:p>
        </w:tc>
      </w:tr>
      <w:tr>
        <w:trPr>
          <w:trHeight w:val="498" w:hRule="exact"/>
        </w:trPr>
        <w:tc>
          <w:tcPr>
            <w:tcW w:w="1099" w:type="dxa"/>
            <w:vMerge/>
            <w:tcBorders>
              <w:right w:val="nil"/>
            </w:tcBorders>
          </w:tcPr>
          <w:p>
            <w:pPr/>
          </w:p>
        </w:tc>
        <w:tc>
          <w:tcPr>
            <w:tcW w:w="1667" w:type="dxa"/>
            <w:tcBorders>
              <w:top w:val="nil"/>
              <w:left w:val="nil"/>
              <w:right w:val="nil"/>
            </w:tcBorders>
          </w:tcPr>
          <w:p>
            <w:pPr/>
          </w:p>
        </w:tc>
        <w:tc>
          <w:tcPr>
            <w:tcW w:w="2611" w:type="dxa"/>
            <w:tcBorders>
              <w:top w:val="nil"/>
              <w:left w:val="nil"/>
            </w:tcBorders>
          </w:tcPr>
          <w:p>
            <w:pPr>
              <w:pStyle w:val="TableParagraph"/>
              <w:spacing w:before="74"/>
              <w:ind w:left="26"/>
              <w:rPr>
                <w:sz w:val="23"/>
              </w:rPr>
            </w:pPr>
            <w:r>
              <w:rPr>
                <w:w w:val="100"/>
                <w:sz w:val="23"/>
              </w:rPr>
              <w:t>N</w:t>
            </w:r>
          </w:p>
        </w:tc>
        <w:tc>
          <w:tcPr>
            <w:tcW w:w="811" w:type="dxa"/>
            <w:tcBorders>
              <w:top w:val="nil"/>
              <w:right w:val="single" w:sz="8" w:space="0" w:color="000000"/>
            </w:tcBorders>
          </w:tcPr>
          <w:p>
            <w:pPr>
              <w:pStyle w:val="TableParagraph"/>
              <w:spacing w:before="74"/>
              <w:ind w:left="216" w:right="-18"/>
              <w:jc w:val="left"/>
              <w:rPr>
                <w:sz w:val="23"/>
              </w:rPr>
            </w:pPr>
            <w:r>
              <w:rPr>
                <w:sz w:val="23"/>
              </w:rPr>
              <w:t>192</w:t>
            </w:r>
          </w:p>
        </w:tc>
        <w:tc>
          <w:tcPr>
            <w:tcW w:w="852" w:type="dxa"/>
            <w:tcBorders>
              <w:top w:val="nil"/>
              <w:left w:val="single" w:sz="8" w:space="0" w:color="000000"/>
              <w:right w:val="single" w:sz="8" w:space="0" w:color="000000"/>
            </w:tcBorders>
          </w:tcPr>
          <w:p>
            <w:pPr>
              <w:pStyle w:val="TableParagraph"/>
              <w:spacing w:before="74"/>
              <w:ind w:left="242" w:right="35"/>
              <w:jc w:val="left"/>
              <w:rPr>
                <w:sz w:val="23"/>
              </w:rPr>
            </w:pPr>
            <w:r>
              <w:rPr>
                <w:sz w:val="23"/>
              </w:rPr>
              <w:t>192</w:t>
            </w:r>
          </w:p>
        </w:tc>
        <w:tc>
          <w:tcPr>
            <w:tcW w:w="1133" w:type="dxa"/>
            <w:tcBorders>
              <w:top w:val="nil"/>
              <w:left w:val="single" w:sz="8" w:space="0" w:color="000000"/>
              <w:right w:val="single" w:sz="8" w:space="0" w:color="000000"/>
            </w:tcBorders>
          </w:tcPr>
          <w:p>
            <w:pPr>
              <w:pStyle w:val="TableParagraph"/>
              <w:spacing w:before="74"/>
              <w:ind w:left="11" w:right="11"/>
              <w:rPr>
                <w:sz w:val="23"/>
              </w:rPr>
            </w:pPr>
            <w:r>
              <w:rPr>
                <w:sz w:val="23"/>
              </w:rPr>
              <w:t>192</w:t>
            </w:r>
          </w:p>
        </w:tc>
        <w:tc>
          <w:tcPr>
            <w:tcW w:w="994" w:type="dxa"/>
            <w:tcBorders>
              <w:top w:val="nil"/>
              <w:left w:val="single" w:sz="8" w:space="0" w:color="000000"/>
            </w:tcBorders>
          </w:tcPr>
          <w:p>
            <w:pPr>
              <w:pStyle w:val="TableParagraph"/>
              <w:spacing w:before="74"/>
              <w:ind w:left="145" w:right="147"/>
              <w:rPr>
                <w:sz w:val="23"/>
              </w:rPr>
            </w:pPr>
            <w:r>
              <w:rPr>
                <w:sz w:val="23"/>
              </w:rPr>
              <w:t>192</w:t>
            </w:r>
          </w:p>
        </w:tc>
      </w:tr>
    </w:tbl>
    <w:p>
      <w:pPr>
        <w:pStyle w:val="BodyText"/>
        <w:spacing w:line="259" w:lineRule="exact"/>
        <w:ind w:left="1965"/>
      </w:pPr>
      <w:r>
        <w:rPr/>
        <w:t>**. La correlación es significativa en el nivel 0,01 (2 colas).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0"/>
        </w:rPr>
      </w:pPr>
      <w:r>
        <w:rPr/>
        <w:pict>
          <v:line style="position:absolute;mso-position-horizontal-relative:page;mso-position-vertical-relative:paragraph;z-index:5032;mso-wrap-distance-left:0;mso-wrap-distance-right:0" from="85.103996pt,8.324020pt" to="516.969017pt,8.324020pt" stroked="true" strokeweight=".36pt" strokecolor="#000000">
            <w10:wrap type="topAndBottom"/>
          </v:line>
        </w:pict>
      </w:r>
    </w:p>
    <w:sectPr>
      <w:headerReference w:type="default" r:id="rId197"/>
      <w:footerReference w:type="default" r:id="rId198"/>
      <w:pgSz w:w="12240" w:h="15840"/>
      <w:pgMar w:header="1414" w:footer="1913" w:top="1600" w:bottom="2100" w:left="1400" w:right="13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Math">
    <w:altName w:val="Cambria Math"/>
    <w:charset w:val="0"/>
    <w:family w:val="roman"/>
    <w:pitch w:val="variable"/>
  </w:font>
  <w:font w:name="Calibri">
    <w:altName w:val="Calibri"/>
    <w:charset w:val="0"/>
    <w:family w:val="swiss"/>
    <w:pitch w:val="variable"/>
  </w:font>
  <w:font w:name="Symbol">
    <w:altName w:val="Symbol"/>
    <w:charset w:val="2"/>
    <w:family w:val="roman"/>
    <w:pitch w:val="variable"/>
  </w:font>
  <w:font w:name="Verdana">
    <w:altName w:val="Verdana"/>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shape style="position:absolute;margin-left:103.540001pt;margin-top:705.973938pt;width:405pt;height:11pt;mso-position-horizontal-relative:page;mso-position-vertical-relative:page;z-index:-131464"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0624" from="102pt,694.322998pt" to="508.5pt,694.322998pt" stroked="true" strokeweight=".5pt" strokecolor="#000000">
          <w10:wrap type="none"/>
        </v:line>
      </w:pict>
    </w:r>
    <w:r>
      <w:rPr/>
      <w:pict>
        <v:shape style="position:absolute;margin-left:103.540001pt;margin-top:678.017944pt;width:405pt;height:11pt;mso-position-horizontal-relative:page;mso-position-vertical-relative:page;z-index:-130600"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0576" from="102pt,695.586975pt" to="508.5pt,695.586975pt" stroked="true" strokeweight=".5pt" strokecolor="#000000">
          <w10:wrap type="none"/>
        </v:line>
      </w:pict>
    </w:r>
    <w:r>
      <w:rPr/>
      <w:pict>
        <v:shape style="position:absolute;margin-left:103.540001pt;margin-top:679.337952pt;width:405pt;height:11pt;mso-position-horizontal-relative:page;mso-position-vertical-relative:page;z-index:-130552"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540001pt;margin-top:686.053955pt;width:405pt;height:11pt;mso-position-horizontal-relative:page;mso-position-vertical-relative:page;z-index:-130528"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0504" from="102pt,685.070007pt" to="508.5pt,685.070007pt" stroked="true" strokeweight=".5pt" strokecolor="#000000">
          <w10:wrap type="none"/>
        </v:line>
      </w:pict>
    </w:r>
    <w:r>
      <w:rPr/>
      <w:pict>
        <v:line style="position:absolute;mso-position-horizontal-relative:page;mso-position-vertical-relative:page;z-index:-130480" from="85.103996pt,647.703979pt" to="525.960017pt,647.703979pt" stroked="true" strokeweight=".36pt" strokecolor="#000000">
          <w10:wrap type="none"/>
        </v:line>
      </w:pict>
    </w:r>
    <w:r>
      <w:rPr/>
      <w:pict>
        <v:shape style="position:absolute;margin-left:84.103996pt;margin-top:653.297913pt;width:65.3500pt;height:11pt;mso-position-horizontal-relative:page;mso-position-vertical-relative:page;z-index:-130456"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53.297913pt;width:94.5pt;height:11pt;mso-position-horizontal-relative:page;mso-position-vertical-relative:page;z-index:-130432"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653.297913pt;width:38.7pt;height:11pt;mso-position-horizontal-relative:page;mso-position-vertical-relative:page;z-index:-130408"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11</w:t>
                </w:r>
                <w:r>
                  <w:rPr/>
                  <w:fldChar w:fldCharType="end"/>
                </w:r>
              </w:p>
            </w:txbxContent>
          </v:textbox>
          <w10:wrap type="none"/>
        </v:shape>
      </w:pict>
    </w:r>
    <w:r>
      <w:rPr/>
      <w:pict>
        <v:shape style="position:absolute;margin-left:103.540001pt;margin-top:668.897949pt;width:405pt;height:11pt;mso-position-horizontal-relative:page;mso-position-vertical-relative:page;z-index:-130384"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0360" from="102pt,685.159973pt" to="508.5pt,685.159973pt" stroked="true" strokeweight=".5pt" strokecolor="#000000">
          <w10:wrap type="none"/>
        </v:line>
      </w:pict>
    </w:r>
    <w:r>
      <w:rPr/>
      <w:pict>
        <v:line style="position:absolute;mso-position-horizontal-relative:page;mso-position-vertical-relative:page;z-index:-130336" from="85.103996pt,647.823975pt" to="525.986016pt,647.823975pt" stroked="true" strokeweight=".36pt" strokecolor="#000000">
          <w10:wrap type="none"/>
        </v:line>
      </w:pict>
    </w:r>
    <w:r>
      <w:rPr/>
      <w:pict>
        <v:shape style="position:absolute;margin-left:84.103996pt;margin-top:653.297913pt;width:65.3500pt;height:11pt;mso-position-horizontal-relative:page;mso-position-vertical-relative:page;z-index:-130312"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53.297913pt;width:94.5pt;height:11pt;mso-position-horizontal-relative:page;mso-position-vertical-relative:page;z-index:-130288"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653.297913pt;width:38.7pt;height:11pt;mso-position-horizontal-relative:page;mso-position-vertical-relative:page;z-index:-130264"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11</w:t>
                </w:r>
                <w:r>
                  <w:rPr/>
                  <w:fldChar w:fldCharType="end"/>
                </w:r>
              </w:p>
            </w:txbxContent>
          </v:textbox>
          <w10:wrap type="none"/>
        </v:shape>
      </w:pict>
    </w:r>
    <w:r>
      <w:rPr/>
      <w:pict>
        <v:shape style="position:absolute;margin-left:103.540001pt;margin-top:668.897949pt;width:405pt;height:11pt;mso-position-horizontal-relative:page;mso-position-vertical-relative:page;z-index:-130240"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540001pt;margin-top:680.897949pt;width:405pt;height:11pt;mso-position-horizontal-relative:page;mso-position-vertical-relative:page;z-index:-130216"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0192" from="102pt,691.349976pt" to="508.5pt,691.349976pt" stroked="true" strokeweight=".5pt" strokecolor="#000000">
          <w10:wrap type="none"/>
        </v:line>
      </w:pict>
    </w:r>
    <w:r>
      <w:rPr/>
      <w:pict>
        <v:shape style="position:absolute;margin-left:103.540001pt;margin-top:679.697937pt;width:405pt;height:11pt;mso-position-horizontal-relative:page;mso-position-vertical-relative:page;z-index:-130168"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0144" from="102pt,696.049988pt" to="508.5pt,696.049988pt" stroked="true" strokeweight=".5pt" strokecolor="#000000">
          <w10:wrap type="none"/>
        </v:line>
      </w:pict>
    </w:r>
    <w:r>
      <w:rPr/>
      <w:pict>
        <v:shape style="position:absolute;margin-left:103.540001pt;margin-top:679.697937pt;width:405pt;height:11pt;mso-position-horizontal-relative:page;mso-position-vertical-relative:page;z-index:-130120"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0096" from="102pt,691.349976pt" to="508.5pt,691.349976pt" stroked="true" strokeweight=".5pt" strokecolor="#000000">
          <w10:wrap type="none"/>
        </v:line>
      </w:pict>
    </w:r>
    <w:r>
      <w:rPr/>
      <w:pict>
        <v:shape style="position:absolute;margin-left:103.540001pt;margin-top:675.017944pt;width:405pt;height:11pt;mso-position-horizontal-relative:page;mso-position-vertical-relative:page;z-index:-130072"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0048" from="102pt,691.349976pt" to="508.5pt,691.349976pt" stroked="true" strokeweight=".5pt" strokecolor="#000000">
          <w10:wrap type="none"/>
        </v:line>
      </w:pict>
    </w:r>
    <w:r>
      <w:rPr/>
      <w:pict>
        <v:shape style="position:absolute;margin-left:103.540001pt;margin-top:675.017944pt;width:405pt;height:11pt;mso-position-horizontal-relative:page;mso-position-vertical-relative:page;z-index:-130024"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61.323914pt;width:359.55pt;height:14pt;mso-position-horizontal-relative:page;mso-position-vertical-relative:page;z-index:-130000" type="#_x0000_t202" filled="false" stroked="false">
          <v:textbox inset="0,0,0,0">
            <w:txbxContent>
              <w:p>
                <w:pPr>
                  <w:spacing w:line="265" w:lineRule="exact" w:before="0"/>
                  <w:ind w:left="20" w:right="0" w:firstLine="0"/>
                  <w:jc w:val="left"/>
                  <w:rPr>
                    <w:b/>
                    <w:sz w:val="24"/>
                  </w:rPr>
                </w:pPr>
                <w:r>
                  <w:rPr>
                    <w:b/>
                    <w:sz w:val="24"/>
                  </w:rPr>
                  <w:t>5.1. Estudios realizados sobre la función de producción Cobb-Douglas</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68.283936pt;width:141pt;height:14pt;mso-position-horizontal-relative:page;mso-position-vertical-relative:page;z-index:-129976" type="#_x0000_t202" filled="false" stroked="false">
          <v:textbox inset="0,0,0,0">
            <w:txbxContent>
              <w:p>
                <w:pPr>
                  <w:spacing w:line="265" w:lineRule="exact" w:before="0"/>
                  <w:ind w:left="20" w:right="-1" w:firstLine="0"/>
                  <w:jc w:val="left"/>
                  <w:rPr>
                    <w:b/>
                    <w:sz w:val="24"/>
                  </w:rPr>
                </w:pPr>
                <w:r>
                  <w:rPr>
                    <w:b/>
                    <w:sz w:val="24"/>
                  </w:rPr>
                  <w:t>5.2. Función de producción</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81.243896pt;width:199.65pt;height:14pt;mso-position-horizontal-relative:page;mso-position-vertical-relative:page;z-index:-129952" type="#_x0000_t202" filled="false" stroked="false">
          <v:textbox inset="0,0,0,0">
            <w:txbxContent>
              <w:p>
                <w:pPr>
                  <w:spacing w:line="265" w:lineRule="exact" w:before="0"/>
                  <w:ind w:left="20" w:right="-1" w:firstLine="0"/>
                  <w:jc w:val="left"/>
                  <w:rPr>
                    <w:b/>
                    <w:sz w:val="24"/>
                  </w:rPr>
                </w:pPr>
                <w:r>
                  <w:rPr>
                    <w:b/>
                    <w:sz w:val="24"/>
                  </w:rPr>
                  <w:t>5.3.2. Función de Producción Translog</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54.483887pt;width:288.5pt;height:14pt;mso-position-horizontal-relative:page;mso-position-vertical-relative:page;z-index:-129928" type="#_x0000_t202" filled="false" stroked="false">
          <v:textbox inset="0,0,0,0">
            <w:txbxContent>
              <w:p>
                <w:pPr>
                  <w:spacing w:line="265" w:lineRule="exact" w:before="0"/>
                  <w:ind w:left="20" w:right="0" w:firstLine="0"/>
                  <w:jc w:val="left"/>
                  <w:rPr>
                    <w:b/>
                    <w:sz w:val="24"/>
                  </w:rPr>
                </w:pPr>
                <w:r>
                  <w:rPr>
                    <w:b/>
                    <w:sz w:val="24"/>
                  </w:rPr>
                  <w:t>5.4. Revisión de la función de producción Cobb-Douglas</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9.333923pt;width:65.3500pt;height:11pt;mso-position-horizontal-relative:page;mso-position-vertical-relative:page;z-index:-131344"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709.333923pt;width:94.5pt;height:11pt;mso-position-horizontal-relative:page;mso-position-vertical-relative:page;z-index:-131320"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2.179993pt;margin-top:709.333923pt;width:35.9pt;height:11pt;mso-position-horizontal-relative:page;mso-position-vertical-relative:page;z-index:-131296" type="#_x0000_t202" filled="false" stroked="false">
          <v:textbox inset="0,0,0,0">
            <w:txbxContent>
              <w:p>
                <w:pPr>
                  <w:spacing w:line="204" w:lineRule="exact" w:before="0"/>
                  <w:ind w:left="20" w:right="0" w:firstLine="0"/>
                  <w:jc w:val="left"/>
                  <w:rPr>
                    <w:sz w:val="18"/>
                  </w:rPr>
                </w:pPr>
                <w:r>
                  <w:rPr>
                    <w:sz w:val="18"/>
                  </w:rPr>
                  <w:t>Página ix</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7.826172pt;width:35.950pt;height:13.55pt;mso-position-horizontal-relative:page;mso-position-vertical-relative:page;z-index:-129904" type="#_x0000_t202" filled="false" stroked="false">
          <v:textbox inset="0,0,0,0">
            <w:txbxContent>
              <w:p>
                <w:pPr>
                  <w:pStyle w:val="BodyText"/>
                  <w:spacing w:line="255" w:lineRule="exact"/>
                  <w:ind w:left="20"/>
                </w:pPr>
                <w:r>
                  <w:rPr/>
                  <w:t>Donde:</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9880" from="102pt,633.960022pt" to="508.5pt,633.960022pt" stroked="true" strokeweight=".5pt" strokecolor="#000000">
          <w10:wrap type="none"/>
        </v:line>
      </w:pict>
    </w:r>
    <w:r>
      <w:rPr/>
      <w:pict>
        <v:shape style="position:absolute;margin-left:85.103996pt;margin-top:596.583984pt;width:441.25pt;height:.1pt;mso-position-horizontal-relative:page;mso-position-vertical-relative:page;z-index:-129856" coordorigin="1702,11932" coordsize="8825,0" path="m1702,11932l7640,11932m7648,11932l10526,11932e" filled="false" stroked="true" strokeweight=".36pt" strokecolor="#000000">
          <v:path arrowok="t"/>
          <w10:wrap type="none"/>
        </v:shape>
      </w:pict>
    </w:r>
    <w:r>
      <w:rPr/>
      <w:pict>
        <v:shape style="position:absolute;margin-left:84.103996pt;margin-top:692.906189pt;width:255.45pt;height:13.55pt;mso-position-horizontal-relative:page;mso-position-vertical-relative:page;z-index:-129832" type="#_x0000_t202" filled="false" stroked="false">
          <v:textbox inset="0,0,0,0">
            <w:txbxContent>
              <w:p>
                <w:pPr>
                  <w:pStyle w:val="BodyText"/>
                  <w:spacing w:line="255" w:lineRule="exact"/>
                  <w:ind w:left="20" w:right="-3"/>
                </w:pPr>
                <w:r>
                  <w:rPr/>
                  <w:t>producto aumenta pero en menor proporción que éstos.</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0.946167pt;width:199.15pt;height:13.55pt;mso-position-horizontal-relative:page;mso-position-vertical-relative:page;z-index:-129808" type="#_x0000_t202" filled="false" stroked="false">
          <v:textbox inset="0,0,0,0">
            <w:txbxContent>
              <w:p>
                <w:pPr>
                  <w:spacing w:line="255" w:lineRule="exact" w:before="0"/>
                  <w:ind w:left="20" w:right="0" w:firstLine="0"/>
                  <w:jc w:val="left"/>
                  <w:rPr>
                    <w:b/>
                    <w:sz w:val="23"/>
                  </w:rPr>
                </w:pPr>
                <w:r>
                  <w:rPr>
                    <w:b/>
                    <w:sz w:val="23"/>
                  </w:rPr>
                  <w:t>a) Producto medio del factor productivo</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66.630188pt;width:214.65pt;height:13.55pt;mso-position-horizontal-relative:page;mso-position-vertical-relative:page;z-index:-129784" type="#_x0000_t202" filled="false" stroked="false">
          <v:textbox inset="0,0,0,0">
            <w:txbxContent>
              <w:p>
                <w:pPr>
                  <w:spacing w:line="255" w:lineRule="exact" w:before="0"/>
                  <w:ind w:left="20" w:right="0" w:firstLine="0"/>
                  <w:jc w:val="left"/>
                  <w:rPr>
                    <w:b/>
                    <w:sz w:val="23"/>
                  </w:rPr>
                </w:pPr>
                <w:r>
                  <w:rPr>
                    <w:b/>
                    <w:sz w:val="23"/>
                  </w:rPr>
                  <w:t>b) Producto marginal del factor productivo</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8.773926pt;width:65.3500pt;height:11pt;mso-position-horizontal-relative:page;mso-position-vertical-relative:page;z-index:-131272"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98.773926pt;width:94.5pt;height:11pt;mso-position-horizontal-relative:page;mso-position-vertical-relative:page;z-index:-131248"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4.459991pt;margin-top:698.773926pt;width:33.4pt;height:11pt;mso-position-horizontal-relative:page;mso-position-vertical-relative:page;z-index:-131224" type="#_x0000_t202" filled="false" stroked="false">
          <v:textbox inset="0,0,0,0">
            <w:txbxContent>
              <w:p>
                <w:pPr>
                  <w:spacing w:line="204" w:lineRule="exact" w:before="0"/>
                  <w:ind w:left="20" w:right="0" w:firstLine="0"/>
                  <w:jc w:val="left"/>
                  <w:rPr>
                    <w:sz w:val="18"/>
                  </w:rPr>
                </w:pPr>
                <w:r>
                  <w:rPr>
                    <w:sz w:val="18"/>
                  </w:rPr>
                  <w:t>Página x</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9760" from="102pt,665pt" to="508.5pt,665pt" stroked="true" strokeweight=".5pt" strokecolor="#000000">
          <w10:wrap type="none"/>
        </v:line>
      </w:pict>
    </w:r>
    <w:r>
      <w:rPr/>
      <w:pict>
        <v:shape style="position:absolute;margin-left:84.103996pt;margin-top:633.137939pt;width:65.3500pt;height:11pt;mso-position-horizontal-relative:page;mso-position-vertical-relative:page;z-index:-129736"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33.137939pt;width:94.5pt;height:11pt;mso-position-horizontal-relative:page;mso-position-vertical-relative:page;z-index:-129712"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633.137939pt;width:38.65pt;height:11pt;mso-position-horizontal-relative:page;mso-position-vertical-relative:page;z-index:-129688"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39</w:t>
                </w:r>
                <w:r>
                  <w:rPr/>
                  <w:fldChar w:fldCharType="end"/>
                </w:r>
              </w:p>
            </w:txbxContent>
          </v:textbox>
          <w10:wrap type="none"/>
        </v:shape>
      </w:pict>
    </w:r>
    <w:r>
      <w:rPr/>
      <w:pict>
        <v:shape style="position:absolute;margin-left:103.540001pt;margin-top:648.737915pt;width:405pt;height:11pt;mso-position-horizontal-relative:page;mso-position-vertical-relative:page;z-index:-129664"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9640" from="102pt,664.380005pt" to="508.5pt,664.380005pt" stroked="true" strokeweight=".5pt" strokecolor="#000000">
          <w10:wrap type="none"/>
        </v:line>
      </w:pict>
    </w:r>
    <w:r>
      <w:rPr/>
      <w:pict>
        <v:shape style="position:absolute;margin-left:84.103996pt;margin-top:632.537964pt;width:65.3500pt;height:11pt;mso-position-horizontal-relative:page;mso-position-vertical-relative:page;z-index:-129616"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32.537964pt;width:94.5pt;height:11pt;mso-position-horizontal-relative:page;mso-position-vertical-relative:page;z-index:-129592"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632.537964pt;width:38.7pt;height:11pt;mso-position-horizontal-relative:page;mso-position-vertical-relative:page;z-index:-129568"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40</w:t>
                </w:r>
                <w:r>
                  <w:rPr/>
                  <w:fldChar w:fldCharType="end"/>
                </w:r>
              </w:p>
            </w:txbxContent>
          </v:textbox>
          <w10:wrap type="none"/>
        </v:shape>
      </w:pict>
    </w:r>
    <w:r>
      <w:rPr/>
      <w:pict>
        <v:shape style="position:absolute;margin-left:103.540001pt;margin-top:648.017944pt;width:405pt;height:11pt;mso-position-horizontal-relative:page;mso-position-vertical-relative:page;z-index:-129544"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9520" from="102pt,698.666992pt" to="508.5pt,698.666992pt" stroked="true" strokeweight=".5pt" strokecolor="#000000">
          <w10:wrap type="none"/>
        </v:line>
      </w:pict>
    </w:r>
    <w:r>
      <w:rPr/>
      <w:pict>
        <v:shape style="position:absolute;margin-left:103.540001pt;margin-top:682.337952pt;width:405pt;height:11pt;mso-position-horizontal-relative:page;mso-position-vertical-relative:page;z-index:-129496"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9472" from="102pt,697.179993pt" to="508.5pt,697.179993pt" stroked="true" strokeweight=".5pt" strokecolor="#000000">
          <w10:wrap type="none"/>
        </v:line>
      </w:pict>
    </w:r>
    <w:r>
      <w:rPr/>
      <w:pict>
        <v:shape style="position:absolute;margin-left:103.540001pt;margin-top:680.897949pt;width:405pt;height:11pt;mso-position-horizontal-relative:page;mso-position-vertical-relative:page;z-index:-129448"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176" from="85.103996pt,704.340027pt" to="525.960017pt,704.340027pt" stroked="true" strokeweight=".36pt" strokecolor="#000000">
          <w10:wrap type="none"/>
        </v:line>
      </w:pict>
    </w:r>
    <w:r>
      <w:rPr/>
      <w:pict>
        <v:shape style="position:absolute;margin-left:84.103996pt;margin-top:709.813965pt;width:65.3500pt;height:11pt;mso-position-horizontal-relative:page;mso-position-vertical-relative:page;z-index:-131152"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709.813965pt;width:94.5pt;height:11pt;mso-position-horizontal-relative:page;mso-position-vertical-relative:page;z-index:-131128"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4.459991pt;margin-top:709.813965pt;width:33.4pt;height:11pt;mso-position-horizontal-relative:page;mso-position-vertical-relative:page;z-index:-131104" type="#_x0000_t202" filled="false" stroked="false">
          <v:textbox inset="0,0,0,0">
            <w:txbxContent>
              <w:p>
                <w:pPr>
                  <w:spacing w:line="204" w:lineRule="exact" w:before="0"/>
                  <w:ind w:left="20" w:right="0" w:firstLine="0"/>
                  <w:jc w:val="left"/>
                  <w:rPr>
                    <w:sz w:val="18"/>
                  </w:rPr>
                </w:pPr>
                <w:r>
                  <w:rPr>
                    <w:sz w:val="18"/>
                  </w:rPr>
                  <w:t>Página x</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9376" from="85.103996pt,699.299988pt" to="525.960017pt,699.299988pt" stroked="true" strokeweight=".36pt" strokecolor="#000000">
          <w10:wrap type="none"/>
        </v:line>
      </w:pict>
    </w:r>
    <w:r>
      <w:rPr/>
      <w:pict>
        <v:shape style="position:absolute;margin-left:84.103996pt;margin-top:704.893921pt;width:65.3500pt;height:11pt;mso-position-horizontal-relative:page;mso-position-vertical-relative:page;z-index:-129352"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704.893921pt;width:94.5pt;height:11pt;mso-position-horizontal-relative:page;mso-position-vertical-relative:page;z-index:-129328"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704.893921pt;width:38.65pt;height:11pt;mso-position-horizontal-relative:page;mso-position-vertical-relative:page;z-index:-129304"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49</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9256" from="85.103996pt,704.220032pt" to="525.960017pt,704.220032pt" stroked="true" strokeweight=".36pt" strokecolor="#000000">
          <w10:wrap type="none"/>
        </v:line>
      </w:pict>
    </w:r>
    <w:r>
      <w:rPr/>
      <w:pict>
        <v:shape style="position:absolute;margin-left:84.103996pt;margin-top:709.693909pt;width:65.3500pt;height:11pt;mso-position-horizontal-relative:page;mso-position-vertical-relative:page;z-index:-129232"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709.693909pt;width:94.6pt;height:11pt;mso-position-horizontal-relative:page;mso-position-vertical-relative:page;z-index:-129208"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709.693909pt;width:38.7pt;height:11pt;mso-position-horizontal-relative:page;mso-position-vertical-relative:page;z-index:-129184"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50</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89.41394pt;width:65.3500pt;height:11pt;mso-position-horizontal-relative:page;mso-position-vertical-relative:page;z-index:-129112"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89.41394pt;width:94.5pt;height:11pt;mso-position-horizontal-relative:page;mso-position-vertical-relative:page;z-index:-129088"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689.41394pt;width:37.7pt;height:11pt;mso-position-horizontal-relative:page;mso-position-vertical-relative:page;z-index:-129064" type="#_x0000_t202" filled="false" stroked="false">
          <v:textbox inset="0,0,0,0">
            <w:txbxContent>
              <w:p>
                <w:pPr>
                  <w:spacing w:line="204" w:lineRule="exact" w:before="0"/>
                  <w:ind w:left="20" w:right="-1" w:firstLine="0"/>
                  <w:jc w:val="left"/>
                  <w:rPr>
                    <w:sz w:val="18"/>
                  </w:rPr>
                </w:pPr>
                <w:r>
                  <w:rPr>
                    <w:sz w:val="18"/>
                  </w:rPr>
                  <w:t>Página 51</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540001pt;margin-top:705.013916pt;width:405pt;height:11pt;mso-position-horizontal-relative:page;mso-position-vertical-relative:page;z-index:-129040"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61.577942pt;width:65.3500pt;height:11pt;mso-position-horizontal-relative:page;mso-position-vertical-relative:page;z-index:-129016"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61.577942pt;width:94.5pt;height:11pt;mso-position-horizontal-relative:page;mso-position-vertical-relative:page;z-index:-128992"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661.577942pt;width:37.7pt;height:11pt;mso-position-horizontal-relative:page;mso-position-vertical-relative:page;z-index:-128968" type="#_x0000_t202" filled="false" stroked="false">
          <v:textbox inset="0,0,0,0">
            <w:txbxContent>
              <w:p>
                <w:pPr>
                  <w:spacing w:line="204" w:lineRule="exact" w:before="0"/>
                  <w:ind w:left="20" w:right="-1" w:firstLine="0"/>
                  <w:jc w:val="left"/>
                  <w:rPr>
                    <w:sz w:val="18"/>
                  </w:rPr>
                </w:pPr>
                <w:r>
                  <w:rPr>
                    <w:sz w:val="18"/>
                  </w:rPr>
                  <w:t>Página 53</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0.493958pt;width:65.3500pt;height:11pt;mso-position-horizontal-relative:page;mso-position-vertical-relative:page;z-index:-128944"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90.493958pt;width:94.5pt;height:11pt;mso-position-horizontal-relative:page;mso-position-vertical-relative:page;z-index:-128920"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690.493958pt;width:37.7pt;height:11pt;mso-position-horizontal-relative:page;mso-position-vertical-relative:page;z-index:-128896" type="#_x0000_t202" filled="false" stroked="false">
          <v:textbox inset="0,0,0,0">
            <w:txbxContent>
              <w:p>
                <w:pPr>
                  <w:spacing w:line="204" w:lineRule="exact" w:before="0"/>
                  <w:ind w:left="20" w:right="-1" w:firstLine="0"/>
                  <w:jc w:val="left"/>
                  <w:rPr>
                    <w:sz w:val="18"/>
                  </w:rPr>
                </w:pPr>
                <w:r>
                  <w:rPr>
                    <w:sz w:val="18"/>
                  </w:rPr>
                  <w:t>Página 54</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540001pt;margin-top:706.453918pt;width:405pt;height:11pt;mso-position-horizontal-relative:page;mso-position-vertical-relative:page;z-index:-128872"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85.453918pt;width:65.3500pt;height:11pt;mso-position-horizontal-relative:page;mso-position-vertical-relative:page;z-index:-131032"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85.453918pt;width:94.5pt;height:11pt;mso-position-horizontal-relative:page;mso-position-vertical-relative:page;z-index:-131008"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4.459991pt;margin-top:685.453918pt;width:34.3pt;height:11pt;mso-position-horizontal-relative:page;mso-position-vertical-relative:page;z-index:-130984"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1</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65.897949pt;width:65.3500pt;height:11pt;mso-position-horizontal-relative:page;mso-position-vertical-relative:page;z-index:-128824"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65.897949pt;width:94.5pt;height:11pt;mso-position-horizontal-relative:page;mso-position-vertical-relative:page;z-index:-128800"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658.217957pt;width:38.65pt;height:18.7pt;mso-position-horizontal-relative:page;mso-position-vertical-relative:page;z-index:-128776" type="#_x0000_t202" filled="false" stroked="false">
          <v:textbox inset="0,0,0,0">
            <w:txbxContent>
              <w:p>
                <w:pPr>
                  <w:spacing w:before="150"/>
                  <w:ind w:left="20" w:right="0" w:firstLine="0"/>
                  <w:jc w:val="left"/>
                  <w:rPr>
                    <w:sz w:val="18"/>
                  </w:rPr>
                </w:pPr>
                <w:r>
                  <w:rPr>
                    <w:sz w:val="18"/>
                  </w:rPr>
                  <w:t>Página </w:t>
                </w:r>
                <w:r>
                  <w:rPr/>
                  <w:fldChar w:fldCharType="begin"/>
                </w:r>
                <w:r>
                  <w:rPr>
                    <w:sz w:val="18"/>
                  </w:rPr>
                  <w:instrText> PAGE </w:instrText>
                </w:r>
                <w:r>
                  <w:rPr/>
                  <w:fldChar w:fldCharType="separate"/>
                </w:r>
                <w:r>
                  <w:rPr/>
                  <w:t>58</w:t>
                </w:r>
                <w:r>
                  <w:rPr/>
                  <w:fldChar w:fldCharType="end"/>
                </w:r>
              </w:p>
            </w:txbxContent>
          </v:textbox>
          <w10:wrap type="none"/>
        </v:shape>
      </w:pict>
    </w:r>
    <w:r>
      <w:rPr/>
      <w:pict>
        <v:shape style="position:absolute;margin-left:103.540001pt;margin-top:681.497925pt;width:405pt;height:11pt;mso-position-horizontal-relative:page;mso-position-vertical-relative:page;z-index:-128752"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58.217957pt;width:65.3500pt;height:11pt;mso-position-horizontal-relative:page;mso-position-vertical-relative:page;z-index:-128728"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58.217957pt;width:94.5pt;height:11pt;mso-position-horizontal-relative:page;mso-position-vertical-relative:page;z-index:-128704"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658.217957pt;width:38.65pt;height:11pt;mso-position-horizontal-relative:page;mso-position-vertical-relative:page;z-index:-128680"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59</w:t>
                </w:r>
                <w:r>
                  <w:rPr/>
                  <w:fldChar w:fldCharType="end"/>
                </w:r>
              </w:p>
            </w:txbxContent>
          </v:textbox>
          <w10:wrap type="none"/>
        </v:shape>
      </w:pict>
    </w:r>
    <w:r>
      <w:rPr/>
      <w:pict>
        <v:shape style="position:absolute;margin-left:101.379997pt;margin-top:674.549988pt;width:409.1pt;height:11pt;mso-position-horizontal-relative:page;mso-position-vertical-relative:page;z-index:-128656" type="#_x0000_t202" filled="false" stroked="false">
          <v:textbox inset="0,0,0,0">
            <w:txbxContent>
              <w:p>
                <w:pPr>
                  <w:spacing w:line="203" w:lineRule="exact" w:before="0"/>
                  <w:ind w:left="20" w:right="0" w:firstLine="0"/>
                  <w:jc w:val="left"/>
                  <w:rPr>
                    <w:rFonts w:ascii="Calibri" w:hAnsi="Calibri"/>
                    <w:sz w:val="18"/>
                  </w:rPr>
                </w:pPr>
                <w:r>
                  <w:rPr>
                    <w:rFonts w:ascii="Calibri" w:hAnsi="Calibri"/>
                    <w:sz w:val="18"/>
                  </w:rPr>
                  <w:t>Estimación de una función de producción de bovinos carne en sistema extensivo en el sur del Estado de México</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56.417908pt;width:65.3500pt;height:11pt;mso-position-horizontal-relative:page;mso-position-vertical-relative:page;z-index:-128632"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56.417908pt;width:94.5pt;height:11pt;mso-position-horizontal-relative:page;mso-position-vertical-relative:page;z-index:-128608"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656.417908pt;width:38.65pt;height:11pt;mso-position-horizontal-relative:page;mso-position-vertical-relative:page;z-index:-128584"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60</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86.773926pt;width:65.3500pt;height:11pt;mso-position-horizontal-relative:page;mso-position-vertical-relative:page;z-index:-128560"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86.773926pt;width:94.5pt;height:11pt;mso-position-horizontal-relative:page;mso-position-vertical-relative:page;z-index:-128536"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686.773926pt;width:37.7pt;height:11pt;mso-position-horizontal-relative:page;mso-position-vertical-relative:page;z-index:-128512" type="#_x0000_t202" filled="false" stroked="false">
          <v:textbox inset="0,0,0,0">
            <w:txbxContent>
              <w:p>
                <w:pPr>
                  <w:spacing w:line="204" w:lineRule="exact" w:before="0"/>
                  <w:ind w:left="20" w:right="-1" w:firstLine="0"/>
                  <w:jc w:val="left"/>
                  <w:rPr>
                    <w:sz w:val="18"/>
                  </w:rPr>
                </w:pPr>
                <w:r>
                  <w:rPr>
                    <w:sz w:val="18"/>
                  </w:rPr>
                  <w:t>Página 61</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74.897949pt;width:65.3500pt;height:11pt;mso-position-horizontal-relative:page;mso-position-vertical-relative:page;z-index:-128440"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74.897949pt;width:94.5pt;height:11pt;mso-position-horizontal-relative:page;mso-position-vertical-relative:page;z-index:-128416"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674.897949pt;width:37.65pt;height:11pt;mso-position-horizontal-relative:page;mso-position-vertical-relative:page;z-index:-128392" type="#_x0000_t202" filled="false" stroked="false">
          <v:textbox inset="0,0,0,0">
            <w:txbxContent>
              <w:p>
                <w:pPr>
                  <w:spacing w:line="204" w:lineRule="exact" w:before="0"/>
                  <w:ind w:left="20" w:right="-2" w:firstLine="0"/>
                  <w:jc w:val="left"/>
                  <w:rPr>
                    <w:sz w:val="18"/>
                  </w:rPr>
                </w:pPr>
                <w:r>
                  <w:rPr>
                    <w:sz w:val="18"/>
                  </w:rPr>
                  <w:t>Página 62</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8368" from="85.103996pt,686.343994pt" to="521.406017pt,686.343994pt" stroked="true" strokeweight=".36pt" strokecolor="#000000">
          <w10:wrap type="none"/>
        </v:line>
      </w:pict>
    </w:r>
    <w:r>
      <w:rPr/>
      <w:pict>
        <v:shape style="position:absolute;margin-left:84.103996pt;margin-top:695.293945pt;width:65.3500pt;height:11pt;mso-position-horizontal-relative:page;mso-position-vertical-relative:page;z-index:-128344"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95.293945pt;width:94.5pt;height:11pt;mso-position-horizontal-relative:page;mso-position-vertical-relative:page;z-index:-128320"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691.93396pt;width:38.7pt;height:14.6pt;mso-position-horizontal-relative:page;mso-position-vertical-relative:page;z-index:-128296" type="#_x0000_t202" filled="false" stroked="false">
          <v:textbox inset="0,0,0,0">
            <w:txbxContent>
              <w:p>
                <w:pPr>
                  <w:spacing w:before="64"/>
                  <w:ind w:left="20" w:right="0" w:firstLine="0"/>
                  <w:jc w:val="left"/>
                  <w:rPr>
                    <w:sz w:val="18"/>
                  </w:rPr>
                </w:pPr>
                <w:r>
                  <w:rPr>
                    <w:sz w:val="18"/>
                  </w:rPr>
                  <w:t>Página </w:t>
                </w:r>
                <w:r>
                  <w:rPr/>
                  <w:fldChar w:fldCharType="begin"/>
                </w:r>
                <w:r>
                  <w:rPr>
                    <w:sz w:val="18"/>
                  </w:rPr>
                  <w:instrText> PAGE </w:instrText>
                </w:r>
                <w:r>
                  <w:rPr/>
                  <w:fldChar w:fldCharType="separate"/>
                </w:r>
                <w:r>
                  <w:rPr/>
                  <w:t>65</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10.053955pt;width:65.3500pt;height:11pt;mso-position-horizontal-relative:page;mso-position-vertical-relative:page;z-index:-128224"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710.053955pt;width:94.5pt;height:11pt;mso-position-horizontal-relative:page;mso-position-vertical-relative:page;z-index:-128200"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710.053955pt;width:37.7pt;height:11pt;mso-position-horizontal-relative:page;mso-position-vertical-relative:page;z-index:-128176" type="#_x0000_t202" filled="false" stroked="false">
          <v:textbox inset="0,0,0,0">
            <w:txbxContent>
              <w:p>
                <w:pPr>
                  <w:spacing w:line="204" w:lineRule="exact" w:before="0"/>
                  <w:ind w:left="20" w:right="-1" w:firstLine="0"/>
                  <w:jc w:val="left"/>
                  <w:rPr>
                    <w:sz w:val="18"/>
                  </w:rPr>
                </w:pPr>
                <w:r>
                  <w:rPr>
                    <w:sz w:val="18"/>
                  </w:rPr>
                  <w:t>Página 66</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86.653931pt;width:65.3500pt;height:11pt;mso-position-horizontal-relative:page;mso-position-vertical-relative:page;z-index:-128152"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86.653931pt;width:94.5pt;height:11pt;mso-position-horizontal-relative:page;mso-position-vertical-relative:page;z-index:-128128"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686.653931pt;width:37.7pt;height:11pt;mso-position-horizontal-relative:page;mso-position-vertical-relative:page;z-index:-128104" type="#_x0000_t202" filled="false" stroked="false">
          <v:textbox inset="0,0,0,0">
            <w:txbxContent>
              <w:p>
                <w:pPr>
                  <w:spacing w:line="204" w:lineRule="exact" w:before="0"/>
                  <w:ind w:left="20" w:right="-1" w:firstLine="0"/>
                  <w:jc w:val="left"/>
                  <w:rPr>
                    <w:sz w:val="18"/>
                  </w:rPr>
                </w:pPr>
                <w:r>
                  <w:rPr>
                    <w:sz w:val="18"/>
                  </w:rPr>
                  <w:t>Página 67</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5.41394pt;width:65.3500pt;height:11pt;mso-position-horizontal-relative:page;mso-position-vertical-relative:page;z-index:-128080"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95.41394pt;width:94.5pt;height:11pt;mso-position-horizontal-relative:page;mso-position-vertical-relative:page;z-index:-128056"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687.493958pt;width:38.7pt;height:18.95pt;mso-position-horizontal-relative:page;mso-position-vertical-relative:page;z-index:-128032" type="#_x0000_t202" filled="false" stroked="false">
          <v:textbox inset="0,0,0,0">
            <w:txbxContent>
              <w:p>
                <w:pPr>
                  <w:spacing w:before="155"/>
                  <w:ind w:left="20" w:right="0" w:firstLine="0"/>
                  <w:jc w:val="left"/>
                  <w:rPr>
                    <w:sz w:val="18"/>
                  </w:rPr>
                </w:pPr>
                <w:r>
                  <w:rPr>
                    <w:sz w:val="18"/>
                  </w:rPr>
                  <w:t>Página </w:t>
                </w:r>
                <w:r>
                  <w:rPr/>
                  <w:fldChar w:fldCharType="begin"/>
                </w:r>
                <w:r>
                  <w:rPr>
                    <w:sz w:val="18"/>
                  </w:rPr>
                  <w:instrText> PAGE </w:instrText>
                </w:r>
                <w:r>
                  <w:rPr/>
                  <w:fldChar w:fldCharType="separate"/>
                </w:r>
                <w:r>
                  <w:rPr/>
                  <w:t>68</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96.133911pt;width:65.3500pt;height:11pt;mso-position-horizontal-relative:page;mso-position-vertical-relative:page;z-index:-127960"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96.133911pt;width:94.5pt;height:11pt;mso-position-horizontal-relative:page;mso-position-vertical-relative:page;z-index:-127936"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696.133911pt;width:37.7pt;height:11pt;mso-position-horizontal-relative:page;mso-position-vertical-relative:page;z-index:-127912" type="#_x0000_t202" filled="false" stroked="false">
          <v:textbox inset="0,0,0,0">
            <w:txbxContent>
              <w:p>
                <w:pPr>
                  <w:spacing w:line="204" w:lineRule="exact" w:before="0"/>
                  <w:ind w:left="20" w:right="-1" w:firstLine="0"/>
                  <w:jc w:val="left"/>
                  <w:rPr>
                    <w:sz w:val="18"/>
                  </w:rPr>
                </w:pPr>
                <w:r>
                  <w:rPr>
                    <w:sz w:val="18"/>
                  </w:rPr>
                  <w:t>Página 70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0960" from="85.103996pt,679.384033pt" to="525.960017pt,679.384033pt" stroked="true" strokeweight=".36pt" strokecolor="#000000">
          <w10:wrap type="none"/>
        </v:line>
      </w:pict>
    </w:r>
    <w:r>
      <w:rPr/>
      <w:pict>
        <v:shape style="position:absolute;margin-left:84.103996pt;margin-top:686.053955pt;width:65.3500pt;height:11pt;mso-position-horizontal-relative:page;mso-position-vertical-relative:page;z-index:-130936"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86.053955pt;width:94.5pt;height:11pt;mso-position-horizontal-relative:page;mso-position-vertical-relative:page;z-index:-130912"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4.459991pt;margin-top:684.973938pt;width:34.3pt;height:12.1pt;mso-position-horizontal-relative:page;mso-position-vertical-relative:page;z-index:-130888" type="#_x0000_t202" filled="false" stroked="false">
          <v:textbox inset="0,0,0,0">
            <w:txbxContent>
              <w:p>
                <w:pPr>
                  <w:spacing w:before="18"/>
                  <w:ind w:left="20" w:right="0" w:firstLine="0"/>
                  <w:jc w:val="left"/>
                  <w:rPr>
                    <w:sz w:val="18"/>
                  </w:rPr>
                </w:pPr>
                <w:r>
                  <w:rPr>
                    <w:sz w:val="18"/>
                  </w:rPr>
                  <w:t>Página </w:t>
                </w:r>
                <w:r>
                  <w:rPr/>
                  <w:fldChar w:fldCharType="begin"/>
                </w:r>
                <w:r>
                  <w:rPr>
                    <w:sz w:val="18"/>
                  </w:rPr>
                  <w:instrText> PAGE </w:instrText>
                </w:r>
                <w:r>
                  <w:rPr/>
                  <w:fldChar w:fldCharType="separate"/>
                </w:r>
                <w:r>
                  <w:rPr/>
                  <w:t>3</w:t>
                </w:r>
                <w:r>
                  <w:rPr/>
                  <w:fldChar w:fldCharType="end"/>
                </w:r>
              </w:p>
            </w:txbxContent>
          </v:textbox>
          <w10:wrap type="none"/>
        </v:shape>
      </w:pict>
    </w:r>
    <w:r>
      <w:rPr/>
      <w:pict>
        <v:shape style="position:absolute;margin-left:103.540001pt;margin-top:701.653931pt;width:405pt;height:11pt;mso-position-horizontal-relative:page;mso-position-vertical-relative:page;z-index:-130864"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540001pt;margin-top:705.493958pt;width:405pt;height:11pt;mso-position-horizontal-relative:page;mso-position-vertical-relative:page;z-index:-127864"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line style="position:absolute;mso-position-horizontal-relative:page;mso-position-vertical-relative:page;z-index:-127840" from="85.103996pt,667.263977pt" to="525.960017pt,667.263977pt" stroked="true" strokeweight=".36pt" strokecolor="#000000">
          <w10:wrap type="none"/>
        </v:line>
      </w:pict>
    </w:r>
    <w:r>
      <w:rPr/>
      <w:pict>
        <v:shape style="position:absolute;margin-left:84.103996pt;margin-top:677.657959pt;width:65.3500pt;height:11pt;mso-position-horizontal-relative:page;mso-position-vertical-relative:page;z-index:-127816"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77.657959pt;width:94.5pt;height:11pt;mso-position-horizontal-relative:page;mso-position-vertical-relative:page;z-index:-127792"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672.85791pt;width:38.7pt;height:15.8pt;mso-position-horizontal-relative:page;mso-position-vertical-relative:page;z-index:-127768" type="#_x0000_t202" filled="false" stroked="false">
          <v:textbox inset="0,0,0,0">
            <w:txbxContent>
              <w:p>
                <w:pPr>
                  <w:spacing w:before="92"/>
                  <w:ind w:left="20" w:right="0" w:firstLine="0"/>
                  <w:jc w:val="left"/>
                  <w:rPr>
                    <w:sz w:val="18"/>
                  </w:rPr>
                </w:pPr>
                <w:r>
                  <w:rPr>
                    <w:sz w:val="18"/>
                  </w:rPr>
                  <w:t>Página </w:t>
                </w:r>
                <w:r>
                  <w:rPr/>
                  <w:fldChar w:fldCharType="begin"/>
                </w:r>
                <w:r>
                  <w:rPr>
                    <w:sz w:val="18"/>
                  </w:rPr>
                  <w:instrText> PAGE </w:instrText>
                </w:r>
                <w:r>
                  <w:rPr/>
                  <w:fldChar w:fldCharType="separate"/>
                </w:r>
                <w:r>
                  <w:rPr/>
                  <w:t>73</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7.893921pt;width:65.3500pt;height:11pt;mso-position-horizontal-relative:page;mso-position-vertical-relative:page;z-index:-127696"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707.893921pt;width:94.5pt;height:11pt;mso-position-horizontal-relative:page;mso-position-vertical-relative:page;z-index:-127672"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707.893921pt;width:37.7pt;height:11pt;mso-position-horizontal-relative:page;mso-position-vertical-relative:page;z-index:-127648" type="#_x0000_t202" filled="false" stroked="false">
          <v:textbox inset="0,0,0,0">
            <w:txbxContent>
              <w:p>
                <w:pPr>
                  <w:spacing w:line="204" w:lineRule="exact" w:before="0"/>
                  <w:ind w:left="20" w:right="-1" w:firstLine="0"/>
                  <w:jc w:val="left"/>
                  <w:rPr>
                    <w:sz w:val="18"/>
                  </w:rPr>
                </w:pPr>
                <w:r>
                  <w:rPr>
                    <w:sz w:val="18"/>
                  </w:rPr>
                  <w:t>Página 74</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5.853943pt;width:65.3500pt;height:11pt;mso-position-horizontal-relative:page;mso-position-vertical-relative:page;z-index:-127552"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705.853943pt;width:94.5pt;height:11pt;mso-position-horizontal-relative:page;mso-position-vertical-relative:page;z-index:-127528"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705.853943pt;width:37.7pt;height:11pt;mso-position-horizontal-relative:page;mso-position-vertical-relative:page;z-index:-127504" type="#_x0000_t202" filled="false" stroked="false">
          <v:textbox inset="0,0,0,0">
            <w:txbxContent>
              <w:p>
                <w:pPr>
                  <w:spacing w:line="204" w:lineRule="exact" w:before="0"/>
                  <w:ind w:left="20" w:right="-1" w:firstLine="0"/>
                  <w:jc w:val="left"/>
                  <w:rPr>
                    <w:sz w:val="18"/>
                  </w:rPr>
                </w:pPr>
                <w:r>
                  <w:rPr>
                    <w:sz w:val="18"/>
                  </w:rPr>
                  <w:t>Página 76</w:t>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7480" from="85.103996pt,684.064026pt" to="516.969017pt,684.064026pt" stroked="true" strokeweight=".36pt" strokecolor="#000000">
          <w10:wrap type="none"/>
        </v:line>
      </w:pict>
    </w:r>
    <w:r>
      <w:rPr/>
      <w:pict>
        <v:shape style="position:absolute;margin-left:84.103996pt;margin-top:691.813965pt;width:65.3500pt;height:11pt;mso-position-horizontal-relative:page;mso-position-vertical-relative:page;z-index:-127456"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91.813965pt;width:94.5pt;height:11pt;mso-position-horizontal-relative:page;mso-position-vertical-relative:page;z-index:-127432"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689.533936pt;width:38.7pt;height:13.3pt;mso-position-horizontal-relative:page;mso-position-vertical-relative:page;z-index:-127408" type="#_x0000_t202" filled="false" stroked="false">
          <v:textbox inset="0,0,0,0">
            <w:txbxContent>
              <w:p>
                <w:pPr>
                  <w:spacing w:before="42"/>
                  <w:ind w:left="20" w:right="0" w:firstLine="0"/>
                  <w:jc w:val="left"/>
                  <w:rPr>
                    <w:sz w:val="18"/>
                  </w:rPr>
                </w:pPr>
                <w:r>
                  <w:rPr>
                    <w:sz w:val="18"/>
                  </w:rPr>
                  <w:t>Página </w:t>
                </w:r>
                <w:r>
                  <w:rPr/>
                  <w:fldChar w:fldCharType="begin"/>
                </w:r>
                <w:r>
                  <w:rPr>
                    <w:sz w:val="18"/>
                  </w:rPr>
                  <w:instrText> PAGE </w:instrText>
                </w:r>
                <w:r>
                  <w:rPr/>
                  <w:fldChar w:fldCharType="separate"/>
                </w:r>
                <w:r>
                  <w:rPr/>
                  <w:t>78</w:t>
                </w:r>
                <w:r>
                  <w:rPr/>
                  <w:fldChar w:fldCharType="end"/>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02.613953pt;width:65.3500pt;height:11pt;mso-position-horizontal-relative:page;mso-position-vertical-relative:page;z-index:-127288"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702.613953pt;width:94.5pt;height:11pt;mso-position-horizontal-relative:page;mso-position-vertical-relative:page;z-index:-127264"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702.613953pt;width:38.7pt;height:11pt;mso-position-horizontal-relative:page;mso-position-vertical-relative:page;z-index:-127240"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80</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7216" from="85.103996pt,690.184021pt" to="516.969017pt,690.184021pt" stroked="true" strokeweight=".36pt" strokecolor="#000000">
          <w10:wrap type="none"/>
        </v:line>
      </w:pict>
    </w:r>
    <w:r>
      <w:rPr/>
      <w:pict>
        <v:shape style="position:absolute;margin-left:84.103996pt;margin-top:695.893921pt;width:65.3500pt;height:11pt;mso-position-horizontal-relative:page;mso-position-vertical-relative:page;z-index:-127192"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95.893921pt;width:94.5pt;height:11pt;mso-position-horizontal-relative:page;mso-position-vertical-relative:page;z-index:-127168"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695.653931pt;width:38.7pt;height:11.25pt;mso-position-horizontal-relative:page;mso-position-vertical-relative:page;z-index:-127144" type="#_x0000_t202" filled="false" stroked="false">
          <v:textbox inset="0,0,0,0">
            <w:txbxContent>
              <w:p>
                <w:pPr>
                  <w:spacing w:before="1"/>
                  <w:ind w:left="20" w:right="0" w:firstLine="0"/>
                  <w:jc w:val="left"/>
                  <w:rPr>
                    <w:sz w:val="18"/>
                  </w:rPr>
                </w:pPr>
                <w:r>
                  <w:rPr>
                    <w:sz w:val="18"/>
                  </w:rPr>
                  <w:t>Página </w:t>
                </w:r>
                <w:r>
                  <w:rPr/>
                  <w:fldChar w:fldCharType="begin"/>
                </w:r>
                <w:r>
                  <w:rPr>
                    <w:sz w:val="18"/>
                  </w:rPr>
                  <w:instrText> PAGE </w:instrText>
                </w:r>
                <w:r>
                  <w:rPr/>
                  <w:fldChar w:fldCharType="separate"/>
                </w:r>
                <w:r>
                  <w:rPr/>
                  <w:t>82</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7048" from="85.103996pt,698.220032pt" to="516.969017pt,698.220032pt" stroked="true" strokeweight=".36pt" strokecolor="#000000">
          <w10:wrap type="none"/>
        </v:line>
      </w:pict>
    </w:r>
    <w:r>
      <w:rPr/>
      <w:pict>
        <v:shape style="position:absolute;margin-left:84.103996pt;margin-top:703.813965pt;width:65.3500pt;height:11pt;mso-position-horizontal-relative:page;mso-position-vertical-relative:page;z-index:-127024"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703.813965pt;width:94.5pt;height:11pt;mso-position-horizontal-relative:page;mso-position-vertical-relative:page;z-index:-127000"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702.973938pt;width:38.7pt;height:11.85pt;mso-position-horizontal-relative:page;mso-position-vertical-relative:page;z-index:-126976" type="#_x0000_t202" filled="false" stroked="false">
          <v:textbox inset="0,0,0,0">
            <w:txbxContent>
              <w:p>
                <w:pPr>
                  <w:spacing w:before="13"/>
                  <w:ind w:left="20" w:right="0" w:firstLine="0"/>
                  <w:jc w:val="left"/>
                  <w:rPr>
                    <w:sz w:val="18"/>
                  </w:rPr>
                </w:pPr>
                <w:r>
                  <w:rPr>
                    <w:sz w:val="18"/>
                  </w:rPr>
                  <w:t>Página </w:t>
                </w:r>
                <w:r>
                  <w:rPr/>
                  <w:fldChar w:fldCharType="begin"/>
                </w:r>
                <w:r>
                  <w:rPr>
                    <w:sz w:val="18"/>
                  </w:rPr>
                  <w:instrText> PAGE </w:instrText>
                </w:r>
                <w:r>
                  <w:rPr/>
                  <w:fldChar w:fldCharType="separate"/>
                </w:r>
                <w:r>
                  <w:rPr/>
                  <w:t>83</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6904" from="85.103996pt,690.903992pt" to="516.969017pt,690.903992pt" stroked="true" strokeweight=".36pt" strokecolor="#000000">
          <w10:wrap type="none"/>
        </v:line>
      </w:pict>
    </w:r>
    <w:r>
      <w:rPr/>
      <w:pict>
        <v:shape style="position:absolute;margin-left:84.103996pt;margin-top:696.733948pt;width:65.3500pt;height:11pt;mso-position-horizontal-relative:page;mso-position-vertical-relative:page;z-index:-126880"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96.733948pt;width:94.5pt;height:11pt;mso-position-horizontal-relative:page;mso-position-vertical-relative:page;z-index:-126856"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696.493958pt;width:38.7pt;height:11.25pt;mso-position-horizontal-relative:page;mso-position-vertical-relative:page;z-index:-126832" type="#_x0000_t202" filled="false" stroked="false">
          <v:textbox inset="0,0,0,0">
            <w:txbxContent>
              <w:p>
                <w:pPr>
                  <w:spacing w:before="1"/>
                  <w:ind w:left="20" w:right="0" w:firstLine="0"/>
                  <w:jc w:val="left"/>
                  <w:rPr>
                    <w:sz w:val="18"/>
                  </w:rPr>
                </w:pPr>
                <w:r>
                  <w:rPr>
                    <w:sz w:val="18"/>
                  </w:rPr>
                  <w:t>Página </w:t>
                </w:r>
                <w:r>
                  <w:rPr/>
                  <w:fldChar w:fldCharType="begin"/>
                </w:r>
                <w:r>
                  <w:rPr>
                    <w:sz w:val="18"/>
                  </w:rPr>
                  <w:instrText> PAGE </w:instrText>
                </w:r>
                <w:r>
                  <w:rPr/>
                  <w:fldChar w:fldCharType="separate"/>
                </w:r>
                <w:r>
                  <w:rPr/>
                  <w:t>86</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0816" from="102pt,697.775024pt" to="508.5pt,697.775024pt" stroked="true" strokeweight=".5pt" strokecolor="#000000">
          <w10:wrap type="none"/>
        </v:line>
      </w:pict>
    </w:r>
    <w:r>
      <w:rPr/>
      <w:pict>
        <v:shape style="position:absolute;margin-left:85.103996pt;margin-top:660.424011pt;width:441.4pt;height:.1pt;mso-position-horizontal-relative:page;mso-position-vertical-relative:page;z-index:-130792" coordorigin="1702,13208" coordsize="8828,0" path="m1702,13208l9980,13208m9988,13208l10529,13208e" filled="false" stroked="true" strokeweight=".36pt" strokecolor="#000000">
          <v:path arrowok="t"/>
          <w10:wrap type="none"/>
        </v:shape>
      </w:pict>
    </w:r>
    <w:r>
      <w:rPr/>
      <w:pict>
        <v:shape style="position:absolute;margin-left:84.103996pt;margin-top:665.897949pt;width:65.3500pt;height:11pt;mso-position-horizontal-relative:page;mso-position-vertical-relative:page;z-index:-130768"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65.897949pt;width:94.5pt;height:11pt;mso-position-horizontal-relative:page;mso-position-vertical-relative:page;z-index:-130744"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4.459991pt;margin-top:665.897949pt;width:34.3pt;height:11pt;mso-position-horizontal-relative:page;mso-position-vertical-relative:page;z-index:-130720" type="#_x0000_t202" filled="false" stroked="false">
          <v:textbox inset="0,0,0,0">
            <w:txbxContent>
              <w:p>
                <w:pPr>
                  <w:spacing w:line="204" w:lineRule="exact" w:before="0"/>
                  <w:ind w:left="20" w:right="0" w:firstLine="0"/>
                  <w:jc w:val="left"/>
                  <w:rPr>
                    <w:sz w:val="18"/>
                  </w:rPr>
                </w:pPr>
                <w:r>
                  <w:rPr>
                    <w:sz w:val="18"/>
                  </w:rPr>
                  <w:t>Página </w:t>
                </w:r>
                <w:r>
                  <w:rPr/>
                  <w:fldChar w:fldCharType="begin"/>
                </w:r>
                <w:r>
                  <w:rPr>
                    <w:sz w:val="18"/>
                  </w:rPr>
                  <w:instrText> PAGE </w:instrText>
                </w:r>
                <w:r>
                  <w:rPr/>
                  <w:fldChar w:fldCharType="separate"/>
                </w:r>
                <w:r>
                  <w:rPr/>
                  <w:t>4</w:t>
                </w:r>
                <w:r>
                  <w:rPr/>
                  <w:fldChar w:fldCharType="end"/>
                </w:r>
              </w:p>
            </w:txbxContent>
          </v:textbox>
          <w10:wrap type="none"/>
        </v:shape>
      </w:pict>
    </w:r>
    <w:r>
      <w:rPr/>
      <w:pict>
        <v:shape style="position:absolute;margin-left:103.540001pt;margin-top:681.497925pt;width:405pt;height:11pt;mso-position-horizontal-relative:page;mso-position-vertical-relative:page;z-index:-130696"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6808" from="85.103996pt,697.73999pt" to="516.969017pt,697.73999pt" stroked="true" strokeweight=".36pt" strokecolor="#000000">
          <w10:wrap type="none"/>
        </v:line>
      </w:pict>
    </w:r>
    <w:r>
      <w:rPr/>
      <w:pict>
        <v:shape style="position:absolute;margin-left:84.103996pt;margin-top:703.213928pt;width:65.3500pt;height:11pt;mso-position-horizontal-relative:page;mso-position-vertical-relative:page;z-index:-126784"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703.213928pt;width:94.5pt;height:11pt;mso-position-horizontal-relative:page;mso-position-vertical-relative:page;z-index:-126760"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700.573914pt;width:38.7pt;height:13.65pt;mso-position-horizontal-relative:page;mso-position-vertical-relative:page;z-index:-126736" type="#_x0000_t202" filled="false" stroked="false">
          <v:textbox inset="0,0,0,0">
            <w:txbxContent>
              <w:p>
                <w:pPr>
                  <w:spacing w:before="49"/>
                  <w:ind w:left="20" w:right="0" w:firstLine="0"/>
                  <w:jc w:val="left"/>
                  <w:rPr>
                    <w:sz w:val="18"/>
                  </w:rPr>
                </w:pPr>
                <w:r>
                  <w:rPr>
                    <w:sz w:val="18"/>
                  </w:rPr>
                  <w:t>Página </w:t>
                </w:r>
                <w:r>
                  <w:rPr/>
                  <w:fldChar w:fldCharType="begin"/>
                </w:r>
                <w:r>
                  <w:rPr>
                    <w:sz w:val="18"/>
                  </w:rPr>
                  <w:instrText> PAGE </w:instrText>
                </w:r>
                <w:r>
                  <w:rPr/>
                  <w:fldChar w:fldCharType="separate"/>
                </w:r>
                <w:r>
                  <w:rPr/>
                  <w:t>87</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685.333923pt;width:65.3500pt;height:11pt;mso-position-horizontal-relative:page;mso-position-vertical-relative:page;z-index:-126664" type="#_x0000_t202" filled="false" stroked="false">
          <v:textbox inset="0,0,0,0">
            <w:txbxContent>
              <w:p>
                <w:pPr>
                  <w:spacing w:line="204" w:lineRule="exact" w:before="0"/>
                  <w:ind w:left="20" w:right="-3" w:firstLine="0"/>
                  <w:jc w:val="left"/>
                  <w:rPr>
                    <w:sz w:val="18"/>
                  </w:rPr>
                </w:pPr>
                <w:r>
                  <w:rPr>
                    <w:sz w:val="18"/>
                  </w:rPr>
                  <w:t>Tesis de Maestría</w:t>
                </w:r>
              </w:p>
            </w:txbxContent>
          </v:textbox>
          <w10:wrap type="none"/>
        </v:shape>
      </w:pict>
    </w:r>
    <w:r>
      <w:rPr/>
      <w:pict>
        <v:shape style="position:absolute;margin-left:278.170013pt;margin-top:685.333923pt;width:94.5pt;height:11pt;mso-position-horizontal-relative:page;mso-position-vertical-relative:page;z-index:-126640" type="#_x0000_t202" filled="false" stroked="false">
          <v:textbox inset="0,0,0,0">
            <w:txbxContent>
              <w:p>
                <w:pPr>
                  <w:spacing w:line="204" w:lineRule="exact" w:before="0"/>
                  <w:ind w:left="20" w:right="0" w:firstLine="0"/>
                  <w:jc w:val="left"/>
                  <w:rPr>
                    <w:sz w:val="18"/>
                  </w:rPr>
                </w:pPr>
                <w:r>
                  <w:rPr>
                    <w:sz w:val="18"/>
                  </w:rPr>
                  <w:t>Pedro Hernández Aguirre</w:t>
                </w:r>
              </w:p>
            </w:txbxContent>
          </v:textbox>
          <w10:wrap type="none"/>
        </v:shape>
      </w:pict>
    </w:r>
    <w:r>
      <w:rPr/>
      <w:pict>
        <v:shape style="position:absolute;margin-left:490.019989pt;margin-top:685.333923pt;width:37.65pt;height:11pt;mso-position-horizontal-relative:page;mso-position-vertical-relative:page;z-index:-126616" type="#_x0000_t202" filled="false" stroked="false">
          <v:textbox inset="0,0,0,0">
            <w:txbxContent>
              <w:p>
                <w:pPr>
                  <w:spacing w:line="204" w:lineRule="exact" w:before="0"/>
                  <w:ind w:left="20" w:right="-2" w:firstLine="0"/>
                  <w:jc w:val="left"/>
                  <w:rPr>
                    <w:sz w:val="18"/>
                  </w:rPr>
                </w:pPr>
                <w:r>
                  <w:rPr>
                    <w:sz w:val="18"/>
                  </w:rPr>
                  <w:t>Página 89</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0672" from="102pt,693.463013pt" to="508.5pt,693.463013pt" stroked="true" strokeweight=".5pt" strokecolor="#000000">
          <w10:wrap type="none"/>
        </v:line>
      </w:pict>
    </w:r>
    <w:r>
      <w:rPr/>
      <w:pict>
        <v:shape style="position:absolute;margin-left:103.540001pt;margin-top:679.337952pt;width:405pt;height:11pt;mso-position-horizontal-relative:page;mso-position-vertical-relative:page;z-index:-130648"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03943">
          <wp:simplePos x="0" y="0"/>
          <wp:positionH relativeFrom="page">
            <wp:posOffset>652144</wp:posOffset>
          </wp:positionH>
          <wp:positionV relativeFrom="page">
            <wp:posOffset>899798</wp:posOffset>
          </wp:positionV>
          <wp:extent cx="796854" cy="693416"/>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1" cstate="print"/>
                  <a:stretch>
                    <a:fillRect/>
                  </a:stretch>
                </pic:blipFill>
                <pic:spPr>
                  <a:xfrm>
                    <a:off x="0" y="0"/>
                    <a:ext cx="796854" cy="693416"/>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148.539993pt;margin-top:71.222382pt;width:353.15pt;height:48.35pt;mso-position-horizontal-relative:page;mso-position-vertical-relative:page;z-index:-131488" type="#_x0000_t202" filled="false" stroked="false">
          <v:textbox inset="0,0,0,0">
            <w:txbxContent>
              <w:p>
                <w:pPr>
                  <w:spacing w:line="307" w:lineRule="exact" w:before="0"/>
                  <w:ind w:left="0" w:right="0" w:firstLine="0"/>
                  <w:jc w:val="center"/>
                  <w:rPr>
                    <w:sz w:val="28"/>
                  </w:rPr>
                </w:pPr>
                <w:r>
                  <w:rPr>
                    <w:sz w:val="28"/>
                  </w:rPr>
                  <w:t>UNIVERSIDAD AUTÓNOMA DEL ESTADO DE MÉXICO</w:t>
                </w:r>
              </w:p>
              <w:p>
                <w:pPr>
                  <w:spacing w:before="2"/>
                  <w:ind w:left="596" w:right="594" w:firstLine="2"/>
                  <w:jc w:val="center"/>
                  <w:rPr>
                    <w:sz w:val="28"/>
                  </w:rPr>
                </w:pPr>
                <w:r>
                  <w:rPr>
                    <w:sz w:val="28"/>
                  </w:rPr>
                  <w:t>MAESTRÍA Y DOCTORADO EN CIENCIAS AGROPECUARIAS Y RECURSOS</w:t>
                </w:r>
                <w:r>
                  <w:rPr>
                    <w:spacing w:val="-17"/>
                    <w:sz w:val="28"/>
                  </w:rPr>
                  <w:t> </w:t>
                </w:r>
                <w:r>
                  <w:rPr>
                    <w:sz w:val="28"/>
                  </w:rPr>
                  <w:t>NATURALES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440" from="102pt,71.650002pt" to="508.5pt,71.650002pt" stroked="true" strokeweight=".5pt" strokecolor="#000000">
          <w10:wrap type="none"/>
        </v:lin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416" from="102pt,71.650002pt" to="508.5pt,71.650002pt" stroked="true" strokeweight=".5pt" strokecolor="#000000">
          <w10:wrap type="none"/>
        </v:line>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9424" from="102pt,71.650002pt" to="508.5pt,71.650002pt" stroked="true" strokeweight=".5pt" strokecolor="#000000">
          <w10:wrap type="none"/>
        </v:lin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9400" from="102pt,71.650002pt" to="508.5pt,71.650002pt" stroked="true" strokeweight=".5pt" strokecolor="#000000">
          <w10:wrap type="none"/>
        </v:lin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392" from="102pt,87.169998pt" to="508.5pt,87.169998pt" stroked="true" strokeweight=".5pt" strokecolor="#000000">
          <w10:wrap type="none"/>
        </v:line>
      </w:pict>
    </w:r>
    <w:r>
      <w:rPr/>
      <w:pict>
        <v:shape style="position:absolute;margin-left:103.540001pt;margin-top:70.717934pt;width:405pt;height:11pt;mso-position-horizontal-relative:page;mso-position-vertical-relative:page;z-index:-131368"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540001pt;margin-top:93.657936pt;width:405pt;height:11pt;mso-position-horizontal-relative:page;mso-position-vertical-relative:page;z-index:-129280"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9160" from="102pt,87.169998pt" to="508.5pt,87.169998pt" stroked="true" strokeweight=".5pt" strokecolor="#000000">
          <w10:wrap type="none"/>
        </v:line>
      </w:pict>
    </w:r>
    <w:r>
      <w:rPr/>
      <w:pict>
        <v:shape style="position:absolute;margin-left:103.540001pt;margin-top:70.717934pt;width:405pt;height:11pt;mso-position-horizontal-relative:page;mso-position-vertical-relative:page;z-index:-129136"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8848" from="102pt,71.650002pt" to="508.5pt,71.650002pt" stroked="true" strokeweight=".5pt" strokecolor="#000000">
          <w10:wrap type="none"/>
        </v:lin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5"/>
      </w:rPr>
    </w:pPr>
    <w:r>
      <w:rPr/>
      <w:pict>
        <v:shape style="position:absolute;margin-left:103.540001pt;margin-top:86.337936pt;width:405pt;height:11pt;mso-position-horizontal-relative:page;mso-position-vertical-relative:page;z-index:-131200"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8488" from="85.050003pt,83.25pt" to="491.550003pt,83.25pt" stroked="true" strokeweight=".5pt" strokecolor="#000000">
          <w10:wrap type="none"/>
        </v:line>
      </w:pict>
    </w:r>
    <w:r>
      <w:rPr/>
      <w:pict>
        <v:shape style="position:absolute;margin-left:84.103996pt;margin-top:71.449997pt;width:409.1pt;height:11pt;mso-position-horizontal-relative:page;mso-position-vertical-relative:page;z-index:-128464" type="#_x0000_t202" filled="false" stroked="false">
          <v:textbox inset="0,0,0,0">
            <w:txbxContent>
              <w:p>
                <w:pPr>
                  <w:spacing w:line="203" w:lineRule="exact" w:before="0"/>
                  <w:ind w:left="20" w:right="0" w:firstLine="0"/>
                  <w:jc w:val="left"/>
                  <w:rPr>
                    <w:rFonts w:ascii="Calibri" w:hAnsi="Calibri"/>
                    <w:sz w:val="18"/>
                  </w:rPr>
                </w:pPr>
                <w:r>
                  <w:rPr>
                    <w:rFonts w:ascii="Calibri" w:hAnsi="Calibri"/>
                    <w:sz w:val="18"/>
                  </w:rPr>
                  <w:t>Estimación de una función de producción de bovinos carne en sistema extensivo en el sur del Estado de México</w:t>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8272" from="102pt,87.169998pt" to="508.5pt,87.169998pt" stroked="true" strokeweight=".5pt" strokecolor="#000000">
          <w10:wrap type="none"/>
        </v:line>
      </w:pict>
    </w:r>
    <w:r>
      <w:rPr/>
      <w:pict>
        <v:shape style="position:absolute;margin-left:103.540001pt;margin-top:70.717934pt;width:405pt;height:11pt;mso-position-horizontal-relative:page;mso-position-vertical-relative:page;z-index:-128248"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540001pt;margin-top:70.717934pt;width:405pt;height:11pt;mso-position-horizontal-relative:page;mso-position-vertical-relative:page;z-index:-128008"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540001pt;margin-top:101.81794pt;width:405pt;height:11pt;mso-position-horizontal-relative:page;mso-position-vertical-relative:page;z-index:-127984"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540001pt;margin-top:70.717934pt;width:405pt;height:11pt;mso-position-horizontal-relative:page;mso-position-vertical-relative:page;z-index:-127888"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540001pt;margin-top:86.337936pt;width:405pt;height:11pt;mso-position-horizontal-relative:page;mso-position-vertical-relative:page;z-index:-127744"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080" from="102pt,87.169998pt" to="508.5pt,87.169998pt" stroked="true" strokeweight=".5pt" strokecolor="#000000">
          <w10:wrap type="none"/>
        </v:line>
      </w:pict>
    </w:r>
    <w:r>
      <w:rPr/>
      <w:pict>
        <v:shape style="position:absolute;margin-left:103.540001pt;margin-top:70.717934pt;width:405pt;height:11pt;mso-position-horizontal-relative:page;mso-position-vertical-relative:page;z-index:-131056"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540001pt;margin-top:70.717934pt;width:405pt;height:11pt;mso-position-horizontal-relative:page;mso-position-vertical-relative:page;z-index:-127720"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5.300003pt;margin-top:70.717934pt;width:421.85pt;height:11pt;mso-position-horizontal-relative:page;mso-position-vertical-relative:page;z-index:-127624" type="#_x0000_t202" filled="false" stroked="false">
          <v:textbox inset="0,0,0,0">
            <w:txbxContent>
              <w:p>
                <w:pPr>
                  <w:spacing w:line="204" w:lineRule="exact" w:before="0"/>
                  <w:ind w:left="20" w:right="0" w:firstLine="0"/>
                  <w:jc w:val="left"/>
                  <w:rPr>
                    <w:sz w:val="18"/>
                  </w:rPr>
                </w:pPr>
                <w:r>
                  <w:rPr>
                    <w:sz w:val="18"/>
                    <w:u w:val="single"/>
                  </w:rPr>
                  <w:t>    Estimación de una función de producción de bovinos carne en sistema extensivo en el sur del Estado de México </w:t>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7600" from="102pt,87.169998pt" to="508.5pt,87.169998pt" stroked="true" strokeweight=".5pt" strokecolor="#000000">
          <w10:wrap type="none"/>
        </v:line>
      </w:pict>
    </w:r>
    <w:r>
      <w:rPr/>
      <w:pict>
        <v:shape style="position:absolute;margin-left:103.540001pt;margin-top:70.717934pt;width:405pt;height:11pt;mso-position-horizontal-relative:page;mso-position-vertical-relative:page;z-index:-127576"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540001pt;margin-top:93.297935pt;width:405pt;height:11pt;mso-position-horizontal-relative:page;mso-position-vertical-relative:page;z-index:-127384"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540001pt;margin-top:70.717934pt;width:405pt;height:11pt;mso-position-horizontal-relative:page;mso-position-vertical-relative:page;z-index:-127360"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7336" from="97.199997pt,102.089996pt" to="515.149997pt,102.089996pt" stroked="true" strokeweight=".5pt" strokecolor="#000000">
          <w10:wrap type="none"/>
        </v:line>
      </w:pict>
    </w:r>
    <w:r>
      <w:rPr/>
      <w:pict>
        <v:shape style="position:absolute;margin-left:103.540001pt;margin-top:90.657936pt;width:405pt;height:11pt;mso-position-horizontal-relative:page;mso-position-vertical-relative:page;z-index:-127312"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540001pt;margin-top:110.457939pt;width:405pt;height:11pt;mso-position-horizontal-relative:page;mso-position-vertical-relative:page;z-index:-127120"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7"/>
      </w:rPr>
    </w:pPr>
    <w:r>
      <w:rPr/>
      <w:pict>
        <v:line style="position:absolute;mso-position-horizontal-relative:page;mso-position-vertical-relative:page;z-index:-127096" from="97.199997pt,104.519997pt" to="515.149997pt,104.519997pt" stroked="true" strokeweight=".5pt" strokecolor="#000000">
          <w10:wrap type="none"/>
        </v:line>
      </w:pict>
    </w:r>
    <w:r>
      <w:rPr/>
      <w:pict>
        <v:shape style="position:absolute;margin-left:103.540001pt;margin-top:90.657936pt;width:405pt;height:11pt;mso-position-horizontal-relative:page;mso-position-vertical-relative:page;z-index:-127072"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26952" from="97.199997pt,121.919998pt" to="515.149997pt,121.919998pt" stroked="true" strokeweight=".5pt" strokecolor="#000000">
          <w10:wrap type="none"/>
        </v:line>
      </w:pict>
    </w:r>
    <w:r>
      <w:rPr/>
      <w:pict>
        <v:shape style="position:absolute;margin-left:103.540001pt;margin-top:110.457939pt;width:405pt;height:11pt;mso-position-horizontal-relative:page;mso-position-vertical-relative:page;z-index:-126928"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540001pt;margin-top:93.057938pt;width:405pt;height:11pt;mso-position-horizontal-relative:page;mso-position-vertical-relative:page;z-index:-126712"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0840" from="102pt,71.650002pt" to="508.5pt,71.650002pt" stroked="true" strokeweight=".5pt" strokecolor="#000000">
          <w10:wrap type="none"/>
        </v:line>
      </w:pict>
    </w: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3.540001pt;margin-top:70.717934pt;width:405pt;height:11pt;mso-position-horizontal-relative:page;mso-position-vertical-relative:page;z-index:-126688" type="#_x0000_t202" filled="false" stroked="false">
          <v:textbox inset="0,0,0,0">
            <w:txbxContent>
              <w:p>
                <w:pPr>
                  <w:spacing w:line="204" w:lineRule="exact" w:before="0"/>
                  <w:ind w:left="20" w:right="0" w:firstLine="0"/>
                  <w:jc w:val="left"/>
                  <w:rPr>
                    <w:sz w:val="18"/>
                  </w:rPr>
                </w:pPr>
                <w:r>
                  <w:rPr>
                    <w:sz w:val="18"/>
                  </w:rPr>
                  <w:t>Estimación de una función de producción de bovinos carne en sistema extensivo en el sur del Estado de México</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7">
    <w:multiLevelType w:val="hybridMultilevel"/>
    <w:lvl w:ilvl="0">
      <w:start w:val="6"/>
      <w:numFmt w:val="upperRoman"/>
      <w:lvlText w:val="%1."/>
      <w:lvlJc w:val="left"/>
      <w:pPr>
        <w:ind w:left="2899" w:hanging="1160"/>
        <w:jc w:val="right"/>
      </w:pPr>
      <w:rPr>
        <w:rFonts w:hint="default" w:ascii="Times New Roman" w:hAnsi="Times New Roman" w:eastAsia="Times New Roman" w:cs="Times New Roman"/>
        <w:b/>
        <w:bCs/>
        <w:w w:val="99"/>
        <w:sz w:val="72"/>
        <w:szCs w:val="72"/>
      </w:rPr>
    </w:lvl>
    <w:lvl w:ilvl="1">
      <w:start w:val="9"/>
      <w:numFmt w:val="upperRoman"/>
      <w:lvlText w:val="%2."/>
      <w:lvlJc w:val="left"/>
      <w:pPr>
        <w:ind w:left="2760" w:hanging="1160"/>
        <w:jc w:val="right"/>
      </w:pPr>
      <w:rPr>
        <w:rFonts w:hint="default" w:ascii="Times New Roman" w:hAnsi="Times New Roman" w:eastAsia="Times New Roman" w:cs="Times New Roman"/>
        <w:b/>
        <w:bCs/>
        <w:w w:val="99"/>
        <w:sz w:val="72"/>
        <w:szCs w:val="72"/>
      </w:rPr>
    </w:lvl>
    <w:lvl w:ilvl="2">
      <w:start w:val="1"/>
      <w:numFmt w:val="lowerLetter"/>
      <w:lvlText w:val="%3."/>
      <w:lvlJc w:val="left"/>
      <w:pPr>
        <w:ind w:left="2892" w:hanging="219"/>
        <w:jc w:val="right"/>
      </w:pPr>
      <w:rPr>
        <w:rFonts w:hint="default" w:ascii="Times New Roman" w:hAnsi="Times New Roman" w:eastAsia="Times New Roman" w:cs="Times New Roman"/>
        <w:w w:val="100"/>
        <w:sz w:val="23"/>
        <w:szCs w:val="23"/>
      </w:rPr>
    </w:lvl>
    <w:lvl w:ilvl="3">
      <w:start w:val="1"/>
      <w:numFmt w:val="bullet"/>
      <w:lvlText w:val="•"/>
      <w:lvlJc w:val="left"/>
      <w:pPr>
        <w:ind w:left="4268" w:hanging="219"/>
      </w:pPr>
      <w:rPr>
        <w:rFonts w:hint="default"/>
      </w:rPr>
    </w:lvl>
    <w:lvl w:ilvl="4">
      <w:start w:val="1"/>
      <w:numFmt w:val="bullet"/>
      <w:lvlText w:val="•"/>
      <w:lvlJc w:val="left"/>
      <w:pPr>
        <w:ind w:left="4953" w:hanging="219"/>
      </w:pPr>
      <w:rPr>
        <w:rFonts w:hint="default"/>
      </w:rPr>
    </w:lvl>
    <w:lvl w:ilvl="5">
      <w:start w:val="1"/>
      <w:numFmt w:val="bullet"/>
      <w:lvlText w:val="•"/>
      <w:lvlJc w:val="left"/>
      <w:pPr>
        <w:ind w:left="5637" w:hanging="219"/>
      </w:pPr>
      <w:rPr>
        <w:rFonts w:hint="default"/>
      </w:rPr>
    </w:lvl>
    <w:lvl w:ilvl="6">
      <w:start w:val="1"/>
      <w:numFmt w:val="bullet"/>
      <w:lvlText w:val="•"/>
      <w:lvlJc w:val="left"/>
      <w:pPr>
        <w:ind w:left="6322" w:hanging="219"/>
      </w:pPr>
      <w:rPr>
        <w:rFonts w:hint="default"/>
      </w:rPr>
    </w:lvl>
    <w:lvl w:ilvl="7">
      <w:start w:val="1"/>
      <w:numFmt w:val="bullet"/>
      <w:lvlText w:val="•"/>
      <w:lvlJc w:val="left"/>
      <w:pPr>
        <w:ind w:left="7006" w:hanging="219"/>
      </w:pPr>
      <w:rPr>
        <w:rFonts w:hint="default"/>
      </w:rPr>
    </w:lvl>
    <w:lvl w:ilvl="8">
      <w:start w:val="1"/>
      <w:numFmt w:val="bullet"/>
      <w:lvlText w:val="•"/>
      <w:lvlJc w:val="left"/>
      <w:pPr>
        <w:ind w:left="7691" w:hanging="219"/>
      </w:pPr>
      <w:rPr>
        <w:rFonts w:hint="default"/>
      </w:rPr>
    </w:lvl>
  </w:abstractNum>
  <w:abstractNum w:abstractNumId="6">
    <w:multiLevelType w:val="hybridMultilevel"/>
    <w:lvl w:ilvl="0">
      <w:start w:val="4"/>
      <w:numFmt w:val="decimal"/>
      <w:lvlText w:val="%1."/>
      <w:lvlJc w:val="left"/>
      <w:pPr>
        <w:ind w:left="352" w:hanging="231"/>
        <w:jc w:val="left"/>
      </w:pPr>
      <w:rPr>
        <w:rFonts w:hint="default" w:ascii="Times New Roman" w:hAnsi="Times New Roman" w:eastAsia="Times New Roman" w:cs="Times New Roman"/>
        <w:b/>
        <w:bCs/>
        <w:w w:val="100"/>
        <w:sz w:val="23"/>
        <w:szCs w:val="23"/>
      </w:rPr>
    </w:lvl>
    <w:lvl w:ilvl="1">
      <w:start w:val="1"/>
      <w:numFmt w:val="bullet"/>
      <w:lvlText w:val="•"/>
      <w:lvlJc w:val="left"/>
      <w:pPr>
        <w:ind w:left="1230" w:hanging="231"/>
      </w:pPr>
      <w:rPr>
        <w:rFonts w:hint="default"/>
      </w:rPr>
    </w:lvl>
    <w:lvl w:ilvl="2">
      <w:start w:val="1"/>
      <w:numFmt w:val="bullet"/>
      <w:lvlText w:val="•"/>
      <w:lvlJc w:val="left"/>
      <w:pPr>
        <w:ind w:left="2100" w:hanging="231"/>
      </w:pPr>
      <w:rPr>
        <w:rFonts w:hint="default"/>
      </w:rPr>
    </w:lvl>
    <w:lvl w:ilvl="3">
      <w:start w:val="1"/>
      <w:numFmt w:val="bullet"/>
      <w:lvlText w:val="•"/>
      <w:lvlJc w:val="left"/>
      <w:pPr>
        <w:ind w:left="2970" w:hanging="231"/>
      </w:pPr>
      <w:rPr>
        <w:rFonts w:hint="default"/>
      </w:rPr>
    </w:lvl>
    <w:lvl w:ilvl="4">
      <w:start w:val="1"/>
      <w:numFmt w:val="bullet"/>
      <w:lvlText w:val="•"/>
      <w:lvlJc w:val="left"/>
      <w:pPr>
        <w:ind w:left="3840" w:hanging="231"/>
      </w:pPr>
      <w:rPr>
        <w:rFonts w:hint="default"/>
      </w:rPr>
    </w:lvl>
    <w:lvl w:ilvl="5">
      <w:start w:val="1"/>
      <w:numFmt w:val="bullet"/>
      <w:lvlText w:val="•"/>
      <w:lvlJc w:val="left"/>
      <w:pPr>
        <w:ind w:left="4710" w:hanging="231"/>
      </w:pPr>
      <w:rPr>
        <w:rFonts w:hint="default"/>
      </w:rPr>
    </w:lvl>
    <w:lvl w:ilvl="6">
      <w:start w:val="1"/>
      <w:numFmt w:val="bullet"/>
      <w:lvlText w:val="•"/>
      <w:lvlJc w:val="left"/>
      <w:pPr>
        <w:ind w:left="5580" w:hanging="231"/>
      </w:pPr>
      <w:rPr>
        <w:rFonts w:hint="default"/>
      </w:rPr>
    </w:lvl>
    <w:lvl w:ilvl="7">
      <w:start w:val="1"/>
      <w:numFmt w:val="bullet"/>
      <w:lvlText w:val="•"/>
      <w:lvlJc w:val="left"/>
      <w:pPr>
        <w:ind w:left="6450" w:hanging="231"/>
      </w:pPr>
      <w:rPr>
        <w:rFonts w:hint="default"/>
      </w:rPr>
    </w:lvl>
    <w:lvl w:ilvl="8">
      <w:start w:val="1"/>
      <w:numFmt w:val="bullet"/>
      <w:lvlText w:val="•"/>
      <w:lvlJc w:val="left"/>
      <w:pPr>
        <w:ind w:left="7320" w:hanging="231"/>
      </w:pPr>
      <w:rPr>
        <w:rFonts w:hint="default"/>
      </w:rPr>
    </w:lvl>
  </w:abstractNum>
  <w:abstractNum w:abstractNumId="5">
    <w:multiLevelType w:val="hybridMultilevel"/>
    <w:lvl w:ilvl="0">
      <w:start w:val="1"/>
      <w:numFmt w:val="decimal"/>
      <w:lvlText w:val="%1)"/>
      <w:lvlJc w:val="left"/>
      <w:pPr>
        <w:ind w:left="371" w:hanging="250"/>
        <w:jc w:val="left"/>
      </w:pPr>
      <w:rPr>
        <w:rFonts w:hint="default" w:ascii="Times New Roman" w:hAnsi="Times New Roman" w:eastAsia="Times New Roman" w:cs="Times New Roman"/>
        <w:w w:val="100"/>
        <w:sz w:val="23"/>
        <w:szCs w:val="23"/>
      </w:rPr>
    </w:lvl>
    <w:lvl w:ilvl="1">
      <w:start w:val="1"/>
      <w:numFmt w:val="bullet"/>
      <w:lvlText w:val="•"/>
      <w:lvlJc w:val="left"/>
      <w:pPr>
        <w:ind w:left="1250" w:hanging="250"/>
      </w:pPr>
      <w:rPr>
        <w:rFonts w:hint="default"/>
      </w:rPr>
    </w:lvl>
    <w:lvl w:ilvl="2">
      <w:start w:val="1"/>
      <w:numFmt w:val="bullet"/>
      <w:lvlText w:val="•"/>
      <w:lvlJc w:val="left"/>
      <w:pPr>
        <w:ind w:left="2120" w:hanging="250"/>
      </w:pPr>
      <w:rPr>
        <w:rFonts w:hint="default"/>
      </w:rPr>
    </w:lvl>
    <w:lvl w:ilvl="3">
      <w:start w:val="1"/>
      <w:numFmt w:val="bullet"/>
      <w:lvlText w:val="•"/>
      <w:lvlJc w:val="left"/>
      <w:pPr>
        <w:ind w:left="2990" w:hanging="250"/>
      </w:pPr>
      <w:rPr>
        <w:rFonts w:hint="default"/>
      </w:rPr>
    </w:lvl>
    <w:lvl w:ilvl="4">
      <w:start w:val="1"/>
      <w:numFmt w:val="bullet"/>
      <w:lvlText w:val="•"/>
      <w:lvlJc w:val="left"/>
      <w:pPr>
        <w:ind w:left="3860" w:hanging="250"/>
      </w:pPr>
      <w:rPr>
        <w:rFonts w:hint="default"/>
      </w:rPr>
    </w:lvl>
    <w:lvl w:ilvl="5">
      <w:start w:val="1"/>
      <w:numFmt w:val="bullet"/>
      <w:lvlText w:val="•"/>
      <w:lvlJc w:val="left"/>
      <w:pPr>
        <w:ind w:left="4730" w:hanging="250"/>
      </w:pPr>
      <w:rPr>
        <w:rFonts w:hint="default"/>
      </w:rPr>
    </w:lvl>
    <w:lvl w:ilvl="6">
      <w:start w:val="1"/>
      <w:numFmt w:val="bullet"/>
      <w:lvlText w:val="•"/>
      <w:lvlJc w:val="left"/>
      <w:pPr>
        <w:ind w:left="5600" w:hanging="250"/>
      </w:pPr>
      <w:rPr>
        <w:rFonts w:hint="default"/>
      </w:rPr>
    </w:lvl>
    <w:lvl w:ilvl="7">
      <w:start w:val="1"/>
      <w:numFmt w:val="bullet"/>
      <w:lvlText w:val="•"/>
      <w:lvlJc w:val="left"/>
      <w:pPr>
        <w:ind w:left="6470" w:hanging="250"/>
      </w:pPr>
      <w:rPr>
        <w:rFonts w:hint="default"/>
      </w:rPr>
    </w:lvl>
    <w:lvl w:ilvl="8">
      <w:start w:val="1"/>
      <w:numFmt w:val="bullet"/>
      <w:lvlText w:val="•"/>
      <w:lvlJc w:val="left"/>
      <w:pPr>
        <w:ind w:left="7340" w:hanging="250"/>
      </w:pPr>
      <w:rPr>
        <w:rFonts w:hint="default"/>
      </w:rPr>
    </w:lvl>
  </w:abstractNum>
  <w:abstractNum w:abstractNumId="4">
    <w:multiLevelType w:val="hybridMultilevel"/>
    <w:lvl w:ilvl="0">
      <w:start w:val="5"/>
      <w:numFmt w:val="decimal"/>
      <w:lvlText w:val="%1"/>
      <w:lvlJc w:val="left"/>
      <w:pPr>
        <w:ind w:left="542" w:hanging="420"/>
        <w:jc w:val="left"/>
      </w:pPr>
      <w:rPr>
        <w:rFonts w:hint="default"/>
      </w:rPr>
    </w:lvl>
    <w:lvl w:ilvl="1">
      <w:start w:val="3"/>
      <w:numFmt w:val="decimal"/>
      <w:lvlText w:val="%1.%2."/>
      <w:lvlJc w:val="left"/>
      <w:pPr>
        <w:ind w:left="542" w:hanging="420"/>
        <w:jc w:val="lef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722" w:hanging="600"/>
        <w:jc w:val="left"/>
      </w:pPr>
      <w:rPr>
        <w:rFonts w:hint="default" w:ascii="Times New Roman" w:hAnsi="Times New Roman" w:eastAsia="Times New Roman" w:cs="Times New Roman"/>
        <w:b/>
        <w:bCs/>
        <w:spacing w:val="-3"/>
        <w:w w:val="99"/>
        <w:sz w:val="24"/>
        <w:szCs w:val="24"/>
      </w:rPr>
    </w:lvl>
    <w:lvl w:ilvl="3">
      <w:start w:val="1"/>
      <w:numFmt w:val="bullet"/>
      <w:lvlText w:val="•"/>
      <w:lvlJc w:val="left"/>
      <w:pPr>
        <w:ind w:left="2573" w:hanging="600"/>
      </w:pPr>
      <w:rPr>
        <w:rFonts w:hint="default"/>
      </w:rPr>
    </w:lvl>
    <w:lvl w:ilvl="4">
      <w:start w:val="1"/>
      <w:numFmt w:val="bullet"/>
      <w:lvlText w:val="•"/>
      <w:lvlJc w:val="left"/>
      <w:pPr>
        <w:ind w:left="3500" w:hanging="600"/>
      </w:pPr>
      <w:rPr>
        <w:rFonts w:hint="default"/>
      </w:rPr>
    </w:lvl>
    <w:lvl w:ilvl="5">
      <w:start w:val="1"/>
      <w:numFmt w:val="bullet"/>
      <w:lvlText w:val="•"/>
      <w:lvlJc w:val="left"/>
      <w:pPr>
        <w:ind w:left="4426" w:hanging="600"/>
      </w:pPr>
      <w:rPr>
        <w:rFonts w:hint="default"/>
      </w:rPr>
    </w:lvl>
    <w:lvl w:ilvl="6">
      <w:start w:val="1"/>
      <w:numFmt w:val="bullet"/>
      <w:lvlText w:val="•"/>
      <w:lvlJc w:val="left"/>
      <w:pPr>
        <w:ind w:left="5353" w:hanging="600"/>
      </w:pPr>
      <w:rPr>
        <w:rFonts w:hint="default"/>
      </w:rPr>
    </w:lvl>
    <w:lvl w:ilvl="7">
      <w:start w:val="1"/>
      <w:numFmt w:val="bullet"/>
      <w:lvlText w:val="•"/>
      <w:lvlJc w:val="left"/>
      <w:pPr>
        <w:ind w:left="6280" w:hanging="600"/>
      </w:pPr>
      <w:rPr>
        <w:rFonts w:hint="default"/>
      </w:rPr>
    </w:lvl>
    <w:lvl w:ilvl="8">
      <w:start w:val="1"/>
      <w:numFmt w:val="bullet"/>
      <w:lvlText w:val="•"/>
      <w:lvlJc w:val="left"/>
      <w:pPr>
        <w:ind w:left="7206" w:hanging="600"/>
      </w:pPr>
      <w:rPr>
        <w:rFonts w:hint="default"/>
      </w:rPr>
    </w:lvl>
  </w:abstractNum>
  <w:abstractNum w:abstractNumId="3">
    <w:multiLevelType w:val="hybridMultilevel"/>
    <w:lvl w:ilvl="0">
      <w:start w:val="1"/>
      <w:numFmt w:val="lowerLetter"/>
      <w:lvlText w:val="%1."/>
      <w:lvlJc w:val="left"/>
      <w:pPr>
        <w:ind w:left="122" w:hanging="233"/>
        <w:jc w:val="left"/>
      </w:pPr>
      <w:rPr>
        <w:rFonts w:hint="default" w:ascii="Times New Roman" w:hAnsi="Times New Roman" w:eastAsia="Times New Roman" w:cs="Times New Roman"/>
        <w:b/>
        <w:bCs/>
        <w:w w:val="100"/>
        <w:sz w:val="23"/>
        <w:szCs w:val="23"/>
      </w:rPr>
    </w:lvl>
    <w:lvl w:ilvl="1">
      <w:start w:val="1"/>
      <w:numFmt w:val="bullet"/>
      <w:lvlText w:val="•"/>
      <w:lvlJc w:val="left"/>
      <w:pPr>
        <w:ind w:left="1016" w:hanging="233"/>
      </w:pPr>
      <w:rPr>
        <w:rFonts w:hint="default"/>
      </w:rPr>
    </w:lvl>
    <w:lvl w:ilvl="2">
      <w:start w:val="1"/>
      <w:numFmt w:val="bullet"/>
      <w:lvlText w:val="•"/>
      <w:lvlJc w:val="left"/>
      <w:pPr>
        <w:ind w:left="1912" w:hanging="233"/>
      </w:pPr>
      <w:rPr>
        <w:rFonts w:hint="default"/>
      </w:rPr>
    </w:lvl>
    <w:lvl w:ilvl="3">
      <w:start w:val="1"/>
      <w:numFmt w:val="bullet"/>
      <w:lvlText w:val="•"/>
      <w:lvlJc w:val="left"/>
      <w:pPr>
        <w:ind w:left="2808" w:hanging="233"/>
      </w:pPr>
      <w:rPr>
        <w:rFonts w:hint="default"/>
      </w:rPr>
    </w:lvl>
    <w:lvl w:ilvl="4">
      <w:start w:val="1"/>
      <w:numFmt w:val="bullet"/>
      <w:lvlText w:val="•"/>
      <w:lvlJc w:val="left"/>
      <w:pPr>
        <w:ind w:left="3704" w:hanging="233"/>
      </w:pPr>
      <w:rPr>
        <w:rFonts w:hint="default"/>
      </w:rPr>
    </w:lvl>
    <w:lvl w:ilvl="5">
      <w:start w:val="1"/>
      <w:numFmt w:val="bullet"/>
      <w:lvlText w:val="•"/>
      <w:lvlJc w:val="left"/>
      <w:pPr>
        <w:ind w:left="4600" w:hanging="233"/>
      </w:pPr>
      <w:rPr>
        <w:rFonts w:hint="default"/>
      </w:rPr>
    </w:lvl>
    <w:lvl w:ilvl="6">
      <w:start w:val="1"/>
      <w:numFmt w:val="bullet"/>
      <w:lvlText w:val="•"/>
      <w:lvlJc w:val="left"/>
      <w:pPr>
        <w:ind w:left="5496" w:hanging="233"/>
      </w:pPr>
      <w:rPr>
        <w:rFonts w:hint="default"/>
      </w:rPr>
    </w:lvl>
    <w:lvl w:ilvl="7">
      <w:start w:val="1"/>
      <w:numFmt w:val="bullet"/>
      <w:lvlText w:val="•"/>
      <w:lvlJc w:val="left"/>
      <w:pPr>
        <w:ind w:left="6392" w:hanging="233"/>
      </w:pPr>
      <w:rPr>
        <w:rFonts w:hint="default"/>
      </w:rPr>
    </w:lvl>
    <w:lvl w:ilvl="8">
      <w:start w:val="1"/>
      <w:numFmt w:val="bullet"/>
      <w:lvlText w:val="•"/>
      <w:lvlJc w:val="left"/>
      <w:pPr>
        <w:ind w:left="7288" w:hanging="233"/>
      </w:pPr>
      <w:rPr>
        <w:rFonts w:hint="default"/>
      </w:rPr>
    </w:lvl>
  </w:abstractNum>
  <w:abstractNum w:abstractNumId="2">
    <w:multiLevelType w:val="hybridMultilevel"/>
    <w:lvl w:ilvl="0">
      <w:start w:val="2"/>
      <w:numFmt w:val="decimal"/>
      <w:lvlText w:val="%1"/>
      <w:lvlJc w:val="left"/>
      <w:pPr>
        <w:ind w:left="542" w:hanging="420"/>
        <w:jc w:val="left"/>
      </w:pPr>
      <w:rPr>
        <w:rFonts w:hint="default"/>
      </w:rPr>
    </w:lvl>
    <w:lvl w:ilvl="1">
      <w:start w:val="1"/>
      <w:numFmt w:val="decimal"/>
      <w:lvlText w:val="%1.%2."/>
      <w:lvlJc w:val="left"/>
      <w:pPr>
        <w:ind w:left="542" w:hanging="420"/>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2248" w:hanging="420"/>
      </w:pPr>
      <w:rPr>
        <w:rFonts w:hint="default"/>
      </w:rPr>
    </w:lvl>
    <w:lvl w:ilvl="3">
      <w:start w:val="1"/>
      <w:numFmt w:val="bullet"/>
      <w:lvlText w:val="•"/>
      <w:lvlJc w:val="left"/>
      <w:pPr>
        <w:ind w:left="3102" w:hanging="420"/>
      </w:pPr>
      <w:rPr>
        <w:rFonts w:hint="default"/>
      </w:rPr>
    </w:lvl>
    <w:lvl w:ilvl="4">
      <w:start w:val="1"/>
      <w:numFmt w:val="bullet"/>
      <w:lvlText w:val="•"/>
      <w:lvlJc w:val="left"/>
      <w:pPr>
        <w:ind w:left="3956" w:hanging="420"/>
      </w:pPr>
      <w:rPr>
        <w:rFonts w:hint="default"/>
      </w:rPr>
    </w:lvl>
    <w:lvl w:ilvl="5">
      <w:start w:val="1"/>
      <w:numFmt w:val="bullet"/>
      <w:lvlText w:val="•"/>
      <w:lvlJc w:val="left"/>
      <w:pPr>
        <w:ind w:left="4810" w:hanging="420"/>
      </w:pPr>
      <w:rPr>
        <w:rFonts w:hint="default"/>
      </w:rPr>
    </w:lvl>
    <w:lvl w:ilvl="6">
      <w:start w:val="1"/>
      <w:numFmt w:val="bullet"/>
      <w:lvlText w:val="•"/>
      <w:lvlJc w:val="left"/>
      <w:pPr>
        <w:ind w:left="5664" w:hanging="420"/>
      </w:pPr>
      <w:rPr>
        <w:rFonts w:hint="default"/>
      </w:rPr>
    </w:lvl>
    <w:lvl w:ilvl="7">
      <w:start w:val="1"/>
      <w:numFmt w:val="bullet"/>
      <w:lvlText w:val="•"/>
      <w:lvlJc w:val="left"/>
      <w:pPr>
        <w:ind w:left="6518" w:hanging="420"/>
      </w:pPr>
      <w:rPr>
        <w:rFonts w:hint="default"/>
      </w:rPr>
    </w:lvl>
    <w:lvl w:ilvl="8">
      <w:start w:val="1"/>
      <w:numFmt w:val="bullet"/>
      <w:lvlText w:val="•"/>
      <w:lvlJc w:val="left"/>
      <w:pPr>
        <w:ind w:left="7372" w:hanging="420"/>
      </w:pPr>
      <w:rPr>
        <w:rFonts w:hint="default"/>
      </w:rPr>
    </w:lvl>
  </w:abstractNum>
  <w:abstractNum w:abstractNumId="1">
    <w:multiLevelType w:val="hybridMultilevel"/>
    <w:lvl w:ilvl="0">
      <w:start w:val="2"/>
      <w:numFmt w:val="decimal"/>
      <w:lvlText w:val="%1"/>
      <w:lvlJc w:val="left"/>
      <w:pPr>
        <w:ind w:left="981" w:hanging="449"/>
        <w:jc w:val="left"/>
      </w:pPr>
      <w:rPr>
        <w:rFonts w:hint="default"/>
      </w:rPr>
    </w:lvl>
    <w:lvl w:ilvl="1">
      <w:start w:val="2"/>
      <w:numFmt w:val="decimal"/>
      <w:lvlText w:val="%1.%2."/>
      <w:lvlJc w:val="left"/>
      <w:pPr>
        <w:ind w:left="981" w:hanging="449"/>
        <w:jc w:val="left"/>
      </w:pPr>
      <w:rPr>
        <w:rFonts w:hint="default" w:ascii="Arial" w:hAnsi="Arial" w:eastAsia="Arial" w:cs="Arial"/>
        <w:spacing w:val="-1"/>
        <w:w w:val="100"/>
        <w:sz w:val="23"/>
        <w:szCs w:val="23"/>
      </w:rPr>
    </w:lvl>
    <w:lvl w:ilvl="2">
      <w:start w:val="1"/>
      <w:numFmt w:val="bullet"/>
      <w:lvlText w:val="•"/>
      <w:lvlJc w:val="left"/>
      <w:pPr>
        <w:ind w:left="2600" w:hanging="449"/>
      </w:pPr>
      <w:rPr>
        <w:rFonts w:hint="default"/>
      </w:rPr>
    </w:lvl>
    <w:lvl w:ilvl="3">
      <w:start w:val="1"/>
      <w:numFmt w:val="bullet"/>
      <w:lvlText w:val="•"/>
      <w:lvlJc w:val="left"/>
      <w:pPr>
        <w:ind w:left="3410" w:hanging="449"/>
      </w:pPr>
      <w:rPr>
        <w:rFonts w:hint="default"/>
      </w:rPr>
    </w:lvl>
    <w:lvl w:ilvl="4">
      <w:start w:val="1"/>
      <w:numFmt w:val="bullet"/>
      <w:lvlText w:val="•"/>
      <w:lvlJc w:val="left"/>
      <w:pPr>
        <w:ind w:left="4220" w:hanging="449"/>
      </w:pPr>
      <w:rPr>
        <w:rFonts w:hint="default"/>
      </w:rPr>
    </w:lvl>
    <w:lvl w:ilvl="5">
      <w:start w:val="1"/>
      <w:numFmt w:val="bullet"/>
      <w:lvlText w:val="•"/>
      <w:lvlJc w:val="left"/>
      <w:pPr>
        <w:ind w:left="5030" w:hanging="449"/>
      </w:pPr>
      <w:rPr>
        <w:rFonts w:hint="default"/>
      </w:rPr>
    </w:lvl>
    <w:lvl w:ilvl="6">
      <w:start w:val="1"/>
      <w:numFmt w:val="bullet"/>
      <w:lvlText w:val="•"/>
      <w:lvlJc w:val="left"/>
      <w:pPr>
        <w:ind w:left="5840" w:hanging="449"/>
      </w:pPr>
      <w:rPr>
        <w:rFonts w:hint="default"/>
      </w:rPr>
    </w:lvl>
    <w:lvl w:ilvl="7">
      <w:start w:val="1"/>
      <w:numFmt w:val="bullet"/>
      <w:lvlText w:val="•"/>
      <w:lvlJc w:val="left"/>
      <w:pPr>
        <w:ind w:left="6650" w:hanging="449"/>
      </w:pPr>
      <w:rPr>
        <w:rFonts w:hint="default"/>
      </w:rPr>
    </w:lvl>
    <w:lvl w:ilvl="8">
      <w:start w:val="1"/>
      <w:numFmt w:val="bullet"/>
      <w:lvlText w:val="•"/>
      <w:lvlJc w:val="left"/>
      <w:pPr>
        <w:ind w:left="7460" w:hanging="449"/>
      </w:pPr>
      <w:rPr>
        <w:rFonts w:hint="default"/>
      </w:rPr>
    </w:lvl>
  </w:abstractNum>
  <w:abstractNum w:abstractNumId="0">
    <w:multiLevelType w:val="hybridMultilevel"/>
    <w:lvl w:ilvl="0">
      <w:start w:val="1"/>
      <w:numFmt w:val="upperRoman"/>
      <w:lvlText w:val="%1."/>
      <w:lvlJc w:val="left"/>
      <w:pPr>
        <w:ind w:left="701" w:hanging="194"/>
        <w:jc w:val="right"/>
      </w:pPr>
      <w:rPr>
        <w:rFonts w:hint="default" w:ascii="Arial" w:hAnsi="Arial" w:eastAsia="Arial" w:cs="Arial"/>
        <w:w w:val="100"/>
        <w:sz w:val="23"/>
        <w:szCs w:val="23"/>
      </w:rPr>
    </w:lvl>
    <w:lvl w:ilvl="1">
      <w:start w:val="2"/>
      <w:numFmt w:val="upperRoman"/>
      <w:lvlText w:val="%2."/>
      <w:lvlJc w:val="left"/>
      <w:pPr>
        <w:ind w:left="2138" w:hanging="921"/>
        <w:jc w:val="right"/>
      </w:pPr>
      <w:rPr>
        <w:rFonts w:hint="default" w:ascii="Times New Roman" w:hAnsi="Times New Roman" w:eastAsia="Times New Roman" w:cs="Times New Roman"/>
        <w:b/>
        <w:bCs/>
        <w:w w:val="99"/>
        <w:sz w:val="72"/>
        <w:szCs w:val="72"/>
      </w:rPr>
    </w:lvl>
    <w:lvl w:ilvl="2">
      <w:start w:val="1"/>
      <w:numFmt w:val="bullet"/>
      <w:lvlText w:val="•"/>
      <w:lvlJc w:val="left"/>
      <w:pPr>
        <w:ind w:left="3260" w:hanging="921"/>
      </w:pPr>
      <w:rPr>
        <w:rFonts w:hint="default"/>
      </w:rPr>
    </w:lvl>
    <w:lvl w:ilvl="3">
      <w:start w:val="1"/>
      <w:numFmt w:val="bullet"/>
      <w:lvlText w:val="•"/>
      <w:lvlJc w:val="left"/>
      <w:pPr>
        <w:ind w:left="3985" w:hanging="921"/>
      </w:pPr>
      <w:rPr>
        <w:rFonts w:hint="default"/>
      </w:rPr>
    </w:lvl>
    <w:lvl w:ilvl="4">
      <w:start w:val="1"/>
      <w:numFmt w:val="bullet"/>
      <w:lvlText w:val="•"/>
      <w:lvlJc w:val="left"/>
      <w:pPr>
        <w:ind w:left="4710" w:hanging="921"/>
      </w:pPr>
      <w:rPr>
        <w:rFonts w:hint="default"/>
      </w:rPr>
    </w:lvl>
    <w:lvl w:ilvl="5">
      <w:start w:val="1"/>
      <w:numFmt w:val="bullet"/>
      <w:lvlText w:val="•"/>
      <w:lvlJc w:val="left"/>
      <w:pPr>
        <w:ind w:left="5435" w:hanging="921"/>
      </w:pPr>
      <w:rPr>
        <w:rFonts w:hint="default"/>
      </w:rPr>
    </w:lvl>
    <w:lvl w:ilvl="6">
      <w:start w:val="1"/>
      <w:numFmt w:val="bullet"/>
      <w:lvlText w:val="•"/>
      <w:lvlJc w:val="left"/>
      <w:pPr>
        <w:ind w:left="6160" w:hanging="921"/>
      </w:pPr>
      <w:rPr>
        <w:rFonts w:hint="default"/>
      </w:rPr>
    </w:lvl>
    <w:lvl w:ilvl="7">
      <w:start w:val="1"/>
      <w:numFmt w:val="bullet"/>
      <w:lvlText w:val="•"/>
      <w:lvlJc w:val="left"/>
      <w:pPr>
        <w:ind w:left="6885" w:hanging="921"/>
      </w:pPr>
      <w:rPr>
        <w:rFonts w:hint="default"/>
      </w:rPr>
    </w:lvl>
    <w:lvl w:ilvl="8">
      <w:start w:val="1"/>
      <w:numFmt w:val="bullet"/>
      <w:lvlText w:val="•"/>
      <w:lvlJc w:val="left"/>
      <w:pPr>
        <w:ind w:left="7610" w:hanging="921"/>
      </w:pPr>
      <w:rPr>
        <w:rFonts w:hint="default"/>
      </w:rPr>
    </w:lvl>
  </w:abstract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131"/>
      <w:ind w:left="518"/>
    </w:pPr>
    <w:rPr>
      <w:rFonts w:ascii="Arial" w:hAnsi="Arial" w:eastAsia="Arial" w:cs="Arial"/>
      <w:sz w:val="23"/>
      <w:szCs w:val="23"/>
    </w:rPr>
  </w:style>
  <w:style w:styleId="TOC2" w:type="paragraph">
    <w:name w:val="TOC 2"/>
    <w:basedOn w:val="Normal"/>
    <w:uiPriority w:val="1"/>
    <w:qFormat/>
    <w:pPr>
      <w:spacing w:before="131"/>
      <w:ind w:left="959" w:hanging="348"/>
    </w:pPr>
    <w:rPr>
      <w:rFonts w:ascii="Arial" w:hAnsi="Arial" w:eastAsia="Arial" w:cs="Arial"/>
      <w:sz w:val="23"/>
      <w:szCs w:val="23"/>
    </w:rPr>
  </w:style>
  <w:style w:styleId="TOC3" w:type="paragraph">
    <w:name w:val="TOC 3"/>
    <w:basedOn w:val="Normal"/>
    <w:uiPriority w:val="1"/>
    <w:qFormat/>
    <w:pPr>
      <w:spacing w:before="129"/>
      <w:ind w:left="932" w:hanging="282"/>
      <w:jc w:val="center"/>
    </w:pPr>
    <w:rPr>
      <w:rFonts w:ascii="Arial" w:hAnsi="Arial" w:eastAsia="Arial" w:cs="Arial"/>
      <w:sz w:val="23"/>
      <w:szCs w:val="23"/>
    </w:rPr>
  </w:style>
  <w:style w:styleId="BodyText" w:type="paragraph">
    <w:name w:val="Body Text"/>
    <w:basedOn w:val="Normal"/>
    <w:uiPriority w:val="1"/>
    <w:qFormat/>
    <w:pPr/>
    <w:rPr>
      <w:rFonts w:ascii="Times New Roman" w:hAnsi="Times New Roman" w:eastAsia="Times New Roman" w:cs="Times New Roman"/>
      <w:sz w:val="23"/>
      <w:szCs w:val="23"/>
    </w:rPr>
  </w:style>
  <w:style w:styleId="Heading1" w:type="paragraph">
    <w:name w:val="Heading 1"/>
    <w:basedOn w:val="Normal"/>
    <w:uiPriority w:val="1"/>
    <w:qFormat/>
    <w:pPr>
      <w:spacing w:before="7"/>
      <w:ind w:left="1377" w:hanging="1443"/>
      <w:outlineLvl w:val="1"/>
    </w:pPr>
    <w:rPr>
      <w:rFonts w:ascii="Times New Roman" w:hAnsi="Times New Roman" w:eastAsia="Times New Roman" w:cs="Times New Roman"/>
      <w:b/>
      <w:bCs/>
      <w:sz w:val="72"/>
      <w:szCs w:val="72"/>
    </w:rPr>
  </w:style>
  <w:style w:styleId="Heading2" w:type="paragraph">
    <w:name w:val="Heading 2"/>
    <w:basedOn w:val="Normal"/>
    <w:uiPriority w:val="1"/>
    <w:qFormat/>
    <w:pPr>
      <w:ind w:left="2433"/>
      <w:jc w:val="center"/>
      <w:outlineLvl w:val="2"/>
    </w:pPr>
    <w:rPr>
      <w:rFonts w:ascii="Arial" w:hAnsi="Arial" w:eastAsia="Arial" w:cs="Arial"/>
      <w:b/>
      <w:bCs/>
      <w:i/>
      <w:sz w:val="28"/>
      <w:szCs w:val="28"/>
    </w:rPr>
  </w:style>
  <w:style w:styleId="Heading3" w:type="paragraph">
    <w:name w:val="Heading 3"/>
    <w:basedOn w:val="Normal"/>
    <w:uiPriority w:val="1"/>
    <w:qFormat/>
    <w:pPr>
      <w:ind w:left="122"/>
      <w:jc w:val="center"/>
      <w:outlineLvl w:val="3"/>
    </w:pPr>
    <w:rPr>
      <w:rFonts w:ascii="Times New Roman" w:hAnsi="Times New Roman" w:eastAsia="Times New Roman" w:cs="Times New Roman"/>
      <w:b/>
      <w:bCs/>
      <w:sz w:val="24"/>
      <w:szCs w:val="24"/>
    </w:rPr>
  </w:style>
  <w:style w:styleId="Heading4" w:type="paragraph">
    <w:name w:val="Heading 4"/>
    <w:basedOn w:val="Normal"/>
    <w:uiPriority w:val="1"/>
    <w:qFormat/>
    <w:pPr>
      <w:ind w:left="122"/>
      <w:outlineLvl w:val="4"/>
    </w:pPr>
    <w:rPr>
      <w:rFonts w:ascii="Arial" w:hAnsi="Arial" w:eastAsia="Arial" w:cs="Arial"/>
      <w:sz w:val="24"/>
      <w:szCs w:val="24"/>
    </w:rPr>
  </w:style>
  <w:style w:styleId="Heading5" w:type="paragraph">
    <w:name w:val="Heading 5"/>
    <w:basedOn w:val="Normal"/>
    <w:uiPriority w:val="1"/>
    <w:qFormat/>
    <w:pPr>
      <w:ind w:left="122"/>
      <w:outlineLvl w:val="5"/>
    </w:pPr>
    <w:rPr>
      <w:rFonts w:ascii="Times New Roman" w:hAnsi="Times New Roman" w:eastAsia="Times New Roman" w:cs="Times New Roman"/>
      <w:b/>
      <w:bCs/>
      <w:sz w:val="23"/>
      <w:szCs w:val="23"/>
    </w:rPr>
  </w:style>
  <w:style w:styleId="ListParagraph" w:type="paragraph">
    <w:name w:val="List Paragraph"/>
    <w:basedOn w:val="Normal"/>
    <w:uiPriority w:val="1"/>
    <w:qFormat/>
    <w:pPr>
      <w:spacing w:before="131"/>
      <w:ind w:left="542" w:hanging="420"/>
    </w:pPr>
    <w:rPr>
      <w:rFonts w:ascii="Times New Roman" w:hAnsi="Times New Roman" w:eastAsia="Times New Roman" w:cs="Times New Roman"/>
    </w:rPr>
  </w:style>
  <w:style w:styleId="TableParagraph" w:type="paragraph">
    <w:name w:val="Table Paragraph"/>
    <w:basedOn w:val="Normal"/>
    <w:uiPriority w:val="1"/>
    <w:qFormat/>
    <w:pPr>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footer" Target="footer2.xml"/><Relationship Id="rId11" Type="http://schemas.openxmlformats.org/officeDocument/2006/relationships/header" Target="header5.xml"/><Relationship Id="rId12" Type="http://schemas.openxmlformats.org/officeDocument/2006/relationships/footer" Target="footer3.xml"/><Relationship Id="rId13" Type="http://schemas.openxmlformats.org/officeDocument/2006/relationships/footer" Target="footer4.xml"/><Relationship Id="rId14" Type="http://schemas.openxmlformats.org/officeDocument/2006/relationships/header" Target="header6.xml"/><Relationship Id="rId15" Type="http://schemas.openxmlformats.org/officeDocument/2006/relationships/footer" Target="footer5.xml"/><Relationship Id="rId16" Type="http://schemas.openxmlformats.org/officeDocument/2006/relationships/header" Target="header7.xml"/><Relationship Id="rId17" Type="http://schemas.openxmlformats.org/officeDocument/2006/relationships/footer" Target="footer6.xml"/><Relationship Id="rId18" Type="http://schemas.openxmlformats.org/officeDocument/2006/relationships/footer" Target="footer7.xml"/><Relationship Id="rId19" Type="http://schemas.openxmlformats.org/officeDocument/2006/relationships/header" Target="header8.xml"/><Relationship Id="rId20" Type="http://schemas.openxmlformats.org/officeDocument/2006/relationships/footer" Target="footer8.xml"/><Relationship Id="rId21" Type="http://schemas.openxmlformats.org/officeDocument/2006/relationships/header" Target="header9.xml"/><Relationship Id="rId22" Type="http://schemas.openxmlformats.org/officeDocument/2006/relationships/footer" Target="footer9.xml"/><Relationship Id="rId23" Type="http://schemas.openxmlformats.org/officeDocument/2006/relationships/header" Target="header10.xml"/><Relationship Id="rId24" Type="http://schemas.openxmlformats.org/officeDocument/2006/relationships/footer" Target="footer10.xml"/><Relationship Id="rId25" Type="http://schemas.openxmlformats.org/officeDocument/2006/relationships/header" Target="header11.xml"/><Relationship Id="rId26" Type="http://schemas.openxmlformats.org/officeDocument/2006/relationships/footer" Target="footer11.xml"/><Relationship Id="rId27" Type="http://schemas.openxmlformats.org/officeDocument/2006/relationships/header" Target="header12.xml"/><Relationship Id="rId28" Type="http://schemas.openxmlformats.org/officeDocument/2006/relationships/footer" Target="footer12.xml"/><Relationship Id="rId29" Type="http://schemas.openxmlformats.org/officeDocument/2006/relationships/header" Target="header13.xml"/><Relationship Id="rId30" Type="http://schemas.openxmlformats.org/officeDocument/2006/relationships/footer" Target="footer13.xml"/><Relationship Id="rId31" Type="http://schemas.openxmlformats.org/officeDocument/2006/relationships/header" Target="header14.xml"/><Relationship Id="rId32" Type="http://schemas.openxmlformats.org/officeDocument/2006/relationships/footer" Target="footer14.xml"/><Relationship Id="rId33" Type="http://schemas.openxmlformats.org/officeDocument/2006/relationships/image" Target="media/image2.png"/><Relationship Id="rId34" Type="http://schemas.openxmlformats.org/officeDocument/2006/relationships/image" Target="media/image3.png"/><Relationship Id="rId35" Type="http://schemas.openxmlformats.org/officeDocument/2006/relationships/image" Target="media/image4.png"/><Relationship Id="rId36" Type="http://schemas.openxmlformats.org/officeDocument/2006/relationships/image" Target="media/image5.png"/><Relationship Id="rId37" Type="http://schemas.openxmlformats.org/officeDocument/2006/relationships/image" Target="media/image6.png"/><Relationship Id="rId38" Type="http://schemas.openxmlformats.org/officeDocument/2006/relationships/image" Target="media/image7.png"/><Relationship Id="rId39" Type="http://schemas.openxmlformats.org/officeDocument/2006/relationships/image" Target="media/image8.png"/><Relationship Id="rId40" Type="http://schemas.openxmlformats.org/officeDocument/2006/relationships/image" Target="media/image9.png"/><Relationship Id="rId41" Type="http://schemas.openxmlformats.org/officeDocument/2006/relationships/image" Target="media/image10.png"/><Relationship Id="rId42" Type="http://schemas.openxmlformats.org/officeDocument/2006/relationships/image" Target="media/image11.png"/><Relationship Id="rId43" Type="http://schemas.openxmlformats.org/officeDocument/2006/relationships/header" Target="header15.xml"/><Relationship Id="rId44" Type="http://schemas.openxmlformats.org/officeDocument/2006/relationships/footer" Target="footer15.xml"/><Relationship Id="rId45" Type="http://schemas.openxmlformats.org/officeDocument/2006/relationships/image" Target="media/image12.png"/><Relationship Id="rId46" Type="http://schemas.openxmlformats.org/officeDocument/2006/relationships/header" Target="header16.xml"/><Relationship Id="rId47" Type="http://schemas.openxmlformats.org/officeDocument/2006/relationships/footer" Target="footer16.xml"/><Relationship Id="rId48" Type="http://schemas.openxmlformats.org/officeDocument/2006/relationships/header" Target="header17.xml"/><Relationship Id="rId49" Type="http://schemas.openxmlformats.org/officeDocument/2006/relationships/footer" Target="footer17.xml"/><Relationship Id="rId50" Type="http://schemas.openxmlformats.org/officeDocument/2006/relationships/header" Target="header18.xml"/><Relationship Id="rId51" Type="http://schemas.openxmlformats.org/officeDocument/2006/relationships/footer" Target="footer18.xml"/><Relationship Id="rId52" Type="http://schemas.openxmlformats.org/officeDocument/2006/relationships/header" Target="header19.xml"/><Relationship Id="rId53" Type="http://schemas.openxmlformats.org/officeDocument/2006/relationships/footer" Target="footer19.xml"/><Relationship Id="rId54" Type="http://schemas.openxmlformats.org/officeDocument/2006/relationships/header" Target="header20.xml"/><Relationship Id="rId55" Type="http://schemas.openxmlformats.org/officeDocument/2006/relationships/footer" Target="footer20.xml"/><Relationship Id="rId56" Type="http://schemas.openxmlformats.org/officeDocument/2006/relationships/header" Target="header21.xml"/><Relationship Id="rId57" Type="http://schemas.openxmlformats.org/officeDocument/2006/relationships/footer" Target="footer21.xml"/><Relationship Id="rId58" Type="http://schemas.openxmlformats.org/officeDocument/2006/relationships/header" Target="header22.xml"/><Relationship Id="rId59" Type="http://schemas.openxmlformats.org/officeDocument/2006/relationships/footer" Target="footer22.xml"/><Relationship Id="rId60" Type="http://schemas.openxmlformats.org/officeDocument/2006/relationships/header" Target="header23.xml"/><Relationship Id="rId61" Type="http://schemas.openxmlformats.org/officeDocument/2006/relationships/footer" Target="footer23.xml"/><Relationship Id="rId62" Type="http://schemas.openxmlformats.org/officeDocument/2006/relationships/header" Target="header24.xml"/><Relationship Id="rId63" Type="http://schemas.openxmlformats.org/officeDocument/2006/relationships/footer" Target="footer24.xml"/><Relationship Id="rId64" Type="http://schemas.openxmlformats.org/officeDocument/2006/relationships/header" Target="header25.xml"/><Relationship Id="rId65" Type="http://schemas.openxmlformats.org/officeDocument/2006/relationships/footer" Target="footer25.xml"/><Relationship Id="rId66" Type="http://schemas.openxmlformats.org/officeDocument/2006/relationships/header" Target="header26.xml"/><Relationship Id="rId67" Type="http://schemas.openxmlformats.org/officeDocument/2006/relationships/footer" Target="footer26.xml"/><Relationship Id="rId68" Type="http://schemas.openxmlformats.org/officeDocument/2006/relationships/header" Target="header27.xml"/><Relationship Id="rId69" Type="http://schemas.openxmlformats.org/officeDocument/2006/relationships/footer" Target="footer27.xml"/><Relationship Id="rId70" Type="http://schemas.openxmlformats.org/officeDocument/2006/relationships/header" Target="header28.xml"/><Relationship Id="rId71" Type="http://schemas.openxmlformats.org/officeDocument/2006/relationships/footer" Target="footer28.xml"/><Relationship Id="rId72" Type="http://schemas.openxmlformats.org/officeDocument/2006/relationships/header" Target="header29.xml"/><Relationship Id="rId73" Type="http://schemas.openxmlformats.org/officeDocument/2006/relationships/footer" Target="footer29.xml"/><Relationship Id="rId74" Type="http://schemas.openxmlformats.org/officeDocument/2006/relationships/header" Target="header30.xml"/><Relationship Id="rId75" Type="http://schemas.openxmlformats.org/officeDocument/2006/relationships/footer" Target="footer30.xml"/><Relationship Id="rId76" Type="http://schemas.openxmlformats.org/officeDocument/2006/relationships/header" Target="header31.xml"/><Relationship Id="rId77" Type="http://schemas.openxmlformats.org/officeDocument/2006/relationships/footer" Target="footer31.xml"/><Relationship Id="rId78" Type="http://schemas.openxmlformats.org/officeDocument/2006/relationships/header" Target="header32.xml"/><Relationship Id="rId79" Type="http://schemas.openxmlformats.org/officeDocument/2006/relationships/footer" Target="footer32.xml"/><Relationship Id="rId80" Type="http://schemas.openxmlformats.org/officeDocument/2006/relationships/header" Target="header33.xml"/><Relationship Id="rId81" Type="http://schemas.openxmlformats.org/officeDocument/2006/relationships/footer" Target="footer33.xml"/><Relationship Id="rId82" Type="http://schemas.openxmlformats.org/officeDocument/2006/relationships/header" Target="header34.xml"/><Relationship Id="rId83" Type="http://schemas.openxmlformats.org/officeDocument/2006/relationships/footer" Target="footer34.xml"/><Relationship Id="rId84" Type="http://schemas.openxmlformats.org/officeDocument/2006/relationships/header" Target="header35.xml"/><Relationship Id="rId85" Type="http://schemas.openxmlformats.org/officeDocument/2006/relationships/footer" Target="footer35.xml"/><Relationship Id="rId86" Type="http://schemas.openxmlformats.org/officeDocument/2006/relationships/header" Target="header36.xml"/><Relationship Id="rId87" Type="http://schemas.openxmlformats.org/officeDocument/2006/relationships/footer" Target="footer36.xml"/><Relationship Id="rId88" Type="http://schemas.openxmlformats.org/officeDocument/2006/relationships/header" Target="header37.xml"/><Relationship Id="rId89" Type="http://schemas.openxmlformats.org/officeDocument/2006/relationships/footer" Target="footer37.xml"/><Relationship Id="rId90" Type="http://schemas.openxmlformats.org/officeDocument/2006/relationships/header" Target="header38.xml"/><Relationship Id="rId91" Type="http://schemas.openxmlformats.org/officeDocument/2006/relationships/footer" Target="footer38.xml"/><Relationship Id="rId92" Type="http://schemas.openxmlformats.org/officeDocument/2006/relationships/header" Target="header39.xml"/><Relationship Id="rId93" Type="http://schemas.openxmlformats.org/officeDocument/2006/relationships/footer" Target="footer39.xml"/><Relationship Id="rId94" Type="http://schemas.openxmlformats.org/officeDocument/2006/relationships/image" Target="media/image13.png"/><Relationship Id="rId95" Type="http://schemas.openxmlformats.org/officeDocument/2006/relationships/header" Target="header40.xml"/><Relationship Id="rId96" Type="http://schemas.openxmlformats.org/officeDocument/2006/relationships/footer" Target="footer40.xml"/><Relationship Id="rId97" Type="http://schemas.openxmlformats.org/officeDocument/2006/relationships/header" Target="header41.xml"/><Relationship Id="rId98" Type="http://schemas.openxmlformats.org/officeDocument/2006/relationships/footer" Target="footer41.xml"/><Relationship Id="rId99" Type="http://schemas.openxmlformats.org/officeDocument/2006/relationships/header" Target="header42.xml"/><Relationship Id="rId100" Type="http://schemas.openxmlformats.org/officeDocument/2006/relationships/footer" Target="footer42.xml"/><Relationship Id="rId101" Type="http://schemas.openxmlformats.org/officeDocument/2006/relationships/header" Target="header43.xml"/><Relationship Id="rId102" Type="http://schemas.openxmlformats.org/officeDocument/2006/relationships/footer" Target="footer43.xml"/><Relationship Id="rId103" Type="http://schemas.openxmlformats.org/officeDocument/2006/relationships/header" Target="header44.xml"/><Relationship Id="rId104" Type="http://schemas.openxmlformats.org/officeDocument/2006/relationships/footer" Target="footer44.xml"/><Relationship Id="rId105" Type="http://schemas.openxmlformats.org/officeDocument/2006/relationships/header" Target="header45.xml"/><Relationship Id="rId106" Type="http://schemas.openxmlformats.org/officeDocument/2006/relationships/footer" Target="footer45.xml"/><Relationship Id="rId107" Type="http://schemas.openxmlformats.org/officeDocument/2006/relationships/header" Target="header46.xml"/><Relationship Id="rId108" Type="http://schemas.openxmlformats.org/officeDocument/2006/relationships/footer" Target="footer46.xml"/><Relationship Id="rId109" Type="http://schemas.openxmlformats.org/officeDocument/2006/relationships/header" Target="header47.xml"/><Relationship Id="rId110" Type="http://schemas.openxmlformats.org/officeDocument/2006/relationships/footer" Target="footer47.xml"/><Relationship Id="rId111" Type="http://schemas.openxmlformats.org/officeDocument/2006/relationships/header" Target="header48.xml"/><Relationship Id="rId112" Type="http://schemas.openxmlformats.org/officeDocument/2006/relationships/footer" Target="footer48.xml"/><Relationship Id="rId113" Type="http://schemas.openxmlformats.org/officeDocument/2006/relationships/header" Target="header49.xml"/><Relationship Id="rId114" Type="http://schemas.openxmlformats.org/officeDocument/2006/relationships/footer" Target="footer49.xml"/><Relationship Id="rId115" Type="http://schemas.openxmlformats.org/officeDocument/2006/relationships/header" Target="header50.xml"/><Relationship Id="rId116" Type="http://schemas.openxmlformats.org/officeDocument/2006/relationships/footer" Target="footer50.xml"/><Relationship Id="rId117" Type="http://schemas.openxmlformats.org/officeDocument/2006/relationships/header" Target="header51.xml"/><Relationship Id="rId118" Type="http://schemas.openxmlformats.org/officeDocument/2006/relationships/footer" Target="footer51.xml"/><Relationship Id="rId119" Type="http://schemas.openxmlformats.org/officeDocument/2006/relationships/header" Target="header52.xml"/><Relationship Id="rId120" Type="http://schemas.openxmlformats.org/officeDocument/2006/relationships/footer" Target="footer52.xml"/><Relationship Id="rId121" Type="http://schemas.openxmlformats.org/officeDocument/2006/relationships/header" Target="header53.xml"/><Relationship Id="rId122" Type="http://schemas.openxmlformats.org/officeDocument/2006/relationships/footer" Target="footer53.xml"/><Relationship Id="rId123" Type="http://schemas.openxmlformats.org/officeDocument/2006/relationships/image" Target="media/image14.png"/><Relationship Id="rId124" Type="http://schemas.openxmlformats.org/officeDocument/2006/relationships/image" Target="media/image15.png"/><Relationship Id="rId125" Type="http://schemas.openxmlformats.org/officeDocument/2006/relationships/image" Target="media/image16.png"/><Relationship Id="rId126" Type="http://schemas.openxmlformats.org/officeDocument/2006/relationships/hyperlink" Target="http://revistas.ucr.ac.cr/index.php/agromeso/index" TargetMode="External"/><Relationship Id="rId127" Type="http://schemas.openxmlformats.org/officeDocument/2006/relationships/hyperlink" Target="mailto:pccmca@gmail.com" TargetMode="External"/><Relationship Id="rId128" Type="http://schemas.openxmlformats.org/officeDocument/2006/relationships/hyperlink" Target="mailto:pccmca@ucr.ac.cr" TargetMode="External"/><Relationship Id="rId129" Type="http://schemas.openxmlformats.org/officeDocument/2006/relationships/image" Target="media/image17.jpeg"/><Relationship Id="rId130" Type="http://schemas.openxmlformats.org/officeDocument/2006/relationships/image" Target="media/image18.png"/><Relationship Id="rId131" Type="http://schemas.openxmlformats.org/officeDocument/2006/relationships/image" Target="media/image19.jpeg"/><Relationship Id="rId132" Type="http://schemas.openxmlformats.org/officeDocument/2006/relationships/header" Target="header54.xml"/><Relationship Id="rId133" Type="http://schemas.openxmlformats.org/officeDocument/2006/relationships/footer" Target="footer54.xml"/><Relationship Id="rId134" Type="http://schemas.openxmlformats.org/officeDocument/2006/relationships/header" Target="header55.xml"/><Relationship Id="rId135" Type="http://schemas.openxmlformats.org/officeDocument/2006/relationships/footer" Target="footer55.xml"/><Relationship Id="rId136" Type="http://schemas.openxmlformats.org/officeDocument/2006/relationships/footer" Target="footer56.xml"/><Relationship Id="rId137" Type="http://schemas.openxmlformats.org/officeDocument/2006/relationships/header" Target="header56.xml"/><Relationship Id="rId138" Type="http://schemas.openxmlformats.org/officeDocument/2006/relationships/footer" Target="footer57.xml"/><Relationship Id="rId139" Type="http://schemas.openxmlformats.org/officeDocument/2006/relationships/header" Target="header57.xml"/><Relationship Id="rId140" Type="http://schemas.openxmlformats.org/officeDocument/2006/relationships/footer" Target="footer58.xml"/><Relationship Id="rId141" Type="http://schemas.openxmlformats.org/officeDocument/2006/relationships/header" Target="header58.xml"/><Relationship Id="rId142" Type="http://schemas.openxmlformats.org/officeDocument/2006/relationships/footer" Target="footer59.xml"/><Relationship Id="rId143" Type="http://schemas.openxmlformats.org/officeDocument/2006/relationships/header" Target="header59.xml"/><Relationship Id="rId144" Type="http://schemas.openxmlformats.org/officeDocument/2006/relationships/footer" Target="footer60.xml"/><Relationship Id="rId145" Type="http://schemas.openxmlformats.org/officeDocument/2006/relationships/header" Target="header60.xml"/><Relationship Id="rId146" Type="http://schemas.openxmlformats.org/officeDocument/2006/relationships/footer" Target="footer61.xml"/><Relationship Id="rId147" Type="http://schemas.openxmlformats.org/officeDocument/2006/relationships/header" Target="header61.xml"/><Relationship Id="rId148" Type="http://schemas.openxmlformats.org/officeDocument/2006/relationships/footer" Target="footer62.xml"/><Relationship Id="rId149" Type="http://schemas.openxmlformats.org/officeDocument/2006/relationships/header" Target="header62.xml"/><Relationship Id="rId150" Type="http://schemas.openxmlformats.org/officeDocument/2006/relationships/footer" Target="footer63.xml"/><Relationship Id="rId151" Type="http://schemas.openxmlformats.org/officeDocument/2006/relationships/header" Target="header63.xml"/><Relationship Id="rId152" Type="http://schemas.openxmlformats.org/officeDocument/2006/relationships/footer" Target="footer64.xml"/><Relationship Id="rId153" Type="http://schemas.openxmlformats.org/officeDocument/2006/relationships/footer" Target="footer65.xml"/><Relationship Id="rId154" Type="http://schemas.openxmlformats.org/officeDocument/2006/relationships/header" Target="header64.xml"/><Relationship Id="rId155" Type="http://schemas.openxmlformats.org/officeDocument/2006/relationships/footer" Target="footer66.xml"/><Relationship Id="rId156" Type="http://schemas.openxmlformats.org/officeDocument/2006/relationships/footer" Target="footer67.xml"/><Relationship Id="rId157" Type="http://schemas.openxmlformats.org/officeDocument/2006/relationships/footer" Target="footer68.xml"/><Relationship Id="rId158" Type="http://schemas.openxmlformats.org/officeDocument/2006/relationships/header" Target="header65.xml"/><Relationship Id="rId159" Type="http://schemas.openxmlformats.org/officeDocument/2006/relationships/header" Target="header66.xml"/><Relationship Id="rId160" Type="http://schemas.openxmlformats.org/officeDocument/2006/relationships/footer" Target="footer69.xml"/><Relationship Id="rId161" Type="http://schemas.openxmlformats.org/officeDocument/2006/relationships/hyperlink" Target="http://www.economia.gob.mx/.../analisis_sector_lacteo.pdf" TargetMode="External"/><Relationship Id="rId162" Type="http://schemas.openxmlformats.org/officeDocument/2006/relationships/hyperlink" Target="http://www.siap.gob.mx/ivf-correspondiente-al-mes-de-marzo-" TargetMode="External"/><Relationship Id="rId163" Type="http://schemas.openxmlformats.org/officeDocument/2006/relationships/header" Target="header67.xml"/><Relationship Id="rId164" Type="http://schemas.openxmlformats.org/officeDocument/2006/relationships/footer" Target="footer70.xml"/><Relationship Id="rId165" Type="http://schemas.openxmlformats.org/officeDocument/2006/relationships/hyperlink" Target="http://www.gob.mx/cms/uploads/attachment/file/61948/Panorama_Agroalimentario" TargetMode="External"/><Relationship Id="rId166" Type="http://schemas.openxmlformats.org/officeDocument/2006/relationships/hyperlink" Target="http://lactodata.info/" TargetMode="External"/><Relationship Id="rId167" Type="http://schemas.openxmlformats.org/officeDocument/2006/relationships/header" Target="header68.xml"/><Relationship Id="rId168" Type="http://schemas.openxmlformats.org/officeDocument/2006/relationships/footer" Target="footer71.xml"/><Relationship Id="rId169" Type="http://schemas.openxmlformats.org/officeDocument/2006/relationships/header" Target="header69.xml"/><Relationship Id="rId170" Type="http://schemas.openxmlformats.org/officeDocument/2006/relationships/header" Target="header70.xml"/><Relationship Id="rId171" Type="http://schemas.openxmlformats.org/officeDocument/2006/relationships/footer" Target="footer72.xml"/><Relationship Id="rId172" Type="http://schemas.openxmlformats.org/officeDocument/2006/relationships/header" Target="header71.xml"/><Relationship Id="rId173" Type="http://schemas.openxmlformats.org/officeDocument/2006/relationships/footer" Target="footer73.xml"/><Relationship Id="rId174" Type="http://schemas.openxmlformats.org/officeDocument/2006/relationships/header" Target="header72.xml"/><Relationship Id="rId175" Type="http://schemas.openxmlformats.org/officeDocument/2006/relationships/footer" Target="footer74.xml"/><Relationship Id="rId176" Type="http://schemas.openxmlformats.org/officeDocument/2006/relationships/footer" Target="footer75.xml"/><Relationship Id="rId177" Type="http://schemas.openxmlformats.org/officeDocument/2006/relationships/header" Target="header73.xml"/><Relationship Id="rId178" Type="http://schemas.openxmlformats.org/officeDocument/2006/relationships/header" Target="header74.xml"/><Relationship Id="rId179" Type="http://schemas.openxmlformats.org/officeDocument/2006/relationships/header" Target="header75.xml"/><Relationship Id="rId180" Type="http://schemas.openxmlformats.org/officeDocument/2006/relationships/footer" Target="footer76.xml"/><Relationship Id="rId181" Type="http://schemas.openxmlformats.org/officeDocument/2006/relationships/image" Target="media/image20.png"/><Relationship Id="rId182" Type="http://schemas.openxmlformats.org/officeDocument/2006/relationships/footer" Target="footer77.xml"/><Relationship Id="rId183" Type="http://schemas.openxmlformats.org/officeDocument/2006/relationships/image" Target="media/image21.jpeg"/><Relationship Id="rId184" Type="http://schemas.openxmlformats.org/officeDocument/2006/relationships/header" Target="header76.xml"/><Relationship Id="rId185" Type="http://schemas.openxmlformats.org/officeDocument/2006/relationships/image" Target="media/image22.png"/><Relationship Id="rId186" Type="http://schemas.openxmlformats.org/officeDocument/2006/relationships/header" Target="header77.xml"/><Relationship Id="rId187" Type="http://schemas.openxmlformats.org/officeDocument/2006/relationships/footer" Target="footer78.xml"/><Relationship Id="rId188" Type="http://schemas.openxmlformats.org/officeDocument/2006/relationships/image" Target="media/image23.png"/><Relationship Id="rId189" Type="http://schemas.openxmlformats.org/officeDocument/2006/relationships/image" Target="media/image24.png"/><Relationship Id="rId190" Type="http://schemas.openxmlformats.org/officeDocument/2006/relationships/header" Target="header78.xml"/><Relationship Id="rId191" Type="http://schemas.openxmlformats.org/officeDocument/2006/relationships/footer" Target="footer79.xml"/><Relationship Id="rId192" Type="http://schemas.openxmlformats.org/officeDocument/2006/relationships/image" Target="media/image25.jpeg"/><Relationship Id="rId193" Type="http://schemas.openxmlformats.org/officeDocument/2006/relationships/image" Target="media/image26.png"/><Relationship Id="rId194" Type="http://schemas.openxmlformats.org/officeDocument/2006/relationships/footer" Target="footer80.xml"/><Relationship Id="rId195" Type="http://schemas.openxmlformats.org/officeDocument/2006/relationships/image" Target="media/image27.jpeg"/><Relationship Id="rId196" Type="http://schemas.openxmlformats.org/officeDocument/2006/relationships/header" Target="header79.xml"/><Relationship Id="rId197" Type="http://schemas.openxmlformats.org/officeDocument/2006/relationships/header" Target="header80.xml"/><Relationship Id="rId198" Type="http://schemas.openxmlformats.org/officeDocument/2006/relationships/footer" Target="footer81.xml"/><Relationship Id="rId199" Type="http://schemas.openxmlformats.org/officeDocument/2006/relationships/numbering" Target="numbering.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2017-05-26T01:46:16Z</dcterms:created>
  <dcterms:modified xsi:type="dcterms:W3CDTF">2017-05-26T01:46:16Z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2017-05-25T00:00:00Z</vt:filetime>
  </property>
</Properties>
</file>