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6"/>
        <w:rPr>
          <w:rFonts w:ascii="Times New Roman"/>
          <w:sz w:val="20"/>
        </w:rPr>
      </w:pPr>
      <w:r>
        <w:rPr>
          <w:rFonts w:ascii="Times New Roman"/>
          <w:sz w:val="20"/>
        </w:rPr>
        <w:pict>
          <v:group style="width:457.35pt;height:74.1pt;mso-position-horizontal-relative:char;mso-position-vertical-relative:line" coordorigin="0,0" coordsize="9147,1482">
            <v:shape style="position:absolute;left:0;top:0;width:1350;height:1205" type="#_x0000_t75" stroked="false">
              <v:imagedata r:id="rId5" o:title=""/>
            </v:shape>
            <v:shape style="position:absolute;left:7806;top:46;width:1340;height:1150" type="#_x0000_t75" stroked="false">
              <v:imagedata r:id="rId6" o:title=""/>
            </v:shape>
            <v:shape style="position:absolute;left:1220;top:272;width:6763;height:1210" type="#_x0000_t75" stroked="false">
              <v:imagedata r:id="rId7" o:title=""/>
            </v:shape>
            <v:shapetype id="_x0000_t202" o:spt="202" coordsize="21600,21600" path="m,l,21600r21600,l21600,xe">
              <v:stroke joinstyle="miter"/>
              <v:path gradientshapeok="t" o:connecttype="rect"/>
            </v:shapetype>
            <v:shape style="position:absolute;left:0;top:0;width:9147;height:1482" type="#_x0000_t202" filled="false" stroked="false">
              <v:textbox inset="0,0,0,0">
                <w:txbxContent>
                  <w:p>
                    <w:pPr>
                      <w:spacing w:line="240" w:lineRule="auto" w:before="9"/>
                      <w:rPr>
                        <w:rFonts w:ascii="Times New Roman"/>
                        <w:sz w:val="22"/>
                      </w:rPr>
                    </w:pPr>
                  </w:p>
                  <w:p>
                    <w:pPr>
                      <w:spacing w:line="480" w:lineRule="auto" w:before="1"/>
                      <w:ind w:left="1979" w:right="230" w:hanging="509"/>
                      <w:jc w:val="left"/>
                      <w:rPr>
                        <w:b/>
                        <w:sz w:val="24"/>
                      </w:rPr>
                    </w:pPr>
                    <w:r>
                      <w:rPr>
                        <w:b/>
                        <w:sz w:val="24"/>
                      </w:rPr>
                      <w:t>UNIVERSIDAD AUTÓNOMA DEL ESTADO DE MÉXICO FACULTAD DE CIENCIAS DE LA CONDUCTA</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8"/>
        </w:rPr>
      </w:pPr>
    </w:p>
    <w:p>
      <w:pPr>
        <w:spacing w:line="362" w:lineRule="auto" w:before="66"/>
        <w:ind w:left="857" w:right="1056" w:firstLine="0"/>
        <w:jc w:val="center"/>
        <w:rPr>
          <w:b/>
          <w:sz w:val="26"/>
        </w:rPr>
      </w:pPr>
      <w:r>
        <w:rPr>
          <w:b/>
          <w:sz w:val="26"/>
        </w:rPr>
        <w:t>HÁBITOS DE VIDA RELACIONADOS A LA CALIDAD DE VIDA EN PACIENTES DIABÉTICOS CON SOBREPESO</w:t>
      </w:r>
    </w:p>
    <w:p>
      <w:pPr>
        <w:spacing w:line="298" w:lineRule="exact" w:before="0"/>
        <w:ind w:left="848" w:right="1056" w:firstLine="0"/>
        <w:jc w:val="center"/>
        <w:rPr>
          <w:b/>
          <w:sz w:val="26"/>
        </w:rPr>
      </w:pPr>
      <w:r>
        <w:rPr>
          <w:b/>
          <w:sz w:val="26"/>
        </w:rPr>
        <w:t>U OBESIDAD</w:t>
      </w:r>
    </w:p>
    <w:p>
      <w:pPr>
        <w:pStyle w:val="BodyText"/>
        <w:rPr>
          <w:b/>
          <w:sz w:val="26"/>
        </w:rPr>
      </w:pPr>
    </w:p>
    <w:p>
      <w:pPr>
        <w:pStyle w:val="BodyText"/>
        <w:rPr>
          <w:b/>
          <w:sz w:val="26"/>
        </w:rPr>
      </w:pPr>
    </w:p>
    <w:p>
      <w:pPr>
        <w:pStyle w:val="BodyText"/>
        <w:rPr>
          <w:b/>
          <w:sz w:val="26"/>
        </w:rPr>
      </w:pPr>
    </w:p>
    <w:p>
      <w:pPr>
        <w:spacing w:before="151"/>
        <w:ind w:left="810" w:right="1056" w:firstLine="0"/>
        <w:jc w:val="center"/>
        <w:rPr>
          <w:b/>
          <w:sz w:val="40"/>
        </w:rPr>
      </w:pPr>
      <w:r>
        <w:rPr>
          <w:b/>
          <w:sz w:val="40"/>
        </w:rPr>
        <w:t>TESIS</w:t>
      </w:r>
    </w:p>
    <w:p>
      <w:pPr>
        <w:pStyle w:val="BodyText"/>
        <w:rPr>
          <w:b/>
          <w:sz w:val="40"/>
        </w:rPr>
      </w:pPr>
    </w:p>
    <w:p>
      <w:pPr>
        <w:pStyle w:val="BodyText"/>
        <w:spacing w:before="7"/>
        <w:rPr>
          <w:b/>
          <w:sz w:val="36"/>
        </w:rPr>
      </w:pPr>
    </w:p>
    <w:p>
      <w:pPr>
        <w:spacing w:before="0"/>
        <w:ind w:left="846" w:right="1056" w:firstLine="0"/>
        <w:jc w:val="center"/>
        <w:rPr>
          <w:sz w:val="26"/>
        </w:rPr>
      </w:pPr>
      <w:r>
        <w:rPr>
          <w:sz w:val="26"/>
        </w:rPr>
        <w:t>QUE PARA OBTENER EL TÍTULO DE</w:t>
      </w:r>
    </w:p>
    <w:p>
      <w:pPr>
        <w:spacing w:before="147"/>
        <w:ind w:left="851" w:right="1056" w:firstLine="0"/>
        <w:jc w:val="center"/>
        <w:rPr>
          <w:b/>
          <w:sz w:val="26"/>
        </w:rPr>
      </w:pPr>
      <w:r>
        <w:rPr>
          <w:b/>
          <w:sz w:val="26"/>
        </w:rPr>
        <w:t>LICENCIADA EN TRABAJO SOCIAL</w:t>
      </w:r>
    </w:p>
    <w:p>
      <w:pPr>
        <w:pStyle w:val="BodyText"/>
        <w:rPr>
          <w:b/>
          <w:sz w:val="26"/>
        </w:rPr>
      </w:pPr>
    </w:p>
    <w:p>
      <w:pPr>
        <w:pStyle w:val="BodyText"/>
        <w:rPr>
          <w:b/>
          <w:sz w:val="26"/>
        </w:rPr>
      </w:pPr>
    </w:p>
    <w:p>
      <w:pPr>
        <w:pStyle w:val="BodyText"/>
        <w:rPr>
          <w:b/>
          <w:sz w:val="26"/>
        </w:rPr>
      </w:pPr>
    </w:p>
    <w:p>
      <w:pPr>
        <w:spacing w:before="153"/>
        <w:ind w:left="848" w:right="1056" w:firstLine="0"/>
        <w:jc w:val="center"/>
        <w:rPr>
          <w:sz w:val="26"/>
        </w:rPr>
      </w:pPr>
      <w:r>
        <w:rPr>
          <w:sz w:val="26"/>
        </w:rPr>
        <w:t>PRESENTA</w:t>
      </w:r>
    </w:p>
    <w:p>
      <w:pPr>
        <w:spacing w:before="147"/>
        <w:ind w:left="845" w:right="1056" w:firstLine="0"/>
        <w:jc w:val="center"/>
        <w:rPr>
          <w:b/>
          <w:sz w:val="26"/>
        </w:rPr>
      </w:pPr>
      <w:r>
        <w:rPr>
          <w:b/>
          <w:sz w:val="26"/>
        </w:rPr>
        <w:t>MARÍA GUADALUPE ÁLVAREZ LÓPEZ</w:t>
      </w:r>
    </w:p>
    <w:p>
      <w:pPr>
        <w:spacing w:before="148"/>
        <w:ind w:left="849" w:right="1056" w:firstLine="0"/>
        <w:jc w:val="center"/>
        <w:rPr>
          <w:b/>
          <w:sz w:val="26"/>
        </w:rPr>
      </w:pPr>
      <w:r>
        <w:rPr>
          <w:sz w:val="26"/>
        </w:rPr>
        <w:t>NÚMERO DE CUENTA: </w:t>
      </w:r>
      <w:r>
        <w:rPr>
          <w:b/>
          <w:sz w:val="26"/>
        </w:rPr>
        <w:t>1122467</w:t>
      </w:r>
    </w:p>
    <w:p>
      <w:pPr>
        <w:pStyle w:val="BodyText"/>
        <w:rPr>
          <w:b/>
          <w:sz w:val="26"/>
        </w:rPr>
      </w:pPr>
    </w:p>
    <w:p>
      <w:pPr>
        <w:pStyle w:val="BodyText"/>
        <w:rPr>
          <w:b/>
          <w:sz w:val="26"/>
        </w:rPr>
      </w:pPr>
    </w:p>
    <w:p>
      <w:pPr>
        <w:pStyle w:val="BodyText"/>
        <w:rPr>
          <w:b/>
          <w:sz w:val="26"/>
        </w:rPr>
      </w:pPr>
    </w:p>
    <w:p>
      <w:pPr>
        <w:spacing w:before="153"/>
        <w:ind w:left="849" w:right="1056" w:firstLine="0"/>
        <w:jc w:val="center"/>
        <w:rPr>
          <w:sz w:val="26"/>
        </w:rPr>
      </w:pPr>
      <w:r>
        <w:rPr>
          <w:sz w:val="26"/>
        </w:rPr>
        <w:t>ASESOR</w:t>
      </w:r>
    </w:p>
    <w:p>
      <w:pPr>
        <w:spacing w:before="147"/>
        <w:ind w:left="849" w:right="1056" w:firstLine="0"/>
        <w:jc w:val="center"/>
        <w:rPr>
          <w:b/>
          <w:sz w:val="26"/>
        </w:rPr>
      </w:pPr>
      <w:r>
        <w:rPr>
          <w:b/>
          <w:sz w:val="26"/>
        </w:rPr>
        <w:t>DRA. ROSALINDA GUADARRAMA GUADARRAMA</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80"/>
        <w:ind w:left="5842"/>
      </w:pPr>
      <w:r>
        <w:rPr/>
        <w:t>Toluca, México,  Marzo de 2016.</w:t>
      </w:r>
    </w:p>
    <w:p>
      <w:pPr>
        <w:spacing w:after="0"/>
        <w:sectPr>
          <w:type w:val="continuous"/>
          <w:pgSz w:w="12240" w:h="15840"/>
          <w:pgMar w:top="1420" w:bottom="280" w:left="1500" w:right="1300"/>
        </w:sectPr>
      </w:pPr>
    </w:p>
    <w:p>
      <w:pPr>
        <w:pStyle w:val="Heading1"/>
        <w:spacing w:before="47"/>
        <w:ind w:left="4591" w:right="4214"/>
        <w:jc w:val="center"/>
      </w:pPr>
      <w:r>
        <w:rPr/>
        <w:t>ÍNDICE</w:t>
      </w:r>
    </w:p>
    <w:p>
      <w:pPr>
        <w:pStyle w:val="BodyText"/>
        <w:rPr>
          <w:b/>
          <w:sz w:val="20"/>
        </w:rPr>
      </w:pPr>
    </w:p>
    <w:p>
      <w:pPr>
        <w:pStyle w:val="BodyText"/>
        <w:rPr>
          <w:b/>
          <w:sz w:val="20"/>
        </w:rPr>
      </w:pPr>
    </w:p>
    <w:p>
      <w:pPr>
        <w:pStyle w:val="BodyText"/>
        <w:rPr>
          <w:b/>
          <w:sz w:val="20"/>
        </w:rPr>
      </w:pPr>
    </w:p>
    <w:p>
      <w:pPr>
        <w:pStyle w:val="BodyText"/>
        <w:spacing w:before="9"/>
        <w:rPr>
          <w:b/>
          <w:sz w:val="26"/>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847"/>
        <w:gridCol w:w="581"/>
      </w:tblGrid>
      <w:tr>
        <w:trPr>
          <w:trHeight w:val="11427" w:hRule="exact"/>
        </w:trPr>
        <w:tc>
          <w:tcPr>
            <w:tcW w:w="8847" w:type="dxa"/>
          </w:tcPr>
          <w:p>
            <w:pPr>
              <w:pStyle w:val="TableParagraph"/>
              <w:spacing w:line="245" w:lineRule="exact"/>
              <w:ind w:left="200" w:right="4893"/>
              <w:rPr>
                <w:b/>
                <w:sz w:val="24"/>
              </w:rPr>
            </w:pPr>
            <w:r>
              <w:rPr>
                <w:b/>
                <w:sz w:val="24"/>
              </w:rPr>
              <w:t>RESUMEN</w:t>
            </w:r>
          </w:p>
          <w:p>
            <w:pPr>
              <w:pStyle w:val="TableParagraph"/>
              <w:spacing w:line="362" w:lineRule="auto" w:before="137"/>
              <w:ind w:left="200" w:right="4893"/>
              <w:rPr>
                <w:b/>
                <w:sz w:val="24"/>
              </w:rPr>
            </w:pPr>
            <w:r>
              <w:rPr>
                <w:b/>
                <w:sz w:val="24"/>
              </w:rPr>
              <w:t>PRESENTACIÓN INTRODUCCIÓN</w:t>
            </w:r>
          </w:p>
          <w:p>
            <w:pPr>
              <w:pStyle w:val="TableParagraph"/>
              <w:spacing w:line="240" w:lineRule="auto" w:before="10"/>
              <w:ind w:left="0"/>
              <w:rPr>
                <w:b/>
                <w:sz w:val="35"/>
              </w:rPr>
            </w:pPr>
          </w:p>
          <w:p>
            <w:pPr>
              <w:pStyle w:val="TableParagraph"/>
              <w:spacing w:line="240" w:lineRule="auto" w:before="1"/>
              <w:ind w:left="200" w:right="110"/>
              <w:rPr>
                <w:b/>
                <w:sz w:val="24"/>
              </w:rPr>
            </w:pPr>
            <w:r>
              <w:rPr>
                <w:b/>
                <w:sz w:val="24"/>
              </w:rPr>
              <w:t>CAPÍTULO I: DIABETES, OBESIDAD Y SOBREPESO</w:t>
            </w:r>
          </w:p>
          <w:p>
            <w:pPr>
              <w:pStyle w:val="TableParagraph"/>
              <w:numPr>
                <w:ilvl w:val="1"/>
                <w:numId w:val="1"/>
              </w:numPr>
              <w:tabs>
                <w:tab w:pos="590" w:val="left" w:leader="none"/>
              </w:tabs>
              <w:spacing w:line="240" w:lineRule="auto" w:before="141" w:after="0"/>
              <w:ind w:left="589" w:right="0" w:hanging="389"/>
              <w:jc w:val="left"/>
              <w:rPr>
                <w:sz w:val="24"/>
              </w:rPr>
            </w:pPr>
            <w:r>
              <w:rPr>
                <w:sz w:val="24"/>
              </w:rPr>
              <w:t>Concepto de</w:t>
            </w:r>
            <w:r>
              <w:rPr>
                <w:spacing w:val="-7"/>
                <w:sz w:val="24"/>
              </w:rPr>
              <w:t> </w:t>
            </w:r>
            <w:r>
              <w:rPr>
                <w:sz w:val="24"/>
              </w:rPr>
              <w:t>diabetes</w:t>
            </w:r>
          </w:p>
          <w:p>
            <w:pPr>
              <w:pStyle w:val="TableParagraph"/>
              <w:numPr>
                <w:ilvl w:val="2"/>
                <w:numId w:val="1"/>
              </w:numPr>
              <w:tabs>
                <w:tab w:pos="1194" w:val="left" w:leader="none"/>
              </w:tabs>
              <w:spacing w:line="240" w:lineRule="auto" w:before="141" w:after="0"/>
              <w:ind w:left="1193" w:right="0" w:hanging="604"/>
              <w:jc w:val="left"/>
              <w:rPr>
                <w:sz w:val="24"/>
              </w:rPr>
            </w:pPr>
            <w:r>
              <w:rPr>
                <w:sz w:val="24"/>
              </w:rPr>
              <w:t>Clasificación de la</w:t>
            </w:r>
            <w:r>
              <w:rPr>
                <w:spacing w:val="-12"/>
                <w:sz w:val="24"/>
              </w:rPr>
              <w:t> </w:t>
            </w:r>
            <w:r>
              <w:rPr>
                <w:sz w:val="24"/>
              </w:rPr>
              <w:t>diabetes</w:t>
            </w:r>
          </w:p>
          <w:p>
            <w:pPr>
              <w:pStyle w:val="TableParagraph"/>
              <w:numPr>
                <w:ilvl w:val="1"/>
                <w:numId w:val="1"/>
              </w:numPr>
              <w:tabs>
                <w:tab w:pos="590" w:val="left" w:leader="none"/>
              </w:tabs>
              <w:spacing w:line="240" w:lineRule="auto" w:before="137" w:after="0"/>
              <w:ind w:left="589" w:right="0" w:hanging="389"/>
              <w:jc w:val="left"/>
              <w:rPr>
                <w:sz w:val="24"/>
              </w:rPr>
            </w:pPr>
            <w:r>
              <w:rPr>
                <w:sz w:val="24"/>
              </w:rPr>
              <w:t>Concepto de sobrepeso y</w:t>
            </w:r>
            <w:r>
              <w:rPr>
                <w:spacing w:val="-10"/>
                <w:sz w:val="24"/>
              </w:rPr>
              <w:t> </w:t>
            </w:r>
            <w:r>
              <w:rPr>
                <w:sz w:val="24"/>
              </w:rPr>
              <w:t>obesidad</w:t>
            </w:r>
          </w:p>
          <w:p>
            <w:pPr>
              <w:pStyle w:val="TableParagraph"/>
              <w:numPr>
                <w:ilvl w:val="2"/>
                <w:numId w:val="1"/>
              </w:numPr>
              <w:tabs>
                <w:tab w:pos="1194" w:val="left" w:leader="none"/>
              </w:tabs>
              <w:spacing w:line="240" w:lineRule="auto" w:before="137" w:after="0"/>
              <w:ind w:left="1193" w:right="0" w:hanging="604"/>
              <w:jc w:val="left"/>
              <w:rPr>
                <w:sz w:val="24"/>
              </w:rPr>
            </w:pPr>
            <w:r>
              <w:rPr>
                <w:sz w:val="24"/>
              </w:rPr>
              <w:t>Clasificación de la</w:t>
            </w:r>
            <w:r>
              <w:rPr>
                <w:spacing w:val="-14"/>
                <w:sz w:val="24"/>
              </w:rPr>
              <w:t> </w:t>
            </w:r>
            <w:r>
              <w:rPr>
                <w:sz w:val="24"/>
              </w:rPr>
              <w:t>obesidad</w:t>
            </w:r>
          </w:p>
          <w:p>
            <w:pPr>
              <w:pStyle w:val="TableParagraph"/>
              <w:numPr>
                <w:ilvl w:val="2"/>
                <w:numId w:val="1"/>
              </w:numPr>
              <w:tabs>
                <w:tab w:pos="1193" w:val="left" w:leader="none"/>
              </w:tabs>
              <w:spacing w:line="240" w:lineRule="auto" w:before="137" w:after="0"/>
              <w:ind w:left="1192" w:right="0" w:hanging="603"/>
              <w:jc w:val="left"/>
              <w:rPr>
                <w:sz w:val="24"/>
              </w:rPr>
            </w:pPr>
            <w:r>
              <w:rPr>
                <w:sz w:val="24"/>
              </w:rPr>
              <w:t>Medias antropométricas para determinar sobrepeso u</w:t>
            </w:r>
            <w:r>
              <w:rPr>
                <w:spacing w:val="-23"/>
                <w:sz w:val="24"/>
              </w:rPr>
              <w:t> </w:t>
            </w:r>
            <w:r>
              <w:rPr>
                <w:sz w:val="24"/>
              </w:rPr>
              <w:t>obesidad.</w:t>
            </w:r>
          </w:p>
          <w:p>
            <w:pPr>
              <w:pStyle w:val="TableParagraph"/>
              <w:numPr>
                <w:ilvl w:val="1"/>
                <w:numId w:val="1"/>
              </w:numPr>
              <w:tabs>
                <w:tab w:pos="603" w:val="left" w:leader="none"/>
              </w:tabs>
              <w:spacing w:line="240" w:lineRule="auto" w:before="142" w:after="0"/>
              <w:ind w:left="602" w:right="0" w:hanging="402"/>
              <w:jc w:val="left"/>
              <w:rPr>
                <w:sz w:val="24"/>
              </w:rPr>
            </w:pPr>
            <w:r>
              <w:rPr>
                <w:sz w:val="24"/>
              </w:rPr>
              <w:t>Factores de riesgo de la obesidad y la</w:t>
            </w:r>
            <w:r>
              <w:rPr>
                <w:spacing w:val="-18"/>
                <w:sz w:val="24"/>
              </w:rPr>
              <w:t> </w:t>
            </w:r>
            <w:r>
              <w:rPr>
                <w:sz w:val="24"/>
              </w:rPr>
              <w:t>diabetes</w:t>
            </w:r>
          </w:p>
          <w:p>
            <w:pPr>
              <w:pStyle w:val="TableParagraph"/>
              <w:numPr>
                <w:ilvl w:val="2"/>
                <w:numId w:val="1"/>
              </w:numPr>
              <w:tabs>
                <w:tab w:pos="1510" w:val="left" w:leader="none"/>
              </w:tabs>
              <w:spacing w:line="240" w:lineRule="auto" w:before="137" w:after="0"/>
              <w:ind w:left="1509" w:right="0" w:hanging="603"/>
              <w:jc w:val="left"/>
              <w:rPr>
                <w:sz w:val="24"/>
              </w:rPr>
            </w:pPr>
            <w:r>
              <w:rPr>
                <w:sz w:val="24"/>
              </w:rPr>
              <w:t>Causas y factores de riesgo de la</w:t>
            </w:r>
            <w:r>
              <w:rPr>
                <w:spacing w:val="-22"/>
                <w:sz w:val="24"/>
              </w:rPr>
              <w:t> </w:t>
            </w:r>
            <w:r>
              <w:rPr>
                <w:sz w:val="24"/>
              </w:rPr>
              <w:t>obesidad</w:t>
            </w:r>
          </w:p>
          <w:p>
            <w:pPr>
              <w:pStyle w:val="TableParagraph"/>
              <w:numPr>
                <w:ilvl w:val="2"/>
                <w:numId w:val="1"/>
              </w:numPr>
              <w:tabs>
                <w:tab w:pos="1510" w:val="left" w:leader="none"/>
              </w:tabs>
              <w:spacing w:line="240" w:lineRule="auto" w:before="137" w:after="0"/>
              <w:ind w:left="1509" w:right="0" w:hanging="603"/>
              <w:jc w:val="left"/>
              <w:rPr>
                <w:sz w:val="24"/>
              </w:rPr>
            </w:pPr>
            <w:r>
              <w:rPr>
                <w:sz w:val="24"/>
              </w:rPr>
              <w:t>Causas y factores de riesgo de la</w:t>
            </w:r>
            <w:r>
              <w:rPr>
                <w:spacing w:val="-24"/>
                <w:sz w:val="24"/>
              </w:rPr>
              <w:t> </w:t>
            </w:r>
            <w:r>
              <w:rPr>
                <w:sz w:val="24"/>
              </w:rPr>
              <w:t>diabetes</w:t>
            </w:r>
          </w:p>
          <w:p>
            <w:pPr>
              <w:pStyle w:val="TableParagraph"/>
              <w:spacing w:line="240" w:lineRule="auto" w:before="137"/>
              <w:ind w:left="1477" w:right="110"/>
              <w:rPr>
                <w:sz w:val="24"/>
              </w:rPr>
            </w:pPr>
            <w:r>
              <w:rPr>
                <w:sz w:val="24"/>
              </w:rPr>
              <w:t>1.3.2.1  Factores ambientales de la diabetes</w:t>
            </w:r>
          </w:p>
          <w:p>
            <w:pPr>
              <w:pStyle w:val="TableParagraph"/>
              <w:numPr>
                <w:ilvl w:val="1"/>
                <w:numId w:val="1"/>
              </w:numPr>
              <w:tabs>
                <w:tab w:pos="603" w:val="left" w:leader="none"/>
              </w:tabs>
              <w:spacing w:line="240" w:lineRule="auto" w:before="142" w:after="0"/>
              <w:ind w:left="602" w:right="0" w:hanging="402"/>
              <w:jc w:val="left"/>
              <w:rPr>
                <w:sz w:val="24"/>
              </w:rPr>
            </w:pPr>
            <w:r>
              <w:rPr>
                <w:sz w:val="24"/>
              </w:rPr>
              <w:t>Diabetes, sobrepeso y obesidad </w:t>
            </w:r>
            <w:r>
              <w:rPr>
                <w:spacing w:val="3"/>
                <w:sz w:val="24"/>
              </w:rPr>
              <w:t>en </w:t>
            </w:r>
            <w:r>
              <w:rPr>
                <w:sz w:val="24"/>
              </w:rPr>
              <w:t>México como un problema</w:t>
            </w:r>
            <w:r>
              <w:rPr>
                <w:spacing w:val="-31"/>
                <w:sz w:val="24"/>
              </w:rPr>
              <w:t> </w:t>
            </w:r>
            <w:r>
              <w:rPr>
                <w:sz w:val="24"/>
              </w:rPr>
              <w:t>social</w:t>
            </w:r>
          </w:p>
          <w:p>
            <w:pPr>
              <w:pStyle w:val="TableParagraph"/>
              <w:spacing w:line="240" w:lineRule="auto"/>
              <w:ind w:left="0"/>
              <w:rPr>
                <w:b/>
                <w:sz w:val="24"/>
              </w:rPr>
            </w:pPr>
          </w:p>
          <w:p>
            <w:pPr>
              <w:pStyle w:val="TableParagraph"/>
              <w:spacing w:line="240" w:lineRule="auto" w:before="4"/>
              <w:ind w:left="0"/>
              <w:rPr>
                <w:b/>
                <w:sz w:val="23"/>
              </w:rPr>
            </w:pPr>
          </w:p>
          <w:p>
            <w:pPr>
              <w:pStyle w:val="TableParagraph"/>
              <w:tabs>
                <w:tab w:pos="7356" w:val="left" w:leader="none"/>
              </w:tabs>
              <w:spacing w:line="360" w:lineRule="auto"/>
              <w:ind w:left="1900" w:right="110" w:hanging="1701"/>
              <w:rPr>
                <w:b/>
                <w:sz w:val="24"/>
              </w:rPr>
            </w:pPr>
            <w:r>
              <w:rPr>
                <w:b/>
                <w:sz w:val="24"/>
              </w:rPr>
              <w:t>CAPÍTULO  </w:t>
            </w:r>
            <w:r>
              <w:rPr>
                <w:b/>
                <w:spacing w:val="-4"/>
                <w:sz w:val="24"/>
              </w:rPr>
              <w:t>II:  </w:t>
            </w:r>
            <w:r>
              <w:rPr>
                <w:b/>
                <w:sz w:val="24"/>
              </w:rPr>
              <w:t>HÁBITOS  DE VIDA Y CALIDAD  DE </w:t>
            </w:r>
            <w:r>
              <w:rPr>
                <w:b/>
                <w:spacing w:val="48"/>
                <w:sz w:val="24"/>
              </w:rPr>
              <w:t> </w:t>
            </w:r>
            <w:r>
              <w:rPr>
                <w:b/>
                <w:sz w:val="24"/>
              </w:rPr>
              <w:t>VIDA</w:t>
            </w:r>
            <w:r>
              <w:rPr>
                <w:b/>
                <w:spacing w:val="42"/>
                <w:sz w:val="24"/>
              </w:rPr>
              <w:t> </w:t>
            </w:r>
            <w:r>
              <w:rPr>
                <w:b/>
                <w:sz w:val="24"/>
              </w:rPr>
              <w:t>EN</w:t>
              <w:tab/>
              <w:t>PACIENTES DIABÉTICOS CON OBESIDAD Y</w:t>
            </w:r>
            <w:r>
              <w:rPr>
                <w:b/>
                <w:spacing w:val="-14"/>
                <w:sz w:val="24"/>
              </w:rPr>
              <w:t> </w:t>
            </w:r>
            <w:r>
              <w:rPr>
                <w:b/>
                <w:sz w:val="24"/>
              </w:rPr>
              <w:t>SOBREPESO.</w:t>
            </w:r>
          </w:p>
          <w:p>
            <w:pPr>
              <w:pStyle w:val="TableParagraph"/>
              <w:numPr>
                <w:ilvl w:val="1"/>
                <w:numId w:val="2"/>
              </w:numPr>
              <w:tabs>
                <w:tab w:pos="603" w:val="left" w:leader="none"/>
              </w:tabs>
              <w:spacing w:line="240" w:lineRule="auto" w:before="13" w:after="0"/>
              <w:ind w:left="766" w:right="0" w:hanging="566"/>
              <w:jc w:val="left"/>
              <w:rPr>
                <w:sz w:val="24"/>
              </w:rPr>
            </w:pPr>
            <w:r>
              <w:rPr>
                <w:sz w:val="24"/>
              </w:rPr>
              <w:t>Concepto de hábitos de</w:t>
            </w:r>
            <w:r>
              <w:rPr>
                <w:spacing w:val="-13"/>
                <w:sz w:val="24"/>
              </w:rPr>
              <w:t> </w:t>
            </w:r>
            <w:r>
              <w:rPr>
                <w:sz w:val="24"/>
              </w:rPr>
              <w:t>vida</w:t>
            </w:r>
          </w:p>
          <w:p>
            <w:pPr>
              <w:pStyle w:val="TableParagraph"/>
              <w:numPr>
                <w:ilvl w:val="1"/>
                <w:numId w:val="2"/>
              </w:numPr>
              <w:tabs>
                <w:tab w:pos="603" w:val="left" w:leader="none"/>
              </w:tabs>
              <w:spacing w:line="240" w:lineRule="auto" w:before="137" w:after="0"/>
              <w:ind w:left="602" w:right="0" w:hanging="402"/>
              <w:jc w:val="left"/>
              <w:rPr>
                <w:sz w:val="24"/>
              </w:rPr>
            </w:pPr>
            <w:r>
              <w:rPr>
                <w:sz w:val="24"/>
              </w:rPr>
              <w:t>Concepto de calidad de</w:t>
            </w:r>
            <w:r>
              <w:rPr>
                <w:spacing w:val="-14"/>
                <w:sz w:val="24"/>
              </w:rPr>
              <w:t> </w:t>
            </w:r>
            <w:r>
              <w:rPr>
                <w:sz w:val="24"/>
              </w:rPr>
              <w:t>vida</w:t>
            </w:r>
          </w:p>
          <w:p>
            <w:pPr>
              <w:pStyle w:val="TableParagraph"/>
              <w:numPr>
                <w:ilvl w:val="2"/>
                <w:numId w:val="2"/>
              </w:numPr>
              <w:tabs>
                <w:tab w:pos="1510" w:val="left" w:leader="none"/>
              </w:tabs>
              <w:spacing w:line="240" w:lineRule="auto" w:before="137" w:after="0"/>
              <w:ind w:left="1509" w:right="0" w:hanging="603"/>
              <w:jc w:val="left"/>
              <w:rPr>
                <w:sz w:val="24"/>
              </w:rPr>
            </w:pPr>
            <w:r>
              <w:rPr>
                <w:sz w:val="24"/>
              </w:rPr>
              <w:t>Indicadores de calidad de</w:t>
            </w:r>
            <w:r>
              <w:rPr>
                <w:spacing w:val="-18"/>
                <w:sz w:val="24"/>
              </w:rPr>
              <w:t> </w:t>
            </w:r>
            <w:r>
              <w:rPr>
                <w:sz w:val="24"/>
              </w:rPr>
              <w:t>vida</w:t>
            </w:r>
          </w:p>
          <w:p>
            <w:pPr>
              <w:pStyle w:val="TableParagraph"/>
              <w:numPr>
                <w:ilvl w:val="2"/>
                <w:numId w:val="2"/>
              </w:numPr>
              <w:tabs>
                <w:tab w:pos="1510" w:val="left" w:leader="none"/>
              </w:tabs>
              <w:spacing w:line="240" w:lineRule="auto" w:before="137" w:after="0"/>
              <w:ind w:left="1509" w:right="0" w:hanging="603"/>
              <w:jc w:val="left"/>
              <w:rPr>
                <w:sz w:val="24"/>
              </w:rPr>
            </w:pPr>
            <w:r>
              <w:rPr>
                <w:sz w:val="24"/>
              </w:rPr>
              <w:t>La teoría de </w:t>
            </w:r>
            <w:r>
              <w:rPr>
                <w:spacing w:val="-3"/>
                <w:sz w:val="24"/>
              </w:rPr>
              <w:t>Orem:</w:t>
            </w:r>
            <w:r>
              <w:rPr>
                <w:spacing w:val="1"/>
                <w:sz w:val="24"/>
              </w:rPr>
              <w:t> </w:t>
            </w:r>
            <w:r>
              <w:rPr>
                <w:sz w:val="24"/>
              </w:rPr>
              <w:t>Autocuidado…</w:t>
            </w:r>
          </w:p>
          <w:p>
            <w:pPr>
              <w:pStyle w:val="TableParagraph"/>
              <w:spacing w:line="240" w:lineRule="auto" w:before="137"/>
              <w:ind w:left="1477" w:right="110"/>
              <w:rPr>
                <w:sz w:val="24"/>
              </w:rPr>
            </w:pPr>
            <w:r>
              <w:rPr>
                <w:sz w:val="24"/>
              </w:rPr>
              <w:t>2.2.2.1 Hábitos de salud en pacientes diabéticos</w:t>
            </w:r>
          </w:p>
          <w:p>
            <w:pPr>
              <w:pStyle w:val="TableParagraph"/>
              <w:numPr>
                <w:ilvl w:val="1"/>
                <w:numId w:val="2"/>
              </w:numPr>
              <w:tabs>
                <w:tab w:pos="608" w:val="left" w:leader="none"/>
              </w:tabs>
              <w:spacing w:line="360" w:lineRule="auto" w:before="141" w:after="0"/>
              <w:ind w:left="766" w:right="116" w:hanging="566"/>
              <w:jc w:val="left"/>
              <w:rPr>
                <w:sz w:val="24"/>
              </w:rPr>
            </w:pPr>
            <w:r>
              <w:rPr>
                <w:sz w:val="24"/>
              </w:rPr>
              <w:t>Relación entre hábitos de vida y calidad de vida en personas con diabetes y obesidad o</w:t>
            </w:r>
            <w:r>
              <w:rPr>
                <w:spacing w:val="-7"/>
                <w:sz w:val="24"/>
              </w:rPr>
              <w:t> </w:t>
            </w:r>
            <w:r>
              <w:rPr>
                <w:sz w:val="24"/>
              </w:rPr>
              <w:t>sobrepeso.</w:t>
            </w:r>
          </w:p>
          <w:p>
            <w:pPr>
              <w:pStyle w:val="TableParagraph"/>
              <w:spacing w:line="240" w:lineRule="auto" w:before="8"/>
              <w:ind w:left="0"/>
              <w:rPr>
                <w:b/>
                <w:sz w:val="35"/>
              </w:rPr>
            </w:pPr>
          </w:p>
          <w:p>
            <w:pPr>
              <w:pStyle w:val="TableParagraph"/>
              <w:spacing w:line="240" w:lineRule="auto" w:before="1"/>
              <w:ind w:left="200" w:right="4893"/>
              <w:rPr>
                <w:b/>
                <w:sz w:val="24"/>
              </w:rPr>
            </w:pPr>
            <w:r>
              <w:rPr>
                <w:b/>
                <w:sz w:val="24"/>
              </w:rPr>
              <w:t>CAPITULO III: MÉTODO</w:t>
            </w:r>
          </w:p>
          <w:p>
            <w:pPr>
              <w:pStyle w:val="TableParagraph"/>
              <w:spacing w:line="240" w:lineRule="auto" w:before="146"/>
              <w:ind w:left="200" w:right="4893"/>
              <w:rPr>
                <w:sz w:val="24"/>
              </w:rPr>
            </w:pPr>
            <w:r>
              <w:rPr>
                <w:sz w:val="24"/>
              </w:rPr>
              <w:t>3.1 Tipo de estudio o investigación</w:t>
            </w:r>
          </w:p>
        </w:tc>
        <w:tc>
          <w:tcPr>
            <w:tcW w:w="581" w:type="dxa"/>
          </w:tcPr>
          <w:p>
            <w:pPr>
              <w:pStyle w:val="TableParagraph"/>
              <w:spacing w:line="250" w:lineRule="exact"/>
              <w:ind w:left="112"/>
              <w:rPr>
                <w:sz w:val="24"/>
              </w:rPr>
            </w:pPr>
            <w:r>
              <w:rPr>
                <w:w w:val="99"/>
                <w:sz w:val="24"/>
              </w:rPr>
              <w:t>7</w:t>
            </w:r>
          </w:p>
          <w:p>
            <w:pPr>
              <w:pStyle w:val="TableParagraph"/>
              <w:spacing w:line="240" w:lineRule="auto" w:before="137"/>
              <w:ind w:left="112"/>
              <w:rPr>
                <w:sz w:val="24"/>
              </w:rPr>
            </w:pPr>
            <w:r>
              <w:rPr>
                <w:w w:val="99"/>
                <w:sz w:val="24"/>
              </w:rPr>
              <w:t>9</w:t>
            </w:r>
          </w:p>
          <w:p>
            <w:pPr>
              <w:pStyle w:val="TableParagraph"/>
              <w:spacing w:line="240" w:lineRule="auto" w:before="141"/>
              <w:ind w:left="112"/>
              <w:rPr>
                <w:sz w:val="24"/>
              </w:rPr>
            </w:pPr>
            <w:r>
              <w:rPr>
                <w:sz w:val="24"/>
              </w:rPr>
              <w:t>11</w:t>
            </w:r>
          </w:p>
          <w:p>
            <w:pPr>
              <w:pStyle w:val="TableParagraph"/>
              <w:spacing w:line="240" w:lineRule="auto"/>
              <w:ind w:left="0"/>
              <w:rPr>
                <w:b/>
                <w:sz w:val="24"/>
              </w:rPr>
            </w:pPr>
          </w:p>
          <w:p>
            <w:pPr>
              <w:pStyle w:val="TableParagraph"/>
              <w:spacing w:line="240" w:lineRule="auto" w:before="9"/>
              <w:ind w:left="0"/>
              <w:rPr>
                <w:b/>
                <w:sz w:val="23"/>
              </w:rPr>
            </w:pPr>
          </w:p>
          <w:p>
            <w:pPr>
              <w:pStyle w:val="TableParagraph"/>
              <w:spacing w:line="240" w:lineRule="auto"/>
              <w:ind w:left="112"/>
              <w:rPr>
                <w:sz w:val="24"/>
              </w:rPr>
            </w:pPr>
            <w:r>
              <w:rPr>
                <w:sz w:val="24"/>
              </w:rPr>
              <w:t>13</w:t>
            </w:r>
          </w:p>
          <w:p>
            <w:pPr>
              <w:pStyle w:val="TableParagraph"/>
              <w:spacing w:line="240" w:lineRule="auto" w:before="137"/>
              <w:ind w:left="112"/>
              <w:rPr>
                <w:sz w:val="24"/>
              </w:rPr>
            </w:pPr>
            <w:r>
              <w:rPr>
                <w:sz w:val="24"/>
              </w:rPr>
              <w:t>13</w:t>
            </w:r>
          </w:p>
          <w:p>
            <w:pPr>
              <w:pStyle w:val="TableParagraph"/>
              <w:spacing w:line="240" w:lineRule="auto" w:before="141"/>
              <w:ind w:left="112"/>
              <w:rPr>
                <w:sz w:val="24"/>
              </w:rPr>
            </w:pPr>
            <w:r>
              <w:rPr>
                <w:sz w:val="24"/>
              </w:rPr>
              <w:t>14</w:t>
            </w:r>
          </w:p>
          <w:p>
            <w:pPr>
              <w:pStyle w:val="TableParagraph"/>
              <w:spacing w:line="240" w:lineRule="auto" w:before="137"/>
              <w:ind w:left="112"/>
              <w:rPr>
                <w:sz w:val="24"/>
              </w:rPr>
            </w:pPr>
            <w:r>
              <w:rPr>
                <w:sz w:val="24"/>
              </w:rPr>
              <w:t>17</w:t>
            </w:r>
          </w:p>
          <w:p>
            <w:pPr>
              <w:pStyle w:val="TableParagraph"/>
              <w:spacing w:line="240" w:lineRule="auto" w:before="137"/>
              <w:ind w:left="112"/>
              <w:rPr>
                <w:sz w:val="24"/>
              </w:rPr>
            </w:pPr>
            <w:r>
              <w:rPr>
                <w:sz w:val="24"/>
              </w:rPr>
              <w:t>18</w:t>
            </w:r>
          </w:p>
          <w:p>
            <w:pPr>
              <w:pStyle w:val="TableParagraph"/>
              <w:spacing w:line="240" w:lineRule="auto" w:before="137"/>
              <w:ind w:left="112"/>
              <w:rPr>
                <w:sz w:val="24"/>
              </w:rPr>
            </w:pPr>
            <w:r>
              <w:rPr>
                <w:sz w:val="24"/>
              </w:rPr>
              <w:t>19</w:t>
            </w:r>
          </w:p>
          <w:p>
            <w:pPr>
              <w:pStyle w:val="TableParagraph"/>
              <w:spacing w:line="240" w:lineRule="auto" w:before="142"/>
              <w:ind w:left="112"/>
              <w:rPr>
                <w:sz w:val="24"/>
              </w:rPr>
            </w:pPr>
            <w:r>
              <w:rPr>
                <w:sz w:val="24"/>
              </w:rPr>
              <w:t>22</w:t>
            </w:r>
          </w:p>
          <w:p>
            <w:pPr>
              <w:pStyle w:val="TableParagraph"/>
              <w:spacing w:line="240" w:lineRule="auto" w:before="137"/>
              <w:ind w:left="112"/>
              <w:rPr>
                <w:sz w:val="24"/>
              </w:rPr>
            </w:pPr>
            <w:r>
              <w:rPr>
                <w:sz w:val="24"/>
              </w:rPr>
              <w:t>22</w:t>
            </w:r>
          </w:p>
          <w:p>
            <w:pPr>
              <w:pStyle w:val="TableParagraph"/>
              <w:spacing w:line="240" w:lineRule="auto" w:before="137"/>
              <w:ind w:left="112"/>
              <w:rPr>
                <w:sz w:val="24"/>
              </w:rPr>
            </w:pPr>
            <w:r>
              <w:rPr>
                <w:sz w:val="24"/>
              </w:rPr>
              <w:t>24</w:t>
            </w:r>
          </w:p>
          <w:p>
            <w:pPr>
              <w:pStyle w:val="TableParagraph"/>
              <w:spacing w:line="240" w:lineRule="auto" w:before="137"/>
              <w:ind w:left="112"/>
              <w:rPr>
                <w:sz w:val="24"/>
              </w:rPr>
            </w:pPr>
            <w:r>
              <w:rPr>
                <w:sz w:val="24"/>
              </w:rPr>
              <w:t>27</w:t>
            </w:r>
          </w:p>
          <w:p>
            <w:pPr>
              <w:pStyle w:val="TableParagraph"/>
              <w:spacing w:line="240" w:lineRule="auto" w:before="142"/>
              <w:ind w:left="112"/>
              <w:rPr>
                <w:sz w:val="24"/>
              </w:rPr>
            </w:pPr>
            <w:r>
              <w:rPr>
                <w:sz w:val="24"/>
              </w:rPr>
              <w:t>28</w:t>
            </w:r>
          </w:p>
          <w:p>
            <w:pPr>
              <w:pStyle w:val="TableParagraph"/>
              <w:spacing w:line="240" w:lineRule="auto"/>
              <w:ind w:left="0"/>
              <w:rPr>
                <w:b/>
                <w:sz w:val="24"/>
              </w:rPr>
            </w:pPr>
          </w:p>
          <w:p>
            <w:pPr>
              <w:pStyle w:val="TableParagraph"/>
              <w:spacing w:line="240" w:lineRule="auto"/>
              <w:ind w:left="0"/>
              <w:rPr>
                <w:b/>
                <w:sz w:val="24"/>
              </w:rPr>
            </w:pPr>
          </w:p>
          <w:p>
            <w:pPr>
              <w:pStyle w:val="TableParagraph"/>
              <w:spacing w:line="240" w:lineRule="auto" w:before="8"/>
              <w:ind w:left="0"/>
              <w:rPr>
                <w:b/>
                <w:sz w:val="35"/>
              </w:rPr>
            </w:pPr>
          </w:p>
          <w:p>
            <w:pPr>
              <w:pStyle w:val="TableParagraph"/>
              <w:spacing w:line="240" w:lineRule="auto"/>
              <w:ind w:left="112"/>
              <w:rPr>
                <w:sz w:val="24"/>
              </w:rPr>
            </w:pPr>
            <w:r>
              <w:rPr>
                <w:sz w:val="24"/>
              </w:rPr>
              <w:t>33</w:t>
            </w:r>
          </w:p>
          <w:p>
            <w:pPr>
              <w:pStyle w:val="TableParagraph"/>
              <w:spacing w:line="240" w:lineRule="auto" w:before="142"/>
              <w:ind w:left="112"/>
              <w:rPr>
                <w:sz w:val="24"/>
              </w:rPr>
            </w:pPr>
            <w:r>
              <w:rPr>
                <w:sz w:val="24"/>
              </w:rPr>
              <w:t>33</w:t>
            </w:r>
          </w:p>
          <w:p>
            <w:pPr>
              <w:pStyle w:val="TableParagraph"/>
              <w:spacing w:line="240" w:lineRule="auto" w:before="137"/>
              <w:ind w:left="112"/>
              <w:rPr>
                <w:sz w:val="24"/>
              </w:rPr>
            </w:pPr>
            <w:r>
              <w:rPr>
                <w:sz w:val="24"/>
              </w:rPr>
              <w:t>35</w:t>
            </w:r>
          </w:p>
          <w:p>
            <w:pPr>
              <w:pStyle w:val="TableParagraph"/>
              <w:spacing w:line="240" w:lineRule="auto" w:before="137"/>
              <w:ind w:left="112"/>
              <w:rPr>
                <w:sz w:val="24"/>
              </w:rPr>
            </w:pPr>
            <w:r>
              <w:rPr>
                <w:sz w:val="24"/>
              </w:rPr>
              <w:t>38</w:t>
            </w:r>
          </w:p>
          <w:p>
            <w:pPr>
              <w:pStyle w:val="TableParagraph"/>
              <w:spacing w:line="240" w:lineRule="auto" w:before="137"/>
              <w:ind w:left="112"/>
              <w:rPr>
                <w:sz w:val="24"/>
              </w:rPr>
            </w:pPr>
            <w:r>
              <w:rPr>
                <w:sz w:val="24"/>
              </w:rPr>
              <w:t>39</w:t>
            </w:r>
          </w:p>
          <w:p>
            <w:pPr>
              <w:pStyle w:val="TableParagraph"/>
              <w:spacing w:line="240" w:lineRule="auto" w:before="137"/>
              <w:ind w:left="112"/>
              <w:rPr>
                <w:sz w:val="24"/>
              </w:rPr>
            </w:pPr>
            <w:r>
              <w:rPr>
                <w:sz w:val="24"/>
              </w:rPr>
              <w:t>41</w:t>
            </w:r>
          </w:p>
          <w:p>
            <w:pPr>
              <w:pStyle w:val="TableParagraph"/>
              <w:spacing w:line="240" w:lineRule="auto"/>
              <w:ind w:left="0"/>
              <w:rPr>
                <w:b/>
                <w:sz w:val="24"/>
              </w:rPr>
            </w:pPr>
          </w:p>
          <w:p>
            <w:pPr>
              <w:pStyle w:val="TableParagraph"/>
              <w:spacing w:line="240" w:lineRule="auto" w:before="2"/>
              <w:ind w:left="0"/>
              <w:rPr>
                <w:b/>
                <w:sz w:val="24"/>
              </w:rPr>
            </w:pPr>
          </w:p>
          <w:p>
            <w:pPr>
              <w:pStyle w:val="TableParagraph"/>
              <w:spacing w:line="240" w:lineRule="auto"/>
              <w:ind w:left="112"/>
              <w:rPr>
                <w:sz w:val="24"/>
              </w:rPr>
            </w:pPr>
            <w:r>
              <w:rPr>
                <w:sz w:val="24"/>
              </w:rPr>
              <w:t>43</w:t>
            </w:r>
          </w:p>
          <w:p>
            <w:pPr>
              <w:pStyle w:val="TableParagraph"/>
              <w:spacing w:line="240" w:lineRule="auto"/>
              <w:ind w:left="0"/>
              <w:rPr>
                <w:b/>
                <w:sz w:val="24"/>
              </w:rPr>
            </w:pPr>
          </w:p>
          <w:p>
            <w:pPr>
              <w:pStyle w:val="TableParagraph"/>
              <w:spacing w:line="240" w:lineRule="auto" w:before="9"/>
              <w:ind w:left="0"/>
              <w:rPr>
                <w:b/>
                <w:sz w:val="23"/>
              </w:rPr>
            </w:pPr>
          </w:p>
          <w:p>
            <w:pPr>
              <w:pStyle w:val="TableParagraph"/>
              <w:spacing w:line="240" w:lineRule="auto"/>
              <w:ind w:left="112"/>
              <w:rPr>
                <w:sz w:val="24"/>
              </w:rPr>
            </w:pPr>
            <w:r>
              <w:rPr>
                <w:sz w:val="24"/>
              </w:rPr>
              <w:t>47</w:t>
            </w:r>
          </w:p>
          <w:p>
            <w:pPr>
              <w:pStyle w:val="TableParagraph"/>
              <w:spacing w:line="240" w:lineRule="auto" w:before="141"/>
              <w:ind w:left="112"/>
              <w:rPr>
                <w:sz w:val="24"/>
              </w:rPr>
            </w:pPr>
            <w:r>
              <w:rPr>
                <w:sz w:val="24"/>
              </w:rPr>
              <w:t>47</w:t>
            </w:r>
          </w:p>
        </w:tc>
      </w:tr>
    </w:tbl>
    <w:p>
      <w:pPr>
        <w:spacing w:after="0" w:line="240" w:lineRule="auto"/>
        <w:rPr>
          <w:sz w:val="24"/>
        </w:rPr>
        <w:sectPr>
          <w:pgSz w:w="12240" w:h="15840"/>
          <w:pgMar w:top="1360" w:bottom="280" w:left="1100" w:right="1480"/>
        </w:sect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38"/>
        <w:gridCol w:w="1590"/>
      </w:tblGrid>
      <w:tr>
        <w:trPr>
          <w:trHeight w:val="6866" w:hRule="exact"/>
        </w:trPr>
        <w:tc>
          <w:tcPr>
            <w:tcW w:w="7838" w:type="dxa"/>
          </w:tcPr>
          <w:p>
            <w:pPr>
              <w:pStyle w:val="TableParagraph"/>
              <w:numPr>
                <w:ilvl w:val="1"/>
                <w:numId w:val="3"/>
              </w:numPr>
              <w:tabs>
                <w:tab w:pos="604" w:val="left" w:leader="none"/>
              </w:tabs>
              <w:spacing w:line="245" w:lineRule="exact" w:before="0" w:after="0"/>
              <w:ind w:left="603" w:right="0" w:hanging="403"/>
              <w:jc w:val="left"/>
              <w:rPr>
                <w:sz w:val="24"/>
              </w:rPr>
            </w:pPr>
            <w:r>
              <w:rPr>
                <w:sz w:val="24"/>
              </w:rPr>
              <w:t>Planteamiento del problema o problema </w:t>
            </w:r>
            <w:r>
              <w:rPr>
                <w:spacing w:val="3"/>
                <w:sz w:val="24"/>
              </w:rPr>
              <w:t>de</w:t>
            </w:r>
            <w:r>
              <w:rPr>
                <w:spacing w:val="-22"/>
                <w:sz w:val="24"/>
              </w:rPr>
              <w:t> </w:t>
            </w:r>
            <w:r>
              <w:rPr>
                <w:sz w:val="24"/>
              </w:rPr>
              <w:t>investigación.</w:t>
            </w:r>
          </w:p>
          <w:p>
            <w:pPr>
              <w:pStyle w:val="TableParagraph"/>
              <w:numPr>
                <w:ilvl w:val="1"/>
                <w:numId w:val="3"/>
              </w:numPr>
              <w:tabs>
                <w:tab w:pos="604" w:val="left" w:leader="none"/>
              </w:tabs>
              <w:spacing w:line="240" w:lineRule="auto" w:before="141" w:after="0"/>
              <w:ind w:left="603" w:right="0" w:hanging="403"/>
              <w:jc w:val="left"/>
              <w:rPr>
                <w:sz w:val="24"/>
              </w:rPr>
            </w:pPr>
            <w:r>
              <w:rPr>
                <w:sz w:val="24"/>
              </w:rPr>
              <w:t>Definición de</w:t>
            </w:r>
            <w:r>
              <w:rPr>
                <w:spacing w:val="-9"/>
                <w:sz w:val="24"/>
              </w:rPr>
              <w:t> </w:t>
            </w:r>
            <w:r>
              <w:rPr>
                <w:sz w:val="24"/>
              </w:rPr>
              <w:t>variables</w:t>
            </w:r>
          </w:p>
          <w:p>
            <w:pPr>
              <w:pStyle w:val="TableParagraph"/>
              <w:numPr>
                <w:ilvl w:val="1"/>
                <w:numId w:val="3"/>
              </w:numPr>
              <w:tabs>
                <w:tab w:pos="604" w:val="left" w:leader="none"/>
              </w:tabs>
              <w:spacing w:line="240" w:lineRule="auto" w:before="137" w:after="0"/>
              <w:ind w:left="603" w:right="0" w:hanging="403"/>
              <w:jc w:val="left"/>
              <w:rPr>
                <w:sz w:val="24"/>
              </w:rPr>
            </w:pPr>
            <w:r>
              <w:rPr>
                <w:sz w:val="24"/>
              </w:rPr>
              <w:t>Planteamiento de la</w:t>
            </w:r>
            <w:r>
              <w:rPr>
                <w:spacing w:val="-10"/>
                <w:sz w:val="24"/>
              </w:rPr>
              <w:t> </w:t>
            </w:r>
            <w:r>
              <w:rPr>
                <w:sz w:val="24"/>
              </w:rPr>
              <w:t>Hipótesis</w:t>
            </w:r>
          </w:p>
          <w:p>
            <w:pPr>
              <w:pStyle w:val="TableParagraph"/>
              <w:numPr>
                <w:ilvl w:val="1"/>
                <w:numId w:val="3"/>
              </w:numPr>
              <w:tabs>
                <w:tab w:pos="604" w:val="left" w:leader="none"/>
              </w:tabs>
              <w:spacing w:line="240" w:lineRule="auto" w:before="137" w:after="0"/>
              <w:ind w:left="603" w:right="0" w:hanging="403"/>
              <w:jc w:val="left"/>
              <w:rPr>
                <w:sz w:val="24"/>
              </w:rPr>
            </w:pPr>
            <w:r>
              <w:rPr>
                <w:sz w:val="24"/>
              </w:rPr>
              <w:t>Definición del universo de</w:t>
            </w:r>
            <w:r>
              <w:rPr>
                <w:spacing w:val="-12"/>
                <w:sz w:val="24"/>
              </w:rPr>
              <w:t> </w:t>
            </w:r>
            <w:r>
              <w:rPr>
                <w:sz w:val="24"/>
              </w:rPr>
              <w:t>estudio</w:t>
            </w:r>
          </w:p>
          <w:p>
            <w:pPr>
              <w:pStyle w:val="TableParagraph"/>
              <w:numPr>
                <w:ilvl w:val="1"/>
                <w:numId w:val="3"/>
              </w:numPr>
              <w:tabs>
                <w:tab w:pos="604" w:val="left" w:leader="none"/>
              </w:tabs>
              <w:spacing w:line="240" w:lineRule="auto" w:before="137" w:after="0"/>
              <w:ind w:left="603" w:right="0" w:hanging="403"/>
              <w:jc w:val="left"/>
              <w:rPr>
                <w:sz w:val="24"/>
              </w:rPr>
            </w:pPr>
            <w:r>
              <w:rPr>
                <w:sz w:val="24"/>
              </w:rPr>
              <w:t>Definición de la</w:t>
            </w:r>
            <w:r>
              <w:rPr>
                <w:spacing w:val="-13"/>
                <w:sz w:val="24"/>
              </w:rPr>
              <w:t> </w:t>
            </w:r>
            <w:r>
              <w:rPr>
                <w:sz w:val="24"/>
              </w:rPr>
              <w:t>muestra</w:t>
            </w:r>
          </w:p>
          <w:p>
            <w:pPr>
              <w:pStyle w:val="TableParagraph"/>
              <w:numPr>
                <w:ilvl w:val="1"/>
                <w:numId w:val="3"/>
              </w:numPr>
              <w:tabs>
                <w:tab w:pos="604" w:val="left" w:leader="none"/>
              </w:tabs>
              <w:spacing w:line="240" w:lineRule="auto" w:before="141" w:after="0"/>
              <w:ind w:left="603" w:right="0" w:hanging="403"/>
              <w:jc w:val="left"/>
              <w:rPr>
                <w:sz w:val="24"/>
              </w:rPr>
            </w:pPr>
            <w:r>
              <w:rPr>
                <w:sz w:val="24"/>
              </w:rPr>
              <w:t>Selección y/ o diseño  de</w:t>
            </w:r>
            <w:r>
              <w:rPr>
                <w:spacing w:val="-21"/>
                <w:sz w:val="24"/>
              </w:rPr>
              <w:t> </w:t>
            </w:r>
            <w:r>
              <w:rPr>
                <w:sz w:val="24"/>
              </w:rPr>
              <w:t>instrumentos.</w:t>
            </w:r>
          </w:p>
          <w:p>
            <w:pPr>
              <w:pStyle w:val="TableParagraph"/>
              <w:numPr>
                <w:ilvl w:val="1"/>
                <w:numId w:val="3"/>
              </w:numPr>
              <w:tabs>
                <w:tab w:pos="604" w:val="left" w:leader="none"/>
              </w:tabs>
              <w:spacing w:line="240" w:lineRule="auto" w:before="137" w:after="0"/>
              <w:ind w:left="603" w:right="0" w:hanging="403"/>
              <w:jc w:val="left"/>
              <w:rPr>
                <w:sz w:val="24"/>
              </w:rPr>
            </w:pPr>
            <w:r>
              <w:rPr>
                <w:sz w:val="24"/>
              </w:rPr>
              <w:t>Diseño de la</w:t>
            </w:r>
            <w:r>
              <w:rPr>
                <w:spacing w:val="-12"/>
                <w:sz w:val="24"/>
              </w:rPr>
              <w:t> </w:t>
            </w:r>
            <w:r>
              <w:rPr>
                <w:sz w:val="24"/>
              </w:rPr>
              <w:t>investigación</w:t>
            </w:r>
          </w:p>
          <w:p>
            <w:pPr>
              <w:pStyle w:val="TableParagraph"/>
              <w:numPr>
                <w:ilvl w:val="1"/>
                <w:numId w:val="3"/>
              </w:numPr>
              <w:tabs>
                <w:tab w:pos="604" w:val="left" w:leader="none"/>
              </w:tabs>
              <w:spacing w:line="240" w:lineRule="auto" w:before="137" w:after="0"/>
              <w:ind w:left="603" w:right="0" w:hanging="403"/>
              <w:jc w:val="left"/>
              <w:rPr>
                <w:sz w:val="24"/>
              </w:rPr>
            </w:pPr>
            <w:r>
              <w:rPr>
                <w:sz w:val="24"/>
              </w:rPr>
              <w:t>Captura de la</w:t>
            </w:r>
            <w:r>
              <w:rPr>
                <w:spacing w:val="-8"/>
                <w:sz w:val="24"/>
              </w:rPr>
              <w:t> </w:t>
            </w:r>
            <w:r>
              <w:rPr>
                <w:sz w:val="24"/>
              </w:rPr>
              <w:t>información</w:t>
            </w:r>
          </w:p>
          <w:p>
            <w:pPr>
              <w:pStyle w:val="TableParagraph"/>
              <w:numPr>
                <w:ilvl w:val="1"/>
                <w:numId w:val="3"/>
              </w:numPr>
              <w:tabs>
                <w:tab w:pos="739" w:val="left" w:leader="none"/>
              </w:tabs>
              <w:spacing w:line="240" w:lineRule="auto" w:before="137" w:after="0"/>
              <w:ind w:left="738" w:right="0" w:hanging="538"/>
              <w:jc w:val="left"/>
              <w:rPr>
                <w:sz w:val="24"/>
              </w:rPr>
            </w:pPr>
            <w:r>
              <w:rPr>
                <w:sz w:val="24"/>
              </w:rPr>
              <w:t>Procesamiento de la</w:t>
            </w:r>
            <w:r>
              <w:rPr>
                <w:spacing w:val="-18"/>
                <w:sz w:val="24"/>
              </w:rPr>
              <w:t> </w:t>
            </w:r>
            <w:r>
              <w:rPr>
                <w:sz w:val="24"/>
              </w:rPr>
              <w:t>información</w:t>
            </w:r>
          </w:p>
          <w:p>
            <w:pPr>
              <w:pStyle w:val="TableParagraph"/>
              <w:numPr>
                <w:ilvl w:val="1"/>
                <w:numId w:val="3"/>
              </w:numPr>
              <w:tabs>
                <w:tab w:pos="739" w:val="left" w:leader="none"/>
              </w:tabs>
              <w:spacing w:line="240" w:lineRule="auto" w:before="141" w:after="0"/>
              <w:ind w:left="738" w:right="0" w:hanging="538"/>
              <w:jc w:val="left"/>
              <w:rPr>
                <w:sz w:val="24"/>
              </w:rPr>
            </w:pPr>
            <w:r>
              <w:rPr>
                <w:sz w:val="24"/>
              </w:rPr>
              <w:t>Prueba de</w:t>
            </w:r>
            <w:r>
              <w:rPr>
                <w:spacing w:val="-8"/>
                <w:sz w:val="24"/>
              </w:rPr>
              <w:t> </w:t>
            </w:r>
            <w:r>
              <w:rPr>
                <w:sz w:val="24"/>
              </w:rPr>
              <w:t>hipótesis</w:t>
            </w:r>
          </w:p>
          <w:p>
            <w:pPr>
              <w:pStyle w:val="TableParagraph"/>
              <w:spacing w:line="240" w:lineRule="auto"/>
              <w:ind w:left="0"/>
              <w:rPr>
                <w:b/>
                <w:sz w:val="24"/>
              </w:rPr>
            </w:pPr>
          </w:p>
          <w:p>
            <w:pPr>
              <w:pStyle w:val="TableParagraph"/>
              <w:spacing w:line="240" w:lineRule="auto" w:before="4"/>
              <w:ind w:left="0"/>
              <w:rPr>
                <w:b/>
                <w:sz w:val="23"/>
              </w:rPr>
            </w:pPr>
          </w:p>
          <w:p>
            <w:pPr>
              <w:pStyle w:val="TableParagraph"/>
              <w:spacing w:line="362" w:lineRule="auto" w:before="1"/>
              <w:ind w:left="200" w:right="2564"/>
              <w:rPr>
                <w:b/>
                <w:sz w:val="24"/>
              </w:rPr>
            </w:pPr>
            <w:r>
              <w:rPr>
                <w:b/>
                <w:sz w:val="24"/>
              </w:rPr>
              <w:t>PRESENTACIÓN DE RESULTADOS ANÁLISIS DE RESULTADOS CONCLUSIONES</w:t>
            </w:r>
          </w:p>
          <w:p>
            <w:pPr>
              <w:pStyle w:val="TableParagraph"/>
              <w:spacing w:line="240" w:lineRule="auto"/>
              <w:ind w:left="200" w:right="2564"/>
              <w:rPr>
                <w:b/>
                <w:sz w:val="24"/>
              </w:rPr>
            </w:pPr>
            <w:r>
              <w:rPr>
                <w:b/>
                <w:sz w:val="24"/>
              </w:rPr>
              <w:t>SUGERENCIAS</w:t>
            </w:r>
          </w:p>
          <w:p>
            <w:pPr>
              <w:pStyle w:val="TableParagraph"/>
              <w:spacing w:line="410" w:lineRule="atLeast" w:before="2"/>
              <w:ind w:left="200" w:right="2564"/>
              <w:rPr>
                <w:b/>
                <w:sz w:val="24"/>
              </w:rPr>
            </w:pPr>
            <w:r>
              <w:rPr>
                <w:b/>
                <w:sz w:val="24"/>
              </w:rPr>
              <w:t>REFERENCIAS BIBLIOGRAFICAS APÉNDICE</w:t>
            </w:r>
          </w:p>
        </w:tc>
        <w:tc>
          <w:tcPr>
            <w:tcW w:w="1590" w:type="dxa"/>
          </w:tcPr>
          <w:p>
            <w:pPr>
              <w:pStyle w:val="TableParagraph"/>
              <w:spacing w:line="245" w:lineRule="exact"/>
              <w:ind w:left="0" w:right="198"/>
              <w:jc w:val="right"/>
              <w:rPr>
                <w:sz w:val="24"/>
              </w:rPr>
            </w:pPr>
            <w:r>
              <w:rPr>
                <w:sz w:val="24"/>
              </w:rPr>
              <w:t>47</w:t>
            </w:r>
          </w:p>
          <w:p>
            <w:pPr>
              <w:pStyle w:val="TableParagraph"/>
              <w:spacing w:line="240" w:lineRule="auto" w:before="141"/>
              <w:ind w:left="0" w:right="198"/>
              <w:jc w:val="right"/>
              <w:rPr>
                <w:sz w:val="24"/>
              </w:rPr>
            </w:pPr>
            <w:r>
              <w:rPr>
                <w:sz w:val="24"/>
              </w:rPr>
              <w:t>48</w:t>
            </w:r>
          </w:p>
          <w:p>
            <w:pPr>
              <w:pStyle w:val="TableParagraph"/>
              <w:spacing w:line="240" w:lineRule="auto" w:before="137"/>
              <w:ind w:left="0" w:right="198"/>
              <w:jc w:val="right"/>
              <w:rPr>
                <w:sz w:val="24"/>
              </w:rPr>
            </w:pPr>
            <w:r>
              <w:rPr>
                <w:sz w:val="24"/>
              </w:rPr>
              <w:t>51</w:t>
            </w:r>
          </w:p>
          <w:p>
            <w:pPr>
              <w:pStyle w:val="TableParagraph"/>
              <w:spacing w:line="240" w:lineRule="auto" w:before="137"/>
              <w:ind w:left="0" w:right="198"/>
              <w:jc w:val="right"/>
              <w:rPr>
                <w:sz w:val="24"/>
              </w:rPr>
            </w:pPr>
            <w:r>
              <w:rPr>
                <w:sz w:val="24"/>
              </w:rPr>
              <w:t>51</w:t>
            </w:r>
          </w:p>
          <w:p>
            <w:pPr>
              <w:pStyle w:val="TableParagraph"/>
              <w:spacing w:line="240" w:lineRule="auto" w:before="137"/>
              <w:ind w:left="0" w:right="198"/>
              <w:jc w:val="right"/>
              <w:rPr>
                <w:sz w:val="24"/>
              </w:rPr>
            </w:pPr>
            <w:r>
              <w:rPr>
                <w:sz w:val="24"/>
              </w:rPr>
              <w:t>52</w:t>
            </w:r>
          </w:p>
          <w:p>
            <w:pPr>
              <w:pStyle w:val="TableParagraph"/>
              <w:spacing w:line="240" w:lineRule="auto" w:before="141"/>
              <w:ind w:left="0" w:right="198"/>
              <w:jc w:val="right"/>
              <w:rPr>
                <w:sz w:val="24"/>
              </w:rPr>
            </w:pPr>
            <w:r>
              <w:rPr>
                <w:sz w:val="24"/>
              </w:rPr>
              <w:t>52</w:t>
            </w:r>
          </w:p>
          <w:p>
            <w:pPr>
              <w:pStyle w:val="TableParagraph"/>
              <w:spacing w:line="240" w:lineRule="auto" w:before="137"/>
              <w:ind w:left="0" w:right="198"/>
              <w:jc w:val="right"/>
              <w:rPr>
                <w:sz w:val="24"/>
              </w:rPr>
            </w:pPr>
            <w:r>
              <w:rPr>
                <w:sz w:val="24"/>
              </w:rPr>
              <w:t>53</w:t>
            </w:r>
          </w:p>
          <w:p>
            <w:pPr>
              <w:pStyle w:val="TableParagraph"/>
              <w:spacing w:line="240" w:lineRule="auto" w:before="137"/>
              <w:ind w:left="0" w:right="198"/>
              <w:jc w:val="right"/>
              <w:rPr>
                <w:sz w:val="24"/>
              </w:rPr>
            </w:pPr>
            <w:r>
              <w:rPr>
                <w:sz w:val="24"/>
              </w:rPr>
              <w:t>53</w:t>
            </w:r>
          </w:p>
          <w:p>
            <w:pPr>
              <w:pStyle w:val="TableParagraph"/>
              <w:spacing w:line="240" w:lineRule="auto" w:before="137"/>
              <w:ind w:left="0" w:right="198"/>
              <w:jc w:val="right"/>
              <w:rPr>
                <w:sz w:val="24"/>
              </w:rPr>
            </w:pPr>
            <w:r>
              <w:rPr>
                <w:sz w:val="24"/>
              </w:rPr>
              <w:t>54</w:t>
            </w:r>
          </w:p>
          <w:p>
            <w:pPr>
              <w:pStyle w:val="TableParagraph"/>
              <w:spacing w:line="240" w:lineRule="auto" w:before="141"/>
              <w:ind w:left="0" w:right="198"/>
              <w:jc w:val="right"/>
              <w:rPr>
                <w:sz w:val="24"/>
              </w:rPr>
            </w:pPr>
            <w:r>
              <w:rPr>
                <w:sz w:val="24"/>
              </w:rPr>
              <w:t>54</w:t>
            </w:r>
          </w:p>
          <w:p>
            <w:pPr>
              <w:pStyle w:val="TableParagraph"/>
              <w:spacing w:line="240" w:lineRule="auto"/>
              <w:ind w:left="0"/>
              <w:rPr>
                <w:b/>
                <w:sz w:val="24"/>
              </w:rPr>
            </w:pPr>
          </w:p>
          <w:p>
            <w:pPr>
              <w:pStyle w:val="TableParagraph"/>
              <w:spacing w:line="240" w:lineRule="auto" w:before="9"/>
              <w:ind w:left="0"/>
              <w:rPr>
                <w:b/>
                <w:sz w:val="23"/>
              </w:rPr>
            </w:pPr>
          </w:p>
          <w:p>
            <w:pPr>
              <w:pStyle w:val="TableParagraph"/>
              <w:spacing w:line="240" w:lineRule="auto"/>
              <w:ind w:left="0" w:right="198"/>
              <w:jc w:val="right"/>
              <w:rPr>
                <w:sz w:val="24"/>
              </w:rPr>
            </w:pPr>
            <w:r>
              <w:rPr>
                <w:sz w:val="24"/>
              </w:rPr>
              <w:t>55</w:t>
            </w:r>
          </w:p>
          <w:p>
            <w:pPr>
              <w:pStyle w:val="TableParagraph"/>
              <w:spacing w:line="240" w:lineRule="auto" w:before="137"/>
              <w:ind w:left="0" w:right="198"/>
              <w:jc w:val="right"/>
              <w:rPr>
                <w:sz w:val="24"/>
              </w:rPr>
            </w:pPr>
            <w:r>
              <w:rPr>
                <w:sz w:val="24"/>
              </w:rPr>
              <w:t>59</w:t>
            </w:r>
          </w:p>
          <w:p>
            <w:pPr>
              <w:pStyle w:val="TableParagraph"/>
              <w:spacing w:line="240" w:lineRule="auto" w:before="142"/>
              <w:ind w:left="0" w:right="198"/>
              <w:jc w:val="right"/>
              <w:rPr>
                <w:sz w:val="24"/>
              </w:rPr>
            </w:pPr>
            <w:r>
              <w:rPr>
                <w:sz w:val="24"/>
              </w:rPr>
              <w:t>63</w:t>
            </w:r>
          </w:p>
          <w:p>
            <w:pPr>
              <w:pStyle w:val="TableParagraph"/>
              <w:spacing w:line="240" w:lineRule="auto" w:before="137"/>
              <w:ind w:left="0" w:right="198"/>
              <w:jc w:val="right"/>
              <w:rPr>
                <w:sz w:val="24"/>
              </w:rPr>
            </w:pPr>
            <w:r>
              <w:rPr>
                <w:sz w:val="24"/>
              </w:rPr>
              <w:t>65</w:t>
            </w:r>
          </w:p>
          <w:p>
            <w:pPr>
              <w:pStyle w:val="TableParagraph"/>
              <w:spacing w:line="240" w:lineRule="auto" w:before="137"/>
              <w:ind w:left="0" w:right="198"/>
              <w:jc w:val="right"/>
              <w:rPr>
                <w:sz w:val="24"/>
              </w:rPr>
            </w:pPr>
            <w:r>
              <w:rPr>
                <w:sz w:val="24"/>
              </w:rPr>
              <w:t>67</w:t>
            </w:r>
          </w:p>
          <w:p>
            <w:pPr>
              <w:pStyle w:val="TableParagraph"/>
              <w:spacing w:line="240" w:lineRule="auto" w:before="137"/>
              <w:ind w:left="0" w:right="198"/>
              <w:jc w:val="right"/>
              <w:rPr>
                <w:sz w:val="24"/>
              </w:rPr>
            </w:pPr>
            <w:r>
              <w:rPr>
                <w:sz w:val="24"/>
              </w:rPr>
              <w:t>79</w:t>
            </w:r>
          </w:p>
        </w:tc>
      </w:tr>
    </w:tbl>
    <w:p>
      <w:pPr>
        <w:spacing w:after="0" w:line="240" w:lineRule="auto"/>
        <w:jc w:val="right"/>
        <w:rPr>
          <w:sz w:val="24"/>
        </w:rPr>
        <w:sectPr>
          <w:pgSz w:w="12240" w:h="15840"/>
          <w:pgMar w:top="1440" w:bottom="280" w:left="1100" w:right="1480"/>
        </w:sectPr>
      </w:pPr>
    </w:p>
    <w:p>
      <w:pPr>
        <w:pStyle w:val="BodyText"/>
        <w:rPr>
          <w:b/>
          <w:sz w:val="20"/>
        </w:rPr>
      </w:pPr>
    </w:p>
    <w:p>
      <w:pPr>
        <w:pStyle w:val="Heading1"/>
        <w:spacing w:before="208"/>
        <w:ind w:left="116"/>
      </w:pPr>
      <w:r>
        <w:rPr/>
        <w:t>RESUMEN</w:t>
      </w:r>
    </w:p>
    <w:p>
      <w:pPr>
        <w:pStyle w:val="BodyText"/>
        <w:rPr>
          <w:b/>
        </w:rPr>
      </w:pPr>
    </w:p>
    <w:p>
      <w:pPr>
        <w:pStyle w:val="BodyText"/>
        <w:spacing w:before="7"/>
        <w:rPr>
          <w:b/>
        </w:rPr>
      </w:pPr>
    </w:p>
    <w:p>
      <w:pPr>
        <w:pStyle w:val="BodyText"/>
        <w:spacing w:line="360" w:lineRule="auto" w:before="1"/>
        <w:ind w:left="116" w:right="114"/>
        <w:jc w:val="both"/>
      </w:pPr>
      <w:r>
        <w:rPr/>
        <w:t>La obesidad y la diabetes son enfermedades que afectan a  gran  parte  de  la  población Mexicana,  son  de  las  problemáticas  de  salud  más  presentes  y  de  mayor costo. Los  hábitos  de  vida  </w:t>
      </w:r>
      <w:r>
        <w:rPr>
          <w:spacing w:val="-3"/>
        </w:rPr>
        <w:t>se  </w:t>
      </w:r>
      <w:r>
        <w:rPr/>
        <w:t>ven  vinculados  a  la  obesidad  y  al  sobrepeso; así mismo  existe  una  comorbilidad  entre  la  obesidad  y  la  diabetes pues  la  obesidad  es  un  predisponente  para  desarrollar  diabetes  tipo</w:t>
      </w:r>
      <w:r>
        <w:rPr>
          <w:spacing w:val="34"/>
        </w:rPr>
        <w:t> </w:t>
      </w:r>
      <w:r>
        <w:rPr/>
        <w:t>2.</w:t>
      </w:r>
    </w:p>
    <w:p>
      <w:pPr>
        <w:pStyle w:val="BodyText"/>
      </w:pPr>
    </w:p>
    <w:p>
      <w:pPr>
        <w:spacing w:line="360" w:lineRule="auto" w:before="139"/>
        <w:ind w:left="116" w:right="112" w:firstLine="0"/>
        <w:jc w:val="both"/>
        <w:rPr>
          <w:sz w:val="24"/>
        </w:rPr>
      </w:pPr>
      <w:r>
        <w:rPr>
          <w:sz w:val="24"/>
        </w:rPr>
        <w:t>El objetivo del presente  estudio  fue  buscar  la  relación  entre  la  calidad  de  vida  y los hábitos de vida en  pacientes  diabéticos  y  con  obesidad  o  sobrepeso.  Se  realizó la aplicación de dos instrumentos: </w:t>
      </w:r>
      <w:r>
        <w:rPr>
          <w:i/>
          <w:sz w:val="24"/>
        </w:rPr>
        <w:t>“Cuestionario para la valoración y </w:t>
      </w:r>
      <w:r>
        <w:rPr>
          <w:i/>
          <w:sz w:val="24"/>
        </w:rPr>
        <w:t>cuantificación de  los  hábitos  de  vida  relacionados  con  el  sobrepeso  y  la  obesidad” </w:t>
      </w:r>
      <w:r>
        <w:rPr>
          <w:sz w:val="24"/>
        </w:rPr>
        <w:t>que mide hábitos de vida, es de origen español, creado por Pardo, Ruiz, Jódar, Garrido,  </w:t>
      </w:r>
      <w:r>
        <w:rPr>
          <w:spacing w:val="-3"/>
          <w:sz w:val="24"/>
        </w:rPr>
        <w:t>De  </w:t>
      </w:r>
      <w:r>
        <w:rPr>
          <w:sz w:val="24"/>
        </w:rPr>
        <w:t>Rosendo  y  Usán  (2004).  Y  otro  </w:t>
      </w:r>
      <w:r>
        <w:rPr>
          <w:i/>
          <w:sz w:val="24"/>
        </w:rPr>
        <w:t>“Diabetes  39”  </w:t>
      </w:r>
      <w:r>
        <w:rPr>
          <w:sz w:val="24"/>
        </w:rPr>
        <w:t>que  mide calidad de vida, creado por Boyer y </w:t>
      </w:r>
      <w:r>
        <w:rPr>
          <w:spacing w:val="-3"/>
          <w:sz w:val="24"/>
        </w:rPr>
        <w:t>Earp </w:t>
      </w:r>
      <w:r>
        <w:rPr>
          <w:sz w:val="24"/>
        </w:rPr>
        <w:t>(1997). Ambos instrumentos han sido  validados  en  población</w:t>
      </w:r>
      <w:r>
        <w:rPr>
          <w:spacing w:val="52"/>
          <w:sz w:val="24"/>
        </w:rPr>
        <w:t> </w:t>
      </w:r>
      <w:r>
        <w:rPr>
          <w:sz w:val="24"/>
        </w:rPr>
        <w:t>mexicana.</w:t>
      </w:r>
    </w:p>
    <w:p>
      <w:pPr>
        <w:pStyle w:val="BodyText"/>
      </w:pPr>
    </w:p>
    <w:p>
      <w:pPr>
        <w:pStyle w:val="BodyText"/>
        <w:spacing w:line="360" w:lineRule="auto" w:before="144"/>
        <w:ind w:left="116" w:right="114"/>
        <w:jc w:val="both"/>
      </w:pPr>
      <w:r>
        <w:rPr/>
        <w:t>El tipo de muestra fue no probabilística intencional, los participantes fueron  97  pacientes con diabetes  tipo  2  diagnosticada  y  con  obesidad  o  sobrepeso  dentro  de la Unidad  de  Atención  al  Diabético,  ubicada  en  San  Gaspar  Tlalhuelilpan,  en  el  municipio  de  Metepec,  en  el  Estado  de</w:t>
      </w:r>
      <w:r>
        <w:rPr>
          <w:spacing w:val="51"/>
        </w:rPr>
        <w:t> </w:t>
      </w:r>
      <w:r>
        <w:rPr/>
        <w:t>México.</w:t>
      </w:r>
    </w:p>
    <w:p>
      <w:pPr>
        <w:pStyle w:val="BodyText"/>
      </w:pPr>
    </w:p>
    <w:p>
      <w:pPr>
        <w:pStyle w:val="BodyText"/>
        <w:spacing w:line="360" w:lineRule="auto" w:before="145"/>
        <w:ind w:left="116" w:right="110"/>
        <w:jc w:val="both"/>
      </w:pPr>
      <w:r>
        <w:rPr/>
        <w:t>Para el análisis de la información se usó el programa estadístico SPSS  v19,  obteniendo estadísticos descriptivos </w:t>
      </w:r>
      <w:r>
        <w:rPr>
          <w:spacing w:val="-3"/>
        </w:rPr>
        <w:t>como </w:t>
      </w:r>
      <w:r>
        <w:rPr/>
        <w:t>frecuencias porcentajes, medias y desviaciones estándar, así como estadísticos de tipo inferencial paramétricos, específicamente r de  Pearson  y  t  de  student  para  muestras  relacionadas,  probando  la  hipótesis  a  un   nivel  de  significancia  ≤</w:t>
      </w:r>
      <w:r>
        <w:rPr>
          <w:spacing w:val="-14"/>
        </w:rPr>
        <w:t> </w:t>
      </w:r>
      <w:r>
        <w:rPr/>
        <w:t>.05.</w:t>
      </w:r>
    </w:p>
    <w:p>
      <w:pPr>
        <w:pStyle w:val="BodyText"/>
      </w:pPr>
    </w:p>
    <w:p>
      <w:pPr>
        <w:pStyle w:val="BodyText"/>
        <w:spacing w:line="360" w:lineRule="auto" w:before="140"/>
        <w:ind w:left="116" w:right="126"/>
        <w:jc w:val="both"/>
      </w:pPr>
      <w:r>
        <w:rPr/>
        <w:t>La edad de los pacientes fluctuó entre 25 a 85  años,  dentro  de  la  muestra predominan las mujeres con  una  frecuencia  de  66  y  una  frecuencia  de  31  para  los</w:t>
      </w:r>
      <w:r>
        <w:rPr>
          <w:spacing w:val="59"/>
        </w:rPr>
        <w:t> </w:t>
      </w:r>
      <w:r>
        <w:rPr/>
        <w:t>hombres.</w:t>
      </w:r>
    </w:p>
    <w:p>
      <w:pPr>
        <w:spacing w:after="0" w:line="360" w:lineRule="auto"/>
        <w:jc w:val="both"/>
        <w:sectPr>
          <w:headerReference w:type="default" r:id="rId8"/>
          <w:pgSz w:w="12240" w:h="15840"/>
          <w:pgMar w:header="729" w:footer="0" w:top="960" w:bottom="280" w:left="1300" w:right="1300"/>
          <w:pgNumType w:start="7"/>
        </w:sectPr>
      </w:pPr>
    </w:p>
    <w:p>
      <w:pPr>
        <w:pStyle w:val="BodyText"/>
        <w:rPr>
          <w:sz w:val="20"/>
        </w:rPr>
      </w:pPr>
    </w:p>
    <w:p>
      <w:pPr>
        <w:pStyle w:val="BodyText"/>
        <w:rPr>
          <w:sz w:val="20"/>
        </w:rPr>
      </w:pPr>
    </w:p>
    <w:p>
      <w:pPr>
        <w:pStyle w:val="BodyText"/>
        <w:spacing w:before="9"/>
        <w:rPr>
          <w:sz w:val="28"/>
        </w:rPr>
      </w:pPr>
    </w:p>
    <w:p>
      <w:pPr>
        <w:pStyle w:val="BodyText"/>
        <w:spacing w:line="360" w:lineRule="auto" w:before="70"/>
        <w:ind w:left="116" w:right="111"/>
        <w:jc w:val="both"/>
      </w:pPr>
      <w:r>
        <w:rPr/>
        <w:t>Los resultados muestran una  correlación  negativa  baja  entre  las  variables  calidad de vida  y  hábitos  de  vida.  Además se  realizó un análisis comparativo con  respecto  a la calidad  de  vida  (CV)  y  la  calidad  de  vida  percibida  (CVP)  existiendo diferencia  entre  estas</w:t>
      </w:r>
      <w:r>
        <w:rPr>
          <w:spacing w:val="57"/>
        </w:rPr>
        <w:t> </w:t>
      </w:r>
      <w:r>
        <w:rPr/>
        <w:t>variables.</w:t>
      </w:r>
    </w:p>
    <w:p>
      <w:pPr>
        <w:pStyle w:val="BodyText"/>
      </w:pPr>
    </w:p>
    <w:p>
      <w:pPr>
        <w:pStyle w:val="BodyText"/>
        <w:spacing w:line="360" w:lineRule="auto" w:before="144"/>
        <w:ind w:left="116" w:right="111"/>
        <w:jc w:val="both"/>
      </w:pPr>
      <w:r>
        <w:rPr/>
        <w:t>Lo que permite concluir que los hábitos  de  vida  no  están  completamente  relacionados a la  calidad  de  vida,  sobre  todo  porque  la  calidad  de  vida  medida  es  diferente  a  la  calidad  de  vida</w:t>
      </w:r>
      <w:r>
        <w:rPr>
          <w:spacing w:val="53"/>
        </w:rPr>
        <w:t> </w:t>
      </w:r>
      <w:r>
        <w:rPr/>
        <w:t>percibida.</w:t>
      </w:r>
    </w:p>
    <w:p>
      <w:pPr>
        <w:spacing w:after="0" w:line="360" w:lineRule="auto"/>
        <w:jc w:val="both"/>
        <w:sectPr>
          <w:pgSz w:w="12240" w:h="15840"/>
          <w:pgMar w:header="729" w:footer="0" w:top="960" w:bottom="280" w:left="1300" w:right="1300"/>
        </w:sectPr>
      </w:pPr>
    </w:p>
    <w:p>
      <w:pPr>
        <w:pStyle w:val="BodyText"/>
        <w:rPr>
          <w:sz w:val="20"/>
        </w:rPr>
      </w:pPr>
    </w:p>
    <w:p>
      <w:pPr>
        <w:pStyle w:val="Heading1"/>
        <w:spacing w:before="208"/>
        <w:ind w:left="116"/>
      </w:pPr>
      <w:r>
        <w:rPr/>
        <w:t>PRESENTACIÓN</w:t>
      </w:r>
    </w:p>
    <w:p>
      <w:pPr>
        <w:pStyle w:val="BodyText"/>
        <w:rPr>
          <w:b/>
        </w:rPr>
      </w:pPr>
    </w:p>
    <w:p>
      <w:pPr>
        <w:pStyle w:val="BodyText"/>
        <w:spacing w:before="7"/>
        <w:rPr>
          <w:b/>
        </w:rPr>
      </w:pPr>
    </w:p>
    <w:p>
      <w:pPr>
        <w:pStyle w:val="BodyText"/>
        <w:spacing w:line="360" w:lineRule="auto" w:before="1"/>
        <w:ind w:left="116" w:right="110"/>
        <w:jc w:val="both"/>
      </w:pPr>
      <w:r>
        <w:rPr/>
        <w:t>El sobrepeso, la obesidad y la diabetes son enfermedades que están en notable crecimiento dentro de la población mexicana, </w:t>
      </w:r>
      <w:r>
        <w:rPr>
          <w:spacing w:val="-2"/>
        </w:rPr>
        <w:t>además </w:t>
      </w:r>
      <w:r>
        <w:rPr/>
        <w:t>la alimentación, la falta de actividad física  son  impulsores  para  que  se  desarrollen;  es  por  ello  que  la presente investigación se centró en pacientes diabéticos con sobrepeso  u  obesidad con la finalidad  de  buscar  la relación  entre  los  hábitos  de  vida  y  la  calidad  de  vida  de  ésta</w:t>
      </w:r>
      <w:r>
        <w:rPr>
          <w:spacing w:val="60"/>
        </w:rPr>
        <w:t> </w:t>
      </w:r>
      <w:r>
        <w:rPr/>
        <w:t>población.</w:t>
      </w:r>
    </w:p>
    <w:p>
      <w:pPr>
        <w:pStyle w:val="BodyText"/>
      </w:pPr>
    </w:p>
    <w:p>
      <w:pPr>
        <w:pStyle w:val="BodyText"/>
        <w:spacing w:line="360" w:lineRule="auto" w:before="144"/>
        <w:ind w:left="116" w:right="113"/>
        <w:jc w:val="both"/>
      </w:pPr>
      <w:r>
        <w:rPr/>
        <w:t>Cuenta con  dos  capítulos,  en  el  primero  se  describen  los  conceptos  de  sobrepeso y  obesidad  así  como  de  diabetes,  además  se  realiza  la  clasificación  de los  tipos  de  diabetes  de acuerdo  a  organismos  internacionales  como  la  OMS  y la FID  y  la  clasificación  de  obesidad  de  acuerdo  a  las  Normas  Mexicanas  y  a la OMS. También se agregó una descripción del panorama de la diabetes,  el  sobrepeso  y  la  obesidad  en  México  como  un  problema</w:t>
      </w:r>
      <w:r>
        <w:rPr>
          <w:spacing w:val="40"/>
        </w:rPr>
        <w:t> </w:t>
      </w:r>
      <w:r>
        <w:rPr/>
        <w:t>social.</w:t>
      </w:r>
    </w:p>
    <w:p>
      <w:pPr>
        <w:pStyle w:val="BodyText"/>
      </w:pPr>
    </w:p>
    <w:p>
      <w:pPr>
        <w:pStyle w:val="BodyText"/>
        <w:spacing w:line="360" w:lineRule="auto" w:before="139"/>
        <w:ind w:left="116" w:right="117"/>
        <w:jc w:val="both"/>
      </w:pPr>
      <w:r>
        <w:rPr/>
        <w:t>El segundo  capítulo  cuenta  con  los  conceptos  de  calidad  de  vida  y  los  hábitos  de vida, </w:t>
      </w:r>
      <w:r>
        <w:rPr>
          <w:spacing w:val="-2"/>
        </w:rPr>
        <w:t>además </w:t>
      </w:r>
      <w:r>
        <w:rPr/>
        <w:t>se refieren los indicadores de  la  calidad  de vida,  </w:t>
      </w:r>
      <w:r>
        <w:rPr>
          <w:spacing w:val="-3"/>
        </w:rPr>
        <w:t>se  </w:t>
      </w:r>
      <w:r>
        <w:rPr/>
        <w:t>incluyó  la  teoría de Dorotea Orem como parte de  la  calidad  de  vida  de  las  personas  enfermas. Por último se realizó una descripción  de  la relación  entre  la  calidad  de vida  y  los  hábitos  de  vida  de  los  pacientes  diabéticos  con  sobrepeso  u  obesidad.</w:t>
      </w:r>
    </w:p>
    <w:p>
      <w:pPr>
        <w:pStyle w:val="BodyText"/>
      </w:pPr>
    </w:p>
    <w:p>
      <w:pPr>
        <w:pStyle w:val="BodyText"/>
        <w:spacing w:line="360" w:lineRule="auto" w:before="139"/>
        <w:ind w:left="116" w:right="123"/>
        <w:jc w:val="both"/>
      </w:pPr>
      <w:r>
        <w:rPr/>
        <w:t>En los apartados siguientes se menciona  la  metodología  que  se  usó  para  desarrollar este estudio, como el tipo de investigación  que  fue  correlacional  y  de corte cuantitativo, los instrumentos que se aplicaron, la definición conceptual y operacional  de  las  variables,  el  planteamiento  de  la  hipótesis,  además  del  tipo   de</w:t>
      </w:r>
      <w:r>
        <w:rPr>
          <w:spacing w:val="60"/>
        </w:rPr>
        <w:t> </w:t>
      </w:r>
      <w:r>
        <w:rPr/>
        <w:t>muestra.</w:t>
      </w:r>
    </w:p>
    <w:p>
      <w:pPr>
        <w:pStyle w:val="BodyText"/>
      </w:pPr>
    </w:p>
    <w:p>
      <w:pPr>
        <w:pStyle w:val="BodyText"/>
        <w:spacing w:line="362" w:lineRule="auto" w:before="140"/>
        <w:ind w:left="116" w:right="126"/>
        <w:jc w:val="both"/>
      </w:pPr>
      <w:r>
        <w:rPr/>
        <w:t>Posteriormente  se  presentan  los  resultados  de  correlación  entre  las   variables  para  toda  la  población  y  por  sexo.   Se  muestran   el   análisis  de  los    </w:t>
      </w:r>
      <w:r>
        <w:rPr>
          <w:spacing w:val="4"/>
        </w:rPr>
        <w:t> </w:t>
      </w:r>
      <w:r>
        <w:rPr/>
        <w:t>resultados,</w:t>
      </w:r>
    </w:p>
    <w:p>
      <w:pPr>
        <w:spacing w:after="0" w:line="362"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212"/>
      </w:pPr>
      <w:r>
        <w:rPr/>
        <w:t>así como las conclusiones  y  algunas  sugerencias  para  investigaciones  futuras,  como  realizar  otros  análisis  con  los  datos  que  se</w:t>
      </w:r>
      <w:r>
        <w:rPr>
          <w:spacing w:val="37"/>
        </w:rPr>
        <w:t> </w:t>
      </w:r>
      <w:r>
        <w:rPr/>
        <w:t>obtuvieron.</w:t>
      </w:r>
    </w:p>
    <w:p>
      <w:pPr>
        <w:spacing w:after="0" w:line="362" w:lineRule="auto"/>
        <w:sectPr>
          <w:pgSz w:w="12240" w:h="15840"/>
          <w:pgMar w:header="729" w:footer="0" w:top="960" w:bottom="280" w:left="1300" w:right="1300"/>
        </w:sectPr>
      </w:pPr>
    </w:p>
    <w:p>
      <w:pPr>
        <w:pStyle w:val="BodyText"/>
        <w:rPr>
          <w:sz w:val="20"/>
        </w:rPr>
      </w:pPr>
    </w:p>
    <w:p>
      <w:pPr>
        <w:pStyle w:val="Heading1"/>
        <w:spacing w:before="208"/>
        <w:ind w:left="116"/>
      </w:pPr>
      <w:r>
        <w:rPr/>
        <w:t>INTRODUCCIÓN</w:t>
      </w:r>
    </w:p>
    <w:p>
      <w:pPr>
        <w:pStyle w:val="BodyText"/>
        <w:rPr>
          <w:b/>
        </w:rPr>
      </w:pPr>
    </w:p>
    <w:p>
      <w:pPr>
        <w:pStyle w:val="BodyText"/>
        <w:spacing w:before="7"/>
        <w:rPr>
          <w:b/>
        </w:rPr>
      </w:pPr>
    </w:p>
    <w:p>
      <w:pPr>
        <w:pStyle w:val="BodyText"/>
        <w:spacing w:line="360" w:lineRule="auto" w:before="1"/>
        <w:ind w:left="116" w:right="115"/>
        <w:jc w:val="both"/>
      </w:pPr>
      <w:r>
        <w:rPr/>
        <w:t>Las enfermedades crónicas son enfermedades de larga duración  y de progresión  lenta. Hablar de enfermedades crónicas es igual que hablar de enfermedades no transmisibles, ya que éstas no se transmiten de persona en persona. Hay cuatro tipos de enfermedades no transmisibles y son las enfermedades cardiovasculares, el cáncer, enfermedades respiratorias crónicas y la diabetes, (OMS, 2015a; OMS,</w:t>
      </w:r>
      <w:r>
        <w:rPr>
          <w:spacing w:val="-24"/>
        </w:rPr>
        <w:t> </w:t>
      </w:r>
      <w:r>
        <w:rPr/>
        <w:t>2016).</w:t>
      </w:r>
    </w:p>
    <w:p>
      <w:pPr>
        <w:pStyle w:val="BodyText"/>
      </w:pPr>
    </w:p>
    <w:p>
      <w:pPr>
        <w:pStyle w:val="BodyText"/>
        <w:spacing w:line="360" w:lineRule="auto" w:before="139"/>
        <w:ind w:left="116" w:right="110"/>
        <w:jc w:val="both"/>
      </w:pPr>
      <w:r>
        <w:rPr/>
        <w:t>Organismos internacionales  mencionan  que  el  cambio  en  los  hábitos  alimentarios  y  en  el  estilo  de  vida  de  las  personas  han  hecho  que  las   enfermedades  crónicas no transmisibles (incluidas la  obesidad,  la  diabetes  tipo  2,  las enfermedades cardiovasculares,  la  hipertensión  y  los  accidentes  cerebrovasculares y  algunos  tipos  de  cáncer)  sean  causa  de  discapacidad  y  muerte  prematura  tanto en países en  desarrollo  como  en  vías  de  desarrollo  y  suponen  cargas  en  los  presupuestos  sanitarios  ya  sobrecargados  (OMS  y  FAO,</w:t>
      </w:r>
      <w:r>
        <w:rPr>
          <w:spacing w:val="52"/>
        </w:rPr>
        <w:t> </w:t>
      </w:r>
      <w:r>
        <w:rPr/>
        <w:t>2003).</w:t>
      </w:r>
    </w:p>
    <w:p>
      <w:pPr>
        <w:pStyle w:val="BodyText"/>
      </w:pPr>
    </w:p>
    <w:p>
      <w:pPr>
        <w:pStyle w:val="BodyText"/>
        <w:spacing w:line="360" w:lineRule="auto" w:before="139"/>
        <w:ind w:left="116" w:right="109"/>
        <w:jc w:val="both"/>
      </w:pPr>
      <w:r>
        <w:rPr/>
        <w:t>En México, por ejemplo, dentro de la Encuesta Nacional de Salud y Nutrición (ENSANUT, 2012), </w:t>
      </w:r>
      <w:r>
        <w:rPr>
          <w:spacing w:val="-3"/>
        </w:rPr>
        <w:t>se </w:t>
      </w:r>
      <w:r>
        <w:rPr/>
        <w:t>muestra  que  la  diabetes  y  la  obesidad  van  en  aumento  y  se estima que para 2020 el porcentaje haya  aumentado  considerablemente  basándose  en  el  diagnóstico  médico  previo  de</w:t>
      </w:r>
      <w:r>
        <w:rPr>
          <w:spacing w:val="50"/>
        </w:rPr>
        <w:t> </w:t>
      </w:r>
      <w:r>
        <w:rPr/>
        <w:t>diabetes.</w:t>
      </w:r>
    </w:p>
    <w:p>
      <w:pPr>
        <w:pStyle w:val="BodyText"/>
      </w:pPr>
    </w:p>
    <w:p>
      <w:pPr>
        <w:pStyle w:val="BodyText"/>
        <w:spacing w:line="360" w:lineRule="auto" w:before="145"/>
        <w:ind w:left="116" w:right="111"/>
        <w:jc w:val="both"/>
      </w:pPr>
      <w:r>
        <w:rPr/>
        <w:t>De  acuerdo  con  la  Organización  Mundial  de  la  Salud  (OMS,  2003),  existen riesgos para contraer enfermedades crónicas, tales riesgos incluyen factores conductuales (como  el  régimen  alimentario,  inactividad  física,  consumo  de  tabaco  y consumo de alcohol),  factores  biológicos  como  dislipidemia,  hipertensión, sobrepeso  e  hiperinsulinemia)  y  factores  sociales  que  incluyen el  entorno  en  el que se desenvuelven las personas, como  la  cultura,  los  parámetros  socioeconómicos,  entre</w:t>
      </w:r>
      <w:r>
        <w:rPr>
          <w:spacing w:val="60"/>
        </w:rPr>
        <w:t> </w:t>
      </w:r>
      <w:r>
        <w:rPr/>
        <w:t>otros.</w:t>
      </w:r>
    </w:p>
    <w:p>
      <w:pPr>
        <w:pStyle w:val="BodyText"/>
      </w:pPr>
    </w:p>
    <w:p>
      <w:pPr>
        <w:pStyle w:val="BodyText"/>
        <w:spacing w:line="362" w:lineRule="auto" w:before="140"/>
        <w:ind w:left="116" w:right="111"/>
        <w:jc w:val="both"/>
      </w:pPr>
      <w:r>
        <w:rPr/>
        <w:t>Con respecto a esto Guzmán, Castillo y García  (2010),  describen  que  en  </w:t>
      </w:r>
      <w:r>
        <w:rPr>
          <w:spacing w:val="-4"/>
        </w:rPr>
        <w:t>el</w:t>
      </w:r>
      <w:r>
        <w:rPr>
          <w:spacing w:val="58"/>
        </w:rPr>
        <w:t> </w:t>
      </w:r>
      <w:r>
        <w:rPr/>
        <w:t>desarrollo   de   una   enfermedad   la   persona   debe   de   estar   expuesto   al</w:t>
      </w:r>
      <w:r>
        <w:rPr>
          <w:spacing w:val="26"/>
        </w:rPr>
        <w:t> </w:t>
      </w:r>
      <w:r>
        <w:rPr/>
        <w:t>agente</w:t>
      </w:r>
    </w:p>
    <w:p>
      <w:pPr>
        <w:spacing w:after="0" w:line="362"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116" w:right="106"/>
        <w:jc w:val="both"/>
      </w:pPr>
      <w:r>
        <w:rPr/>
        <w:t>patogénico y para que </w:t>
      </w:r>
      <w:r>
        <w:rPr>
          <w:spacing w:val="-3"/>
        </w:rPr>
        <w:t>se </w:t>
      </w:r>
      <w:r>
        <w:rPr/>
        <w:t>desarrolle la enfermedad depende del grado  de  vulnerabilidad a la que se expone el sujeto. Al asociarse con  la  obesidad  se  relacionan los hábitos de salud (como la dieta, el consumo tabaco y  alcohol,  </w:t>
      </w:r>
      <w:r>
        <w:rPr>
          <w:spacing w:val="4"/>
        </w:rPr>
        <w:t>la  </w:t>
      </w:r>
      <w:r>
        <w:rPr/>
        <w:t>práctica deportiva  y  las  horas  de  sueño,  etc.),  el  ajuste  psicológico  (los  niveles  de  estrés)  y  lo  social  </w:t>
      </w:r>
      <w:r>
        <w:rPr>
          <w:spacing w:val="-3"/>
        </w:rPr>
        <w:t>(como  </w:t>
      </w:r>
      <w:r>
        <w:rPr/>
        <w:t>el  apoyo  de  la  familia)  de  cada  individuo.</w:t>
      </w:r>
    </w:p>
    <w:p>
      <w:pPr>
        <w:pStyle w:val="BodyText"/>
      </w:pPr>
    </w:p>
    <w:p>
      <w:pPr>
        <w:pStyle w:val="BodyText"/>
        <w:spacing w:line="360" w:lineRule="auto" w:before="144"/>
        <w:ind w:left="116" w:right="116"/>
        <w:jc w:val="both"/>
      </w:pPr>
      <w:r>
        <w:rPr/>
        <w:t>La obesidad y el sobrepeso son enfermedades multifactoriales, que están en crecimiento dentro de  la  población  mexicana, también  son  factores  determinantes  en la presencia de diabetes tipo 2, es importante conocer </w:t>
      </w:r>
      <w:r>
        <w:rPr>
          <w:spacing w:val="-3"/>
        </w:rPr>
        <w:t>si </w:t>
      </w:r>
      <w:r>
        <w:rPr/>
        <w:t>estas  enfermedades afectan la calidad de vida de las personas que las padecen en  relación  con  sus hábitos  de</w:t>
      </w:r>
      <w:r>
        <w:rPr>
          <w:spacing w:val="64"/>
        </w:rPr>
        <w:t> </w:t>
      </w:r>
      <w:r>
        <w:rPr/>
        <w:t>vida.</w:t>
      </w:r>
    </w:p>
    <w:p>
      <w:pPr>
        <w:pStyle w:val="BodyText"/>
      </w:pPr>
    </w:p>
    <w:p>
      <w:pPr>
        <w:pStyle w:val="BodyText"/>
        <w:spacing w:line="362" w:lineRule="auto" w:before="139"/>
        <w:ind w:left="116" w:right="121"/>
        <w:jc w:val="both"/>
      </w:pPr>
      <w:r>
        <w:rPr/>
        <w:t>Es por ello que esta investigación tuvo </w:t>
      </w:r>
      <w:r>
        <w:rPr>
          <w:spacing w:val="-4"/>
        </w:rPr>
        <w:t>como  </w:t>
      </w:r>
      <w:r>
        <w:rPr/>
        <w:t>objetivo  encontrar  la  relación  que  tienen  los  hábitos  de  vida  con  la  calidad  de  vida  de  personas  con  diabetes  </w:t>
      </w:r>
      <w:r>
        <w:rPr>
          <w:spacing w:val="13"/>
        </w:rPr>
        <w:t> </w:t>
      </w:r>
      <w:r>
        <w:rPr/>
        <w:t>tipo</w:t>
      </w:r>
    </w:p>
    <w:p>
      <w:pPr>
        <w:pStyle w:val="BodyText"/>
        <w:ind w:left="116"/>
        <w:jc w:val="both"/>
      </w:pPr>
      <w:r>
        <w:rPr/>
        <w:t>2  y  que  presentan  sobrepeso  u obesidad.</w:t>
      </w:r>
    </w:p>
    <w:p>
      <w:pPr>
        <w:pStyle w:val="BodyText"/>
      </w:pPr>
    </w:p>
    <w:p>
      <w:pPr>
        <w:pStyle w:val="BodyText"/>
        <w:spacing w:before="9"/>
        <w:rPr>
          <w:sz w:val="23"/>
        </w:rPr>
      </w:pPr>
    </w:p>
    <w:p>
      <w:pPr>
        <w:pStyle w:val="BodyText"/>
        <w:spacing w:line="362" w:lineRule="auto"/>
        <w:ind w:left="116" w:right="117"/>
        <w:jc w:val="both"/>
      </w:pPr>
      <w:r>
        <w:rPr/>
        <w:t>Con esto pretende generar nuevos conocimientos sobre esta relación en las enfermedades ya mencionadas  y  </w:t>
      </w:r>
      <w:r>
        <w:rPr>
          <w:spacing w:val="4"/>
        </w:rPr>
        <w:t>de  </w:t>
      </w:r>
      <w:r>
        <w:rPr/>
        <w:t>ésta  forma  podrá  ser  un  nuevo  referente  para  investigaciones</w:t>
      </w:r>
      <w:r>
        <w:rPr>
          <w:spacing w:val="53"/>
        </w:rPr>
        <w:t> </w:t>
      </w:r>
      <w:r>
        <w:rPr/>
        <w:t>futuras.</w:t>
      </w:r>
    </w:p>
    <w:p>
      <w:pPr>
        <w:spacing w:after="0" w:line="362" w:lineRule="auto"/>
        <w:jc w:val="both"/>
        <w:sectPr>
          <w:pgSz w:w="12240" w:h="15840"/>
          <w:pgMar w:header="729" w:footer="0" w:top="960" w:bottom="280" w:left="1300" w:right="1300"/>
        </w:sectPr>
      </w:pPr>
    </w:p>
    <w:p>
      <w:pPr>
        <w:pStyle w:val="BodyText"/>
        <w:rPr>
          <w:sz w:val="20"/>
        </w:rPr>
      </w:pPr>
    </w:p>
    <w:p>
      <w:pPr>
        <w:pStyle w:val="Heading1"/>
        <w:spacing w:before="208"/>
        <w:ind w:left="1725" w:right="212"/>
        <w:jc w:val="left"/>
      </w:pPr>
      <w:r>
        <w:rPr/>
        <w:t>CAPÍTULO </w:t>
      </w:r>
      <w:r>
        <w:rPr>
          <w:spacing w:val="-3"/>
        </w:rPr>
        <w:t>I.  </w:t>
      </w:r>
      <w:r>
        <w:rPr/>
        <w:t>DIABETES,  OBESIDAD  Y</w:t>
      </w:r>
      <w:r>
        <w:rPr>
          <w:spacing w:val="55"/>
        </w:rPr>
        <w:t> </w:t>
      </w:r>
      <w:r>
        <w:rPr/>
        <w:t>SOBREPESO</w:t>
      </w:r>
    </w:p>
    <w:p>
      <w:pPr>
        <w:pStyle w:val="BodyText"/>
        <w:rPr>
          <w:b/>
        </w:rPr>
      </w:pPr>
    </w:p>
    <w:p>
      <w:pPr>
        <w:pStyle w:val="BodyText"/>
        <w:spacing w:before="7"/>
        <w:rPr>
          <w:b/>
        </w:rPr>
      </w:pPr>
    </w:p>
    <w:p>
      <w:pPr>
        <w:pStyle w:val="BodyText"/>
        <w:spacing w:line="360" w:lineRule="auto" w:before="1"/>
        <w:ind w:left="116" w:right="121"/>
        <w:jc w:val="both"/>
      </w:pPr>
      <w:r>
        <w:rPr/>
        <w:t>La diabetes, la obesidad y el sobrepeso  son  problemas  de  salud  pública  que  afectan a gran parte de la población mexicana. En este capítulo se abordan los conceptos de diabetes, obesidad y de sobrepeso, así como  los  distintos  tipos  de estas  enfermedades</w:t>
      </w:r>
      <w:r>
        <w:rPr>
          <w:spacing w:val="61"/>
        </w:rPr>
        <w:t> </w:t>
      </w:r>
      <w:r>
        <w:rPr/>
        <w:t>crónicas.</w:t>
      </w:r>
    </w:p>
    <w:p>
      <w:pPr>
        <w:pStyle w:val="BodyText"/>
      </w:pPr>
    </w:p>
    <w:p>
      <w:pPr>
        <w:pStyle w:val="BodyText"/>
        <w:spacing w:line="360" w:lineRule="auto" w:before="140"/>
        <w:ind w:left="116" w:right="115"/>
        <w:jc w:val="both"/>
      </w:pPr>
      <w:r>
        <w:rPr/>
        <w:t>De igual </w:t>
      </w:r>
      <w:r>
        <w:rPr>
          <w:spacing w:val="-3"/>
        </w:rPr>
        <w:t>forma </w:t>
      </w:r>
      <w:r>
        <w:rPr/>
        <w:t>se integran las causas que las generan y los factores  de  riesgo  latentes dentro de la población mencionados por distintos autores en sus investigaciones y de organizaciones a nivel internacional como la  Organización  Mundial  de  la  Salud  (OMS)  y  la  Federación  Internacional   de  la  Diabetes</w:t>
      </w:r>
      <w:r>
        <w:rPr>
          <w:spacing w:val="27"/>
        </w:rPr>
        <w:t> </w:t>
      </w:r>
      <w:r>
        <w:rPr/>
        <w:t>(FID).</w:t>
      </w:r>
    </w:p>
    <w:p>
      <w:pPr>
        <w:pStyle w:val="BodyText"/>
      </w:pPr>
    </w:p>
    <w:p>
      <w:pPr>
        <w:pStyle w:val="BodyText"/>
        <w:spacing w:line="362" w:lineRule="auto" w:before="139"/>
        <w:ind w:left="116" w:right="118"/>
        <w:jc w:val="both"/>
      </w:pPr>
      <w:r>
        <w:rPr/>
        <w:t>Además se incluyen los distintos índices que  son  de  ayuda  para  calcular  la  obesidad y el sobrepeso como le índice  de  Masa  Corporal  (OMS)  y  el  índice  Cintura  Cadera</w:t>
      </w:r>
      <w:r>
        <w:rPr>
          <w:spacing w:val="61"/>
        </w:rPr>
        <w:t> </w:t>
      </w:r>
      <w:r>
        <w:rPr/>
        <w:t>(ICC).</w:t>
      </w:r>
    </w:p>
    <w:p>
      <w:pPr>
        <w:pStyle w:val="BodyText"/>
        <w:spacing w:before="5"/>
        <w:rPr>
          <w:sz w:val="35"/>
        </w:rPr>
      </w:pPr>
    </w:p>
    <w:p>
      <w:pPr>
        <w:pStyle w:val="Heading1"/>
        <w:numPr>
          <w:ilvl w:val="1"/>
          <w:numId w:val="4"/>
        </w:numPr>
        <w:tabs>
          <w:tab w:pos="519" w:val="left" w:leader="none"/>
        </w:tabs>
        <w:spacing w:line="240" w:lineRule="auto" w:before="0" w:after="0"/>
        <w:ind w:left="518" w:right="0" w:hanging="402"/>
        <w:jc w:val="both"/>
      </w:pPr>
      <w:r>
        <w:rPr/>
        <w:t>Concepto  de</w:t>
      </w:r>
      <w:r>
        <w:rPr>
          <w:spacing w:val="57"/>
        </w:rPr>
        <w:t> </w:t>
      </w:r>
      <w:r>
        <w:rPr/>
        <w:t>diabetes</w:t>
      </w:r>
    </w:p>
    <w:p>
      <w:pPr>
        <w:pStyle w:val="BodyText"/>
        <w:rPr>
          <w:b/>
        </w:rPr>
      </w:pPr>
    </w:p>
    <w:p>
      <w:pPr>
        <w:pStyle w:val="BodyText"/>
        <w:spacing w:before="7"/>
        <w:rPr>
          <w:b/>
        </w:rPr>
      </w:pPr>
    </w:p>
    <w:p>
      <w:pPr>
        <w:pStyle w:val="BodyText"/>
        <w:spacing w:line="360" w:lineRule="auto"/>
        <w:ind w:left="116" w:right="110"/>
        <w:jc w:val="both"/>
      </w:pPr>
      <w:r>
        <w:rPr/>
        <w:t>Desde 1999 la  Organización  Mundial  de  la  Salud  (OMS, 2014)  definía  a  la diabetes como  un  trastorno  metabólico  que  tiene  causas  diversas;  caracterizándose por una  hiperglucemia  crónica  y  trastornos  del  metabolismo  de  los  carbohidratos,  las  grasas  y  las  proteínas  como  consecuencia  de  las  anomalías de la secreción  o  del  efecto  de  la  insulina.  Con  el  tiempo  la  enfermedad  puede  causar  daños,  disfunción  e  insuficiencia   de  diversos</w:t>
      </w:r>
      <w:r>
        <w:rPr>
          <w:spacing w:val="28"/>
        </w:rPr>
        <w:t> </w:t>
      </w:r>
      <w:r>
        <w:rPr/>
        <w:t>órganos.</w:t>
      </w:r>
    </w:p>
    <w:p>
      <w:pPr>
        <w:pStyle w:val="BodyText"/>
      </w:pPr>
    </w:p>
    <w:p>
      <w:pPr>
        <w:pStyle w:val="BodyText"/>
        <w:spacing w:line="360" w:lineRule="auto" w:before="140"/>
        <w:ind w:left="116" w:right="114"/>
        <w:jc w:val="both"/>
      </w:pPr>
      <w:r>
        <w:rPr/>
        <w:t>De acuerdo a la Federación Internacional de Diabetes (FID, 2013) la diabetes es definida como una enfermedad crónica que involucra un grupo heterogéneo de desórdenes  que  alteran  la  producción  y  utilización  de  la  insulina  por   el organismo.</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216" w:right="118"/>
        <w:jc w:val="both"/>
      </w:pPr>
      <w:r>
        <w:rPr/>
        <w:t>Posteriormente la OMS  (2015b),  menciona  que  esta  enfermedad  aparece  cuando  el páncreas no produce insulina suficiente o cuando el organismo no  utiliza  eficazmente la insulina que produce. La insulina es una  hormona  que  regula  el  azúcar en la sangre. </w:t>
      </w:r>
      <w:r>
        <w:rPr>
          <w:spacing w:val="-4"/>
        </w:rPr>
        <w:t>El </w:t>
      </w:r>
      <w:r>
        <w:rPr/>
        <w:t>efecto de la diabetes no controlada es la hiperglucemia (aumento del azúcar en la sangre), que con el tiempo daña gravemente muchos órganos  y  sistemas,  especialmente  los  nervios  y  los  vasos</w:t>
      </w:r>
      <w:r>
        <w:rPr>
          <w:spacing w:val="44"/>
        </w:rPr>
        <w:t> </w:t>
      </w:r>
      <w:r>
        <w:rPr/>
        <w:t>sanguíneos.</w:t>
      </w:r>
    </w:p>
    <w:p>
      <w:pPr>
        <w:pStyle w:val="BodyText"/>
      </w:pPr>
    </w:p>
    <w:p>
      <w:pPr>
        <w:pStyle w:val="BodyText"/>
        <w:spacing w:line="360" w:lineRule="auto" w:before="140"/>
        <w:ind w:left="216" w:right="118"/>
        <w:jc w:val="both"/>
      </w:pPr>
      <w:r>
        <w:rPr/>
        <w:t>Lo que  permite  observar  que  efectivamente  la  diabetes  es  una  enfermedad crónica que se caracteriza por  la  modificación  en  la  producción  y  uso  de  la  insulina en  el  organismo,  lo  cual  puede  causar  daños  en  los órganos y sistemas  de  quienes  la</w:t>
      </w:r>
      <w:r>
        <w:rPr>
          <w:spacing w:val="59"/>
        </w:rPr>
        <w:t> </w:t>
      </w:r>
      <w:r>
        <w:rPr/>
        <w:t>padecen.</w:t>
      </w:r>
    </w:p>
    <w:p>
      <w:pPr>
        <w:pStyle w:val="BodyText"/>
        <w:spacing w:before="8"/>
        <w:rPr>
          <w:sz w:val="35"/>
        </w:rPr>
      </w:pPr>
    </w:p>
    <w:p>
      <w:pPr>
        <w:pStyle w:val="Heading1"/>
        <w:ind w:left="216"/>
      </w:pPr>
      <w:r>
        <w:rPr/>
        <w:t>1.1.1   Clasificación  de  la diabetes</w:t>
      </w:r>
    </w:p>
    <w:p>
      <w:pPr>
        <w:pStyle w:val="BodyText"/>
        <w:rPr>
          <w:b/>
        </w:rPr>
      </w:pPr>
    </w:p>
    <w:p>
      <w:pPr>
        <w:pStyle w:val="BodyText"/>
        <w:spacing w:before="7"/>
        <w:rPr>
          <w:b/>
        </w:rPr>
      </w:pPr>
    </w:p>
    <w:p>
      <w:pPr>
        <w:pStyle w:val="BodyText"/>
        <w:spacing w:line="360" w:lineRule="auto"/>
        <w:ind w:left="216" w:right="119"/>
        <w:jc w:val="both"/>
      </w:pPr>
      <w:r>
        <w:rPr/>
        <w:t>Para la clasificación de la diabetes la Federación Internacional  de  Diabetes (FID,  2013) y la Organización Mundial de la Salud (OMS, 2015b) coinciden  al  hacer  mención  de  tres  tipos  de  diabetes (Tabla</w:t>
      </w:r>
      <w:r>
        <w:rPr>
          <w:spacing w:val="-17"/>
        </w:rPr>
        <w:t> </w:t>
      </w:r>
      <w:r>
        <w:rPr/>
        <w:t>1.)</w:t>
      </w:r>
    </w:p>
    <w:p>
      <w:pPr>
        <w:pStyle w:val="BodyText"/>
      </w:pPr>
    </w:p>
    <w:p>
      <w:pPr>
        <w:pStyle w:val="BodyText"/>
        <w:spacing w:before="144"/>
        <w:ind w:left="216"/>
        <w:jc w:val="both"/>
      </w:pPr>
      <w:r>
        <w:rPr/>
        <w:t>Tabla 1. Clasificación de</w:t>
      </w:r>
      <w:r>
        <w:rPr>
          <w:spacing w:val="61"/>
        </w:rPr>
        <w:t> </w:t>
      </w:r>
      <w:r>
        <w:rPr/>
        <w:t>Diabetes</w:t>
      </w:r>
    </w:p>
    <w:p>
      <w:pPr>
        <w:pStyle w:val="BodyText"/>
        <w:spacing w:before="3"/>
        <w:rPr>
          <w:sz w:val="12"/>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5"/>
        <w:gridCol w:w="4164"/>
        <w:gridCol w:w="3336"/>
      </w:tblGrid>
      <w:tr>
        <w:trPr>
          <w:trHeight w:val="841" w:hRule="exact"/>
        </w:trPr>
        <w:tc>
          <w:tcPr>
            <w:tcW w:w="1485" w:type="dxa"/>
            <w:tcBorders>
              <w:left w:val="nil"/>
              <w:right w:val="nil"/>
            </w:tcBorders>
          </w:tcPr>
          <w:p>
            <w:pPr>
              <w:pStyle w:val="TableParagraph"/>
              <w:spacing w:line="360" w:lineRule="auto"/>
              <w:ind w:left="302" w:right="189" w:firstLine="57"/>
              <w:rPr>
                <w:b/>
                <w:sz w:val="24"/>
              </w:rPr>
            </w:pPr>
            <w:r>
              <w:rPr>
                <w:b/>
                <w:sz w:val="24"/>
              </w:rPr>
              <w:t>Tipo de diabetes</w:t>
            </w:r>
          </w:p>
        </w:tc>
        <w:tc>
          <w:tcPr>
            <w:tcW w:w="4164" w:type="dxa"/>
            <w:tcBorders>
              <w:left w:val="nil"/>
              <w:right w:val="nil"/>
            </w:tcBorders>
          </w:tcPr>
          <w:p>
            <w:pPr>
              <w:pStyle w:val="TableParagraph"/>
              <w:spacing w:line="267" w:lineRule="exact"/>
              <w:ind w:left="1535" w:right="1441"/>
              <w:jc w:val="center"/>
              <w:rPr>
                <w:b/>
                <w:sz w:val="24"/>
              </w:rPr>
            </w:pPr>
            <w:r>
              <w:rPr>
                <w:b/>
                <w:sz w:val="24"/>
              </w:rPr>
              <w:t>FID (2013)</w:t>
            </w:r>
          </w:p>
        </w:tc>
        <w:tc>
          <w:tcPr>
            <w:tcW w:w="3336" w:type="dxa"/>
            <w:tcBorders>
              <w:left w:val="nil"/>
              <w:right w:val="nil"/>
            </w:tcBorders>
          </w:tcPr>
          <w:p>
            <w:pPr>
              <w:pStyle w:val="TableParagraph"/>
              <w:spacing w:line="267" w:lineRule="exact"/>
              <w:ind w:left="1011"/>
              <w:rPr>
                <w:b/>
                <w:sz w:val="24"/>
              </w:rPr>
            </w:pPr>
            <w:r>
              <w:rPr>
                <w:b/>
                <w:sz w:val="24"/>
              </w:rPr>
              <w:t>OMS (2014)</w:t>
            </w:r>
          </w:p>
        </w:tc>
      </w:tr>
      <w:tr>
        <w:trPr>
          <w:trHeight w:val="3997" w:hRule="exact"/>
        </w:trPr>
        <w:tc>
          <w:tcPr>
            <w:tcW w:w="1485" w:type="dxa"/>
            <w:tcBorders>
              <w:left w:val="nil"/>
              <w:bottom w:val="nil"/>
              <w:right w:val="nil"/>
            </w:tcBorders>
          </w:tcPr>
          <w:p>
            <w:pPr>
              <w:pStyle w:val="TableParagraph"/>
              <w:spacing w:line="360" w:lineRule="auto"/>
              <w:ind w:left="110" w:right="354"/>
              <w:rPr>
                <w:b/>
                <w:sz w:val="24"/>
              </w:rPr>
            </w:pPr>
            <w:r>
              <w:rPr>
                <w:b/>
                <w:sz w:val="24"/>
              </w:rPr>
              <w:t>Diabetes tipo 1</w:t>
            </w:r>
          </w:p>
        </w:tc>
        <w:tc>
          <w:tcPr>
            <w:tcW w:w="4164" w:type="dxa"/>
            <w:tcBorders>
              <w:left w:val="nil"/>
              <w:bottom w:val="nil"/>
              <w:right w:val="nil"/>
            </w:tcBorders>
          </w:tcPr>
          <w:p>
            <w:pPr>
              <w:pStyle w:val="TableParagraph"/>
              <w:spacing w:line="360" w:lineRule="auto"/>
              <w:ind w:left="205" w:right="101"/>
              <w:jc w:val="both"/>
              <w:rPr>
                <w:sz w:val="24"/>
              </w:rPr>
            </w:pPr>
            <w:r>
              <w:rPr>
                <w:sz w:val="24"/>
              </w:rPr>
              <w:t>Es causada por una reacción autoinmune,  en  la  que   </w:t>
            </w:r>
            <w:r>
              <w:rPr>
                <w:spacing w:val="-4"/>
                <w:sz w:val="24"/>
              </w:rPr>
              <w:t>el  </w:t>
            </w:r>
            <w:r>
              <w:rPr>
                <w:sz w:val="24"/>
              </w:rPr>
              <w:t>sistema de defensa del cuerpo ataca  las  células  beta   productoras de insulina en el páncreas. Como resultado, el cuerpo ya no puede producir </w:t>
            </w:r>
            <w:r>
              <w:rPr>
                <w:spacing w:val="4"/>
                <w:sz w:val="24"/>
              </w:rPr>
              <w:t>la </w:t>
            </w:r>
            <w:r>
              <w:rPr>
                <w:sz w:val="24"/>
              </w:rPr>
              <w:t>insulina que necesita.  Las  personas     con     este     tipo    </w:t>
            </w:r>
            <w:r>
              <w:rPr>
                <w:spacing w:val="25"/>
                <w:sz w:val="24"/>
              </w:rPr>
              <w:t> </w:t>
            </w:r>
            <w:r>
              <w:rPr>
                <w:sz w:val="24"/>
              </w:rPr>
              <w:t>de</w:t>
            </w:r>
          </w:p>
          <w:p>
            <w:pPr>
              <w:pStyle w:val="TableParagraph"/>
              <w:spacing w:line="240" w:lineRule="auto" w:before="2"/>
              <w:ind w:left="205"/>
              <w:jc w:val="both"/>
              <w:rPr>
                <w:sz w:val="24"/>
              </w:rPr>
            </w:pPr>
            <w:r>
              <w:rPr>
                <w:sz w:val="24"/>
              </w:rPr>
              <w:t>diabetes,  pueden  llevar  una   vida</w:t>
            </w:r>
          </w:p>
        </w:tc>
        <w:tc>
          <w:tcPr>
            <w:tcW w:w="3336" w:type="dxa"/>
            <w:tcBorders>
              <w:left w:val="nil"/>
              <w:bottom w:val="nil"/>
              <w:right w:val="nil"/>
            </w:tcBorders>
          </w:tcPr>
          <w:p>
            <w:pPr>
              <w:pStyle w:val="TableParagraph"/>
              <w:spacing w:line="360" w:lineRule="auto"/>
              <w:ind w:left="103" w:right="102"/>
              <w:jc w:val="both"/>
              <w:rPr>
                <w:sz w:val="24"/>
              </w:rPr>
            </w:pPr>
            <w:r>
              <w:rPr>
                <w:sz w:val="24"/>
              </w:rPr>
              <w:t>Anteriormente denominada diabetes</w:t>
            </w:r>
          </w:p>
          <w:p>
            <w:pPr>
              <w:pStyle w:val="TableParagraph"/>
              <w:tabs>
                <w:tab w:pos="2207" w:val="left" w:leader="none"/>
                <w:tab w:pos="3100" w:val="left" w:leader="none"/>
              </w:tabs>
              <w:spacing w:line="360" w:lineRule="auto" w:before="2"/>
              <w:ind w:left="103" w:right="99"/>
              <w:jc w:val="both"/>
              <w:rPr>
                <w:sz w:val="24"/>
              </w:rPr>
            </w:pPr>
            <w:r>
              <w:rPr>
                <w:sz w:val="24"/>
              </w:rPr>
              <w:t>insulinodependiente</w:t>
              <w:tab/>
              <w:t>o juvenil; </w:t>
            </w:r>
            <w:r>
              <w:rPr>
                <w:spacing w:val="-3"/>
                <w:sz w:val="24"/>
              </w:rPr>
              <w:t>se </w:t>
            </w:r>
            <w:r>
              <w:rPr>
                <w:sz w:val="24"/>
              </w:rPr>
              <w:t>caracteriza  por una producción  deficiente  de insulina.  Generalmente se presenta en la  niñez  o  en la adolescencia, y los pacientes</w:t>
              <w:tab/>
            </w:r>
            <w:r>
              <w:rPr>
                <w:w w:val="95"/>
                <w:sz w:val="24"/>
              </w:rPr>
              <w:t>necesitan</w:t>
            </w:r>
          </w:p>
          <w:p>
            <w:pPr>
              <w:pStyle w:val="TableParagraph"/>
              <w:spacing w:line="240" w:lineRule="auto" w:before="2"/>
              <w:ind w:left="103"/>
              <w:jc w:val="both"/>
              <w:rPr>
                <w:sz w:val="24"/>
              </w:rPr>
            </w:pPr>
            <w:r>
              <w:rPr>
                <w:sz w:val="24"/>
              </w:rPr>
              <w:t>inyecciones      de    </w:t>
            </w:r>
            <w:r>
              <w:rPr>
                <w:spacing w:val="53"/>
                <w:sz w:val="24"/>
              </w:rPr>
              <w:t> </w:t>
            </w:r>
            <w:r>
              <w:rPr>
                <w:sz w:val="24"/>
              </w:rPr>
              <w:t>insulina</w:t>
            </w:r>
          </w:p>
        </w:tc>
      </w:tr>
    </w:tbl>
    <w:p>
      <w:pPr>
        <w:spacing w:after="0" w:line="240" w:lineRule="auto"/>
        <w:jc w:val="both"/>
        <w:rPr>
          <w:sz w:val="24"/>
        </w:rPr>
        <w:sectPr>
          <w:pgSz w:w="12240" w:h="15840"/>
          <w:pgMar w:header="729" w:footer="0" w:top="960" w:bottom="280" w:left="1200" w:right="1300"/>
        </w:sectPr>
      </w:pPr>
    </w:p>
    <w:p>
      <w:pPr>
        <w:pStyle w:val="BodyText"/>
        <w:rPr>
          <w:rFonts w:ascii="Times New Roman"/>
          <w:sz w:val="20"/>
        </w:rPr>
      </w:pPr>
    </w:p>
    <w:p>
      <w:pPr>
        <w:pStyle w:val="BodyText"/>
        <w:spacing w:before="10"/>
        <w:rPr>
          <w:rFonts w:ascii="Times New Roman"/>
          <w:sz w:val="18"/>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01"/>
        <w:gridCol w:w="4246"/>
        <w:gridCol w:w="3337"/>
      </w:tblGrid>
      <w:tr>
        <w:trPr>
          <w:trHeight w:val="2842" w:hRule="exact"/>
        </w:trPr>
        <w:tc>
          <w:tcPr>
            <w:tcW w:w="1401" w:type="dxa"/>
            <w:tcBorders>
              <w:left w:val="nil"/>
              <w:bottom w:val="nil"/>
              <w:right w:val="nil"/>
            </w:tcBorders>
          </w:tcPr>
          <w:p>
            <w:pPr/>
          </w:p>
        </w:tc>
        <w:tc>
          <w:tcPr>
            <w:tcW w:w="4246" w:type="dxa"/>
            <w:tcBorders>
              <w:left w:val="nil"/>
              <w:bottom w:val="nil"/>
              <w:right w:val="nil"/>
            </w:tcBorders>
          </w:tcPr>
          <w:p>
            <w:pPr>
              <w:pStyle w:val="TableParagraph"/>
              <w:spacing w:line="360" w:lineRule="auto"/>
              <w:ind w:left="289" w:right="104"/>
              <w:jc w:val="both"/>
              <w:rPr>
                <w:sz w:val="24"/>
              </w:rPr>
            </w:pPr>
            <w:r>
              <w:rPr>
                <w:sz w:val="24"/>
              </w:rPr>
              <w:t>normal y saludable  a  través  de una combinación de terapia de insulina diaria, vigilancia estrecha del tratamiento, una dieta  saludable  y  ejercicio  físico regular.</w:t>
            </w:r>
          </w:p>
        </w:tc>
        <w:tc>
          <w:tcPr>
            <w:tcW w:w="3337" w:type="dxa"/>
            <w:tcBorders>
              <w:left w:val="nil"/>
              <w:bottom w:val="nil"/>
              <w:right w:val="nil"/>
            </w:tcBorders>
          </w:tcPr>
          <w:p>
            <w:pPr>
              <w:pStyle w:val="TableParagraph"/>
              <w:tabs>
                <w:tab w:pos="1133" w:val="left" w:leader="none"/>
                <w:tab w:pos="2266" w:val="left" w:leader="none"/>
                <w:tab w:pos="3044" w:val="left" w:leader="none"/>
              </w:tabs>
              <w:spacing w:line="362" w:lineRule="auto"/>
              <w:ind w:left="105" w:right="100"/>
              <w:rPr>
                <w:sz w:val="24"/>
              </w:rPr>
            </w:pPr>
            <w:r>
              <w:rPr>
                <w:sz w:val="24"/>
              </w:rPr>
              <w:t>diarias</w:t>
              <w:tab/>
              <w:t>durante</w:t>
              <w:tab/>
              <w:t>toda</w:t>
              <w:tab/>
              <w:t>la vida.</w:t>
            </w:r>
          </w:p>
        </w:tc>
      </w:tr>
      <w:tr>
        <w:trPr>
          <w:trHeight w:val="9855" w:hRule="exact"/>
        </w:trPr>
        <w:tc>
          <w:tcPr>
            <w:tcW w:w="1401" w:type="dxa"/>
            <w:tcBorders>
              <w:top w:val="nil"/>
              <w:left w:val="nil"/>
              <w:bottom w:val="nil"/>
              <w:right w:val="nil"/>
            </w:tcBorders>
          </w:tcPr>
          <w:p>
            <w:pPr>
              <w:pStyle w:val="TableParagraph"/>
              <w:spacing w:line="240" w:lineRule="auto"/>
              <w:ind w:left="0"/>
              <w:rPr>
                <w:rFonts w:ascii="Times New Roman"/>
                <w:sz w:val="24"/>
              </w:rPr>
            </w:pPr>
          </w:p>
          <w:p>
            <w:pPr>
              <w:pStyle w:val="TableParagraph"/>
              <w:spacing w:line="362" w:lineRule="auto" w:before="190"/>
              <w:ind w:left="110" w:right="270"/>
              <w:rPr>
                <w:b/>
                <w:sz w:val="24"/>
              </w:rPr>
            </w:pPr>
            <w:r>
              <w:rPr>
                <w:b/>
                <w:sz w:val="24"/>
              </w:rPr>
              <w:t>Diabetes tipo 2</w:t>
            </w:r>
          </w:p>
        </w:tc>
        <w:tc>
          <w:tcPr>
            <w:tcW w:w="4246" w:type="dxa"/>
            <w:tcBorders>
              <w:top w:val="nil"/>
              <w:left w:val="nil"/>
              <w:bottom w:val="nil"/>
              <w:right w:val="nil"/>
            </w:tcBorders>
          </w:tcPr>
          <w:p>
            <w:pPr>
              <w:pStyle w:val="TableParagraph"/>
              <w:spacing w:line="240" w:lineRule="auto"/>
              <w:ind w:left="0"/>
              <w:rPr>
                <w:rFonts w:ascii="Times New Roman"/>
                <w:sz w:val="24"/>
              </w:rPr>
            </w:pPr>
          </w:p>
          <w:p>
            <w:pPr>
              <w:pStyle w:val="TableParagraph"/>
              <w:tabs>
                <w:tab w:pos="1921" w:val="left" w:leader="none"/>
                <w:tab w:pos="3098" w:val="left" w:leader="none"/>
              </w:tabs>
              <w:spacing w:line="360" w:lineRule="auto" w:before="195"/>
              <w:ind w:left="289" w:right="103"/>
              <w:jc w:val="both"/>
              <w:rPr>
                <w:sz w:val="24"/>
              </w:rPr>
            </w:pPr>
            <w:r>
              <w:rPr>
                <w:sz w:val="24"/>
              </w:rPr>
              <w:t>Este tipo de diabetes es la </w:t>
            </w:r>
            <w:r>
              <w:rPr>
                <w:spacing w:val="-3"/>
                <w:sz w:val="24"/>
              </w:rPr>
              <w:t>más </w:t>
            </w:r>
            <w:r>
              <w:rPr>
                <w:sz w:val="24"/>
              </w:rPr>
              <w:t>común;  por  lo  general  ocurre  </w:t>
            </w:r>
            <w:r>
              <w:rPr>
                <w:spacing w:val="-3"/>
                <w:sz w:val="24"/>
              </w:rPr>
              <w:t>más </w:t>
            </w:r>
            <w:r>
              <w:rPr>
                <w:sz w:val="24"/>
              </w:rPr>
              <w:t>en adultos, pero cada  vez  </w:t>
            </w:r>
            <w:r>
              <w:rPr>
                <w:spacing w:val="-3"/>
                <w:sz w:val="24"/>
              </w:rPr>
              <w:t>más </w:t>
            </w:r>
            <w:r>
              <w:rPr>
                <w:sz w:val="24"/>
              </w:rPr>
              <w:t>aparece en adolescentes y niños el cuerpo puede producir insulina pero, o bien esto no es suficiente o el cuerpo no puede responder a sus efectos, dando lugar a una acumulación de  glucosa en la sangre.  El  número de personas con este tipo de diabetes</w:t>
              <w:tab/>
              <w:t>está</w:t>
              <w:tab/>
              <w:t>creciendo rápidamente por el mundo. Este aumento está asociado  al desarrollo económico, el envejecimiento  de  la   población,  la creciente urbanización, los cambios en la dieta, la poca actividad física y los cambios en otros  patrones  de  estilo  de</w:t>
            </w:r>
            <w:r>
              <w:rPr>
                <w:spacing w:val="58"/>
                <w:sz w:val="24"/>
              </w:rPr>
              <w:t> </w:t>
            </w:r>
            <w:r>
              <w:rPr>
                <w:sz w:val="24"/>
              </w:rPr>
              <w:t>vida</w:t>
            </w:r>
          </w:p>
        </w:tc>
        <w:tc>
          <w:tcPr>
            <w:tcW w:w="3337" w:type="dxa"/>
            <w:tcBorders>
              <w:top w:val="nil"/>
              <w:left w:val="nil"/>
              <w:bottom w:val="nil"/>
              <w:right w:val="nil"/>
            </w:tcBorders>
          </w:tcPr>
          <w:p>
            <w:pPr>
              <w:pStyle w:val="TableParagraph"/>
              <w:spacing w:line="240" w:lineRule="auto"/>
              <w:ind w:left="0"/>
              <w:rPr>
                <w:rFonts w:ascii="Times New Roman"/>
                <w:sz w:val="24"/>
              </w:rPr>
            </w:pPr>
          </w:p>
          <w:p>
            <w:pPr>
              <w:pStyle w:val="TableParagraph"/>
              <w:tabs>
                <w:tab w:pos="1747" w:val="left" w:leader="none"/>
              </w:tabs>
              <w:spacing w:line="240" w:lineRule="auto" w:before="195"/>
              <w:ind w:left="105"/>
              <w:jc w:val="both"/>
              <w:rPr>
                <w:sz w:val="24"/>
              </w:rPr>
            </w:pPr>
            <w:r>
              <w:rPr>
                <w:sz w:val="24"/>
              </w:rPr>
              <w:t>Llamada</w:t>
              <w:tab/>
              <w:t>anteriormente</w:t>
            </w:r>
          </w:p>
          <w:p>
            <w:pPr>
              <w:pStyle w:val="TableParagraph"/>
              <w:tabs>
                <w:tab w:pos="2967" w:val="left" w:leader="none"/>
              </w:tabs>
              <w:spacing w:line="240" w:lineRule="auto" w:before="142"/>
              <w:ind w:left="105"/>
              <w:jc w:val="both"/>
              <w:rPr>
                <w:sz w:val="24"/>
              </w:rPr>
            </w:pPr>
            <w:r>
              <w:rPr>
                <w:sz w:val="24"/>
              </w:rPr>
              <w:t>diabetes</w:t>
              <w:tab/>
              <w:t>no</w:t>
            </w:r>
          </w:p>
          <w:p>
            <w:pPr>
              <w:pStyle w:val="TableParagraph"/>
              <w:spacing w:line="360" w:lineRule="auto" w:before="137"/>
              <w:ind w:left="105" w:right="98"/>
              <w:jc w:val="both"/>
              <w:rPr>
                <w:sz w:val="24"/>
              </w:rPr>
            </w:pPr>
            <w:r>
              <w:rPr>
                <w:sz w:val="24"/>
              </w:rPr>
              <w:t>insulinodependiente o del adulto, tiene  su  origen  en  la incapacidad del cuerpo para utilizar eficazmente la insulina, lo que a  menudo  es  consecuencia   del exceso de peso  o  la  falta  de ejercicio físico. Aparece por lo general en la etapa adulta de la vida y está relacionada con  la  obesidad, la  inactividad física  y  la   alimentación  </w:t>
            </w:r>
            <w:r>
              <w:rPr>
                <w:spacing w:val="-3"/>
                <w:sz w:val="24"/>
              </w:rPr>
              <w:t>mal  </w:t>
            </w:r>
            <w:r>
              <w:rPr>
                <w:sz w:val="24"/>
              </w:rPr>
              <w:t>sana.  Es   la   </w:t>
            </w:r>
            <w:r>
              <w:rPr>
                <w:spacing w:val="-3"/>
                <w:sz w:val="24"/>
              </w:rPr>
              <w:t>forma más </w:t>
            </w:r>
            <w:r>
              <w:rPr>
                <w:sz w:val="24"/>
              </w:rPr>
              <w:t>común  de  diabetes  y  el  tratamiento  puede consistir en cambios del modo de vida y baja de  peso, medicamentos  orales o    incluso    inyecciones </w:t>
            </w:r>
            <w:r>
              <w:rPr>
                <w:spacing w:val="54"/>
                <w:sz w:val="24"/>
              </w:rPr>
              <w:t> </w:t>
            </w:r>
            <w:r>
              <w:rPr>
                <w:sz w:val="24"/>
              </w:rPr>
              <w:t>de</w:t>
            </w:r>
          </w:p>
          <w:p>
            <w:pPr>
              <w:pStyle w:val="TableParagraph"/>
              <w:spacing w:line="240" w:lineRule="auto" w:before="2"/>
              <w:ind w:left="105"/>
              <w:jc w:val="both"/>
              <w:rPr>
                <w:sz w:val="24"/>
              </w:rPr>
            </w:pPr>
            <w:r>
              <w:rPr>
                <w:sz w:val="24"/>
              </w:rPr>
              <w:t>insulina.</w:t>
            </w:r>
          </w:p>
        </w:tc>
      </w:tr>
    </w:tbl>
    <w:p>
      <w:pPr>
        <w:spacing w:after="0" w:line="240" w:lineRule="auto"/>
        <w:jc w:val="both"/>
        <w:rPr>
          <w:sz w:val="24"/>
        </w:rPr>
        <w:sectPr>
          <w:pgSz w:w="12240" w:h="15840"/>
          <w:pgMar w:header="729" w:footer="0" w:top="960" w:bottom="280" w:left="12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7"/>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5"/>
        <w:gridCol w:w="4066"/>
        <w:gridCol w:w="3338"/>
      </w:tblGrid>
      <w:tr>
        <w:trPr>
          <w:trHeight w:val="6609" w:hRule="exact"/>
        </w:trPr>
        <w:tc>
          <w:tcPr>
            <w:tcW w:w="1595" w:type="dxa"/>
            <w:tcBorders>
              <w:bottom w:val="single" w:sz="4" w:space="0" w:color="000000"/>
            </w:tcBorders>
          </w:tcPr>
          <w:p>
            <w:pPr>
              <w:pStyle w:val="TableParagraph"/>
              <w:spacing w:line="245" w:lineRule="exact"/>
              <w:ind w:left="124"/>
              <w:rPr>
                <w:b/>
                <w:sz w:val="24"/>
              </w:rPr>
            </w:pPr>
            <w:r>
              <w:rPr>
                <w:b/>
                <w:sz w:val="24"/>
              </w:rPr>
              <w:t>Diabetes</w:t>
            </w:r>
          </w:p>
          <w:p>
            <w:pPr>
              <w:pStyle w:val="TableParagraph"/>
              <w:spacing w:line="240" w:lineRule="auto" w:before="137"/>
              <w:ind w:left="124"/>
              <w:rPr>
                <w:b/>
                <w:sz w:val="24"/>
              </w:rPr>
            </w:pPr>
            <w:r>
              <w:rPr>
                <w:b/>
                <w:sz w:val="24"/>
              </w:rPr>
              <w:t>Gestacional</w:t>
            </w:r>
          </w:p>
        </w:tc>
        <w:tc>
          <w:tcPr>
            <w:tcW w:w="4066" w:type="dxa"/>
            <w:tcBorders>
              <w:bottom w:val="single" w:sz="4" w:space="0" w:color="000000"/>
            </w:tcBorders>
          </w:tcPr>
          <w:p>
            <w:pPr>
              <w:pStyle w:val="TableParagraph"/>
              <w:spacing w:line="250" w:lineRule="exact"/>
              <w:ind w:left="109"/>
              <w:jc w:val="both"/>
              <w:rPr>
                <w:sz w:val="24"/>
              </w:rPr>
            </w:pPr>
            <w:r>
              <w:rPr>
                <w:sz w:val="24"/>
              </w:rPr>
              <w:t>La    padecen    las    mujeres    que</w:t>
            </w:r>
          </w:p>
          <w:p>
            <w:pPr>
              <w:pStyle w:val="TableParagraph"/>
              <w:tabs>
                <w:tab w:pos="2010" w:val="left" w:leader="none"/>
                <w:tab w:pos="2702" w:val="left" w:leader="none"/>
                <w:tab w:pos="3048" w:val="left" w:leader="none"/>
              </w:tabs>
              <w:spacing w:line="360" w:lineRule="auto" w:before="137"/>
              <w:ind w:left="109" w:right="103"/>
              <w:jc w:val="both"/>
              <w:rPr>
                <w:sz w:val="24"/>
              </w:rPr>
            </w:pPr>
            <w:r>
              <w:rPr>
                <w:sz w:val="24"/>
              </w:rPr>
              <w:t>desarrollan una resistencia a la insulina, y por tanto, una alta glucosa en la sangre durante el embarazo.</w:t>
              <w:tab/>
              <w:t>La</w:t>
              <w:tab/>
              <w:tab/>
              <w:t>diabetes gestacional tiende a ocurrir  tarde  en el embarazo, por lo general alrededor de la semana 24. La condición se  produce  debido  a que la acción de la insulina es bloqueada, probablemente por las hormonas producidas por la placenta,</w:t>
              <w:tab/>
              <w:tab/>
              <w:t>provocando insensibilidad a  la  insulina  (también  conocida  como resistencia  a  la</w:t>
            </w:r>
            <w:r>
              <w:rPr>
                <w:spacing w:val="63"/>
                <w:sz w:val="24"/>
              </w:rPr>
              <w:t> </w:t>
            </w:r>
            <w:r>
              <w:rPr>
                <w:sz w:val="24"/>
              </w:rPr>
              <w:t>insulina).</w:t>
            </w:r>
          </w:p>
        </w:tc>
        <w:tc>
          <w:tcPr>
            <w:tcW w:w="3338" w:type="dxa"/>
            <w:tcBorders>
              <w:bottom w:val="single" w:sz="4" w:space="0" w:color="000000"/>
            </w:tcBorders>
          </w:tcPr>
          <w:p>
            <w:pPr>
              <w:pStyle w:val="TableParagraph"/>
              <w:spacing w:line="250" w:lineRule="exact"/>
              <w:ind w:left="105"/>
              <w:jc w:val="both"/>
              <w:rPr>
                <w:sz w:val="24"/>
              </w:rPr>
            </w:pPr>
            <w:r>
              <w:rPr>
                <w:sz w:val="24"/>
              </w:rPr>
              <w:t>corresponde         a        </w:t>
            </w:r>
            <w:r>
              <w:rPr>
                <w:spacing w:val="53"/>
                <w:sz w:val="24"/>
              </w:rPr>
              <w:t> </w:t>
            </w:r>
            <w:r>
              <w:rPr>
                <w:sz w:val="24"/>
              </w:rPr>
              <w:t>una</w:t>
            </w:r>
          </w:p>
          <w:p>
            <w:pPr>
              <w:pStyle w:val="TableParagraph"/>
              <w:spacing w:line="360" w:lineRule="auto" w:before="137"/>
              <w:ind w:left="105" w:right="100"/>
              <w:jc w:val="both"/>
              <w:rPr>
                <w:sz w:val="24"/>
              </w:rPr>
            </w:pPr>
            <w:r>
              <w:rPr>
                <w:sz w:val="24"/>
              </w:rPr>
              <w:t>hiperglucemia que  se detecta por primera vez durante  el</w:t>
            </w:r>
            <w:r>
              <w:rPr>
                <w:spacing w:val="60"/>
                <w:sz w:val="24"/>
              </w:rPr>
              <w:t> </w:t>
            </w:r>
            <w:r>
              <w:rPr>
                <w:sz w:val="24"/>
              </w:rPr>
              <w:t>embarazo.</w:t>
            </w:r>
          </w:p>
        </w:tc>
      </w:tr>
    </w:tbl>
    <w:p>
      <w:pPr>
        <w:pStyle w:val="BodyText"/>
        <w:rPr>
          <w:rFonts w:ascii="Times New Roman"/>
          <w:sz w:val="20"/>
        </w:rPr>
      </w:pPr>
    </w:p>
    <w:p>
      <w:pPr>
        <w:pStyle w:val="BodyText"/>
        <w:rPr>
          <w:rFonts w:ascii="Times New Roman"/>
          <w:sz w:val="20"/>
        </w:rPr>
      </w:pPr>
    </w:p>
    <w:p>
      <w:pPr>
        <w:pStyle w:val="BodyText"/>
        <w:spacing w:before="4"/>
        <w:rPr>
          <w:rFonts w:ascii="Times New Roman"/>
          <w:sz w:val="25"/>
        </w:rPr>
      </w:pPr>
    </w:p>
    <w:p>
      <w:pPr>
        <w:pStyle w:val="BodyText"/>
        <w:spacing w:line="360" w:lineRule="auto" w:before="70"/>
        <w:ind w:left="236" w:right="114"/>
        <w:jc w:val="both"/>
      </w:pPr>
      <w:r>
        <w:rPr/>
        <w:t>Por otra parte Di Iorgi, Napoli, Allegri,  Oliveri,  Bertelli,  Gallizia,  Rossi,  Maghnie  (2012), hacen mención de  un  tipo  </w:t>
      </w:r>
      <w:r>
        <w:rPr>
          <w:spacing w:val="-3"/>
        </w:rPr>
        <w:t>más  </w:t>
      </w:r>
      <w:r>
        <w:rPr/>
        <w:t>de  diabetes  que  se  presenta  tanto  en  niños  como  en  adultos:  la  diabetes  insípida,  describiéndola   como   una enfermedad en la  que  grandes  volúmenes  de  orina  diluida  </w:t>
      </w:r>
      <w:r>
        <w:rPr>
          <w:spacing w:val="-3"/>
        </w:rPr>
        <w:t>se  </w:t>
      </w:r>
      <w:r>
        <w:rPr/>
        <w:t>excretan  debido  a  la vasopresina, la deficiencia, la resistencia, o la ingesta excesiva de agua.  </w:t>
      </w:r>
      <w:r>
        <w:rPr>
          <w:spacing w:val="3"/>
        </w:rPr>
        <w:t>Esto </w:t>
      </w:r>
      <w:r>
        <w:rPr/>
        <w:t>significa que el  equilibrio  entre  la  cantidad  de  líquido  consumido  no  corresponde  al volumen de excreción de orina. Los pacientes con diabetes insípida orinan demasiado  y,  es necesario  beber  muchos  líquidos  para  reemplazar  los</w:t>
      </w:r>
      <w:r>
        <w:rPr>
          <w:spacing w:val="39"/>
        </w:rPr>
        <w:t> </w:t>
      </w:r>
      <w:r>
        <w:rPr/>
        <w:t>perdidos.</w:t>
      </w:r>
    </w:p>
    <w:p>
      <w:pPr>
        <w:pStyle w:val="BodyText"/>
      </w:pPr>
    </w:p>
    <w:p>
      <w:pPr>
        <w:pStyle w:val="BodyText"/>
        <w:spacing w:line="360" w:lineRule="auto" w:before="140"/>
        <w:ind w:left="236" w:right="114"/>
        <w:jc w:val="both"/>
      </w:pPr>
      <w:r>
        <w:rPr/>
        <w:t>De acuerdo  a  lo  </w:t>
      </w:r>
      <w:r>
        <w:rPr>
          <w:spacing w:val="-3"/>
        </w:rPr>
        <w:t>ya  </w:t>
      </w:r>
      <w:r>
        <w:rPr/>
        <w:t>escrito  y  como  lo  mencionan  los  autores  citados  en  el  párrafo anterior, no se debe confundir la diabetes insípida con </w:t>
      </w:r>
      <w:r>
        <w:rPr>
          <w:spacing w:val="4"/>
        </w:rPr>
        <w:t>los </w:t>
      </w:r>
      <w:r>
        <w:rPr/>
        <w:t>otros tipos de diabetes,  conocidos  como  diabetes  mellitus.  Según  </w:t>
      </w:r>
      <w:r>
        <w:rPr>
          <w:spacing w:val="-3"/>
        </w:rPr>
        <w:t>se   </w:t>
      </w:r>
      <w:r>
        <w:rPr/>
        <w:t>ha  referido,  ésta  es    </w:t>
      </w:r>
      <w:r>
        <w:rPr>
          <w:spacing w:val="20"/>
        </w:rPr>
        <w:t> </w:t>
      </w:r>
      <w:r>
        <w:rPr/>
        <w:t>una</w:t>
      </w:r>
    </w:p>
    <w:p>
      <w:pPr>
        <w:spacing w:after="0" w:line="360" w:lineRule="auto"/>
        <w:jc w:val="both"/>
        <w:sectPr>
          <w:pgSz w:w="12240" w:h="15840"/>
          <w:pgMar w:header="729" w:footer="0" w:top="960" w:bottom="280" w:left="1180" w:right="1300"/>
        </w:sectPr>
      </w:pPr>
    </w:p>
    <w:p>
      <w:pPr>
        <w:pStyle w:val="BodyText"/>
        <w:rPr>
          <w:sz w:val="20"/>
        </w:rPr>
      </w:pPr>
    </w:p>
    <w:p>
      <w:pPr>
        <w:pStyle w:val="BodyText"/>
        <w:spacing w:line="360" w:lineRule="auto" w:before="213"/>
        <w:ind w:left="116" w:right="121"/>
        <w:jc w:val="both"/>
      </w:pPr>
      <w:r>
        <w:rPr/>
        <w:t>enfermedad diferente, causada  </w:t>
      </w:r>
      <w:r>
        <w:rPr>
          <w:spacing w:val="2"/>
        </w:rPr>
        <w:t>por  </w:t>
      </w:r>
      <w:r>
        <w:rPr/>
        <w:t>una  ausencia  (DM1)  o  falta  de  respuesta  o  una reacción deficiente de (DM2) a la hormona  insulina  y  puede  manifestarse  durante el embarazo  (DMG).  Descrito  de  otra  forma,  la  diabetes  insípida  puede  ser causada por la  diabetes  tipo  1,  la  diabetes  tipo  2  y  presentarse  en  la  diabetes</w:t>
      </w:r>
      <w:r>
        <w:rPr>
          <w:spacing w:val="63"/>
        </w:rPr>
        <w:t> </w:t>
      </w:r>
      <w:r>
        <w:rPr/>
        <w:t>gestacional.</w:t>
      </w:r>
    </w:p>
    <w:p>
      <w:pPr>
        <w:pStyle w:val="BodyText"/>
      </w:pPr>
    </w:p>
    <w:p>
      <w:pPr>
        <w:pStyle w:val="Heading1"/>
        <w:numPr>
          <w:ilvl w:val="1"/>
          <w:numId w:val="4"/>
        </w:numPr>
        <w:tabs>
          <w:tab w:pos="506" w:val="left" w:leader="none"/>
        </w:tabs>
        <w:spacing w:line="240" w:lineRule="auto" w:before="140" w:after="0"/>
        <w:ind w:left="505" w:right="0" w:hanging="389"/>
        <w:jc w:val="both"/>
      </w:pPr>
      <w:r>
        <w:rPr/>
        <w:t>Concepto  de  sobrepeso  y</w:t>
      </w:r>
      <w:r>
        <w:rPr>
          <w:spacing w:val="47"/>
        </w:rPr>
        <w:t> </w:t>
      </w:r>
      <w:r>
        <w:rPr/>
        <w:t>obesidad</w:t>
      </w:r>
    </w:p>
    <w:p>
      <w:pPr>
        <w:pStyle w:val="BodyText"/>
        <w:rPr>
          <w:b/>
        </w:rPr>
      </w:pPr>
    </w:p>
    <w:p>
      <w:pPr>
        <w:pStyle w:val="BodyText"/>
        <w:spacing w:before="2"/>
        <w:rPr>
          <w:b/>
        </w:rPr>
      </w:pPr>
    </w:p>
    <w:p>
      <w:pPr>
        <w:pStyle w:val="BodyText"/>
        <w:spacing w:line="360" w:lineRule="auto"/>
        <w:ind w:left="116" w:right="118"/>
        <w:jc w:val="both"/>
      </w:pPr>
      <w:r>
        <w:rPr/>
        <w:t>A pesar de que los términos sobrepeso y obesidad suelen usarse  de  forma  indiferente, de acuerdo con Sánchez, Pichardo y López (2004), el sobrepeso se relaciona con una  condición  de  exceso  de  peso  corporal  comparado  con  la  talla  y,  la  obesidad  se  identifica  con  el  exceso  de</w:t>
      </w:r>
      <w:r>
        <w:rPr>
          <w:spacing w:val="43"/>
        </w:rPr>
        <w:t> </w:t>
      </w:r>
      <w:r>
        <w:rPr/>
        <w:t>grasa.</w:t>
      </w:r>
    </w:p>
    <w:p>
      <w:pPr>
        <w:pStyle w:val="BodyText"/>
      </w:pPr>
    </w:p>
    <w:p>
      <w:pPr>
        <w:pStyle w:val="BodyText"/>
        <w:spacing w:line="360" w:lineRule="auto" w:before="144"/>
        <w:ind w:left="116" w:right="110"/>
        <w:jc w:val="both"/>
      </w:pPr>
      <w:r>
        <w:rPr/>
        <w:t>Por otro lado, Moreno y Marín (2009; citados por De Domingo y López, 2014), proporcionan una definición </w:t>
      </w:r>
      <w:r>
        <w:rPr>
          <w:spacing w:val="-3"/>
        </w:rPr>
        <w:t>más  </w:t>
      </w:r>
      <w:r>
        <w:rPr/>
        <w:t>amplia  y  concisa  de  la  obesidad,  indicando  que  es  una  enfermedad  multifactorial,  crónica  y  recidivante,  fruto  de  la  interacción entre  genotipo  y  ambiente,  caracterizada  por  el  almacenamiento  excesivo   de grasa  en  el  tejido  adiposo,  que  pone  en  peligro  la   salud   y  la  expectativa   de vida  de  la  persona  que  la</w:t>
      </w:r>
      <w:r>
        <w:rPr>
          <w:spacing w:val="53"/>
        </w:rPr>
        <w:t> </w:t>
      </w:r>
      <w:r>
        <w:rPr/>
        <w:t>padece.</w:t>
      </w:r>
    </w:p>
    <w:p>
      <w:pPr>
        <w:pStyle w:val="BodyText"/>
      </w:pPr>
    </w:p>
    <w:p>
      <w:pPr>
        <w:pStyle w:val="BodyText"/>
        <w:spacing w:line="360" w:lineRule="auto" w:before="139"/>
        <w:ind w:left="116" w:right="113"/>
        <w:jc w:val="both"/>
      </w:pPr>
      <w:r>
        <w:rPr/>
        <w:t>Dentro de la Norma Oficial Mexicana NOM-174-SSA1-1998 (2000), Para el </w:t>
      </w:r>
      <w:r>
        <w:rPr>
          <w:spacing w:val="-3"/>
        </w:rPr>
        <w:t>manejo </w:t>
      </w:r>
      <w:r>
        <w:rPr/>
        <w:t>integral de la obesidad se menciona que, la obesidad y el sobrepeso son una enfermedad crónica caracterizada por el almacenamiento  en  exceso  de  tejido  adiposo en el organismo,  acompañada  de  alteraciones  metabólicas,  que  predisponen  a  la  presentación  de  trastornos  que  deterioran  el  estado  de</w:t>
      </w:r>
      <w:r>
        <w:rPr>
          <w:spacing w:val="30"/>
        </w:rPr>
        <w:t> </w:t>
      </w:r>
      <w:r>
        <w:rPr/>
        <w:t>salud.</w:t>
      </w:r>
    </w:p>
    <w:p>
      <w:pPr>
        <w:pStyle w:val="BodyText"/>
      </w:pPr>
    </w:p>
    <w:p>
      <w:pPr>
        <w:pStyle w:val="BodyText"/>
        <w:spacing w:line="360" w:lineRule="auto" w:before="144"/>
        <w:ind w:left="116" w:right="110" w:firstLine="67"/>
        <w:jc w:val="both"/>
      </w:pPr>
      <w:r>
        <w:rPr/>
        <w:t>Hay que mencionar además que </w:t>
      </w:r>
      <w:r>
        <w:rPr>
          <w:spacing w:val="5"/>
        </w:rPr>
        <w:t>la </w:t>
      </w:r>
      <w:r>
        <w:rPr/>
        <w:t>Organización  Mundial  de  la  Salud  (2015c), define al sobrepeso y la obesidad como una acumulación  anormal  o  excesiva  de tejido  adiposo  o  grasa  que  son  perjudiciales  para  la</w:t>
      </w:r>
      <w:r>
        <w:rPr>
          <w:spacing w:val="54"/>
        </w:rPr>
        <w:t> </w:t>
      </w:r>
      <w:r>
        <w:rPr/>
        <w:t>salud.</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116" w:right="117"/>
        <w:jc w:val="both"/>
      </w:pPr>
      <w:r>
        <w:rPr/>
        <w:t>Esto lleva a inferir  que  el  sobrepeso  y  la  obesidad  son  enfermedades  determinadas por el exceso de tejido adiposo en el organismo, convirtiéndose en factores de  riesgo  para  sufrir  numerosas  enfermedades  crónicas,  como  la  diabetes, enfermedades cardiovasculares y el cáncer. La causa fundamental </w:t>
      </w:r>
      <w:r>
        <w:rPr>
          <w:spacing w:val="-3"/>
        </w:rPr>
        <w:t>del </w:t>
      </w:r>
      <w:r>
        <w:rPr/>
        <w:t>sobrepeso y  la  obesidad  es  un  desequilibrio  energético  entre  calorías  consumidas y </w:t>
      </w:r>
      <w:r>
        <w:rPr>
          <w:spacing w:val="63"/>
        </w:rPr>
        <w:t> </w:t>
      </w:r>
      <w:r>
        <w:rPr/>
        <w:t>gastadas.</w:t>
      </w:r>
    </w:p>
    <w:p>
      <w:pPr>
        <w:pStyle w:val="BodyText"/>
      </w:pPr>
    </w:p>
    <w:p>
      <w:pPr>
        <w:pStyle w:val="BodyText"/>
      </w:pPr>
    </w:p>
    <w:p>
      <w:pPr>
        <w:pStyle w:val="BodyText"/>
        <w:spacing w:before="7"/>
        <w:rPr>
          <w:sz w:val="23"/>
        </w:rPr>
      </w:pPr>
    </w:p>
    <w:p>
      <w:pPr>
        <w:pStyle w:val="Heading1"/>
        <w:numPr>
          <w:ilvl w:val="2"/>
          <w:numId w:val="5"/>
        </w:numPr>
        <w:tabs>
          <w:tab w:pos="905" w:val="left" w:leader="none"/>
        </w:tabs>
        <w:spacing w:line="240" w:lineRule="auto" w:before="0" w:after="0"/>
        <w:ind w:left="904" w:right="0" w:hanging="788"/>
        <w:jc w:val="both"/>
      </w:pPr>
      <w:r>
        <w:rPr/>
        <w:t>Clasificación  de  la</w:t>
      </w:r>
      <w:r>
        <w:rPr>
          <w:spacing w:val="55"/>
        </w:rPr>
        <w:t> </w:t>
      </w:r>
      <w:r>
        <w:rPr/>
        <w:t>obesidad</w:t>
      </w:r>
    </w:p>
    <w:p>
      <w:pPr>
        <w:pStyle w:val="BodyText"/>
        <w:rPr>
          <w:b/>
        </w:rPr>
      </w:pPr>
    </w:p>
    <w:p>
      <w:pPr>
        <w:pStyle w:val="BodyText"/>
        <w:spacing w:before="7"/>
        <w:rPr>
          <w:b/>
        </w:rPr>
      </w:pPr>
    </w:p>
    <w:p>
      <w:pPr>
        <w:pStyle w:val="BodyText"/>
        <w:spacing w:line="360" w:lineRule="auto" w:before="1"/>
        <w:ind w:left="116" w:right="120"/>
        <w:jc w:val="both"/>
      </w:pPr>
      <w:r>
        <w:rPr/>
        <w:t>De acuerdo  a  su  origen,  la  Secretaría  de  Salud  (2010)  menciona  que  la  obesidad se puede clasificar en endógena y exógena. Este tipo  de  obesidad  es  debida a problemas  provocados  a  la  disfunción  de  alguna  glándula  endocrina, como la tiroides (hipotiroidismo). Es un tipo de obesidad causada por problemas internos, debido a  ellos  las  personas  no  pueden  perder  peso  (incluso  lo  aumentan)  aun  llevando  una  alimentación  adecuada  y  realizando  actividad</w:t>
      </w:r>
      <w:r>
        <w:rPr>
          <w:spacing w:val="27"/>
        </w:rPr>
        <w:t> </w:t>
      </w:r>
      <w:r>
        <w:rPr/>
        <w:t>física.</w:t>
      </w:r>
    </w:p>
    <w:p>
      <w:pPr>
        <w:pStyle w:val="BodyText"/>
      </w:pPr>
    </w:p>
    <w:p>
      <w:pPr>
        <w:pStyle w:val="BodyText"/>
        <w:spacing w:line="360" w:lineRule="auto" w:before="144"/>
        <w:ind w:left="116" w:right="111"/>
        <w:jc w:val="both"/>
      </w:pPr>
      <w:r>
        <w:rPr/>
        <w:t>En cuanto a la obesidad exógena indica que se  debe  a  un  exceso  en  la  alimentación o a determinados hábitos sedentarios, en otras palabras, la obesidad exógena  es  la  </w:t>
      </w:r>
      <w:r>
        <w:rPr>
          <w:spacing w:val="-3"/>
        </w:rPr>
        <w:t>más  </w:t>
      </w:r>
      <w:r>
        <w:rPr/>
        <w:t>común  y  no  es  causada  por  ninguna  enfermedad  o  alteración propia del organismo, sino que es provocada por los hábitos de cada  persona.</w:t>
      </w:r>
    </w:p>
    <w:p>
      <w:pPr>
        <w:pStyle w:val="BodyText"/>
      </w:pPr>
    </w:p>
    <w:p>
      <w:pPr>
        <w:pStyle w:val="BodyText"/>
        <w:spacing w:line="360" w:lineRule="auto" w:before="139"/>
        <w:ind w:left="116" w:right="128"/>
        <w:jc w:val="both"/>
      </w:pPr>
      <w:r>
        <w:rPr/>
        <w:t>Por su  parte  Bouchard  (1991),  menciona  que  en  la  comunidad  científica  se  acepta una clasificación de obesidad en 4 categorías atendiendo a  criterios relacionados  con  la  distribución  de  los  depósitos  de</w:t>
      </w:r>
      <w:r>
        <w:rPr>
          <w:spacing w:val="44"/>
        </w:rPr>
        <w:t> </w:t>
      </w:r>
      <w:r>
        <w:rPr/>
        <w:t>grasa:</w:t>
      </w:r>
    </w:p>
    <w:p>
      <w:pPr>
        <w:pStyle w:val="BodyText"/>
      </w:pPr>
    </w:p>
    <w:p>
      <w:pPr>
        <w:pStyle w:val="BodyText"/>
        <w:spacing w:line="360" w:lineRule="auto" w:before="144"/>
        <w:ind w:left="116" w:right="130"/>
        <w:jc w:val="both"/>
      </w:pPr>
      <w:r>
        <w:rPr/>
        <w:t>La obesidad tipo I,  se  caracteriza  por  el  exceso  de  grasa  corporal  total  sin  que  se produzca una concentración específica de tejido adiposo  en  alguna  región  corporal.</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116" w:right="115"/>
        <w:jc w:val="both"/>
      </w:pPr>
      <w:r>
        <w:rPr/>
        <w:t>La  obesidad  tipo  II,  caracterizada  por  el  exceso  de  grasa subcutánea  en  la  región abdominal y  el  tronco. La  obesidad  tipo  II  tiene  mayor  incidencia  en varones,  y  suele  asociarse  con  altos  niveles  de  colesterol  tipo  LDL.  </w:t>
      </w:r>
      <w:r>
        <w:rPr>
          <w:spacing w:val="3"/>
        </w:rPr>
        <w:t>Esta</w:t>
      </w:r>
      <w:r>
        <w:rPr>
          <w:spacing w:val="72"/>
        </w:rPr>
        <w:t> </w:t>
      </w:r>
      <w:r>
        <w:rPr/>
        <w:t>situación aumenta el riesgo de aparición de alteraciones cardiovasculares y otras enfermedades</w:t>
      </w:r>
      <w:r>
        <w:rPr>
          <w:spacing w:val="59"/>
        </w:rPr>
        <w:t> </w:t>
      </w:r>
      <w:r>
        <w:rPr/>
        <w:t>asociadas.</w:t>
      </w:r>
    </w:p>
    <w:p>
      <w:pPr>
        <w:pStyle w:val="BodyText"/>
      </w:pPr>
    </w:p>
    <w:p>
      <w:pPr>
        <w:pStyle w:val="BodyText"/>
        <w:spacing w:line="360" w:lineRule="auto" w:before="144"/>
        <w:ind w:left="116" w:right="127"/>
        <w:jc w:val="both"/>
      </w:pPr>
      <w:r>
        <w:rPr/>
        <w:t>La obesidad tipo III, menciona que se caracteriza por el exceso de grasa víscero-abdominal.</w:t>
      </w:r>
    </w:p>
    <w:p>
      <w:pPr>
        <w:pStyle w:val="BodyText"/>
      </w:pPr>
    </w:p>
    <w:p>
      <w:pPr>
        <w:pStyle w:val="BodyText"/>
        <w:spacing w:line="360" w:lineRule="auto" w:before="144"/>
        <w:ind w:left="116" w:right="111" w:firstLine="67"/>
        <w:jc w:val="both"/>
      </w:pPr>
      <w:r>
        <w:rPr/>
        <w:t>Y por último la obesidad tipo IV, determinada por  el  exceso  de  grasa  glúteo-  femoral. La obesidad tipo IV es </w:t>
      </w:r>
      <w:r>
        <w:rPr>
          <w:spacing w:val="-3"/>
        </w:rPr>
        <w:t>más </w:t>
      </w:r>
      <w:r>
        <w:rPr/>
        <w:t>común en mujeres, resultando  fundamental  atender a  situaciones  críticas  en  las  que  se  producen  cambios  determinantes  en el organismo, como el ciclo reproductivo o embarazos repetidos, ya que dichas situaciones  pueden  favorecer  un  acumulo  substancial  de  grasa  en  estos  depósitos.</w:t>
      </w:r>
    </w:p>
    <w:p>
      <w:pPr>
        <w:pStyle w:val="BodyText"/>
        <w:spacing w:before="8"/>
        <w:rPr>
          <w:sz w:val="35"/>
        </w:rPr>
      </w:pPr>
    </w:p>
    <w:p>
      <w:pPr>
        <w:pStyle w:val="Heading1"/>
        <w:numPr>
          <w:ilvl w:val="2"/>
          <w:numId w:val="5"/>
        </w:numPr>
        <w:tabs>
          <w:tab w:pos="837" w:val="left" w:leader="none"/>
        </w:tabs>
        <w:spacing w:line="240" w:lineRule="auto" w:before="0" w:after="0"/>
        <w:ind w:left="837" w:right="0" w:hanging="721"/>
        <w:jc w:val="both"/>
      </w:pPr>
      <w:r>
        <w:rPr/>
        <w:t>Medidas  antropométricas  para  determinar  sobrepeso  u</w:t>
      </w:r>
      <w:r>
        <w:rPr>
          <w:spacing w:val="37"/>
        </w:rPr>
        <w:t> </w:t>
      </w:r>
      <w:r>
        <w:rPr/>
        <w:t>obesidad</w:t>
      </w:r>
    </w:p>
    <w:p>
      <w:pPr>
        <w:pStyle w:val="BodyText"/>
        <w:rPr>
          <w:b/>
        </w:rPr>
      </w:pPr>
    </w:p>
    <w:p>
      <w:pPr>
        <w:pStyle w:val="BodyText"/>
        <w:spacing w:before="7"/>
        <w:rPr>
          <w:b/>
        </w:rPr>
      </w:pPr>
    </w:p>
    <w:p>
      <w:pPr>
        <w:pStyle w:val="BodyText"/>
        <w:spacing w:line="360" w:lineRule="auto"/>
        <w:ind w:left="116" w:right="120"/>
        <w:jc w:val="both"/>
      </w:pPr>
      <w:r>
        <w:rPr/>
        <w:t>Han, Van Leer, Seidell y Lean (1995), mencionan que el índice de relación cintura-cadera, así como la circunferencia de  la  cadera  y  el  Índice  de  Masa Corporal pueden ser utilizados para identificar las secciones de la  población  con  mayor  riesgo  para  contraer  enfermedades</w:t>
      </w:r>
      <w:r>
        <w:rPr>
          <w:spacing w:val="44"/>
        </w:rPr>
        <w:t> </w:t>
      </w:r>
      <w:r>
        <w:rPr/>
        <w:t>crónicas.</w:t>
      </w:r>
    </w:p>
    <w:p>
      <w:pPr>
        <w:pStyle w:val="BodyText"/>
      </w:pPr>
    </w:p>
    <w:p>
      <w:pPr>
        <w:pStyle w:val="BodyText"/>
        <w:spacing w:line="360" w:lineRule="auto" w:before="139"/>
        <w:ind w:left="116" w:right="129"/>
        <w:jc w:val="both"/>
      </w:pPr>
      <w:r>
        <w:rPr/>
        <w:t>Para establecer </w:t>
      </w:r>
      <w:r>
        <w:rPr>
          <w:spacing w:val="-3"/>
        </w:rPr>
        <w:t>si </w:t>
      </w:r>
      <w:r>
        <w:rPr/>
        <w:t>se  presenta  sobrepeso  u  obesidad  y  el  tipo  de  obesidad  en  una persona, existen diversos índices que permiten determinar </w:t>
      </w:r>
      <w:r>
        <w:rPr>
          <w:spacing w:val="-3"/>
        </w:rPr>
        <w:t>cuál </w:t>
      </w:r>
      <w:r>
        <w:rPr/>
        <w:t>es el tipo de obesidad que se manifiesta o </w:t>
      </w:r>
      <w:r>
        <w:rPr>
          <w:spacing w:val="-3"/>
        </w:rPr>
        <w:t>si </w:t>
      </w:r>
      <w:r>
        <w:rPr/>
        <w:t>es sobrepeso. Diversos autores y organismos internacionales  mencionan  algunos  de</w:t>
      </w:r>
      <w:r>
        <w:rPr>
          <w:spacing w:val="-16"/>
        </w:rPr>
        <w:t> </w:t>
      </w:r>
      <w:r>
        <w:rPr/>
        <w:t>ellos:</w:t>
      </w:r>
    </w:p>
    <w:p>
      <w:pPr>
        <w:pStyle w:val="BodyText"/>
      </w:pPr>
    </w:p>
    <w:p>
      <w:pPr>
        <w:pStyle w:val="BodyText"/>
        <w:spacing w:line="345" w:lineRule="auto" w:before="140"/>
        <w:ind w:left="116" w:right="111"/>
        <w:jc w:val="both"/>
      </w:pPr>
      <w:r>
        <w:rPr/>
        <w:t>Plicometría o medición de los pliegues  cutáneos:  la  medida  de  los  pliegues  cutáneos se realiza con un lipocalibrador de presión constante (10g/mm</w:t>
      </w:r>
      <w:r>
        <w:rPr>
          <w:position w:val="11"/>
          <w:sz w:val="16"/>
        </w:rPr>
        <w:t>2</w:t>
      </w:r>
      <w:r>
        <w:rPr/>
        <w:t>),  con  precisión  de  </w:t>
      </w:r>
      <w:r>
        <w:rPr>
          <w:spacing w:val="-3"/>
        </w:rPr>
        <w:t>0.2mm;   </w:t>
      </w:r>
      <w:r>
        <w:rPr/>
        <w:t>quien  lo  realiza  ya  sea  un  médico   o  nutriólogo   debe     </w:t>
      </w:r>
      <w:r>
        <w:rPr>
          <w:spacing w:val="28"/>
        </w:rPr>
        <w:t> </w:t>
      </w:r>
      <w:r>
        <w:rPr/>
        <w:t>de</w:t>
      </w:r>
    </w:p>
    <w:p>
      <w:pPr>
        <w:spacing w:after="0" w:line="345"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116" w:right="110"/>
        <w:jc w:val="both"/>
      </w:pPr>
      <w:r>
        <w:rPr/>
        <w:t>tener experiencia en el uso de esta técnica. Los pliegues </w:t>
      </w:r>
      <w:r>
        <w:rPr>
          <w:spacing w:val="-3"/>
        </w:rPr>
        <w:t>más </w:t>
      </w:r>
      <w:r>
        <w:rPr/>
        <w:t>utilizados son el subescapular y el tricipital, junto con el suprailíaco y el bicipital.  Ésta  técnica  de medida debe ajustarse a  un  procedimiento  estandarizado  (Alonso  y  Redondo,  2002).</w:t>
      </w:r>
    </w:p>
    <w:p>
      <w:pPr>
        <w:pStyle w:val="BodyText"/>
      </w:pPr>
    </w:p>
    <w:p>
      <w:pPr>
        <w:pStyle w:val="BodyText"/>
        <w:spacing w:line="360" w:lineRule="auto" w:before="144"/>
        <w:ind w:left="116" w:right="119"/>
        <w:jc w:val="both"/>
      </w:pPr>
      <w:r>
        <w:rPr/>
        <w:t>Otra medida es la relación cintura-cadera, ésta  medida  permite  clasificar  a  la  persona obesa y marca  un  factor  pronóstico  en  cuanto  a  morbilidad. Es  un indicador de la distribución de grasa corporal y  puede  distinguir  los  dos  patrones entre  la  distribución  tipo  androide  con  predominio  de  la  grasa  en  la  parte  superior del tronco, y  la  de  tipo  ginecoide  con  predominio  de  grasa  en  las  caderas  (Wang,  Heshka  &amp;  Pierson,</w:t>
      </w:r>
      <w:r>
        <w:rPr>
          <w:spacing w:val="54"/>
        </w:rPr>
        <w:t> </w:t>
      </w:r>
      <w:r>
        <w:rPr/>
        <w:t>1995).</w:t>
      </w:r>
    </w:p>
    <w:p>
      <w:pPr>
        <w:pStyle w:val="BodyText"/>
      </w:pPr>
    </w:p>
    <w:p>
      <w:pPr>
        <w:pStyle w:val="BodyText"/>
        <w:spacing w:line="362" w:lineRule="auto" w:before="139"/>
        <w:ind w:left="116" w:right="112"/>
        <w:jc w:val="both"/>
      </w:pPr>
      <w:r>
        <w:rPr/>
        <w:t>De acuerdo con el Diario Oficial  de  la  Federación  (2000)  el  exceso  de  grasa visceral es un factor de riesgo para las  enfermedades  crónico-degenerativas.  El  índice de  relación  cintura-cadera  se  determina  mediante  la  siguiente</w:t>
      </w:r>
      <w:r>
        <w:rPr>
          <w:spacing w:val="37"/>
        </w:rPr>
        <w:t> </w:t>
      </w:r>
      <w:r>
        <w:rPr/>
        <w:t>fórmula:</w:t>
      </w:r>
    </w:p>
    <w:p>
      <w:pPr>
        <w:pStyle w:val="BodyText"/>
        <w:spacing w:before="10"/>
        <w:rPr>
          <w:sz w:val="35"/>
        </w:rPr>
      </w:pPr>
    </w:p>
    <w:p>
      <w:pPr>
        <w:pStyle w:val="BodyText"/>
        <w:ind w:left="390" w:right="394"/>
        <w:jc w:val="center"/>
      </w:pPr>
      <w:r>
        <w:rPr/>
        <w:t>ICC= circunferencia  de  cintura  en cm / circunferencia  de  cadera  en</w:t>
      </w:r>
      <w:r>
        <w:rPr>
          <w:spacing w:val="54"/>
        </w:rPr>
        <w:t> </w:t>
      </w:r>
      <w:r>
        <w:rPr>
          <w:spacing w:val="-3"/>
        </w:rPr>
        <w:t>cm.</w:t>
      </w:r>
    </w:p>
    <w:p>
      <w:pPr>
        <w:pStyle w:val="BodyText"/>
      </w:pPr>
    </w:p>
    <w:p>
      <w:pPr>
        <w:pStyle w:val="BodyText"/>
        <w:spacing w:before="2"/>
      </w:pPr>
    </w:p>
    <w:p>
      <w:pPr>
        <w:pStyle w:val="BodyText"/>
        <w:spacing w:line="360" w:lineRule="auto" w:before="1"/>
        <w:ind w:left="116" w:right="110"/>
        <w:jc w:val="both"/>
      </w:pPr>
      <w:r>
        <w:rPr/>
        <w:t>Basándose en el índice  de  relación  cintura-cadera,  se pueden  clasificar  dos  tipos  de obesidad </w:t>
      </w:r>
      <w:r>
        <w:rPr>
          <w:spacing w:val="-3"/>
        </w:rPr>
        <w:t>más </w:t>
      </w:r>
      <w:r>
        <w:rPr/>
        <w:t>debido a que  la  relación  cintura  cadera  es  una  medida  que  ayuda a realizar  una  valoración  de  la  composición  corporal,  y  de  acuerdo  a  ésta la obesidad se puede clasificar en dos, de tipo  androide  y  de  tipo  ginecoide.  Balderas y  Balderas  (2015),  mencionan  que  la  obesidad  de  tipo  androide  o central, la cual se caracteriza por la acumulación de grasa  en  el  tronco  y  el  abdomen, con un valor de  ICC  &gt;1.0  en  hombres  y  &gt;0.85  en  mujeres  y,  la  obesidad de tipo ginecoide o periférica que distribuye la grasa en  el  área gluteofemoral,  con  valores  de  ICC  mayores  que  los  ya   señalados  por   cada sexo.</w:t>
      </w:r>
    </w:p>
    <w:p>
      <w:pPr>
        <w:pStyle w:val="BodyText"/>
      </w:pPr>
    </w:p>
    <w:p>
      <w:pPr>
        <w:pStyle w:val="BodyText"/>
        <w:spacing w:line="362" w:lineRule="auto" w:before="140"/>
        <w:ind w:left="116" w:right="121"/>
        <w:jc w:val="both"/>
      </w:pPr>
      <w:r>
        <w:rPr/>
        <w:t>Por su parte la  OMS  (2015),  menciona  al  Índice  de  Masa  corporal  (IMC)  como  una  medida  para  calcular  el  sobrepeso  y  la  obesidad  pues  es  un  indicador    </w:t>
      </w:r>
      <w:r>
        <w:rPr>
          <w:spacing w:val="62"/>
        </w:rPr>
        <w:t> </w:t>
      </w:r>
      <w:r>
        <w:rPr/>
        <w:t>de</w:t>
      </w:r>
    </w:p>
    <w:p>
      <w:pPr>
        <w:spacing w:after="0" w:line="362" w:lineRule="auto"/>
        <w:jc w:val="both"/>
        <w:sectPr>
          <w:pgSz w:w="12240" w:h="15840"/>
          <w:pgMar w:header="729" w:footer="0" w:top="960" w:bottom="280" w:left="1300" w:right="1300"/>
        </w:sectPr>
      </w:pPr>
    </w:p>
    <w:p>
      <w:pPr>
        <w:pStyle w:val="BodyText"/>
        <w:rPr>
          <w:sz w:val="20"/>
        </w:rPr>
      </w:pPr>
    </w:p>
    <w:p>
      <w:pPr>
        <w:pStyle w:val="BodyText"/>
        <w:spacing w:line="333" w:lineRule="auto" w:before="213"/>
        <w:ind w:left="116" w:right="212"/>
      </w:pPr>
      <w:r>
        <w:rPr/>
        <w:t>relación entre el peso y  la  talla.  Éste  se  calcula  dividiendo  el  peso  de  una  persona  en  kilos,  por  el  cuadrado  de  su  talla  en  metros</w:t>
      </w:r>
      <w:r>
        <w:rPr>
          <w:spacing w:val="37"/>
        </w:rPr>
        <w:t> </w:t>
      </w:r>
      <w:r>
        <w:rPr/>
        <w:t>(Kg/m</w:t>
      </w:r>
      <w:r>
        <w:rPr>
          <w:position w:val="11"/>
          <w:sz w:val="16"/>
        </w:rPr>
        <w:t>2</w:t>
      </w:r>
      <w:r>
        <w:rPr/>
        <w:t>).</w:t>
      </w:r>
    </w:p>
    <w:p>
      <w:pPr>
        <w:pStyle w:val="BodyText"/>
        <w:spacing w:before="5"/>
        <w:rPr>
          <w:sz w:val="37"/>
        </w:rPr>
      </w:pPr>
    </w:p>
    <w:p>
      <w:pPr>
        <w:pStyle w:val="BodyText"/>
        <w:ind w:left="116" w:right="212"/>
      </w:pPr>
      <w:r>
        <w:rPr/>
        <w:t>La  definición  de  la  OMS  es  la siguiente:</w:t>
      </w:r>
    </w:p>
    <w:p>
      <w:pPr>
        <w:pStyle w:val="ListParagraph"/>
        <w:numPr>
          <w:ilvl w:val="0"/>
          <w:numId w:val="6"/>
        </w:numPr>
        <w:tabs>
          <w:tab w:pos="836" w:val="left" w:leader="none"/>
          <w:tab w:pos="837" w:val="left" w:leader="none"/>
        </w:tabs>
        <w:spacing w:line="240" w:lineRule="auto" w:before="135" w:after="0"/>
        <w:ind w:left="837" w:right="0" w:hanging="361"/>
        <w:jc w:val="left"/>
        <w:rPr>
          <w:sz w:val="24"/>
        </w:rPr>
      </w:pPr>
      <w:r>
        <w:rPr>
          <w:sz w:val="24"/>
        </w:rPr>
        <w:t>Un  IMC  igual  o  superior  a  25  determina</w:t>
      </w:r>
      <w:r>
        <w:rPr>
          <w:spacing w:val="44"/>
          <w:sz w:val="24"/>
        </w:rPr>
        <w:t> </w:t>
      </w:r>
      <w:r>
        <w:rPr>
          <w:sz w:val="24"/>
        </w:rPr>
        <w:t>sobrepeso.</w:t>
      </w:r>
    </w:p>
    <w:p>
      <w:pPr>
        <w:pStyle w:val="ListParagraph"/>
        <w:numPr>
          <w:ilvl w:val="0"/>
          <w:numId w:val="6"/>
        </w:numPr>
        <w:tabs>
          <w:tab w:pos="836" w:val="left" w:leader="none"/>
          <w:tab w:pos="837" w:val="left" w:leader="none"/>
        </w:tabs>
        <w:spacing w:line="240" w:lineRule="auto" w:before="138" w:after="0"/>
        <w:ind w:left="837" w:right="0" w:hanging="361"/>
        <w:jc w:val="left"/>
        <w:rPr>
          <w:sz w:val="24"/>
        </w:rPr>
      </w:pPr>
      <w:r>
        <w:rPr>
          <w:sz w:val="24"/>
        </w:rPr>
        <w:t>Un  IMC  igual  o  superior  a  30  determina</w:t>
      </w:r>
      <w:r>
        <w:rPr>
          <w:spacing w:val="51"/>
          <w:sz w:val="24"/>
        </w:rPr>
        <w:t> </w:t>
      </w:r>
      <w:r>
        <w:rPr>
          <w:sz w:val="24"/>
        </w:rPr>
        <w:t>obesidad.</w:t>
      </w:r>
    </w:p>
    <w:p>
      <w:pPr>
        <w:pStyle w:val="BodyText"/>
      </w:pPr>
    </w:p>
    <w:p>
      <w:pPr>
        <w:pStyle w:val="BodyText"/>
        <w:spacing w:before="1"/>
      </w:pPr>
    </w:p>
    <w:p>
      <w:pPr>
        <w:pStyle w:val="BodyText"/>
        <w:spacing w:line="360" w:lineRule="auto"/>
        <w:ind w:left="116" w:right="212"/>
      </w:pPr>
      <w:r>
        <w:rPr/>
        <w:t>La  OMS,  clasifica  el  peso  con  relación  al  Índice  de  Masa  Corporal  en: bajo  peso,  peso  normal,  sobrepeso  y tres  tipos  de  obesidad. (Tabla</w:t>
      </w:r>
      <w:r>
        <w:rPr>
          <w:spacing w:val="30"/>
        </w:rPr>
        <w:t> </w:t>
      </w:r>
      <w:r>
        <w:rPr/>
        <w:t>2.)</w:t>
      </w:r>
    </w:p>
    <w:p>
      <w:pPr>
        <w:pStyle w:val="BodyText"/>
      </w:pPr>
    </w:p>
    <w:p>
      <w:pPr>
        <w:pStyle w:val="BodyText"/>
        <w:spacing w:before="145"/>
        <w:ind w:left="116" w:right="212"/>
      </w:pPr>
      <w:r>
        <w:rPr/>
        <w:t>Tabla 2. Clasificación  del  peso  en  relación  al  IMC  de  acuerdo  a  la OMS</w:t>
      </w:r>
    </w:p>
    <w:p>
      <w:pPr>
        <w:pStyle w:val="BodyText"/>
        <w:spacing w:before="3"/>
        <w:rPr>
          <w:sz w:val="12"/>
        </w:rPr>
      </w:pPr>
    </w:p>
    <w:tbl>
      <w:tblPr>
        <w:tblW w:w="0" w:type="auto"/>
        <w:jc w:val="left"/>
        <w:tblInd w:w="4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54"/>
        <w:gridCol w:w="2286"/>
        <w:gridCol w:w="3722"/>
      </w:tblGrid>
      <w:tr>
        <w:trPr>
          <w:trHeight w:val="835" w:hRule="exact"/>
        </w:trPr>
        <w:tc>
          <w:tcPr>
            <w:tcW w:w="2654" w:type="dxa"/>
            <w:tcBorders>
              <w:left w:val="nil"/>
              <w:right w:val="nil"/>
            </w:tcBorders>
          </w:tcPr>
          <w:p>
            <w:pPr>
              <w:pStyle w:val="TableParagraph"/>
              <w:spacing w:line="267" w:lineRule="exact"/>
              <w:ind w:left="124"/>
              <w:rPr>
                <w:b/>
                <w:sz w:val="24"/>
              </w:rPr>
            </w:pPr>
            <w:r>
              <w:rPr>
                <w:b/>
                <w:sz w:val="24"/>
              </w:rPr>
              <w:t>Estadio</w:t>
            </w:r>
          </w:p>
        </w:tc>
        <w:tc>
          <w:tcPr>
            <w:tcW w:w="2286" w:type="dxa"/>
            <w:tcBorders>
              <w:left w:val="nil"/>
              <w:right w:val="nil"/>
            </w:tcBorders>
          </w:tcPr>
          <w:p>
            <w:pPr>
              <w:pStyle w:val="TableParagraph"/>
              <w:spacing w:line="267" w:lineRule="exact"/>
              <w:ind w:left="351"/>
              <w:rPr>
                <w:b/>
                <w:sz w:val="24"/>
              </w:rPr>
            </w:pPr>
            <w:r>
              <w:rPr>
                <w:b/>
                <w:sz w:val="24"/>
              </w:rPr>
              <w:t>IMC</w:t>
            </w:r>
          </w:p>
          <w:p>
            <w:pPr>
              <w:pStyle w:val="TableParagraph"/>
              <w:spacing w:line="240" w:lineRule="auto" w:before="137"/>
              <w:ind w:left="351"/>
              <w:rPr>
                <w:b/>
                <w:sz w:val="24"/>
              </w:rPr>
            </w:pPr>
            <w:r>
              <w:rPr>
                <w:b/>
                <w:sz w:val="24"/>
              </w:rPr>
              <w:t>(Kg/m2)</w:t>
            </w:r>
          </w:p>
        </w:tc>
        <w:tc>
          <w:tcPr>
            <w:tcW w:w="3722" w:type="dxa"/>
            <w:tcBorders>
              <w:left w:val="nil"/>
              <w:right w:val="nil"/>
            </w:tcBorders>
          </w:tcPr>
          <w:p>
            <w:pPr>
              <w:pStyle w:val="TableParagraph"/>
              <w:spacing w:line="360" w:lineRule="auto"/>
              <w:ind w:left="945" w:right="1703"/>
              <w:rPr>
                <w:b/>
                <w:sz w:val="24"/>
              </w:rPr>
            </w:pPr>
            <w:r>
              <w:rPr>
                <w:b/>
                <w:sz w:val="24"/>
              </w:rPr>
              <w:t>Clase de obesidad</w:t>
            </w:r>
          </w:p>
        </w:tc>
      </w:tr>
      <w:tr>
        <w:trPr>
          <w:trHeight w:val="358" w:hRule="exact"/>
        </w:trPr>
        <w:tc>
          <w:tcPr>
            <w:tcW w:w="2654" w:type="dxa"/>
            <w:tcBorders>
              <w:left w:val="nil"/>
              <w:bottom w:val="nil"/>
              <w:right w:val="nil"/>
            </w:tcBorders>
          </w:tcPr>
          <w:p>
            <w:pPr>
              <w:pStyle w:val="TableParagraph"/>
              <w:spacing w:line="267" w:lineRule="exact"/>
              <w:ind w:left="124"/>
              <w:rPr>
                <w:b/>
                <w:sz w:val="24"/>
              </w:rPr>
            </w:pPr>
            <w:r>
              <w:rPr>
                <w:b/>
                <w:sz w:val="24"/>
              </w:rPr>
              <w:t>Bajo  de</w:t>
            </w:r>
            <w:r>
              <w:rPr>
                <w:b/>
                <w:spacing w:val="65"/>
                <w:sz w:val="24"/>
              </w:rPr>
              <w:t> </w:t>
            </w:r>
            <w:r>
              <w:rPr>
                <w:b/>
                <w:sz w:val="24"/>
              </w:rPr>
              <w:t>peso</w:t>
            </w:r>
          </w:p>
        </w:tc>
        <w:tc>
          <w:tcPr>
            <w:tcW w:w="2286" w:type="dxa"/>
            <w:tcBorders>
              <w:left w:val="nil"/>
              <w:bottom w:val="nil"/>
              <w:right w:val="nil"/>
            </w:tcBorders>
          </w:tcPr>
          <w:p>
            <w:pPr>
              <w:pStyle w:val="TableParagraph"/>
              <w:spacing w:line="272" w:lineRule="exact"/>
              <w:ind w:left="351"/>
              <w:rPr>
                <w:sz w:val="24"/>
              </w:rPr>
            </w:pPr>
            <w:r>
              <w:rPr>
                <w:sz w:val="24"/>
              </w:rPr>
              <w:t>&lt; 18.5</w:t>
            </w:r>
          </w:p>
        </w:tc>
        <w:tc>
          <w:tcPr>
            <w:tcW w:w="3722" w:type="dxa"/>
            <w:tcBorders>
              <w:left w:val="nil"/>
              <w:bottom w:val="nil"/>
              <w:right w:val="nil"/>
            </w:tcBorders>
          </w:tcPr>
          <w:p>
            <w:pPr/>
          </w:p>
        </w:tc>
      </w:tr>
      <w:tr>
        <w:trPr>
          <w:trHeight w:val="415" w:hRule="exact"/>
        </w:trPr>
        <w:tc>
          <w:tcPr>
            <w:tcW w:w="2654" w:type="dxa"/>
            <w:tcBorders>
              <w:top w:val="nil"/>
              <w:left w:val="nil"/>
              <w:bottom w:val="nil"/>
              <w:right w:val="nil"/>
            </w:tcBorders>
          </w:tcPr>
          <w:p>
            <w:pPr>
              <w:pStyle w:val="TableParagraph"/>
              <w:spacing w:line="240" w:lineRule="auto" w:before="55"/>
              <w:ind w:left="124"/>
              <w:rPr>
                <w:b/>
                <w:sz w:val="24"/>
              </w:rPr>
            </w:pPr>
            <w:r>
              <w:rPr>
                <w:b/>
                <w:sz w:val="24"/>
              </w:rPr>
              <w:t>Normal</w:t>
            </w:r>
          </w:p>
        </w:tc>
        <w:tc>
          <w:tcPr>
            <w:tcW w:w="2286" w:type="dxa"/>
            <w:tcBorders>
              <w:top w:val="nil"/>
              <w:left w:val="nil"/>
              <w:bottom w:val="nil"/>
              <w:right w:val="nil"/>
            </w:tcBorders>
          </w:tcPr>
          <w:p>
            <w:pPr>
              <w:pStyle w:val="TableParagraph"/>
              <w:spacing w:line="240" w:lineRule="auto" w:before="60"/>
              <w:ind w:left="351"/>
              <w:rPr>
                <w:sz w:val="24"/>
              </w:rPr>
            </w:pPr>
            <w:r>
              <w:rPr>
                <w:sz w:val="24"/>
              </w:rPr>
              <w:t>18.5-24.9</w:t>
            </w:r>
          </w:p>
        </w:tc>
        <w:tc>
          <w:tcPr>
            <w:tcW w:w="3722" w:type="dxa"/>
            <w:tcBorders>
              <w:top w:val="nil"/>
              <w:left w:val="nil"/>
              <w:bottom w:val="nil"/>
              <w:right w:val="nil"/>
            </w:tcBorders>
          </w:tcPr>
          <w:p>
            <w:pPr/>
          </w:p>
        </w:tc>
      </w:tr>
      <w:tr>
        <w:trPr>
          <w:trHeight w:val="413" w:hRule="exact"/>
        </w:trPr>
        <w:tc>
          <w:tcPr>
            <w:tcW w:w="2654" w:type="dxa"/>
            <w:tcBorders>
              <w:top w:val="nil"/>
              <w:left w:val="nil"/>
              <w:bottom w:val="nil"/>
              <w:right w:val="nil"/>
            </w:tcBorders>
          </w:tcPr>
          <w:p>
            <w:pPr>
              <w:pStyle w:val="TableParagraph"/>
              <w:spacing w:line="240" w:lineRule="auto" w:before="53"/>
              <w:ind w:left="124"/>
              <w:rPr>
                <w:b/>
                <w:sz w:val="24"/>
              </w:rPr>
            </w:pPr>
            <w:r>
              <w:rPr>
                <w:b/>
                <w:sz w:val="24"/>
              </w:rPr>
              <w:t>Sobrepeso</w:t>
            </w:r>
          </w:p>
        </w:tc>
        <w:tc>
          <w:tcPr>
            <w:tcW w:w="2286" w:type="dxa"/>
            <w:tcBorders>
              <w:top w:val="nil"/>
              <w:left w:val="nil"/>
              <w:bottom w:val="nil"/>
              <w:right w:val="nil"/>
            </w:tcBorders>
          </w:tcPr>
          <w:p>
            <w:pPr>
              <w:pStyle w:val="TableParagraph"/>
              <w:spacing w:line="240" w:lineRule="auto" w:before="58"/>
              <w:ind w:left="351"/>
              <w:rPr>
                <w:sz w:val="24"/>
              </w:rPr>
            </w:pPr>
            <w:r>
              <w:rPr>
                <w:sz w:val="24"/>
              </w:rPr>
              <w:t>25-29,9</w:t>
            </w:r>
          </w:p>
        </w:tc>
        <w:tc>
          <w:tcPr>
            <w:tcW w:w="3722" w:type="dxa"/>
            <w:tcBorders>
              <w:top w:val="nil"/>
              <w:left w:val="nil"/>
              <w:bottom w:val="nil"/>
              <w:right w:val="nil"/>
            </w:tcBorders>
          </w:tcPr>
          <w:p>
            <w:pPr/>
          </w:p>
        </w:tc>
      </w:tr>
      <w:tr>
        <w:trPr>
          <w:trHeight w:val="413" w:hRule="exact"/>
        </w:trPr>
        <w:tc>
          <w:tcPr>
            <w:tcW w:w="2654" w:type="dxa"/>
            <w:tcBorders>
              <w:top w:val="nil"/>
              <w:left w:val="nil"/>
              <w:bottom w:val="nil"/>
              <w:right w:val="nil"/>
            </w:tcBorders>
          </w:tcPr>
          <w:p>
            <w:pPr>
              <w:pStyle w:val="TableParagraph"/>
              <w:spacing w:line="240" w:lineRule="auto" w:before="53"/>
              <w:ind w:left="124"/>
              <w:rPr>
                <w:b/>
                <w:sz w:val="24"/>
              </w:rPr>
            </w:pPr>
            <w:r>
              <w:rPr>
                <w:b/>
                <w:sz w:val="24"/>
              </w:rPr>
              <w:t>Obesidad</w:t>
            </w:r>
          </w:p>
        </w:tc>
        <w:tc>
          <w:tcPr>
            <w:tcW w:w="2286" w:type="dxa"/>
            <w:tcBorders>
              <w:top w:val="nil"/>
              <w:left w:val="nil"/>
              <w:bottom w:val="nil"/>
              <w:right w:val="nil"/>
            </w:tcBorders>
          </w:tcPr>
          <w:p>
            <w:pPr>
              <w:pStyle w:val="TableParagraph"/>
              <w:spacing w:line="240" w:lineRule="auto" w:before="58"/>
              <w:ind w:left="351"/>
              <w:rPr>
                <w:sz w:val="24"/>
              </w:rPr>
            </w:pPr>
            <w:r>
              <w:rPr>
                <w:sz w:val="24"/>
              </w:rPr>
              <w:t>30- 34,9</w:t>
            </w:r>
          </w:p>
        </w:tc>
        <w:tc>
          <w:tcPr>
            <w:tcW w:w="3722" w:type="dxa"/>
            <w:tcBorders>
              <w:top w:val="nil"/>
              <w:left w:val="nil"/>
              <w:bottom w:val="nil"/>
              <w:right w:val="nil"/>
            </w:tcBorders>
          </w:tcPr>
          <w:p>
            <w:pPr>
              <w:pStyle w:val="TableParagraph"/>
              <w:spacing w:line="240" w:lineRule="auto" w:before="58"/>
              <w:ind w:left="945"/>
              <w:rPr>
                <w:sz w:val="24"/>
              </w:rPr>
            </w:pPr>
            <w:r>
              <w:rPr>
                <w:w w:val="100"/>
                <w:sz w:val="24"/>
              </w:rPr>
              <w:t>I</w:t>
            </w:r>
          </w:p>
        </w:tc>
      </w:tr>
      <w:tr>
        <w:trPr>
          <w:trHeight w:val="415" w:hRule="exact"/>
        </w:trPr>
        <w:tc>
          <w:tcPr>
            <w:tcW w:w="2654" w:type="dxa"/>
            <w:tcBorders>
              <w:top w:val="nil"/>
              <w:left w:val="nil"/>
              <w:bottom w:val="nil"/>
              <w:right w:val="nil"/>
            </w:tcBorders>
          </w:tcPr>
          <w:p>
            <w:pPr>
              <w:pStyle w:val="TableParagraph"/>
              <w:spacing w:line="240" w:lineRule="auto" w:before="53"/>
              <w:ind w:left="124"/>
              <w:rPr>
                <w:b/>
                <w:sz w:val="24"/>
              </w:rPr>
            </w:pPr>
            <w:r>
              <w:rPr>
                <w:b/>
                <w:sz w:val="24"/>
              </w:rPr>
              <w:t>Obesidad</w:t>
            </w:r>
          </w:p>
        </w:tc>
        <w:tc>
          <w:tcPr>
            <w:tcW w:w="2286" w:type="dxa"/>
            <w:tcBorders>
              <w:top w:val="nil"/>
              <w:left w:val="nil"/>
              <w:bottom w:val="nil"/>
              <w:right w:val="nil"/>
            </w:tcBorders>
          </w:tcPr>
          <w:p>
            <w:pPr>
              <w:pStyle w:val="TableParagraph"/>
              <w:spacing w:line="240" w:lineRule="auto" w:before="58"/>
              <w:ind w:left="351"/>
              <w:rPr>
                <w:sz w:val="24"/>
              </w:rPr>
            </w:pPr>
            <w:r>
              <w:rPr>
                <w:sz w:val="24"/>
              </w:rPr>
              <w:t>35-39,9</w:t>
            </w:r>
          </w:p>
        </w:tc>
        <w:tc>
          <w:tcPr>
            <w:tcW w:w="3722" w:type="dxa"/>
            <w:tcBorders>
              <w:top w:val="nil"/>
              <w:left w:val="nil"/>
              <w:bottom w:val="nil"/>
              <w:right w:val="nil"/>
            </w:tcBorders>
          </w:tcPr>
          <w:p>
            <w:pPr>
              <w:pStyle w:val="TableParagraph"/>
              <w:spacing w:line="240" w:lineRule="auto" w:before="58"/>
              <w:ind w:left="945" w:right="1703"/>
              <w:rPr>
                <w:sz w:val="24"/>
              </w:rPr>
            </w:pPr>
            <w:r>
              <w:rPr>
                <w:sz w:val="24"/>
              </w:rPr>
              <w:t>II</w:t>
            </w:r>
          </w:p>
        </w:tc>
      </w:tr>
      <w:tr>
        <w:trPr>
          <w:trHeight w:val="482" w:hRule="exact"/>
        </w:trPr>
        <w:tc>
          <w:tcPr>
            <w:tcW w:w="2654" w:type="dxa"/>
            <w:tcBorders>
              <w:top w:val="nil"/>
              <w:left w:val="nil"/>
              <w:right w:val="nil"/>
            </w:tcBorders>
          </w:tcPr>
          <w:p>
            <w:pPr>
              <w:pStyle w:val="TableParagraph"/>
              <w:spacing w:line="240" w:lineRule="auto" w:before="55"/>
              <w:ind w:left="124"/>
              <w:rPr>
                <w:b/>
                <w:sz w:val="24"/>
              </w:rPr>
            </w:pPr>
            <w:r>
              <w:rPr>
                <w:b/>
                <w:sz w:val="24"/>
              </w:rPr>
              <w:t>Obesidad</w:t>
            </w:r>
            <w:r>
              <w:rPr>
                <w:b/>
                <w:spacing w:val="62"/>
                <w:sz w:val="24"/>
              </w:rPr>
              <w:t> </w:t>
            </w:r>
            <w:r>
              <w:rPr>
                <w:b/>
                <w:sz w:val="24"/>
              </w:rPr>
              <w:t>mórbida</w:t>
            </w:r>
          </w:p>
        </w:tc>
        <w:tc>
          <w:tcPr>
            <w:tcW w:w="2286" w:type="dxa"/>
            <w:tcBorders>
              <w:top w:val="nil"/>
              <w:left w:val="nil"/>
              <w:right w:val="nil"/>
            </w:tcBorders>
          </w:tcPr>
          <w:p>
            <w:pPr>
              <w:pStyle w:val="TableParagraph"/>
              <w:tabs>
                <w:tab w:pos="1071" w:val="left" w:leader="none"/>
              </w:tabs>
              <w:spacing w:line="240" w:lineRule="auto" w:before="60"/>
              <w:ind w:left="711"/>
              <w:rPr>
                <w:sz w:val="24"/>
              </w:rPr>
            </w:pPr>
            <w:r>
              <w:rPr>
                <w:sz w:val="24"/>
              </w:rPr>
              <w:t>≥</w:t>
              <w:tab/>
              <w:t>40</w:t>
            </w:r>
          </w:p>
        </w:tc>
        <w:tc>
          <w:tcPr>
            <w:tcW w:w="3722" w:type="dxa"/>
            <w:tcBorders>
              <w:top w:val="nil"/>
              <w:left w:val="nil"/>
              <w:right w:val="nil"/>
            </w:tcBorders>
          </w:tcPr>
          <w:p>
            <w:pPr>
              <w:pStyle w:val="TableParagraph"/>
              <w:spacing w:line="240" w:lineRule="auto" w:before="60"/>
              <w:ind w:left="945" w:right="1703"/>
              <w:rPr>
                <w:sz w:val="24"/>
              </w:rPr>
            </w:pPr>
            <w:r>
              <w:rPr>
                <w:sz w:val="24"/>
              </w:rPr>
              <w:t>III</w:t>
            </w:r>
          </w:p>
        </w:tc>
      </w:tr>
    </w:tbl>
    <w:p>
      <w:pPr>
        <w:pStyle w:val="BodyText"/>
        <w:rPr>
          <w:sz w:val="20"/>
        </w:rPr>
      </w:pPr>
    </w:p>
    <w:p>
      <w:pPr>
        <w:pStyle w:val="BodyText"/>
        <w:spacing w:before="10"/>
        <w:rPr>
          <w:sz w:val="17"/>
        </w:rPr>
      </w:pPr>
    </w:p>
    <w:p>
      <w:pPr>
        <w:pStyle w:val="BodyText"/>
        <w:spacing w:line="360" w:lineRule="auto" w:before="69"/>
        <w:ind w:left="116" w:right="110"/>
        <w:jc w:val="both"/>
      </w:pPr>
      <w:r>
        <w:rPr/>
        <w:t>Dentro de la Norma Oficial Mexicana NOM-008-SSA3-2010, para  el tratamiento  integral del sobrepeso  y  la  obesidad,  hace  referencia  que  la  obesidad  se  determina cuando en las  personas  adultas  existe  un  IMC  igual  o  mayor  a  30  kg/m² y en las personas adultas de estatura baja igual o mayor a 25  kg/m². En  menores de 19 años,  la  obesidad  se  determina  cuando  el  IMC  se  encuentra  desde la  percentila  95  en  adelante,  de  las  tablas  de  IMC  para  edad  y  sexo  de  la  OMS.</w:t>
      </w:r>
    </w:p>
    <w:p>
      <w:pPr>
        <w:pStyle w:val="BodyText"/>
      </w:pPr>
    </w:p>
    <w:p>
      <w:pPr>
        <w:pStyle w:val="BodyText"/>
        <w:spacing w:line="360" w:lineRule="auto" w:before="145"/>
        <w:ind w:left="116" w:right="110"/>
        <w:jc w:val="both"/>
      </w:pPr>
      <w:r>
        <w:rPr/>
        <w:t>De  igual  modo  el  sobrepeso  es  caracterizado  por  la  existencia  de  un  IMC  igual  o mayor  a  25  kg/m²  y  menor  a  29.9  kg/m²  y  en  las  personas  adultas  de  estatura  baja,  igual  o  mayor  a  23  kg/m²  y  menor  a  25  kg/m². En  menores  de</w:t>
      </w:r>
      <w:r>
        <w:rPr>
          <w:spacing w:val="54"/>
        </w:rPr>
        <w:t> </w:t>
      </w:r>
      <w:r>
        <w:rPr/>
        <w:t>19</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09"/>
        <w:jc w:val="both"/>
      </w:pPr>
      <w:r>
        <w:rPr/>
        <w:t>años,  el  sobrepeso  se  determina  cuando  el  IMC  se  encuentra  desde  la  percentila  85  y  por  debajo  de  la  95,  de  las  tablas  de  edad  y  sexo  de  la</w:t>
      </w:r>
      <w:r>
        <w:rPr>
          <w:spacing w:val="40"/>
        </w:rPr>
        <w:t> </w:t>
      </w:r>
      <w:r>
        <w:rPr/>
        <w:t>OMS.</w:t>
      </w:r>
    </w:p>
    <w:p>
      <w:pPr>
        <w:pStyle w:val="BodyText"/>
        <w:spacing w:before="11"/>
        <w:rPr>
          <w:sz w:val="35"/>
        </w:rPr>
      </w:pPr>
    </w:p>
    <w:p>
      <w:pPr>
        <w:pStyle w:val="BodyText"/>
        <w:spacing w:line="360" w:lineRule="auto"/>
        <w:ind w:left="116" w:right="109"/>
        <w:jc w:val="both"/>
      </w:pPr>
      <w:r>
        <w:rPr/>
        <w:t>Además establece que la estatura baja es de 1.50  metros  en  la  mujer  adulta  y  menor  de  1.60  metros  para  el  hombre</w:t>
      </w:r>
      <w:r>
        <w:rPr>
          <w:spacing w:val="51"/>
        </w:rPr>
        <w:t> </w:t>
      </w:r>
      <w:r>
        <w:rPr/>
        <w:t>adulto.</w:t>
      </w:r>
    </w:p>
    <w:p>
      <w:pPr>
        <w:pStyle w:val="BodyText"/>
      </w:pPr>
    </w:p>
    <w:p>
      <w:pPr>
        <w:pStyle w:val="BodyText"/>
        <w:spacing w:line="360" w:lineRule="auto" w:before="144"/>
        <w:ind w:left="116" w:right="111"/>
        <w:jc w:val="both"/>
      </w:pPr>
      <w:r>
        <w:rPr/>
        <w:t>A  pesar  que  dentro  de  ésta  </w:t>
      </w:r>
      <w:r>
        <w:rPr>
          <w:spacing w:val="-3"/>
        </w:rPr>
        <w:t>norma  </w:t>
      </w:r>
      <w:r>
        <w:rPr/>
        <w:t>se  mencionan  los  lineamientos  para  establecer el sobrepeso o  la  obesidad  en  la  población  mexicana,  en  el  sector salud dentro de las cartillas de salud se encuentra la clasificación  del  peso  en  relación al IMC establecido por la OMS; para este estudio  se  hizo  uso  de  ésta  misma  clasificación  para  determinar  el  peso  de   los</w:t>
      </w:r>
      <w:r>
        <w:rPr>
          <w:spacing w:val="51"/>
        </w:rPr>
        <w:t> </w:t>
      </w:r>
      <w:r>
        <w:rPr/>
        <w:t>casos.</w:t>
      </w:r>
    </w:p>
    <w:p>
      <w:pPr>
        <w:pStyle w:val="Heading1"/>
        <w:numPr>
          <w:ilvl w:val="1"/>
          <w:numId w:val="5"/>
        </w:numPr>
        <w:tabs>
          <w:tab w:pos="506" w:val="left" w:leader="none"/>
        </w:tabs>
        <w:spacing w:line="274" w:lineRule="exact" w:before="0" w:after="0"/>
        <w:ind w:left="505" w:right="0" w:hanging="389"/>
        <w:jc w:val="both"/>
      </w:pPr>
      <w:r>
        <w:rPr/>
        <w:t>Factores  de  riesgo  de  la  obesidad  y  la</w:t>
      </w:r>
      <w:r>
        <w:rPr>
          <w:spacing w:val="44"/>
        </w:rPr>
        <w:t> </w:t>
      </w:r>
      <w:r>
        <w:rPr/>
        <w:t>diabetes</w:t>
      </w:r>
    </w:p>
    <w:p>
      <w:pPr>
        <w:pStyle w:val="BodyText"/>
        <w:rPr>
          <w:b/>
        </w:rPr>
      </w:pPr>
    </w:p>
    <w:p>
      <w:pPr>
        <w:pStyle w:val="BodyText"/>
        <w:spacing w:before="7"/>
        <w:rPr>
          <w:b/>
        </w:rPr>
      </w:pPr>
    </w:p>
    <w:p>
      <w:pPr>
        <w:pStyle w:val="BodyText"/>
        <w:spacing w:line="360" w:lineRule="auto"/>
        <w:ind w:left="116" w:right="113"/>
        <w:jc w:val="both"/>
      </w:pPr>
      <w:r>
        <w:rPr/>
        <w:t>La OMS (2015) menciona que un IMC elevado es factor de riesgo para contraer enfermedades no transmisibles como cáncer, enfermedades cardiovasculares, trastornos  del  aparato  locomotor,  obesidad  y  diabetes mellitus.</w:t>
      </w:r>
    </w:p>
    <w:p>
      <w:pPr>
        <w:pStyle w:val="BodyText"/>
      </w:pPr>
    </w:p>
    <w:p>
      <w:pPr>
        <w:pStyle w:val="Heading1"/>
        <w:numPr>
          <w:ilvl w:val="2"/>
          <w:numId w:val="5"/>
        </w:numPr>
        <w:tabs>
          <w:tab w:pos="722" w:val="left" w:leader="none"/>
        </w:tabs>
        <w:spacing w:line="240" w:lineRule="auto" w:before="140" w:after="0"/>
        <w:ind w:left="721" w:right="0" w:hanging="605"/>
        <w:jc w:val="both"/>
      </w:pPr>
      <w:r>
        <w:rPr/>
        <w:t>Causas  y  factores  de  riesgo  de  </w:t>
      </w:r>
      <w:r>
        <w:rPr>
          <w:spacing w:val="-3"/>
        </w:rPr>
        <w:t>la</w:t>
      </w:r>
      <w:r>
        <w:rPr>
          <w:spacing w:val="45"/>
        </w:rPr>
        <w:t> </w:t>
      </w:r>
      <w:r>
        <w:rPr/>
        <w:t>obesidad</w:t>
      </w:r>
    </w:p>
    <w:p>
      <w:pPr>
        <w:pStyle w:val="BodyText"/>
        <w:rPr>
          <w:b/>
        </w:rPr>
      </w:pPr>
    </w:p>
    <w:p>
      <w:pPr>
        <w:pStyle w:val="BodyText"/>
        <w:spacing w:before="2"/>
        <w:rPr>
          <w:b/>
        </w:rPr>
      </w:pPr>
    </w:p>
    <w:p>
      <w:pPr>
        <w:pStyle w:val="BodyText"/>
        <w:spacing w:line="360" w:lineRule="auto"/>
        <w:ind w:left="116" w:right="110"/>
        <w:jc w:val="both"/>
      </w:pPr>
      <w:r>
        <w:rPr/>
        <w:t>La obesidad y el  sobrepeso  son  enfermedades  con  causas  multifactoriales;  Balderas  y  Balderas  (2015)  indican  que  dentro  de  los  factores  que  dan  origen  a la obesidad y al  sobrepeso  se  pueden  encontrar  los  factores  genéticos,  metabólicos, endocrinológicos y ambientales, sin embargo la sobrealimentación constituye  la  primera  causa  de</w:t>
      </w:r>
      <w:r>
        <w:rPr>
          <w:spacing w:val="48"/>
        </w:rPr>
        <w:t> </w:t>
      </w:r>
      <w:r>
        <w:rPr/>
        <w:t>obesidad.</w:t>
      </w:r>
    </w:p>
    <w:p>
      <w:pPr>
        <w:pStyle w:val="BodyText"/>
      </w:pPr>
    </w:p>
    <w:p>
      <w:pPr>
        <w:pStyle w:val="BodyText"/>
        <w:spacing w:line="360" w:lineRule="auto" w:before="140"/>
        <w:ind w:left="116" w:right="123"/>
        <w:jc w:val="both"/>
      </w:pPr>
      <w:r>
        <w:rPr/>
        <w:t>Dentro  de  los  factores   genéticos  los  mismos  autores  describen  que  aún  no  se ha encontrado el marcador genético  específico  de  la  obesidad  (con  excepción  de las funciones del gen FTO  aún  imprecisas). El  genotipo  tiene  mayor  influencia  sobre  la  grasa  visceral  en  comparación  con  el  tejido  adiposo  subcutáneo.  Además  mencionan  que,  </w:t>
      </w:r>
      <w:r>
        <w:rPr>
          <w:spacing w:val="-3"/>
        </w:rPr>
        <w:t>se  </w:t>
      </w:r>
      <w:r>
        <w:rPr/>
        <w:t>ha  descubierto  una  proteína  producida  por  el   </w:t>
      </w:r>
      <w:r>
        <w:rPr>
          <w:spacing w:val="51"/>
        </w:rPr>
        <w:t> </w:t>
      </w:r>
      <w:r>
        <w:rPr/>
        <w:t>tejido</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31"/>
        <w:jc w:val="both"/>
      </w:pPr>
      <w:r>
        <w:rPr/>
        <w:t>adiposo, denominada proteína  ob  o  leptina,  que  podría  tener  un  nivel  regulador  del  apetito  y  la  actividad  física  en  el  plano</w:t>
      </w:r>
      <w:r>
        <w:rPr>
          <w:spacing w:val="41"/>
        </w:rPr>
        <w:t> </w:t>
      </w:r>
      <w:r>
        <w:rPr/>
        <w:t>hipotalámico.</w:t>
      </w:r>
    </w:p>
    <w:p>
      <w:pPr>
        <w:pStyle w:val="BodyText"/>
        <w:spacing w:before="11"/>
        <w:rPr>
          <w:sz w:val="35"/>
        </w:rPr>
      </w:pPr>
    </w:p>
    <w:p>
      <w:pPr>
        <w:pStyle w:val="BodyText"/>
        <w:spacing w:line="360" w:lineRule="auto"/>
        <w:ind w:left="116" w:right="115"/>
        <w:jc w:val="both"/>
      </w:pPr>
      <w:r>
        <w:rPr/>
        <w:t>Sin embargo mencionan que solo un porcentaje entre  2%  y  3%  de  las  personas tiene como causa alguna alteración de origen endocrinológico; siendo los  que  destacan el hipotiroidismo, el síndrome de Cushing,  hipogonadismo,  ovario  poliquístico  y  lesiones</w:t>
      </w:r>
      <w:r>
        <w:rPr>
          <w:spacing w:val="55"/>
        </w:rPr>
        <w:t> </w:t>
      </w:r>
      <w:r>
        <w:rPr/>
        <w:t>hipotalámicas.</w:t>
      </w:r>
    </w:p>
    <w:p>
      <w:pPr>
        <w:pStyle w:val="BodyText"/>
      </w:pPr>
    </w:p>
    <w:p>
      <w:pPr>
        <w:pStyle w:val="BodyText"/>
        <w:spacing w:line="360" w:lineRule="auto" w:before="139"/>
        <w:ind w:left="116" w:right="110"/>
        <w:jc w:val="both"/>
      </w:pPr>
      <w:r>
        <w:rPr/>
        <w:t>El gen  FTO,  tiene  una  relación  estrecha  con  el  desarrollo  de  obesidad,  los autores Gerken, Girard, Tung,  Webby,  Saudek,  Hewitson,  Yeo,  McDonough,  Cunliffe, McNeill, Galvanovskis, Rorsman, Robins,  Prieur,  Coll,  Ma,  Jovanovic, Farooqi, Sedgwick, Barroso, Lindahl, Ponting, Ashcroft, Rahilly, Schofield (2007) realizaron una investigación en la cual  dedujeron  que  </w:t>
      </w:r>
      <w:r>
        <w:rPr>
          <w:spacing w:val="3"/>
        </w:rPr>
        <w:t>las  </w:t>
      </w:r>
      <w:r>
        <w:rPr/>
        <w:t>variantes  en  el  FTO  (masa  grasa  y  la  obesidad  asociada)  de  </w:t>
      </w:r>
      <w:r>
        <w:rPr>
          <w:spacing w:val="2"/>
        </w:rPr>
        <w:t>genes  </w:t>
      </w:r>
      <w:r>
        <w:rPr/>
        <w:t>se  asocian   con   un   mayor  índice de masa corporal en  los  seres  humanos”,  mostrando  cómo  el  comportamiento de distintos genes,  entre  ellos  el  FTO,  se  asocian  a  la  obesidad en  niños  y</w:t>
      </w:r>
      <w:r>
        <w:rPr>
          <w:spacing w:val="64"/>
        </w:rPr>
        <w:t> </w:t>
      </w:r>
      <w:r>
        <w:rPr/>
        <w:t>adultos.</w:t>
      </w:r>
    </w:p>
    <w:p>
      <w:pPr>
        <w:pStyle w:val="BodyText"/>
      </w:pPr>
    </w:p>
    <w:p>
      <w:pPr>
        <w:pStyle w:val="BodyText"/>
        <w:spacing w:line="360" w:lineRule="auto" w:before="144"/>
        <w:ind w:left="116" w:right="123"/>
        <w:jc w:val="both"/>
      </w:pPr>
      <w:r>
        <w:rPr/>
        <w:t>En cuanto a los factores ambientales y sociales, sobresalen el  aumento  en  la  ingestión del alimento  con  grandes  cantidades  de  contenido  calórico  y  la  reducción  de  la  actividad</w:t>
      </w:r>
      <w:r>
        <w:rPr>
          <w:spacing w:val="53"/>
        </w:rPr>
        <w:t> </w:t>
      </w:r>
      <w:r>
        <w:rPr/>
        <w:t>física.</w:t>
      </w:r>
    </w:p>
    <w:p>
      <w:pPr>
        <w:pStyle w:val="BodyText"/>
      </w:pPr>
    </w:p>
    <w:p>
      <w:pPr>
        <w:pStyle w:val="BodyText"/>
        <w:spacing w:line="360" w:lineRule="auto" w:before="145"/>
        <w:ind w:left="116" w:right="109"/>
        <w:jc w:val="both"/>
      </w:pPr>
      <w:r>
        <w:rPr/>
        <w:t>Para esto la OMS (2015) menciona que la causa fundamental del sobrepeso y la obesidad es un desequilibrio energético entre calorías consumidas y  gastadas.  Además que  en  el  mundo,  se  ha  producido  un  aumento  en  la  ingesta  de alimentos hipercalóricos que son ricos en grasa, sal y azúcares pero pobres en vitaminas, minerales y otros micronutrientes; y un descenso en  la  actividad  física como resultado de la naturaleza cada vez </w:t>
      </w:r>
      <w:r>
        <w:rPr>
          <w:spacing w:val="-3"/>
        </w:rPr>
        <w:t>más </w:t>
      </w:r>
      <w:r>
        <w:rPr/>
        <w:t>sedentaria de muchas formas  de  trabajo,  de  los  nuevos  modos  de  desplazamiento  y  de  una  creciente   urbanización.</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116" w:right="112"/>
        <w:jc w:val="both"/>
      </w:pPr>
      <w:r>
        <w:rPr/>
        <w:t>Y agrega que a menudo los cambios en  los  hábitos  de  alimentación  y  actividad  física  son  consecuencia  de  cambios  ambientales  y  sociales  asociados   al desarrollo  y  de  la  falta  de   políticas   de   apoyo   en   los   diferentes   sectores  como salud; agricultura; planeamiento urbano; medio ambiente; procesamiento, distribución  y  comercialización  de  alimentos,  y</w:t>
      </w:r>
      <w:r>
        <w:rPr>
          <w:spacing w:val="51"/>
        </w:rPr>
        <w:t> </w:t>
      </w:r>
      <w:r>
        <w:rPr/>
        <w:t>educación.</w:t>
      </w:r>
    </w:p>
    <w:p>
      <w:pPr>
        <w:pStyle w:val="BodyText"/>
      </w:pPr>
    </w:p>
    <w:p>
      <w:pPr>
        <w:pStyle w:val="Heading1"/>
        <w:numPr>
          <w:ilvl w:val="2"/>
          <w:numId w:val="5"/>
        </w:numPr>
        <w:tabs>
          <w:tab w:pos="722" w:val="left" w:leader="none"/>
        </w:tabs>
        <w:spacing w:line="240" w:lineRule="auto" w:before="140" w:after="0"/>
        <w:ind w:left="721" w:right="0" w:hanging="605"/>
        <w:jc w:val="both"/>
      </w:pPr>
      <w:r>
        <w:rPr/>
        <w:t>Causas  y  factores  de  riesgo  de  </w:t>
      </w:r>
      <w:r>
        <w:rPr>
          <w:spacing w:val="-3"/>
        </w:rPr>
        <w:t>la</w:t>
      </w:r>
      <w:r>
        <w:rPr>
          <w:spacing w:val="53"/>
        </w:rPr>
        <w:t> </w:t>
      </w:r>
      <w:r>
        <w:rPr/>
        <w:t>diabetes.</w:t>
      </w:r>
    </w:p>
    <w:p>
      <w:pPr>
        <w:pStyle w:val="BodyText"/>
        <w:rPr>
          <w:b/>
        </w:rPr>
      </w:pPr>
    </w:p>
    <w:p>
      <w:pPr>
        <w:pStyle w:val="BodyText"/>
        <w:spacing w:before="2"/>
        <w:rPr>
          <w:b/>
        </w:rPr>
      </w:pPr>
    </w:p>
    <w:p>
      <w:pPr>
        <w:pStyle w:val="BodyText"/>
        <w:spacing w:line="360" w:lineRule="auto"/>
        <w:ind w:left="116" w:right="109"/>
        <w:jc w:val="both"/>
      </w:pPr>
      <w:r>
        <w:rPr/>
        <w:t>Las causas que  generan  la  diabetes  son  múltiples  y  variadas,  sin  embargo depende del tipo de diabetes que se presente, para esto López y Ávalos  (2013) señalan que, la  causalidad  de  la  diabetes  mellitus  se  encuentra  conformada  por  un conjunto de elementos relacionados  entre  sí  y  llevan  a  identificar  al  padecimiento como una enfermedad que invade la vida de  la  persona  en  sus  diversas esferas en las que  se  desarrolla.  Además  existen  elementos  predisponentes  presentes  que  facilitan  la  entrada  y  el  desarrollo   de   la enfermedad  como  lo  es  la</w:t>
      </w:r>
      <w:r>
        <w:rPr>
          <w:spacing w:val="52"/>
        </w:rPr>
        <w:t> </w:t>
      </w:r>
      <w:r>
        <w:rPr/>
        <w:t>herencia.</w:t>
      </w:r>
    </w:p>
    <w:p>
      <w:pPr>
        <w:pStyle w:val="BodyText"/>
      </w:pPr>
    </w:p>
    <w:p>
      <w:pPr>
        <w:pStyle w:val="BodyText"/>
        <w:spacing w:line="360" w:lineRule="auto" w:before="144"/>
        <w:ind w:left="116" w:right="110"/>
        <w:jc w:val="both"/>
      </w:pPr>
      <w:r>
        <w:rPr/>
        <w:t>En la mayoría de los países,  la  diabetes  ha  aumentado  en  conjunto  con  los  rápidos cambios culturales y sociales:  el  envejecimiento  de  la  población,  la  creciente urbanización, los cambios en la dieta, la poca actividad  física  y  las  conductas no saludables (OMS 1994), siendo éstos  algunos  de  los  factores  causantes  del  desarrollo  de  ésta</w:t>
      </w:r>
      <w:r>
        <w:rPr>
          <w:spacing w:val="41"/>
        </w:rPr>
        <w:t> </w:t>
      </w:r>
      <w:r>
        <w:rPr/>
        <w:t>enfermedad.</w:t>
      </w:r>
    </w:p>
    <w:p>
      <w:pPr>
        <w:pStyle w:val="BodyText"/>
      </w:pPr>
    </w:p>
    <w:p>
      <w:pPr>
        <w:pStyle w:val="BodyText"/>
        <w:spacing w:line="360" w:lineRule="auto" w:before="139"/>
        <w:ind w:left="116" w:right="116"/>
        <w:jc w:val="both"/>
      </w:pPr>
      <w:r>
        <w:rPr/>
        <w:t>Dentro del atlas de la diabetes (2013), se menciona la causa  de  dos  tipos  de  diabetes, la tipo 1 es  provocada  por  una  reacción  autoinmune,  en  la  que  el  sistema de defensa del cuerpo ataca las células beta encargadas de producir  la  insulina en el páncreas y como resultado se obtiene que el cuerpo ya  no  puede producir  la  insulina  que</w:t>
      </w:r>
      <w:r>
        <w:rPr>
          <w:spacing w:val="52"/>
        </w:rPr>
        <w:t> </w:t>
      </w:r>
      <w:r>
        <w:rPr/>
        <w:t>necesita.</w:t>
      </w:r>
    </w:p>
    <w:p>
      <w:pPr>
        <w:pStyle w:val="BodyText"/>
      </w:pPr>
    </w:p>
    <w:p>
      <w:pPr>
        <w:pStyle w:val="BodyText"/>
        <w:spacing w:line="362" w:lineRule="auto" w:before="140"/>
        <w:ind w:left="116" w:right="126"/>
        <w:jc w:val="both"/>
      </w:pPr>
      <w:r>
        <w:rPr/>
        <w:t>La diabetes tipo 2 es </w:t>
      </w:r>
      <w:r>
        <w:rPr>
          <w:spacing w:val="-3"/>
        </w:rPr>
        <w:t>más </w:t>
      </w:r>
      <w:r>
        <w:rPr/>
        <w:t>compleja ya que el  cuerpo  </w:t>
      </w:r>
      <w:r>
        <w:rPr>
          <w:spacing w:val="-3"/>
        </w:rPr>
        <w:t>si  </w:t>
      </w:r>
      <w:r>
        <w:rPr/>
        <w:t>produce  insulina,  sin  embargo </w:t>
      </w:r>
      <w:r>
        <w:rPr>
          <w:spacing w:val="38"/>
        </w:rPr>
        <w:t> </w:t>
      </w:r>
      <w:r>
        <w:rPr/>
        <w:t>éste </w:t>
      </w:r>
      <w:r>
        <w:rPr>
          <w:spacing w:val="38"/>
        </w:rPr>
        <w:t> </w:t>
      </w:r>
      <w:r>
        <w:rPr/>
        <w:t>tipo </w:t>
      </w:r>
      <w:r>
        <w:rPr>
          <w:spacing w:val="33"/>
        </w:rPr>
        <w:t> </w:t>
      </w:r>
      <w:r>
        <w:rPr/>
        <w:t>de </w:t>
      </w:r>
      <w:r>
        <w:rPr>
          <w:spacing w:val="38"/>
        </w:rPr>
        <w:t> </w:t>
      </w:r>
      <w:r>
        <w:rPr/>
        <w:t>diabetes </w:t>
      </w:r>
      <w:r>
        <w:rPr>
          <w:spacing w:val="37"/>
        </w:rPr>
        <w:t> </w:t>
      </w:r>
      <w:r>
        <w:rPr/>
        <w:t>se </w:t>
      </w:r>
      <w:r>
        <w:rPr>
          <w:spacing w:val="38"/>
        </w:rPr>
        <w:t> </w:t>
      </w:r>
      <w:r>
        <w:rPr/>
        <w:t>genera </w:t>
      </w:r>
      <w:r>
        <w:rPr>
          <w:spacing w:val="38"/>
        </w:rPr>
        <w:t> </w:t>
      </w:r>
      <w:r>
        <w:rPr/>
        <w:t>a </w:t>
      </w:r>
      <w:r>
        <w:rPr>
          <w:spacing w:val="38"/>
        </w:rPr>
        <w:t> </w:t>
      </w:r>
      <w:r>
        <w:rPr/>
        <w:t>partir </w:t>
      </w:r>
      <w:r>
        <w:rPr>
          <w:spacing w:val="38"/>
        </w:rPr>
        <w:t> </w:t>
      </w:r>
      <w:r>
        <w:rPr/>
        <w:t>de </w:t>
      </w:r>
      <w:r>
        <w:rPr>
          <w:spacing w:val="38"/>
        </w:rPr>
        <w:t> </w:t>
      </w:r>
      <w:r>
        <w:rPr/>
        <w:t>los </w:t>
      </w:r>
      <w:r>
        <w:rPr>
          <w:spacing w:val="37"/>
        </w:rPr>
        <w:t> </w:t>
      </w:r>
      <w:r>
        <w:rPr/>
        <w:t>estilos </w:t>
      </w:r>
      <w:r>
        <w:rPr>
          <w:spacing w:val="37"/>
        </w:rPr>
        <w:t> </w:t>
      </w:r>
      <w:r>
        <w:rPr/>
        <w:t>de </w:t>
      </w:r>
      <w:r>
        <w:rPr>
          <w:spacing w:val="38"/>
        </w:rPr>
        <w:t> </w:t>
      </w:r>
      <w:r>
        <w:rPr/>
        <w:t>vida, </w:t>
      </w:r>
      <w:r>
        <w:rPr>
          <w:spacing w:val="32"/>
        </w:rPr>
        <w:t> </w:t>
      </w:r>
      <w:r>
        <w:rPr/>
        <w:t>los</w:t>
      </w:r>
    </w:p>
    <w:p>
      <w:pPr>
        <w:spacing w:after="0" w:line="362"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11"/>
        <w:jc w:val="both"/>
      </w:pPr>
      <w:r>
        <w:rPr/>
        <w:t>hábitos de alimentación, la falta de ejercicio físico así  como  la  presencia  de  obesidad.</w:t>
      </w:r>
    </w:p>
    <w:p>
      <w:pPr>
        <w:pStyle w:val="BodyText"/>
        <w:spacing w:before="11"/>
        <w:rPr>
          <w:sz w:val="35"/>
        </w:rPr>
      </w:pPr>
    </w:p>
    <w:p>
      <w:pPr>
        <w:pStyle w:val="BodyText"/>
        <w:spacing w:line="360" w:lineRule="auto"/>
        <w:ind w:left="116" w:right="118"/>
        <w:jc w:val="both"/>
      </w:pPr>
      <w:r>
        <w:rPr/>
        <w:t>En tanto la diabetes insípida los autores Mata y Camacho  (2015),  dan  una  explicación de  su  causa;  la  vasopresina  u  hormona  antidiurética  (ADH)  se  produce en las células del hipotálamo (ubicado en el cerebro) y  se  almacena  y  secreta en otra parte del cerebro, la llamada glándula pituitaria posterior.  A continuación, la hormona antidiurética se moviliza al torrente sanguíneo  donde  provoca  que  los  túbulos  de  los  riñones  absorban  el  agua.  </w:t>
      </w:r>
      <w:r>
        <w:rPr>
          <w:spacing w:val="-4"/>
        </w:rPr>
        <w:t>El </w:t>
      </w:r>
      <w:r>
        <w:rPr>
          <w:spacing w:val="58"/>
        </w:rPr>
        <w:t> </w:t>
      </w:r>
      <w:r>
        <w:rPr/>
        <w:t>agua  que   no puede absorberse  se  elimina  del  cuerpo  en  </w:t>
      </w:r>
      <w:r>
        <w:rPr>
          <w:spacing w:val="-3"/>
        </w:rPr>
        <w:t>forma  </w:t>
      </w:r>
      <w:r>
        <w:rPr/>
        <w:t>de  orina.  La  disminución  de  las secreciones de vasopresina produce menor  absorción  de  agua  y  mayor formación de orina. Cuando la vasopresina </w:t>
      </w:r>
      <w:r>
        <w:rPr>
          <w:spacing w:val="2"/>
        </w:rPr>
        <w:t>está </w:t>
      </w:r>
      <w:r>
        <w:rPr/>
        <w:t>presente en cifras normales, se absorbe  </w:t>
      </w:r>
      <w:r>
        <w:rPr>
          <w:spacing w:val="-3"/>
        </w:rPr>
        <w:t>más  </w:t>
      </w:r>
      <w:r>
        <w:rPr/>
        <w:t>agua  y  se  produce  menos</w:t>
      </w:r>
      <w:r>
        <w:rPr>
          <w:spacing w:val="57"/>
        </w:rPr>
        <w:t> </w:t>
      </w:r>
      <w:r>
        <w:rPr/>
        <w:t>orina.</w:t>
      </w:r>
    </w:p>
    <w:p>
      <w:pPr>
        <w:pStyle w:val="BodyText"/>
      </w:pPr>
    </w:p>
    <w:p>
      <w:pPr>
        <w:pStyle w:val="BodyText"/>
        <w:spacing w:line="360" w:lineRule="auto" w:before="144"/>
        <w:ind w:left="116" w:right="109"/>
        <w:jc w:val="both"/>
      </w:pPr>
      <w:r>
        <w:rPr/>
        <w:t>Torres, Sandoval y Pando (2005) mencionan que, en el paciente con diabetes la prevención tiene que ver con  el  control  o  eliminación  de  factores  causales. Entre  los que se destacan el control de la dieta y el peso  corporal;  entre  otros  se  encuentran las emociones negativas y la decisión de </w:t>
      </w:r>
      <w:r>
        <w:rPr>
          <w:i/>
        </w:rPr>
        <w:t>Dios, </w:t>
      </w:r>
      <w:r>
        <w:rPr/>
        <w:t>las cuales no son considerados evitables  pero  </w:t>
      </w:r>
      <w:r>
        <w:rPr>
          <w:spacing w:val="-3"/>
        </w:rPr>
        <w:t>si  </w:t>
      </w:r>
      <w:r>
        <w:rPr/>
        <w:t>controlables,  mientras  que  la  herencia  biológica  y  el  ambiente  social,  no pueden  ser  evitados  ni</w:t>
      </w:r>
      <w:r>
        <w:rPr>
          <w:spacing w:val="51"/>
        </w:rPr>
        <w:t> </w:t>
      </w:r>
      <w:r>
        <w:rPr/>
        <w:t>controlados.</w:t>
      </w:r>
    </w:p>
    <w:p>
      <w:pPr>
        <w:pStyle w:val="BodyText"/>
      </w:pPr>
    </w:p>
    <w:p>
      <w:pPr>
        <w:pStyle w:val="BodyText"/>
        <w:spacing w:line="360" w:lineRule="auto" w:before="145"/>
        <w:ind w:left="116" w:right="111"/>
        <w:jc w:val="both"/>
      </w:pPr>
      <w:r>
        <w:rPr/>
        <w:t>Además mencionan también que, el consumo de  productos  considerados  nocivos  para la salud, tales como son los refrescos (gaseosas), las bebidas alcohólicas, diferentes formas de dulces y  comer  demasiado  como  fuentes  causales  de  diabetes.</w:t>
      </w:r>
    </w:p>
    <w:p>
      <w:pPr>
        <w:pStyle w:val="BodyText"/>
      </w:pPr>
    </w:p>
    <w:p>
      <w:pPr>
        <w:pStyle w:val="BodyText"/>
        <w:spacing w:line="360" w:lineRule="auto" w:before="144"/>
        <w:ind w:left="116" w:right="110"/>
        <w:jc w:val="both"/>
      </w:pPr>
      <w:r>
        <w:rPr/>
        <w:t>Tanto para la diabetes  tipo  1  como  para  la  diabetes  tipo  2,  las  evidencias  sugieren que la resistencia a  la  insulina,  es  resultado  de  la  presencia  de  sobrepeso  y  obesidad  y  afecta  al  metabolismo  en  la  producción y asimilación  de la  hormona  (Wilkin,</w:t>
      </w:r>
      <w:r>
        <w:rPr>
          <w:spacing w:val="59"/>
        </w:rPr>
        <w:t> </w:t>
      </w:r>
      <w:r>
        <w:rPr/>
        <w:t>2001).</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212"/>
      </w:pPr>
      <w:r>
        <w:rPr/>
        <w:t>La Federación Internacional de la Diabetes en el Atlas Internacional de  Diabetes  (2013),  menciona  de  </w:t>
      </w:r>
      <w:r>
        <w:rPr>
          <w:spacing w:val="-3"/>
        </w:rPr>
        <w:t>forma  </w:t>
      </w:r>
      <w:r>
        <w:rPr/>
        <w:t>general  las  causas  de  la  diabetes  tipo  I  y</w:t>
      </w:r>
      <w:r>
        <w:rPr>
          <w:spacing w:val="51"/>
        </w:rPr>
        <w:t> </w:t>
      </w:r>
      <w:r>
        <w:rPr/>
        <w:t>II:</w:t>
      </w:r>
    </w:p>
    <w:p>
      <w:pPr>
        <w:pStyle w:val="BodyText"/>
        <w:spacing w:before="11"/>
        <w:rPr>
          <w:sz w:val="35"/>
        </w:rPr>
      </w:pPr>
    </w:p>
    <w:p>
      <w:pPr>
        <w:pStyle w:val="BodyText"/>
        <w:spacing w:line="360" w:lineRule="auto"/>
        <w:ind w:left="116" w:right="110"/>
        <w:jc w:val="both"/>
      </w:pPr>
      <w:r>
        <w:rPr/>
        <w:t>En el  caso  de  la  diabetes  tipo  1,  suele  desarrollarse  repentinamente  y  es causada por una reacción auto inmune,  en  la  que  el  sistema  de  defensa  </w:t>
      </w:r>
      <w:r>
        <w:rPr>
          <w:spacing w:val="-3"/>
        </w:rPr>
        <w:t>del  </w:t>
      </w:r>
      <w:r>
        <w:rPr/>
        <w:t>cuerpo ataca las  células  beta  productoras  de  insulina  en  el  páncreas.  Los  casos de diabetes de éste tipo  está  aumentando  en  el  mundo  y  las  causas  aún  no  están claras, pero puede deberse a  cambios  en  factores  de  riesgo  medioambientales, sucesos tempranos en  el  útero,  la  dieta  en  los  primeros  años de  vida  o  a  infecciones</w:t>
      </w:r>
      <w:r>
        <w:rPr>
          <w:spacing w:val="55"/>
        </w:rPr>
        <w:t> </w:t>
      </w:r>
      <w:r>
        <w:rPr/>
        <w:t>virales.</w:t>
      </w:r>
    </w:p>
    <w:p>
      <w:pPr>
        <w:pStyle w:val="BodyText"/>
      </w:pPr>
    </w:p>
    <w:p>
      <w:pPr>
        <w:pStyle w:val="BodyText"/>
        <w:spacing w:before="140"/>
        <w:ind w:left="116"/>
        <w:jc w:val="both"/>
      </w:pPr>
      <w:r>
        <w:rPr/>
        <w:t>Algunos  de  los  síntomas  que  se  presentan son:</w:t>
      </w:r>
    </w:p>
    <w:p>
      <w:pPr>
        <w:pStyle w:val="BodyText"/>
      </w:pPr>
    </w:p>
    <w:p>
      <w:pPr>
        <w:pStyle w:val="BodyText"/>
        <w:spacing w:before="2"/>
      </w:pPr>
    </w:p>
    <w:p>
      <w:pPr>
        <w:pStyle w:val="ListParagraph"/>
        <w:numPr>
          <w:ilvl w:val="0"/>
          <w:numId w:val="7"/>
        </w:numPr>
        <w:tabs>
          <w:tab w:pos="270" w:val="left" w:leader="none"/>
        </w:tabs>
        <w:spacing w:line="240" w:lineRule="auto" w:before="1" w:after="0"/>
        <w:ind w:left="269" w:right="0" w:hanging="153"/>
        <w:jc w:val="both"/>
        <w:rPr>
          <w:sz w:val="24"/>
        </w:rPr>
      </w:pPr>
      <w:r>
        <w:rPr>
          <w:sz w:val="24"/>
        </w:rPr>
        <w:t>Sed  anormal  y  sequedad  de</w:t>
      </w:r>
      <w:r>
        <w:rPr>
          <w:spacing w:val="54"/>
          <w:sz w:val="24"/>
        </w:rPr>
        <w:t> </w:t>
      </w:r>
      <w:r>
        <w:rPr>
          <w:sz w:val="24"/>
        </w:rPr>
        <w:t>boca</w:t>
      </w:r>
    </w:p>
    <w:p>
      <w:pPr>
        <w:pStyle w:val="ListParagraph"/>
        <w:numPr>
          <w:ilvl w:val="0"/>
          <w:numId w:val="7"/>
        </w:numPr>
        <w:tabs>
          <w:tab w:pos="270" w:val="left" w:leader="none"/>
        </w:tabs>
        <w:spacing w:line="240" w:lineRule="auto" w:before="137" w:after="0"/>
        <w:ind w:left="269" w:right="0" w:hanging="153"/>
        <w:jc w:val="both"/>
        <w:rPr>
          <w:sz w:val="24"/>
        </w:rPr>
      </w:pPr>
      <w:r>
        <w:rPr>
          <w:sz w:val="24"/>
        </w:rPr>
        <w:t>Micción</w:t>
      </w:r>
      <w:r>
        <w:rPr>
          <w:spacing w:val="61"/>
          <w:sz w:val="24"/>
        </w:rPr>
        <w:t> </w:t>
      </w:r>
      <w:r>
        <w:rPr>
          <w:sz w:val="24"/>
        </w:rPr>
        <w:t>frecuente</w:t>
      </w:r>
    </w:p>
    <w:p>
      <w:pPr>
        <w:pStyle w:val="ListParagraph"/>
        <w:numPr>
          <w:ilvl w:val="0"/>
          <w:numId w:val="7"/>
        </w:numPr>
        <w:tabs>
          <w:tab w:pos="270" w:val="left" w:leader="none"/>
        </w:tabs>
        <w:spacing w:line="240" w:lineRule="auto" w:before="137" w:after="0"/>
        <w:ind w:left="269" w:right="0" w:hanging="153"/>
        <w:jc w:val="both"/>
        <w:rPr>
          <w:sz w:val="24"/>
        </w:rPr>
      </w:pPr>
      <w:r>
        <w:rPr>
          <w:sz w:val="24"/>
        </w:rPr>
        <w:t>Falta  de  energía,  cansancio</w:t>
      </w:r>
      <w:r>
        <w:rPr>
          <w:spacing w:val="49"/>
          <w:sz w:val="24"/>
        </w:rPr>
        <w:t> </w:t>
      </w:r>
      <w:r>
        <w:rPr>
          <w:sz w:val="24"/>
        </w:rPr>
        <w:t>extremo</w:t>
      </w:r>
    </w:p>
    <w:p>
      <w:pPr>
        <w:pStyle w:val="ListParagraph"/>
        <w:numPr>
          <w:ilvl w:val="0"/>
          <w:numId w:val="7"/>
        </w:numPr>
        <w:tabs>
          <w:tab w:pos="270" w:val="left" w:leader="none"/>
        </w:tabs>
        <w:spacing w:line="240" w:lineRule="auto" w:before="137" w:after="0"/>
        <w:ind w:left="269" w:right="0" w:hanging="153"/>
        <w:jc w:val="both"/>
        <w:rPr>
          <w:sz w:val="24"/>
        </w:rPr>
      </w:pPr>
      <w:r>
        <w:rPr>
          <w:sz w:val="24"/>
        </w:rPr>
        <w:t>Hambre</w:t>
      </w:r>
      <w:r>
        <w:rPr>
          <w:spacing w:val="63"/>
          <w:sz w:val="24"/>
        </w:rPr>
        <w:t> </w:t>
      </w:r>
      <w:r>
        <w:rPr>
          <w:sz w:val="24"/>
        </w:rPr>
        <w:t>constante</w:t>
      </w:r>
    </w:p>
    <w:p>
      <w:pPr>
        <w:pStyle w:val="ListParagraph"/>
        <w:numPr>
          <w:ilvl w:val="0"/>
          <w:numId w:val="7"/>
        </w:numPr>
        <w:tabs>
          <w:tab w:pos="270" w:val="left" w:leader="none"/>
        </w:tabs>
        <w:spacing w:line="240" w:lineRule="auto" w:before="142" w:after="0"/>
        <w:ind w:left="269" w:right="0" w:hanging="153"/>
        <w:jc w:val="both"/>
        <w:rPr>
          <w:sz w:val="24"/>
        </w:rPr>
      </w:pPr>
      <w:r>
        <w:rPr>
          <w:sz w:val="24"/>
        </w:rPr>
        <w:t>Pérdida  repentina  de</w:t>
      </w:r>
      <w:r>
        <w:rPr>
          <w:spacing w:val="60"/>
          <w:sz w:val="24"/>
        </w:rPr>
        <w:t> </w:t>
      </w:r>
      <w:r>
        <w:rPr>
          <w:sz w:val="24"/>
        </w:rPr>
        <w:t>peso</w:t>
      </w:r>
    </w:p>
    <w:p>
      <w:pPr>
        <w:pStyle w:val="ListParagraph"/>
        <w:numPr>
          <w:ilvl w:val="0"/>
          <w:numId w:val="7"/>
        </w:numPr>
        <w:tabs>
          <w:tab w:pos="270" w:val="left" w:leader="none"/>
        </w:tabs>
        <w:spacing w:line="240" w:lineRule="auto" w:before="137" w:after="0"/>
        <w:ind w:left="269" w:right="0" w:hanging="153"/>
        <w:jc w:val="both"/>
        <w:rPr>
          <w:sz w:val="24"/>
        </w:rPr>
      </w:pPr>
      <w:r>
        <w:rPr>
          <w:sz w:val="24"/>
        </w:rPr>
        <w:t>Heridas  de  cicatrización</w:t>
      </w:r>
      <w:r>
        <w:rPr>
          <w:spacing w:val="57"/>
          <w:sz w:val="24"/>
        </w:rPr>
        <w:t> </w:t>
      </w:r>
      <w:r>
        <w:rPr>
          <w:sz w:val="24"/>
        </w:rPr>
        <w:t>lenta</w:t>
      </w:r>
    </w:p>
    <w:p>
      <w:pPr>
        <w:pStyle w:val="ListParagraph"/>
        <w:numPr>
          <w:ilvl w:val="0"/>
          <w:numId w:val="7"/>
        </w:numPr>
        <w:tabs>
          <w:tab w:pos="270" w:val="left" w:leader="none"/>
        </w:tabs>
        <w:spacing w:line="240" w:lineRule="auto" w:before="137" w:after="0"/>
        <w:ind w:left="269" w:right="0" w:hanging="153"/>
        <w:jc w:val="both"/>
        <w:rPr>
          <w:sz w:val="24"/>
        </w:rPr>
      </w:pPr>
      <w:r>
        <w:rPr>
          <w:sz w:val="24"/>
        </w:rPr>
        <w:t>Infecciones</w:t>
      </w:r>
      <w:r>
        <w:rPr>
          <w:spacing w:val="59"/>
          <w:sz w:val="24"/>
        </w:rPr>
        <w:t> </w:t>
      </w:r>
      <w:r>
        <w:rPr>
          <w:sz w:val="24"/>
        </w:rPr>
        <w:t>recurrentes</w:t>
      </w:r>
    </w:p>
    <w:p>
      <w:pPr>
        <w:pStyle w:val="ListParagraph"/>
        <w:numPr>
          <w:ilvl w:val="0"/>
          <w:numId w:val="7"/>
        </w:numPr>
        <w:tabs>
          <w:tab w:pos="270" w:val="left" w:leader="none"/>
        </w:tabs>
        <w:spacing w:line="240" w:lineRule="auto" w:before="137" w:after="0"/>
        <w:ind w:left="269" w:right="0" w:hanging="153"/>
        <w:jc w:val="both"/>
        <w:rPr>
          <w:sz w:val="24"/>
        </w:rPr>
      </w:pPr>
      <w:r>
        <w:rPr>
          <w:sz w:val="24"/>
        </w:rPr>
        <w:t>Visión</w:t>
      </w:r>
      <w:r>
        <w:rPr>
          <w:spacing w:val="62"/>
          <w:sz w:val="24"/>
        </w:rPr>
        <w:t> </w:t>
      </w:r>
      <w:r>
        <w:rPr>
          <w:sz w:val="24"/>
        </w:rPr>
        <w:t>borrosa</w:t>
      </w:r>
    </w:p>
    <w:p>
      <w:pPr>
        <w:pStyle w:val="BodyText"/>
      </w:pPr>
    </w:p>
    <w:p>
      <w:pPr>
        <w:pStyle w:val="BodyText"/>
        <w:spacing w:before="3"/>
      </w:pPr>
    </w:p>
    <w:p>
      <w:pPr>
        <w:pStyle w:val="BodyText"/>
        <w:spacing w:line="360" w:lineRule="auto"/>
        <w:ind w:left="116" w:right="110"/>
        <w:jc w:val="both"/>
      </w:pPr>
      <w:r>
        <w:rPr/>
        <w:t>Por otra parte, el número de personas con  diabetes  tipo  2  </w:t>
      </w:r>
      <w:r>
        <w:rPr>
          <w:spacing w:val="4"/>
        </w:rPr>
        <w:t>está  </w:t>
      </w:r>
      <w:r>
        <w:rPr/>
        <w:t>creciendo rápidamente en todo  el  mundo  y  a  pesar  de  que  aún  no  se  conocen  con exactitud las causas de su desarrollo, éste crecimiento puede estar asociado al desarrollo  económico,  el  envejecimiento  de  la  población,  </w:t>
      </w:r>
      <w:r>
        <w:rPr>
          <w:spacing w:val="9"/>
        </w:rPr>
        <w:t>la  </w:t>
      </w:r>
      <w:r>
        <w:rPr/>
        <w:t>creciente   urbanización, los cambios en la dieta, la  poca  actividad  física  y  los  cambios  en  otros  patrones  de  estilo  de  vida  (OMS,</w:t>
      </w:r>
      <w:r>
        <w:rPr>
          <w:spacing w:val="54"/>
        </w:rPr>
        <w:t> </w:t>
      </w:r>
      <w:r>
        <w:rPr/>
        <w:t>1994).</w:t>
      </w:r>
    </w:p>
    <w:p>
      <w:pPr>
        <w:pStyle w:val="BodyText"/>
      </w:pPr>
    </w:p>
    <w:p>
      <w:pPr>
        <w:pStyle w:val="BodyText"/>
        <w:tabs>
          <w:tab w:pos="5393" w:val="left" w:leader="none"/>
        </w:tabs>
        <w:spacing w:line="362" w:lineRule="auto" w:before="140"/>
        <w:ind w:left="116" w:right="109"/>
      </w:pPr>
      <w:r>
        <w:rPr/>
        <w:t>La  Federación  Internacional  de  </w:t>
      </w:r>
      <w:r>
        <w:rPr>
          <w:spacing w:val="17"/>
        </w:rPr>
        <w:t> </w:t>
      </w:r>
      <w:r>
        <w:rPr/>
        <w:t>la </w:t>
      </w:r>
      <w:r>
        <w:rPr>
          <w:spacing w:val="21"/>
        </w:rPr>
        <w:t> </w:t>
      </w:r>
      <w:r>
        <w:rPr/>
        <w:t>Diabetes</w:t>
        <w:tab/>
        <w:t>(2013)  menciona  varios  </w:t>
      </w:r>
      <w:r>
        <w:rPr>
          <w:spacing w:val="2"/>
        </w:rPr>
        <w:t> </w:t>
      </w:r>
      <w:r>
        <w:rPr/>
        <w:t>factores </w:t>
      </w:r>
      <w:r>
        <w:rPr>
          <w:spacing w:val="22"/>
        </w:rPr>
        <w:t> </w:t>
      </w:r>
      <w:r>
        <w:rPr/>
        <w:t>de</w:t>
      </w:r>
      <w:r>
        <w:rPr>
          <w:w w:val="99"/>
        </w:rPr>
        <w:t> </w:t>
      </w:r>
      <w:r>
        <w:rPr/>
        <w:t>riesgo  importantes.  Por</w:t>
      </w:r>
      <w:r>
        <w:rPr>
          <w:spacing w:val="57"/>
        </w:rPr>
        <w:t> </w:t>
      </w:r>
      <w:r>
        <w:rPr/>
        <w:t>ejemplo:</w:t>
      </w:r>
    </w:p>
    <w:p>
      <w:pPr>
        <w:spacing w:after="0" w:line="362" w:lineRule="auto"/>
        <w:sectPr>
          <w:pgSz w:w="12240" w:h="15840"/>
          <w:pgMar w:header="729" w:footer="0" w:top="960" w:bottom="280" w:left="1300" w:right="1300"/>
        </w:sectPr>
      </w:pPr>
    </w:p>
    <w:p>
      <w:pPr>
        <w:pStyle w:val="BodyText"/>
        <w:rPr>
          <w:sz w:val="20"/>
        </w:rPr>
      </w:pPr>
    </w:p>
    <w:p>
      <w:pPr>
        <w:pStyle w:val="ListParagraph"/>
        <w:numPr>
          <w:ilvl w:val="0"/>
          <w:numId w:val="7"/>
        </w:numPr>
        <w:tabs>
          <w:tab w:pos="270" w:val="left" w:leader="none"/>
        </w:tabs>
        <w:spacing w:line="240" w:lineRule="auto" w:before="213" w:after="0"/>
        <w:ind w:left="269" w:right="0" w:hanging="153"/>
        <w:jc w:val="both"/>
        <w:rPr>
          <w:sz w:val="24"/>
        </w:rPr>
      </w:pPr>
      <w:r>
        <w:rPr>
          <w:sz w:val="24"/>
        </w:rPr>
        <w:t>La</w:t>
      </w:r>
      <w:r>
        <w:rPr>
          <w:spacing w:val="64"/>
          <w:sz w:val="24"/>
        </w:rPr>
        <w:t> </w:t>
      </w:r>
      <w:r>
        <w:rPr>
          <w:sz w:val="24"/>
        </w:rPr>
        <w:t>obesidad</w:t>
      </w:r>
    </w:p>
    <w:p>
      <w:pPr>
        <w:pStyle w:val="ListParagraph"/>
        <w:numPr>
          <w:ilvl w:val="0"/>
          <w:numId w:val="7"/>
        </w:numPr>
        <w:tabs>
          <w:tab w:pos="270" w:val="left" w:leader="none"/>
        </w:tabs>
        <w:spacing w:line="240" w:lineRule="auto" w:before="141" w:after="0"/>
        <w:ind w:left="269" w:right="0" w:hanging="153"/>
        <w:jc w:val="both"/>
        <w:rPr>
          <w:sz w:val="24"/>
        </w:rPr>
      </w:pPr>
      <w:r>
        <w:rPr>
          <w:sz w:val="24"/>
        </w:rPr>
        <w:t>La  mala</w:t>
      </w:r>
      <w:r>
        <w:rPr>
          <w:spacing w:val="63"/>
          <w:sz w:val="24"/>
        </w:rPr>
        <w:t> </w:t>
      </w:r>
      <w:r>
        <w:rPr>
          <w:sz w:val="24"/>
        </w:rPr>
        <w:t>alimentación</w:t>
      </w:r>
    </w:p>
    <w:p>
      <w:pPr>
        <w:pStyle w:val="ListParagraph"/>
        <w:numPr>
          <w:ilvl w:val="0"/>
          <w:numId w:val="7"/>
        </w:numPr>
        <w:tabs>
          <w:tab w:pos="270" w:val="left" w:leader="none"/>
        </w:tabs>
        <w:spacing w:line="240" w:lineRule="auto" w:before="137" w:after="0"/>
        <w:ind w:left="269" w:right="0" w:hanging="153"/>
        <w:jc w:val="both"/>
        <w:rPr>
          <w:sz w:val="24"/>
        </w:rPr>
      </w:pPr>
      <w:r>
        <w:rPr>
          <w:sz w:val="24"/>
        </w:rPr>
        <w:t>La  inactividad</w:t>
      </w:r>
      <w:r>
        <w:rPr>
          <w:spacing w:val="62"/>
          <w:sz w:val="24"/>
        </w:rPr>
        <w:t> </w:t>
      </w:r>
      <w:r>
        <w:rPr>
          <w:sz w:val="24"/>
        </w:rPr>
        <w:t>física</w:t>
      </w:r>
    </w:p>
    <w:p>
      <w:pPr>
        <w:pStyle w:val="ListParagraph"/>
        <w:numPr>
          <w:ilvl w:val="0"/>
          <w:numId w:val="7"/>
        </w:numPr>
        <w:tabs>
          <w:tab w:pos="270" w:val="left" w:leader="none"/>
        </w:tabs>
        <w:spacing w:line="240" w:lineRule="auto" w:before="137" w:after="0"/>
        <w:ind w:left="269" w:right="0" w:hanging="153"/>
        <w:jc w:val="both"/>
        <w:rPr>
          <w:sz w:val="24"/>
        </w:rPr>
      </w:pPr>
      <w:r>
        <w:rPr>
          <w:sz w:val="24"/>
        </w:rPr>
        <w:t>La  edad</w:t>
      </w:r>
      <w:r>
        <w:rPr>
          <w:spacing w:val="62"/>
          <w:sz w:val="24"/>
        </w:rPr>
        <w:t> </w:t>
      </w:r>
      <w:r>
        <w:rPr>
          <w:sz w:val="24"/>
        </w:rPr>
        <w:t>avanzada</w:t>
      </w:r>
    </w:p>
    <w:p>
      <w:pPr>
        <w:pStyle w:val="ListParagraph"/>
        <w:numPr>
          <w:ilvl w:val="0"/>
          <w:numId w:val="7"/>
        </w:numPr>
        <w:tabs>
          <w:tab w:pos="270" w:val="left" w:leader="none"/>
        </w:tabs>
        <w:spacing w:line="240" w:lineRule="auto" w:before="137" w:after="0"/>
        <w:ind w:left="269" w:right="0" w:hanging="153"/>
        <w:jc w:val="both"/>
        <w:rPr>
          <w:sz w:val="24"/>
        </w:rPr>
      </w:pPr>
      <w:r>
        <w:rPr>
          <w:sz w:val="24"/>
        </w:rPr>
        <w:t>Los  antecedentes  familiares  de</w:t>
      </w:r>
      <w:r>
        <w:rPr>
          <w:spacing w:val="56"/>
          <w:sz w:val="24"/>
        </w:rPr>
        <w:t> </w:t>
      </w:r>
      <w:r>
        <w:rPr>
          <w:sz w:val="24"/>
        </w:rPr>
        <w:t>diabetes</w:t>
      </w:r>
    </w:p>
    <w:p>
      <w:pPr>
        <w:pStyle w:val="ListParagraph"/>
        <w:numPr>
          <w:ilvl w:val="0"/>
          <w:numId w:val="7"/>
        </w:numPr>
        <w:tabs>
          <w:tab w:pos="270" w:val="left" w:leader="none"/>
        </w:tabs>
        <w:spacing w:line="240" w:lineRule="auto" w:before="141" w:after="0"/>
        <w:ind w:left="269" w:right="0" w:hanging="153"/>
        <w:jc w:val="both"/>
        <w:rPr>
          <w:sz w:val="24"/>
        </w:rPr>
      </w:pPr>
      <w:r>
        <w:rPr>
          <w:sz w:val="24"/>
        </w:rPr>
        <w:t>El  grupo</w:t>
      </w:r>
      <w:r>
        <w:rPr>
          <w:spacing w:val="64"/>
          <w:sz w:val="24"/>
        </w:rPr>
        <w:t> </w:t>
      </w:r>
      <w:r>
        <w:rPr>
          <w:sz w:val="24"/>
        </w:rPr>
        <w:t>étnico</w:t>
      </w:r>
    </w:p>
    <w:p>
      <w:pPr>
        <w:pStyle w:val="ListParagraph"/>
        <w:numPr>
          <w:ilvl w:val="0"/>
          <w:numId w:val="7"/>
        </w:numPr>
        <w:tabs>
          <w:tab w:pos="270" w:val="left" w:leader="none"/>
        </w:tabs>
        <w:spacing w:line="240" w:lineRule="auto" w:before="137" w:after="0"/>
        <w:ind w:left="269" w:right="0" w:hanging="153"/>
        <w:jc w:val="both"/>
        <w:rPr>
          <w:sz w:val="24"/>
        </w:rPr>
      </w:pPr>
      <w:r>
        <w:rPr>
          <w:sz w:val="24"/>
        </w:rPr>
        <w:t>Alta  glucosa  en  sangre  durante  el  embarazo  que  afecta  al</w:t>
      </w:r>
      <w:r>
        <w:rPr>
          <w:spacing w:val="45"/>
          <w:sz w:val="24"/>
        </w:rPr>
        <w:t> </w:t>
      </w:r>
      <w:r>
        <w:rPr>
          <w:sz w:val="24"/>
        </w:rPr>
        <w:t>feto.</w:t>
      </w:r>
    </w:p>
    <w:p>
      <w:pPr>
        <w:pStyle w:val="BodyText"/>
      </w:pPr>
    </w:p>
    <w:p>
      <w:pPr>
        <w:pStyle w:val="BodyText"/>
        <w:spacing w:before="9"/>
        <w:rPr>
          <w:sz w:val="23"/>
        </w:rPr>
      </w:pPr>
    </w:p>
    <w:p>
      <w:pPr>
        <w:pStyle w:val="BodyText"/>
        <w:spacing w:line="360" w:lineRule="auto"/>
        <w:ind w:left="116" w:right="114"/>
        <w:jc w:val="both"/>
      </w:pPr>
      <w:r>
        <w:rPr/>
        <w:t>Otra de las causas que  influyen  para  que  se  desarrolle  la  diabetes  son  los  factores genéticos y ambientales; entre los  factores  genéticos  causales  de  la  diabetes tipo 1 se pueden encontrar que, en los pacientes con diabetes tipo  1  su  causa es de acuerdo a los genes hereditarios que se presentan, hay un claro  incremento  en  el  riesgo  en  gemelos</w:t>
      </w:r>
      <w:r>
        <w:rPr>
          <w:spacing w:val="45"/>
        </w:rPr>
        <w:t> </w:t>
      </w:r>
      <w:r>
        <w:rPr/>
        <w:t>idénticos.</w:t>
      </w:r>
    </w:p>
    <w:p>
      <w:pPr>
        <w:pStyle w:val="BodyText"/>
      </w:pPr>
    </w:p>
    <w:p>
      <w:pPr>
        <w:pStyle w:val="BodyText"/>
        <w:spacing w:line="360" w:lineRule="auto" w:before="144"/>
        <w:ind w:left="116" w:right="114"/>
        <w:jc w:val="both"/>
      </w:pPr>
      <w:r>
        <w:rPr/>
        <w:t>Las personas tienen cierta predisposición a la diabetes (para  los  dos  tipos)  y  depende según Mainous, Díaz, Everett (2007) de  la  edad,  la  herencia,  y  de  qué tanto se expongan a ciertos factores ambientales para que </w:t>
      </w:r>
      <w:r>
        <w:rPr>
          <w:spacing w:val="7"/>
        </w:rPr>
        <w:t>la </w:t>
      </w:r>
      <w:r>
        <w:rPr/>
        <w:t>enfermedad  se desarrolle.</w:t>
      </w:r>
    </w:p>
    <w:p>
      <w:pPr>
        <w:pStyle w:val="BodyText"/>
        <w:spacing w:before="8"/>
        <w:rPr>
          <w:sz w:val="35"/>
        </w:rPr>
      </w:pPr>
    </w:p>
    <w:p>
      <w:pPr>
        <w:pStyle w:val="Heading1"/>
        <w:ind w:left="116"/>
      </w:pPr>
      <w:r>
        <w:rPr/>
        <w:t>1.3.2.1  Factores   ambientales  de  la</w:t>
      </w:r>
      <w:r>
        <w:rPr>
          <w:spacing w:val="54"/>
        </w:rPr>
        <w:t> </w:t>
      </w:r>
      <w:r>
        <w:rPr/>
        <w:t>diabetes</w:t>
      </w:r>
    </w:p>
    <w:p>
      <w:pPr>
        <w:pStyle w:val="BodyText"/>
        <w:rPr>
          <w:b/>
        </w:rPr>
      </w:pPr>
    </w:p>
    <w:p>
      <w:pPr>
        <w:pStyle w:val="BodyText"/>
        <w:spacing w:before="7"/>
        <w:rPr>
          <w:b/>
        </w:rPr>
      </w:pPr>
    </w:p>
    <w:p>
      <w:pPr>
        <w:pStyle w:val="BodyText"/>
        <w:spacing w:line="360" w:lineRule="auto" w:before="1"/>
        <w:ind w:left="116" w:right="110"/>
        <w:jc w:val="both"/>
      </w:pPr>
      <w:r>
        <w:rPr/>
        <w:t>Los pacientes diabéticos inician sus manifestaciones después de exponerse  a  un estrés intenso; tal vez esto se  deba  a  la  descarga  hormonal  que  acompaña  a  estas  exposiciones,  acontecimientos  </w:t>
      </w:r>
      <w:r>
        <w:rPr>
          <w:spacing w:val="-4"/>
        </w:rPr>
        <w:t>como  </w:t>
      </w:r>
      <w:r>
        <w:rPr/>
        <w:t>asaltos,  robos,   accidentes,   </w:t>
      </w:r>
      <w:r>
        <w:rPr>
          <w:spacing w:val="3"/>
        </w:rPr>
        <w:t>etc. </w:t>
      </w:r>
      <w:r>
        <w:rPr/>
        <w:t>(Lifshitz, </w:t>
      </w:r>
      <w:r>
        <w:rPr>
          <w:spacing w:val="1"/>
        </w:rPr>
        <w:t> </w:t>
      </w:r>
      <w:r>
        <w:rPr/>
        <w:t>2008).</w:t>
      </w:r>
    </w:p>
    <w:p>
      <w:pPr>
        <w:pStyle w:val="BodyText"/>
      </w:pPr>
    </w:p>
    <w:p>
      <w:pPr>
        <w:pStyle w:val="BodyText"/>
        <w:spacing w:line="360" w:lineRule="auto" w:before="144"/>
        <w:ind w:left="116" w:right="111"/>
        <w:jc w:val="both"/>
      </w:pPr>
      <w:r>
        <w:rPr/>
        <w:t>El micro ambiente en el  que  se  desarrolla  el  feto  también  puede  influir,  a  juzgar por el hecho  que  los  individuos  que  sufren  desnutrición  intrauterina,  identificada  por  el  bajo  peso  al  nacer,  baja  talla  o  bajo  peso  de  la  placenta  tienen  un  mayor riesgo de desarrollar diabetes tipo 2 en la edad adulta  (Mainous,  Díaz  y  Everett,</w:t>
      </w:r>
      <w:r>
        <w:rPr>
          <w:spacing w:val="65"/>
        </w:rPr>
        <w:t> </w:t>
      </w:r>
      <w:r>
        <w:rPr/>
        <w:t>2007).</w:t>
      </w:r>
    </w:p>
    <w:p>
      <w:pPr>
        <w:spacing w:after="0" w:line="360" w:lineRule="auto"/>
        <w:jc w:val="both"/>
        <w:sectPr>
          <w:pgSz w:w="12240" w:h="15840"/>
          <w:pgMar w:header="729" w:footer="0" w:top="960" w:bottom="280" w:left="1300" w:right="1300"/>
        </w:sectPr>
      </w:pPr>
    </w:p>
    <w:p>
      <w:pPr>
        <w:pStyle w:val="BodyText"/>
        <w:rPr>
          <w:sz w:val="20"/>
        </w:rPr>
      </w:pPr>
    </w:p>
    <w:p>
      <w:pPr>
        <w:pStyle w:val="BodyText"/>
        <w:rPr>
          <w:sz w:val="20"/>
        </w:rPr>
      </w:pPr>
    </w:p>
    <w:p>
      <w:pPr>
        <w:pStyle w:val="BodyText"/>
        <w:spacing w:before="9"/>
        <w:rPr>
          <w:sz w:val="28"/>
        </w:rPr>
      </w:pPr>
    </w:p>
    <w:p>
      <w:pPr>
        <w:pStyle w:val="BodyText"/>
        <w:spacing w:line="360" w:lineRule="auto" w:before="70"/>
        <w:ind w:left="116" w:right="212"/>
      </w:pPr>
      <w:r>
        <w:rPr/>
        <w:t>Lifshitz (2008), enlista algunos de los factores ambientales  que  son  causa  de diabetes  tipo</w:t>
      </w:r>
      <w:r>
        <w:rPr>
          <w:spacing w:val="63"/>
        </w:rPr>
        <w:t> </w:t>
      </w:r>
      <w:r>
        <w:rPr/>
        <w:t>2:</w:t>
      </w:r>
    </w:p>
    <w:p>
      <w:pPr>
        <w:pStyle w:val="BodyText"/>
      </w:pPr>
    </w:p>
    <w:p>
      <w:pPr>
        <w:pStyle w:val="BodyText"/>
        <w:spacing w:before="139"/>
        <w:ind w:left="116"/>
        <w:jc w:val="both"/>
      </w:pPr>
      <w:r>
        <w:rPr/>
        <w:t>Edad  mayor  de  45</w:t>
      </w:r>
      <w:r>
        <w:rPr>
          <w:spacing w:val="57"/>
        </w:rPr>
        <w:t> </w:t>
      </w:r>
      <w:r>
        <w:rPr/>
        <w:t>años</w:t>
      </w:r>
    </w:p>
    <w:p>
      <w:pPr>
        <w:pStyle w:val="BodyText"/>
        <w:spacing w:line="360" w:lineRule="auto" w:before="106"/>
        <w:ind w:left="116" w:right="1470"/>
      </w:pPr>
      <w:r>
        <w:rPr/>
        <w:t>Obesidad o sobrepeso (índice de masa corporal mayor de 25 kg/m</w:t>
      </w:r>
      <w:r>
        <w:rPr>
          <w:position w:val="11"/>
          <w:sz w:val="16"/>
        </w:rPr>
        <w:t>2</w:t>
      </w:r>
      <w:r>
        <w:rPr/>
        <w:t>) Familiares  de  </w:t>
      </w:r>
      <w:r>
        <w:rPr>
          <w:spacing w:val="-2"/>
        </w:rPr>
        <w:t>primer  </w:t>
      </w:r>
      <w:r>
        <w:rPr/>
        <w:t>grado  con</w:t>
      </w:r>
      <w:r>
        <w:rPr>
          <w:spacing w:val="65"/>
        </w:rPr>
        <w:t> </w:t>
      </w:r>
      <w:r>
        <w:rPr/>
        <w:t>diabetes</w:t>
      </w:r>
    </w:p>
    <w:p>
      <w:pPr>
        <w:pStyle w:val="BodyText"/>
        <w:spacing w:line="360" w:lineRule="auto" w:before="2"/>
        <w:ind w:left="116" w:right="3779"/>
      </w:pPr>
      <w:r>
        <w:rPr/>
        <w:t>Pertenencia a un grupo étnico de alta prevalencia Bajo  peso  al</w:t>
      </w:r>
      <w:r>
        <w:rPr>
          <w:spacing w:val="60"/>
        </w:rPr>
        <w:t> </w:t>
      </w:r>
      <w:r>
        <w:rPr/>
        <w:t>nacer</w:t>
      </w:r>
    </w:p>
    <w:p>
      <w:pPr>
        <w:pStyle w:val="BodyText"/>
        <w:spacing w:before="7"/>
        <w:ind w:left="116"/>
        <w:jc w:val="both"/>
      </w:pPr>
      <w:r>
        <w:rPr/>
        <w:t>Sedentarismo</w:t>
      </w:r>
    </w:p>
    <w:p>
      <w:pPr>
        <w:pStyle w:val="BodyText"/>
        <w:spacing w:before="137"/>
        <w:ind w:left="116"/>
        <w:jc w:val="both"/>
      </w:pPr>
      <w:r>
        <w:rPr/>
        <w:t>Exceso  de  alimentos  energéticos  (Grasas, azúcares)</w:t>
      </w:r>
    </w:p>
    <w:p>
      <w:pPr>
        <w:pStyle w:val="BodyText"/>
        <w:spacing w:line="362" w:lineRule="auto" w:before="137"/>
        <w:ind w:left="116" w:right="1470"/>
      </w:pPr>
      <w:r>
        <w:rPr/>
        <w:t>Exceso de alimentos con alto índice glucémico y bajos  en  fibras Antecedente de diabetes gestacional o de recién nacidos macrosómicos Hipertensión</w:t>
      </w:r>
      <w:r>
        <w:rPr>
          <w:spacing w:val="56"/>
        </w:rPr>
        <w:t> </w:t>
      </w:r>
      <w:r>
        <w:rPr/>
        <w:t>arterial</w:t>
      </w:r>
    </w:p>
    <w:p>
      <w:pPr>
        <w:pStyle w:val="BodyText"/>
        <w:ind w:left="116"/>
        <w:jc w:val="both"/>
      </w:pPr>
      <w:r>
        <w:rPr/>
        <w:t>Hipertrigliceridemia</w:t>
      </w:r>
    </w:p>
    <w:p>
      <w:pPr>
        <w:pStyle w:val="BodyText"/>
        <w:spacing w:before="137"/>
        <w:ind w:left="116"/>
        <w:jc w:val="both"/>
      </w:pPr>
      <w:r>
        <w:rPr/>
        <w:t>Intolerancia  a  la  glucosa  o  glucemia  anormal  en  ayunas</w:t>
      </w:r>
    </w:p>
    <w:p>
      <w:pPr>
        <w:pStyle w:val="BodyText"/>
      </w:pPr>
    </w:p>
    <w:p>
      <w:pPr>
        <w:pStyle w:val="BodyText"/>
        <w:spacing w:before="9"/>
        <w:rPr>
          <w:sz w:val="23"/>
        </w:rPr>
      </w:pPr>
    </w:p>
    <w:p>
      <w:pPr>
        <w:pStyle w:val="Heading1"/>
        <w:ind w:left="116"/>
      </w:pPr>
      <w:r>
        <w:rPr/>
        <w:t>1.4 Diabetes,  sobrepeso  y  obesidad  en  México  como  un  problema social</w:t>
      </w:r>
    </w:p>
    <w:p>
      <w:pPr>
        <w:pStyle w:val="BodyText"/>
        <w:rPr>
          <w:b/>
        </w:rPr>
      </w:pPr>
    </w:p>
    <w:p>
      <w:pPr>
        <w:pStyle w:val="BodyText"/>
        <w:spacing w:before="2"/>
        <w:rPr>
          <w:b/>
        </w:rPr>
      </w:pPr>
    </w:p>
    <w:p>
      <w:pPr>
        <w:pStyle w:val="BodyText"/>
        <w:spacing w:line="360" w:lineRule="auto"/>
        <w:ind w:left="116" w:right="111"/>
        <w:jc w:val="both"/>
      </w:pPr>
      <w:r>
        <w:rPr/>
        <w:t>La Organización para la Cooperación y el Desarrollo Económico (OCDE, 2012), mencionaba  en  que  al  menos  en  el  2010  el  30%  de  la  población  en   México   era obesa; posteriormente  en  2014  y  reportando  datos  del  año  2012  menciona  que </w:t>
      </w:r>
      <w:r>
        <w:rPr>
          <w:spacing w:val="-3"/>
        </w:rPr>
        <w:t>más </w:t>
      </w:r>
      <w:r>
        <w:rPr/>
        <w:t>de uno de cada tres adultos en México  es  obeso  y  la  cifra  ha  ido  creciendo  de  manera  </w:t>
      </w:r>
      <w:r>
        <w:rPr>
          <w:spacing w:val="-3"/>
        </w:rPr>
        <w:t>más  </w:t>
      </w:r>
      <w:r>
        <w:rPr/>
        <w:t>rápida  a  comparación  de  otros</w:t>
      </w:r>
      <w:r>
        <w:rPr>
          <w:spacing w:val="66"/>
        </w:rPr>
        <w:t> </w:t>
      </w:r>
      <w:r>
        <w:rPr/>
        <w:t>países.</w:t>
      </w:r>
    </w:p>
    <w:p>
      <w:pPr>
        <w:pStyle w:val="BodyText"/>
      </w:pPr>
    </w:p>
    <w:p>
      <w:pPr>
        <w:pStyle w:val="BodyText"/>
        <w:spacing w:line="360" w:lineRule="auto" w:before="140"/>
        <w:ind w:left="116" w:right="109"/>
        <w:jc w:val="both"/>
      </w:pPr>
      <w:r>
        <w:rPr/>
        <w:t>La  Federación  Internacional  de  Diabetes  (2013),  menciona  que  México  es  uno   de los principales  países  con  mayor  ocurrencia  de  diabetes  en  el  mundo.  En  1995 ocupaba el noveno lugar con mayor  número  de  casos  de  diabetes  y  se  espera  que  para  el  2030  ocupe  el  </w:t>
      </w:r>
      <w:r>
        <w:rPr>
          <w:spacing w:val="-3"/>
        </w:rPr>
        <w:t>séptimo  </w:t>
      </w:r>
      <w:r>
        <w:rPr/>
        <w:t>con  casi  12  millones  de  pacientes  con  diabetes  tipo</w:t>
      </w:r>
      <w:r>
        <w:rPr>
          <w:spacing w:val="61"/>
        </w:rPr>
        <w:t> </w:t>
      </w:r>
      <w:r>
        <w:rPr/>
        <w:t>2.</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116" w:right="110"/>
        <w:jc w:val="both"/>
      </w:pPr>
      <w:r>
        <w:rPr/>
        <w:t>Respecto a la  proporción  de  adultos  con  diagnóstico  médico  previo  de  diabetes  por entidad federativa, en la Encuesta Nacional de Salud  y  Nutrición  (ENSANUT, 2012) se observó que las prevalencias </w:t>
      </w:r>
      <w:r>
        <w:rPr>
          <w:spacing w:val="-3"/>
        </w:rPr>
        <w:t>más  </w:t>
      </w:r>
      <w:r>
        <w:rPr/>
        <w:t>altas  se  identifican  en  el  Distrito  Federal, Nuevo León, Veracruz, Estado  de  México,  Tamaulipas,  Durango  y  San  Luis  Potosí.  De  igual  manera  muestra  que  las  prevalencias  </w:t>
      </w:r>
      <w:r>
        <w:rPr>
          <w:spacing w:val="-3"/>
        </w:rPr>
        <w:t>más  </w:t>
      </w:r>
      <w:r>
        <w:rPr/>
        <w:t>altas  de  diabetes se presentaron en los grupos de 50 a 69 años y,  a  partir  </w:t>
      </w:r>
      <w:r>
        <w:rPr>
          <w:spacing w:val="-3"/>
        </w:rPr>
        <w:t>del  </w:t>
      </w:r>
      <w:r>
        <w:rPr/>
        <w:t>2006  se observó  un  aumento  en  el  grupo  de  40  a  49</w:t>
      </w:r>
      <w:r>
        <w:rPr>
          <w:spacing w:val="52"/>
        </w:rPr>
        <w:t> </w:t>
      </w:r>
      <w:r>
        <w:rPr/>
        <w:t>años.</w:t>
      </w:r>
    </w:p>
    <w:p>
      <w:pPr>
        <w:pStyle w:val="BodyText"/>
      </w:pPr>
    </w:p>
    <w:p>
      <w:pPr>
        <w:pStyle w:val="BodyText"/>
        <w:spacing w:line="360" w:lineRule="auto" w:before="139"/>
        <w:ind w:left="116" w:right="109"/>
        <w:jc w:val="both"/>
      </w:pPr>
      <w:r>
        <w:rPr/>
        <w:t>La Asociación Americana de Diabetes (2012), describe que la diabetes tipo 2  representa un reto en cuanto a su prevención, detección y  control.  Es  una  enfermedad crónico-degenerativa, y una de las principales causas de muerte y discapacidad en  el  mundo  que  requiere  atención  permanente.  Las  complicaciones a  corto  y  largo  plazo  demandan  atención  médica  y  tratamientos  especializados,  lo  que  implica  que  su  atención  conlleve  costos  abrumadoramente</w:t>
      </w:r>
      <w:r>
        <w:rPr>
          <w:spacing w:val="48"/>
        </w:rPr>
        <w:t> </w:t>
      </w:r>
      <w:r>
        <w:rPr/>
        <w:t>altos.</w:t>
      </w:r>
    </w:p>
    <w:p>
      <w:pPr>
        <w:pStyle w:val="BodyText"/>
      </w:pPr>
    </w:p>
    <w:p>
      <w:pPr>
        <w:pStyle w:val="BodyText"/>
        <w:spacing w:line="360" w:lineRule="auto" w:before="139"/>
        <w:ind w:left="116" w:right="110"/>
        <w:jc w:val="both"/>
      </w:pPr>
      <w:r>
        <w:rPr/>
        <w:t>La diabetes mellitus es el trastorno endócrino </w:t>
      </w:r>
      <w:r>
        <w:rPr>
          <w:spacing w:val="-3"/>
        </w:rPr>
        <w:t>más </w:t>
      </w:r>
      <w:r>
        <w:rPr/>
        <w:t>común. En muchos países  representa un gran  problema  de  salud  por  su  repercusión  sobre  la  calidad  de  vida de los individuos afectados por esta  enfermedad  y  el  alto  costo  de  su  atención. Afecta a personas de todas las edades, sin distinción de raza o nivel socioeconómico.  (Feal,</w:t>
      </w:r>
      <w:r>
        <w:rPr>
          <w:spacing w:val="55"/>
        </w:rPr>
        <w:t> </w:t>
      </w:r>
      <w:r>
        <w:rPr/>
        <w:t>1998).</w:t>
      </w:r>
    </w:p>
    <w:p>
      <w:pPr>
        <w:pStyle w:val="BodyText"/>
      </w:pPr>
    </w:p>
    <w:p>
      <w:pPr>
        <w:pStyle w:val="BodyText"/>
        <w:spacing w:line="360" w:lineRule="auto" w:before="145"/>
        <w:ind w:left="116" w:right="109"/>
        <w:jc w:val="both"/>
      </w:pPr>
      <w:r>
        <w:rPr/>
        <w:t>Con respecto a los  términos  de  asignación  y  flujo  de  recursos  económicos Gutiérrez en 2013 indica que son  evidentes  los  problemas  de  inequidad  y  de  acceso a  la  salud  dependiendo  del  grupo  social  al  que  pertenecen  los  pacientes  y  sus </w:t>
      </w:r>
      <w:r>
        <w:rPr>
          <w:spacing w:val="2"/>
        </w:rPr>
        <w:t> </w:t>
      </w:r>
      <w:r>
        <w:rPr/>
        <w:t>familias.</w:t>
      </w:r>
    </w:p>
    <w:p>
      <w:pPr>
        <w:pStyle w:val="BodyText"/>
      </w:pPr>
    </w:p>
    <w:p>
      <w:pPr>
        <w:pStyle w:val="BodyText"/>
        <w:spacing w:line="360" w:lineRule="auto" w:before="144"/>
        <w:ind w:left="116" w:right="110"/>
        <w:jc w:val="both"/>
      </w:pPr>
      <w:r>
        <w:rPr/>
        <w:t>En la ENSANUT 2012 se señala que la prevalencia de diabetes,  por  diagnóstico previo, es  del  9.17%  (6.4  millones  de  personas)  y  se  estima  que  en  el  2025  será  del  12.3%.  En  el  área  urbana  </w:t>
      </w:r>
      <w:r>
        <w:rPr>
          <w:spacing w:val="-3"/>
        </w:rPr>
        <w:t>se  </w:t>
      </w:r>
      <w:r>
        <w:rPr/>
        <w:t>observó  una  prevalencia  del  9.7%,  y  en  la   rural   del   7%.   Las   mujeres   presentaron   una   prevalencia   del   9.67%     </w:t>
      </w:r>
      <w:r>
        <w:rPr>
          <w:spacing w:val="14"/>
        </w:rPr>
        <w:t> </w:t>
      </w:r>
      <w:r>
        <w:rPr/>
        <w:t>(3.5</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15"/>
        <w:jc w:val="both"/>
      </w:pPr>
      <w:r>
        <w:rPr/>
        <w:t>millones) y los  hombres  del  8.6%  (2.8  millones),  y  la  edad  </w:t>
      </w:r>
      <w:r>
        <w:rPr>
          <w:spacing w:val="-3"/>
        </w:rPr>
        <w:t>más  </w:t>
      </w:r>
      <w:r>
        <w:rPr/>
        <w:t>frecuente  fue  entre  50  y  69  años</w:t>
      </w:r>
      <w:r>
        <w:rPr>
          <w:spacing w:val="57"/>
        </w:rPr>
        <w:t> </w:t>
      </w:r>
      <w:r>
        <w:rPr/>
        <w:t>(63.9%).</w:t>
      </w:r>
    </w:p>
    <w:p>
      <w:pPr>
        <w:pStyle w:val="BodyText"/>
        <w:spacing w:before="11"/>
        <w:rPr>
          <w:sz w:val="35"/>
        </w:rPr>
      </w:pPr>
    </w:p>
    <w:p>
      <w:pPr>
        <w:pStyle w:val="BodyText"/>
        <w:spacing w:line="360" w:lineRule="auto"/>
        <w:ind w:left="116" w:right="112"/>
        <w:jc w:val="both"/>
      </w:pPr>
      <w:r>
        <w:rPr/>
        <w:t>Villalpando, Cruz, Rojas, Shamah-Levy, Ávila, Gaona, Rebollar, Hernández (2010) mencionan que la prevalencia de la diabetes tipo 2 en México es </w:t>
      </w:r>
      <w:r>
        <w:rPr>
          <w:spacing w:val="-3"/>
        </w:rPr>
        <w:t>muy </w:t>
      </w:r>
      <w:r>
        <w:rPr/>
        <w:t>alta en comparación con informes de otros países después de 2001 especialmente en individuos mayores de  20  años  de  edad.  Agregando  que  Moreno  y  Limón  en  2009 señalan que en México  los  pacientes  con  diabetes  viven  20  años  en promedio, además de  presentarse  en  todos  los  grupos  de  edad  y  es  </w:t>
      </w:r>
      <w:r>
        <w:rPr>
          <w:spacing w:val="-3"/>
        </w:rPr>
        <w:t>más </w:t>
      </w:r>
      <w:r>
        <w:rPr/>
        <w:t>frecuente  en  individuos  de  25  a  59  años,  sin  embargo en  ese  año  se  comienza  a  observar  la  presencia  de  esta  enfermedad  en  personas  </w:t>
      </w:r>
      <w:r>
        <w:rPr>
          <w:spacing w:val="-3"/>
        </w:rPr>
        <w:t>más</w:t>
      </w:r>
      <w:r>
        <w:rPr>
          <w:spacing w:val="41"/>
        </w:rPr>
        <w:t> </w:t>
      </w:r>
      <w:r>
        <w:rPr/>
        <w:t>jóvenes.</w:t>
      </w:r>
    </w:p>
    <w:p>
      <w:pPr>
        <w:pStyle w:val="BodyText"/>
      </w:pPr>
    </w:p>
    <w:p>
      <w:pPr>
        <w:pStyle w:val="BodyText"/>
        <w:spacing w:line="360" w:lineRule="auto" w:before="139"/>
        <w:ind w:left="116" w:right="108"/>
        <w:jc w:val="both"/>
      </w:pPr>
      <w:r>
        <w:rPr/>
        <w:t>México afronta dentro de las  diversas  problemáticas  sociales  y  de  salud  que  afectan a gran parte  del  mundo  además  de  la  diabetes,  el  sobrepeso  y  la  obesidad enfermedades crónicas  degenerativas  que  en  el  país  afectan  al  69.5%  de la población total. Rodríguez y González (2009), indican que algunos autores sostienen  que  la  obesidad  es  “contagiosa”  lo  que  significa  que   aquellos  individuos que conviven en ambientes donde predomina  la  obesidad,  presentan  mayor  tendencia  a  padecer  la  misma,  ya  que  los  estándares  sociales  se   adoptan  y  se  reproducen,  entre  los  que  mencionan  se  encuentran  las  malas dietas  y  la  falta  de</w:t>
      </w:r>
      <w:r>
        <w:rPr>
          <w:spacing w:val="57"/>
        </w:rPr>
        <w:t> </w:t>
      </w:r>
      <w:r>
        <w:rPr/>
        <w:t>ejercicio.</w:t>
      </w:r>
    </w:p>
    <w:p>
      <w:pPr>
        <w:pStyle w:val="BodyText"/>
      </w:pPr>
    </w:p>
    <w:p>
      <w:pPr>
        <w:pStyle w:val="BodyText"/>
        <w:spacing w:line="360" w:lineRule="auto" w:before="145"/>
        <w:ind w:left="116" w:right="109"/>
        <w:jc w:val="both"/>
      </w:pPr>
      <w:r>
        <w:rPr/>
        <w:t>Por su parte Mejía (2010), explica que esto se debe  a  diferentes  causas  y  condiciones pues señala  dos  categorías  principales:  unas  son  las  causas  centrales, es decir, aquello de lo cual se produce algo; y otras son los factores cooperantes que contribuyen a esa  causalidad.  Esto  quiere  decir  que  pasa  tanto  por una predisposición genética </w:t>
      </w:r>
      <w:r>
        <w:rPr>
          <w:spacing w:val="-4"/>
        </w:rPr>
        <w:t>como </w:t>
      </w:r>
      <w:r>
        <w:rPr>
          <w:spacing w:val="58"/>
        </w:rPr>
        <w:t> </w:t>
      </w:r>
      <w:r>
        <w:rPr/>
        <w:t>por  los  hábitos  de  las  personas,  siendo  estos últimos una de  las  mayores  causas  del  sobrepeso  dado  que  en  los individuos  no  es  constante  la  incidencia  de  las  causas  y  los  factores  cooperantes;    no    obstante,    los    hábitos    son    </w:t>
      </w:r>
      <w:r>
        <w:rPr>
          <w:spacing w:val="-3"/>
        </w:rPr>
        <w:t>más    </w:t>
      </w:r>
      <w:r>
        <w:rPr/>
        <w:t>importantes,    pues    se</w:t>
      </w:r>
      <w:r>
        <w:rPr>
          <w:spacing w:val="17"/>
        </w:rPr>
        <w:t> </w:t>
      </w:r>
      <w:r>
        <w:rPr/>
        <w:t>ha</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15"/>
        <w:jc w:val="both"/>
      </w:pPr>
      <w:r>
        <w:rPr/>
        <w:t>demostrado que los  hábitos  de  vida  saludable  contrarrestan  las  consecuencias  de la  predisposición</w:t>
      </w:r>
      <w:r>
        <w:rPr>
          <w:spacing w:val="64"/>
        </w:rPr>
        <w:t> </w:t>
      </w:r>
      <w:r>
        <w:rPr/>
        <w:t>genética.</w:t>
      </w:r>
    </w:p>
    <w:p>
      <w:pPr>
        <w:pStyle w:val="BodyText"/>
        <w:spacing w:before="11"/>
        <w:rPr>
          <w:sz w:val="35"/>
        </w:rPr>
      </w:pPr>
    </w:p>
    <w:p>
      <w:pPr>
        <w:pStyle w:val="BodyText"/>
        <w:spacing w:line="360" w:lineRule="auto"/>
        <w:ind w:left="116" w:right="106"/>
        <w:jc w:val="both"/>
      </w:pPr>
      <w:r>
        <w:rPr/>
        <w:t>De acuerdo con  Gallegos,  Ovalle  y  Gómez  (2006),  juegan  un  papel  definitivo  en  la activación de los genes  de  la  diabetes  mellitus  tipo  2  (DMT2)  y  en  el  Incremento de la enfermedad los  factores  genéticos  como  ambientales.  Dentro  de los  ambientales  el  tipo  de  dieta,  las  costumbres,  la  transculturación  y  </w:t>
      </w:r>
      <w:r>
        <w:rPr>
          <w:spacing w:val="4"/>
        </w:rPr>
        <w:t>la  </w:t>
      </w:r>
      <w:r>
        <w:rPr/>
        <w:t>reducción  en  la  actividad  física  de  la</w:t>
      </w:r>
      <w:r>
        <w:rPr>
          <w:spacing w:val="56"/>
        </w:rPr>
        <w:t> </w:t>
      </w:r>
      <w:r>
        <w:rPr/>
        <w:t>población.</w:t>
      </w:r>
    </w:p>
    <w:p>
      <w:pPr>
        <w:pStyle w:val="BodyText"/>
      </w:pPr>
    </w:p>
    <w:p>
      <w:pPr>
        <w:pStyle w:val="BodyText"/>
        <w:spacing w:line="360" w:lineRule="auto" w:before="144"/>
        <w:ind w:left="116" w:right="110"/>
        <w:jc w:val="both"/>
      </w:pPr>
      <w:r>
        <w:rPr/>
        <w:t>Inzunsa y  Escobar  (2004),  reconocen  que  en  México,  los  habitantes  de  las grandes urbes consumen menos frutas y  vegetales  e  ingieren  </w:t>
      </w:r>
      <w:r>
        <w:rPr>
          <w:spacing w:val="-3"/>
        </w:rPr>
        <w:t>más  </w:t>
      </w:r>
      <w:r>
        <w:rPr/>
        <w:t>comida  rápida con exceso de grasas y carbohidratos y bajo contenido de fibra, es decir dietas hipercalóricas. Agregando que las comidas  se  acompañan  generalmente  de  refrescos embotellados, cuyo  consumo  per  cápita  ubica  a  nuestro  país  en  el  primer  lugar  a  nivel</w:t>
      </w:r>
      <w:r>
        <w:rPr>
          <w:spacing w:val="65"/>
        </w:rPr>
        <w:t> </w:t>
      </w:r>
      <w:r>
        <w:rPr/>
        <w:t>mundial.</w:t>
      </w:r>
    </w:p>
    <w:p>
      <w:pPr>
        <w:pStyle w:val="BodyText"/>
      </w:pPr>
    </w:p>
    <w:p>
      <w:pPr>
        <w:pStyle w:val="BodyText"/>
        <w:spacing w:line="360" w:lineRule="auto" w:before="139"/>
        <w:ind w:left="116" w:right="110"/>
        <w:jc w:val="both"/>
      </w:pPr>
      <w:r>
        <w:rPr/>
        <w:t>Sin embargo, </w:t>
      </w:r>
      <w:r>
        <w:rPr>
          <w:spacing w:val="2"/>
        </w:rPr>
        <w:t>en </w:t>
      </w:r>
      <w:r>
        <w:rPr/>
        <w:t>un  estudio  referente  al  sobrepeso  y  obesidad  entre  mujeres  de  los seis estados </w:t>
      </w:r>
      <w:r>
        <w:rPr>
          <w:spacing w:val="-3"/>
        </w:rPr>
        <w:t>más </w:t>
      </w:r>
      <w:r>
        <w:rPr/>
        <w:t>pobres de  la  república  mexicana,  Rodríguez,  González-  Cossío, Leroy  y  González  (2006),  describen  cuatro  patrones  dietéticos:  1.  alimentos grasos chatarra (17.5%), 2. variado (36.4%), 3. carne (13%) y 4. cereal  (33%). En el primer patrón incluía un alto consumo de comida chatarra, grasa, productos lácteos y huevos; el  patrón  de  consumo  variado  fue  una  dieta  que  incluía  diversos  grupos  entre  cereales,  productos  lácteos,  huevo,  alimento  chatarra, poco consumo de frijoles, frutas y verduras; en el patrón de la carne, predominó ésta, poco consumo de otros alimentos y; en el patrón de cereales predominaba  era  el  maíz.  La  prevalencia  de  sobrepeso  y  obesidad  fue  del  65.8%,  56.5%,  60.7%  y  48%  para  cada  patrón  de</w:t>
      </w:r>
      <w:r>
        <w:rPr>
          <w:spacing w:val="53"/>
        </w:rPr>
        <w:t> </w:t>
      </w:r>
      <w:r>
        <w:rPr/>
        <w:t>dieta.</w:t>
      </w:r>
    </w:p>
    <w:p>
      <w:pPr>
        <w:pStyle w:val="BodyText"/>
      </w:pPr>
    </w:p>
    <w:p>
      <w:pPr>
        <w:pStyle w:val="BodyText"/>
        <w:spacing w:line="360" w:lineRule="auto" w:before="140"/>
        <w:ind w:left="116" w:right="109"/>
        <w:jc w:val="both"/>
      </w:pPr>
      <w:r>
        <w:rPr/>
        <w:t>Con relación al gasto económico que  se  genera  a  partir  de  la  atención  que  se  debe  de  dar  a  las  enfermedades  crónicas,  en  México  el  gasto  económico  que   se   tiene   en   el   tratamiento   de   la   diabetes   es   realmente   alto,   los      </w:t>
      </w:r>
      <w:r>
        <w:rPr>
          <w:spacing w:val="37"/>
        </w:rPr>
        <w:t> </w:t>
      </w:r>
      <w:r>
        <w:rPr>
          <w:spacing w:val="2"/>
        </w:rPr>
        <w:t>autores</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13"/>
        <w:jc w:val="both"/>
      </w:pPr>
      <w:r>
        <w:rPr/>
        <w:t>Arredondo  y  De  Icaza  (2011),  realizan  el  cálculo  que  por  cada  100  pesos  que  se gastan en diabetes, aproximadamente 51 pesos provienen de los  ingresos  familiares,  representando  una  carga  social  de  </w:t>
      </w:r>
      <w:r>
        <w:rPr>
          <w:spacing w:val="-3"/>
        </w:rPr>
        <w:t>muy  </w:t>
      </w:r>
      <w:r>
        <w:rPr/>
        <w:t>alto</w:t>
      </w:r>
      <w:r>
        <w:rPr>
          <w:spacing w:val="61"/>
        </w:rPr>
        <w:t> </w:t>
      </w:r>
      <w:r>
        <w:rPr/>
        <w:t>impacto.</w:t>
      </w:r>
    </w:p>
    <w:p>
      <w:pPr>
        <w:pStyle w:val="BodyText"/>
        <w:spacing w:before="10"/>
        <w:rPr>
          <w:sz w:val="35"/>
        </w:rPr>
      </w:pPr>
    </w:p>
    <w:p>
      <w:pPr>
        <w:pStyle w:val="BodyText"/>
        <w:spacing w:line="360" w:lineRule="auto"/>
        <w:ind w:left="116" w:right="106"/>
        <w:jc w:val="both"/>
      </w:pPr>
      <w:r>
        <w:rPr/>
        <w:t>Posteriormente y según la Organización para la Cooperación y  el  Desarrollo Económico en 2012 México tenía que  canalizar  190  mil  millones  de  pesos  del  gasto público hacia la  atención  de  los  problemas  de  salud  asociados  a  </w:t>
      </w:r>
      <w:r>
        <w:rPr>
          <w:spacing w:val="4"/>
        </w:rPr>
        <w:t>la </w:t>
      </w:r>
      <w:r>
        <w:rPr/>
        <w:t>obesidad,  esto  es,  la  mitad  del  presupuesto  de  todas  las  instituciones  públicas  de </w:t>
      </w:r>
      <w:r>
        <w:rPr>
          <w:spacing w:val="1"/>
        </w:rPr>
        <w:t> </w:t>
      </w:r>
      <w:r>
        <w:rPr/>
        <w:t>salud.</w:t>
      </w:r>
    </w:p>
    <w:p>
      <w:pPr>
        <w:pStyle w:val="BodyText"/>
      </w:pPr>
    </w:p>
    <w:p>
      <w:pPr>
        <w:pStyle w:val="BodyText"/>
        <w:spacing w:line="360" w:lineRule="auto" w:before="145"/>
        <w:ind w:left="116" w:right="110"/>
        <w:jc w:val="both"/>
      </w:pPr>
      <w:r>
        <w:rPr/>
        <w:t>Habría que decir además  que  en  México  como  en  otros  países,  la  mayor  parte  del presupuesto  en  salud  (el  73.5%  aproximadamente),  se  gasta  en  tratamientos  y no  en  prevención  y  salud  pública  (sólo  el  2.7%),  </w:t>
      </w:r>
      <w:r>
        <w:rPr>
          <w:spacing w:val="-2"/>
        </w:rPr>
        <w:t>además</w:t>
      </w:r>
      <w:r>
        <w:rPr>
          <w:spacing w:val="62"/>
        </w:rPr>
        <w:t> </w:t>
      </w:r>
      <w:r>
        <w:rPr/>
        <w:t>que  se  debe  de  vigilar la calidad y tener intervenciones eficaces de salud pública, para frenar el  aumento  de  las  tasas  de  obesidad  y  diabetes  tipo  2,  </w:t>
      </w:r>
      <w:r>
        <w:rPr>
          <w:spacing w:val="-3"/>
        </w:rPr>
        <w:t>si  </w:t>
      </w:r>
      <w:r>
        <w:rPr/>
        <w:t>esto  </w:t>
      </w:r>
      <w:r>
        <w:rPr>
          <w:spacing w:val="-3"/>
        </w:rPr>
        <w:t>se  </w:t>
      </w:r>
      <w:r>
        <w:rPr/>
        <w:t>deja  de  lado   las enfermedades crónicas serán una  gran  carga  financiera  para  el  sistema  de  salud (Rtveladze, Marsh, Barquera, Sánchez, Levy, Melendez, Webber, Kilpi, Mcpherson  y  Brown,</w:t>
      </w:r>
      <w:r>
        <w:rPr>
          <w:spacing w:val="61"/>
        </w:rPr>
        <w:t> </w:t>
      </w:r>
      <w:r>
        <w:rPr/>
        <w:t>2014).</w:t>
      </w:r>
    </w:p>
    <w:p>
      <w:pPr>
        <w:pStyle w:val="BodyText"/>
      </w:pPr>
    </w:p>
    <w:p>
      <w:pPr>
        <w:pStyle w:val="BodyText"/>
        <w:spacing w:line="360" w:lineRule="auto" w:before="139"/>
        <w:ind w:left="116" w:right="106"/>
        <w:jc w:val="both"/>
      </w:pPr>
      <w:r>
        <w:rPr/>
        <w:t>Barquera, Campos, Hernández, Villalpando, Rodríguez, Durazo y Aguilar (2010), señalan que las enfermedades  crónicas  y  sus  factores  de  riesgo  van  en  incremento en México y sugieren que </w:t>
      </w:r>
      <w:r>
        <w:rPr>
          <w:spacing w:val="-3"/>
        </w:rPr>
        <w:t>se </w:t>
      </w:r>
      <w:r>
        <w:rPr/>
        <w:t>debe de desarrollar  información  </w:t>
      </w:r>
      <w:r>
        <w:rPr>
          <w:spacing w:val="-3"/>
        </w:rPr>
        <w:t>más  </w:t>
      </w:r>
      <w:r>
        <w:rPr/>
        <w:t>detallada  para  dar  prioridad  a  los  programas  de  salud  pública  hacia  </w:t>
      </w:r>
      <w:r>
        <w:rPr>
          <w:spacing w:val="4"/>
        </w:rPr>
        <w:t>la  </w:t>
      </w:r>
      <w:r>
        <w:rPr/>
        <w:t>prevención y el diagnóstico precoz y el tratamiento de  estas  condiciones  para  aminorar  las  cargas  actuales  y  el  aumento  de  la  prevalencia  de  las  enfermedades  cardiovasculares  y  la  diabetes  tipo</w:t>
      </w:r>
      <w:r>
        <w:rPr>
          <w:spacing w:val="56"/>
        </w:rPr>
        <w:t> </w:t>
      </w:r>
      <w:r>
        <w:rPr/>
        <w:t>2.</w:t>
      </w:r>
    </w:p>
    <w:p>
      <w:pPr>
        <w:spacing w:after="0" w:line="360" w:lineRule="auto"/>
        <w:jc w:val="both"/>
        <w:sectPr>
          <w:pgSz w:w="12240" w:h="15840"/>
          <w:pgMar w:header="729" w:footer="0" w:top="960" w:bottom="280" w:left="1300" w:right="1300"/>
        </w:sectPr>
      </w:pPr>
    </w:p>
    <w:p>
      <w:pPr>
        <w:pStyle w:val="BodyText"/>
        <w:rPr>
          <w:sz w:val="20"/>
        </w:rPr>
      </w:pPr>
    </w:p>
    <w:p>
      <w:pPr>
        <w:pStyle w:val="Heading1"/>
        <w:spacing w:line="362" w:lineRule="auto" w:before="208"/>
        <w:ind w:left="2056" w:right="212" w:hanging="1542"/>
        <w:jc w:val="left"/>
      </w:pPr>
      <w:r>
        <w:rPr/>
        <w:t>CAPÍTULO </w:t>
      </w:r>
      <w:r>
        <w:rPr>
          <w:spacing w:val="-4"/>
        </w:rPr>
        <w:t>II. </w:t>
      </w:r>
      <w:r>
        <w:rPr/>
        <w:t>HÁBITOS DE VIDA Y CALIDAD DE VIDA EN PACIENTES DIABÉTICOS  CON  OBESIDAD  O</w:t>
      </w:r>
      <w:r>
        <w:rPr>
          <w:spacing w:val="53"/>
        </w:rPr>
        <w:t> </w:t>
      </w:r>
      <w:r>
        <w:rPr/>
        <w:t>SOBREPESO</w:t>
      </w:r>
    </w:p>
    <w:p>
      <w:pPr>
        <w:pStyle w:val="BodyText"/>
        <w:rPr>
          <w:b/>
        </w:rPr>
      </w:pPr>
    </w:p>
    <w:p>
      <w:pPr>
        <w:pStyle w:val="BodyText"/>
        <w:spacing w:line="360" w:lineRule="auto" w:before="142"/>
        <w:ind w:left="116" w:right="113"/>
        <w:jc w:val="both"/>
      </w:pPr>
      <w:r>
        <w:rPr/>
        <w:t>En éste  capítulo  se  abordarán  los  conceptos  de  hábitos  de  vida  y  calidad de  vida, así </w:t>
      </w:r>
      <w:r>
        <w:rPr>
          <w:spacing w:val="-4"/>
        </w:rPr>
        <w:t>como</w:t>
      </w:r>
      <w:r>
        <w:rPr>
          <w:spacing w:val="58"/>
        </w:rPr>
        <w:t> </w:t>
      </w:r>
      <w:r>
        <w:rPr/>
        <w:t>los indicadores de la calidad de vida entre los que </w:t>
      </w:r>
      <w:r>
        <w:rPr>
          <w:spacing w:val="-3"/>
        </w:rPr>
        <w:t>se  </w:t>
      </w:r>
      <w:r>
        <w:rPr/>
        <w:t>pueden  mencionar son salud, llevar  una  alimentación  adecuada,  la  educación,  la  ocupación,  las  condiciones  de  trabajo,  condiciones  de  la  vivienda  de  las  personas, la  seguridad  social,  vestimenta  adecuada  y  los   derechos</w:t>
      </w:r>
      <w:r>
        <w:rPr>
          <w:spacing w:val="37"/>
        </w:rPr>
        <w:t> </w:t>
      </w:r>
      <w:r>
        <w:rPr/>
        <w:t>humanos.</w:t>
      </w:r>
    </w:p>
    <w:p>
      <w:pPr>
        <w:pStyle w:val="BodyText"/>
      </w:pPr>
    </w:p>
    <w:p>
      <w:pPr>
        <w:pStyle w:val="BodyText"/>
        <w:spacing w:line="360" w:lineRule="auto" w:before="144"/>
        <w:ind w:left="116" w:right="111"/>
        <w:jc w:val="both"/>
      </w:pPr>
      <w:r>
        <w:rPr/>
        <w:t>Se  </w:t>
      </w:r>
      <w:r>
        <w:rPr>
          <w:spacing w:val="-2"/>
        </w:rPr>
        <w:t>retoma  </w:t>
      </w:r>
      <w:r>
        <w:rPr/>
        <w:t>la  teoría  de  Orem  como  una  forma  de  encontrar  la  calidad  de   vida   a  través  de  los  hábitos  de  autocuidado  de  las</w:t>
      </w:r>
      <w:r>
        <w:rPr>
          <w:spacing w:val="44"/>
        </w:rPr>
        <w:t> </w:t>
      </w:r>
      <w:r>
        <w:rPr/>
        <w:t>enfermedades.</w:t>
      </w:r>
    </w:p>
    <w:p>
      <w:pPr>
        <w:pStyle w:val="BodyText"/>
      </w:pPr>
    </w:p>
    <w:p>
      <w:pPr>
        <w:pStyle w:val="BodyText"/>
        <w:spacing w:line="362" w:lineRule="auto" w:before="139"/>
        <w:ind w:left="116" w:right="117"/>
        <w:jc w:val="both"/>
      </w:pPr>
      <w:r>
        <w:rPr/>
        <w:t>Por último se realiza un análisis entre  la  relación  de  la  calidad  de  vida  y  los  hábitos  de  vida  de  las  personas  que  tienen  diabetes  con sobrepeso  u</w:t>
      </w:r>
      <w:r>
        <w:rPr>
          <w:spacing w:val="40"/>
        </w:rPr>
        <w:t> </w:t>
      </w:r>
      <w:r>
        <w:rPr/>
        <w:t>obesidad.</w:t>
      </w:r>
    </w:p>
    <w:p>
      <w:pPr>
        <w:pStyle w:val="BodyText"/>
        <w:spacing w:before="5"/>
        <w:rPr>
          <w:sz w:val="35"/>
        </w:rPr>
      </w:pPr>
    </w:p>
    <w:p>
      <w:pPr>
        <w:pStyle w:val="Heading1"/>
        <w:numPr>
          <w:ilvl w:val="1"/>
          <w:numId w:val="8"/>
        </w:numPr>
        <w:tabs>
          <w:tab w:pos="588" w:val="left" w:leader="none"/>
        </w:tabs>
        <w:spacing w:line="240" w:lineRule="auto" w:before="0" w:after="0"/>
        <w:ind w:left="587" w:right="0" w:hanging="471"/>
        <w:jc w:val="both"/>
      </w:pPr>
      <w:r>
        <w:rPr/>
        <w:t>Concepto  de  hábitos  de</w:t>
      </w:r>
      <w:r>
        <w:rPr>
          <w:spacing w:val="56"/>
        </w:rPr>
        <w:t> </w:t>
      </w:r>
      <w:r>
        <w:rPr/>
        <w:t>vida</w:t>
      </w:r>
    </w:p>
    <w:p>
      <w:pPr>
        <w:pStyle w:val="BodyText"/>
        <w:rPr>
          <w:b/>
        </w:rPr>
      </w:pPr>
    </w:p>
    <w:p>
      <w:pPr>
        <w:pStyle w:val="BodyText"/>
        <w:spacing w:before="7"/>
        <w:rPr>
          <w:b/>
        </w:rPr>
      </w:pPr>
    </w:p>
    <w:p>
      <w:pPr>
        <w:pStyle w:val="BodyText"/>
        <w:spacing w:line="360" w:lineRule="auto"/>
        <w:ind w:left="116" w:right="106"/>
        <w:jc w:val="both"/>
      </w:pPr>
      <w:r>
        <w:rPr/>
        <w:t>En cuanto a los hábitos, Kielhofner (2004) los describe como la  base  de  la organización  de  ciertos  patrones  o  rutinas  diarias  que  dan  origen  a  </w:t>
      </w:r>
      <w:r>
        <w:rPr>
          <w:spacing w:val="4"/>
        </w:rPr>
        <w:t>la  </w:t>
      </w:r>
      <w:r>
        <w:rPr/>
        <w:t>habituación resultante de  comportamientos  repetidos  en  contextos  temporales, físicos  y  socio  culturales,  y  </w:t>
      </w:r>
      <w:r>
        <w:rPr>
          <w:spacing w:val="-3"/>
        </w:rPr>
        <w:t>se  </w:t>
      </w:r>
      <w:r>
        <w:rPr/>
        <w:t>constituyen  a  través  de  costumbres  sociales cuando  son  compartidos  por  un  grupo  de</w:t>
      </w:r>
      <w:r>
        <w:rPr>
          <w:spacing w:val="54"/>
        </w:rPr>
        <w:t> </w:t>
      </w:r>
      <w:r>
        <w:rPr/>
        <w:t>personas.</w:t>
      </w:r>
    </w:p>
    <w:p>
      <w:pPr>
        <w:pStyle w:val="BodyText"/>
      </w:pPr>
    </w:p>
    <w:p>
      <w:pPr>
        <w:pStyle w:val="BodyText"/>
        <w:spacing w:line="360" w:lineRule="auto" w:before="139"/>
        <w:ind w:left="116" w:right="109"/>
        <w:jc w:val="both"/>
      </w:pPr>
      <w:r>
        <w:rPr/>
        <w:t>Los hábitos de vida son conductas que constantemente se repiten, son distintos comportamientos que se desarrollan con frecuencia. Para  entender  y  así  poder  definir a los hábitos de vida, se tiene  que  contemplar,  también,  el  concepto  de  estilos de vida ya que existen autores </w:t>
      </w:r>
      <w:r>
        <w:rPr>
          <w:spacing w:val="-4"/>
        </w:rPr>
        <w:t>como </w:t>
      </w:r>
      <w:r>
        <w:rPr/>
        <w:t>Adler (1973), que dentro de  éstos  engloban los hábitos  de  vida;  él  describe  que  estilo  de  vida  es  un  patrón  único  de conductas y hábitos con los que el individuo busca alcanzar un estado de superioridad.  Para  Henderson  y  otros  (1980), los  estilos  de  vida  son</w:t>
      </w:r>
      <w:r>
        <w:rPr>
          <w:spacing w:val="47"/>
        </w:rPr>
        <w:t> </w:t>
      </w:r>
      <w:r>
        <w:rPr/>
        <w:t>considerados</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09"/>
        <w:jc w:val="both"/>
      </w:pPr>
      <w:r>
        <w:rPr/>
        <w:t>como el conjunto  de  pautas  y  hábitos  comportamentales  cotidianos  de  una persona.</w:t>
      </w:r>
    </w:p>
    <w:p>
      <w:pPr>
        <w:pStyle w:val="BodyText"/>
        <w:spacing w:line="360" w:lineRule="auto"/>
        <w:ind w:left="116" w:right="109"/>
        <w:jc w:val="both"/>
      </w:pPr>
      <w:r>
        <w:rPr/>
        <w:t>Para el Fondo  de  Población  para  las  Naciones  Unidas  (2002)  el  concepto  de  estilo  de  vida  se  relaciona  con  las  ideas  de  comportamiento  individual  y   patrones de conducta, aspectos que se asocian y dependen de los sistemas psicosociales y  socioculturales.  Hacen  referencia  a  la  manera  de  vivir,  a  una  serie de actividades, rutinas cotidianas o hábitos, como  características  de  alimentación, horas de sueño  o  descanso,  consumo  de  alcohol,  tabaco  y  sustancias psicoactivas, actividad física y vida  sexual.  Agrega  </w:t>
      </w:r>
      <w:r>
        <w:rPr>
          <w:spacing w:val="-2"/>
        </w:rPr>
        <w:t>además</w:t>
      </w:r>
      <w:r>
        <w:rPr>
          <w:spacing w:val="62"/>
        </w:rPr>
        <w:t> </w:t>
      </w:r>
      <w:r>
        <w:rPr/>
        <w:t>que  los  estilos de  vida  pueden  ser  saludables  o  nocivos  para  la  salud  y  guardan  estrecha  relación  con  los  hábitos  y  la  </w:t>
      </w:r>
      <w:r>
        <w:rPr>
          <w:spacing w:val="-4"/>
        </w:rPr>
        <w:t>forma  </w:t>
      </w:r>
      <w:r>
        <w:rPr/>
        <w:t>de  vida  en  la </w:t>
      </w:r>
      <w:r>
        <w:rPr>
          <w:spacing w:val="12"/>
        </w:rPr>
        <w:t> </w:t>
      </w:r>
      <w:r>
        <w:rPr/>
        <w:t>persona.</w:t>
      </w:r>
    </w:p>
    <w:p>
      <w:pPr>
        <w:pStyle w:val="BodyText"/>
      </w:pPr>
    </w:p>
    <w:p>
      <w:pPr>
        <w:pStyle w:val="BodyText"/>
        <w:spacing w:before="139"/>
        <w:ind w:left="116"/>
        <w:jc w:val="both"/>
      </w:pPr>
      <w:r>
        <w:rPr/>
        <w:t>Mendoza,  Sagrera,  y  Batista  (1994:17),  definen  estilo  de  vida</w:t>
      </w:r>
      <w:r>
        <w:rPr>
          <w:spacing w:val="54"/>
        </w:rPr>
        <w:t> </w:t>
      </w:r>
      <w:r>
        <w:rPr>
          <w:spacing w:val="-3"/>
        </w:rPr>
        <w:t>como:</w:t>
      </w:r>
    </w:p>
    <w:p>
      <w:pPr>
        <w:pStyle w:val="BodyText"/>
      </w:pPr>
    </w:p>
    <w:p>
      <w:pPr>
        <w:pStyle w:val="BodyText"/>
        <w:spacing w:before="2"/>
      </w:pPr>
    </w:p>
    <w:p>
      <w:pPr>
        <w:pStyle w:val="BodyText"/>
        <w:spacing w:line="360" w:lineRule="auto" w:before="1"/>
        <w:ind w:left="822" w:right="114"/>
        <w:jc w:val="both"/>
      </w:pPr>
      <w:r>
        <w:rPr/>
        <w:t>“El conjunto de  patrones  de  conducta  que  caracterizan  la  manera  de  vivir  de un individuo o grupo. Es fruto básicamente de la interacción entre las reacciones  aprendidas  durante  el  proceso  de  socialización  y  las   condiciones  de</w:t>
      </w:r>
      <w:r>
        <w:rPr>
          <w:spacing w:val="61"/>
        </w:rPr>
        <w:t> </w:t>
      </w:r>
      <w:r>
        <w:rPr/>
        <w:t>vida”.</w:t>
      </w:r>
    </w:p>
    <w:p>
      <w:pPr>
        <w:pStyle w:val="BodyText"/>
      </w:pPr>
    </w:p>
    <w:p>
      <w:pPr>
        <w:pStyle w:val="BodyText"/>
        <w:spacing w:line="362" w:lineRule="auto" w:before="139"/>
        <w:ind w:left="116" w:right="111"/>
        <w:jc w:val="both"/>
      </w:pPr>
      <w:r>
        <w:rPr/>
        <w:t>Hay que mencionar además que los </w:t>
      </w:r>
      <w:r>
        <w:rPr>
          <w:spacing w:val="-3"/>
        </w:rPr>
        <w:t>mismo </w:t>
      </w:r>
      <w:r>
        <w:rPr/>
        <w:t>autores consideran que  hay  cuatro  grandes  factores  que  interaccionan  entre  sí  y  determinan  el  estilo  de  </w:t>
      </w:r>
      <w:r>
        <w:rPr>
          <w:spacing w:val="4"/>
        </w:rPr>
        <w:t>vida  </w:t>
      </w:r>
      <w:r>
        <w:rPr/>
        <w:t>de  una</w:t>
      </w:r>
      <w:r>
        <w:rPr>
          <w:spacing w:val="66"/>
        </w:rPr>
        <w:t> </w:t>
      </w:r>
      <w:r>
        <w:rPr/>
        <w:t>persona:</w:t>
      </w:r>
    </w:p>
    <w:p>
      <w:pPr>
        <w:pStyle w:val="BodyText"/>
        <w:spacing w:before="10"/>
        <w:rPr>
          <w:sz w:val="35"/>
        </w:rPr>
      </w:pPr>
    </w:p>
    <w:p>
      <w:pPr>
        <w:pStyle w:val="ListParagraph"/>
        <w:numPr>
          <w:ilvl w:val="2"/>
          <w:numId w:val="8"/>
        </w:numPr>
        <w:tabs>
          <w:tab w:pos="837" w:val="left" w:leader="none"/>
        </w:tabs>
        <w:spacing w:line="360" w:lineRule="auto" w:before="0" w:after="0"/>
        <w:ind w:left="837" w:right="117" w:hanging="361"/>
        <w:jc w:val="both"/>
        <w:rPr>
          <w:sz w:val="24"/>
        </w:rPr>
      </w:pPr>
      <w:r>
        <w:rPr>
          <w:sz w:val="24"/>
        </w:rPr>
        <w:t>Características individuales, genéticas o adquiridas ( </w:t>
      </w:r>
      <w:r>
        <w:rPr>
          <w:spacing w:val="-4"/>
          <w:sz w:val="24"/>
        </w:rPr>
        <w:t>como</w:t>
      </w:r>
      <w:r>
        <w:rPr>
          <w:spacing w:val="58"/>
          <w:sz w:val="24"/>
        </w:rPr>
        <w:t> </w:t>
      </w:r>
      <w:r>
        <w:rPr>
          <w:sz w:val="24"/>
        </w:rPr>
        <w:t>la personalidad, educación  recibida,</w:t>
      </w:r>
      <w:r>
        <w:rPr>
          <w:spacing w:val="62"/>
          <w:sz w:val="24"/>
        </w:rPr>
        <w:t> </w:t>
      </w:r>
      <w:r>
        <w:rPr>
          <w:sz w:val="24"/>
        </w:rPr>
        <w:t>etc.)</w:t>
      </w:r>
    </w:p>
    <w:p>
      <w:pPr>
        <w:pStyle w:val="ListParagraph"/>
        <w:numPr>
          <w:ilvl w:val="2"/>
          <w:numId w:val="8"/>
        </w:numPr>
        <w:tabs>
          <w:tab w:pos="837" w:val="left" w:leader="none"/>
        </w:tabs>
        <w:spacing w:line="360" w:lineRule="auto" w:before="2" w:after="0"/>
        <w:ind w:left="837" w:right="110" w:hanging="361"/>
        <w:jc w:val="both"/>
        <w:rPr>
          <w:sz w:val="24"/>
        </w:rPr>
      </w:pPr>
      <w:r>
        <w:rPr>
          <w:sz w:val="24"/>
        </w:rPr>
        <w:t>Características del entorno microsocial en el  que  se  desenvuelven  las personas (vivienda, familia, amigos, ambiente laboral o escolar, grupos </w:t>
      </w:r>
      <w:r>
        <w:rPr>
          <w:spacing w:val="-4"/>
          <w:sz w:val="24"/>
        </w:rPr>
        <w:t>de</w:t>
      </w:r>
      <w:r>
        <w:rPr>
          <w:spacing w:val="58"/>
          <w:sz w:val="24"/>
        </w:rPr>
        <w:t> </w:t>
      </w:r>
      <w:r>
        <w:rPr>
          <w:sz w:val="24"/>
        </w:rPr>
        <w:t>adscripción  voluntaria,</w:t>
      </w:r>
      <w:r>
        <w:rPr>
          <w:spacing w:val="60"/>
          <w:sz w:val="24"/>
        </w:rPr>
        <w:t> </w:t>
      </w:r>
      <w:r>
        <w:rPr>
          <w:sz w:val="24"/>
        </w:rPr>
        <w:t>etc.)</w:t>
      </w:r>
    </w:p>
    <w:p>
      <w:pPr>
        <w:pStyle w:val="ListParagraph"/>
        <w:numPr>
          <w:ilvl w:val="2"/>
          <w:numId w:val="8"/>
        </w:numPr>
        <w:tabs>
          <w:tab w:pos="837" w:val="left" w:leader="none"/>
        </w:tabs>
        <w:spacing w:line="360" w:lineRule="auto" w:before="3" w:after="0"/>
        <w:ind w:left="837" w:right="110" w:hanging="361"/>
        <w:jc w:val="both"/>
        <w:rPr>
          <w:sz w:val="24"/>
        </w:rPr>
      </w:pPr>
      <w:r>
        <w:rPr>
          <w:sz w:val="24"/>
        </w:rPr>
        <w:t>Factores  macrosociales  que  moldean  los  anteriores  (el  sistema  educativo,  la  cultura  imperante,  los  medios  de  comunicación,  influencia  de  los  </w:t>
      </w:r>
      <w:r>
        <w:rPr>
          <w:spacing w:val="18"/>
          <w:sz w:val="24"/>
        </w:rPr>
        <w:t> </w:t>
      </w:r>
      <w:r>
        <w:rPr>
          <w:sz w:val="24"/>
        </w:rPr>
        <w:t>grupos</w:t>
      </w:r>
    </w:p>
    <w:p>
      <w:pPr>
        <w:spacing w:after="0" w:line="360" w:lineRule="auto"/>
        <w:jc w:val="both"/>
        <w:rPr>
          <w:sz w:val="24"/>
        </w:rPr>
        <w:sectPr>
          <w:pgSz w:w="12240" w:h="15840"/>
          <w:pgMar w:header="729" w:footer="0" w:top="960" w:bottom="280" w:left="1300" w:right="1300"/>
        </w:sectPr>
      </w:pPr>
    </w:p>
    <w:p>
      <w:pPr>
        <w:pStyle w:val="BodyText"/>
        <w:rPr>
          <w:sz w:val="20"/>
        </w:rPr>
      </w:pPr>
    </w:p>
    <w:p>
      <w:pPr>
        <w:pStyle w:val="BodyText"/>
        <w:spacing w:line="362" w:lineRule="auto" w:before="213"/>
        <w:ind w:left="836" w:right="212"/>
      </w:pPr>
      <w:r>
        <w:rPr/>
        <w:t>económicos, y otros grupos de presión, instituciones oficiales, la estructura socioeconómica,</w:t>
      </w:r>
      <w:r>
        <w:rPr>
          <w:spacing w:val="62"/>
        </w:rPr>
        <w:t> </w:t>
      </w:r>
      <w:r>
        <w:rPr/>
        <w:t>etc.)</w:t>
      </w:r>
    </w:p>
    <w:p>
      <w:pPr>
        <w:pStyle w:val="ListParagraph"/>
        <w:numPr>
          <w:ilvl w:val="2"/>
          <w:numId w:val="8"/>
        </w:numPr>
        <w:tabs>
          <w:tab w:pos="837" w:val="left" w:leader="none"/>
          <w:tab w:pos="2519" w:val="left" w:leader="none"/>
          <w:tab w:pos="9322" w:val="left" w:leader="none"/>
        </w:tabs>
        <w:spacing w:line="360" w:lineRule="auto" w:before="0" w:after="0"/>
        <w:ind w:left="837" w:right="124" w:hanging="361"/>
        <w:jc w:val="left"/>
        <w:rPr>
          <w:sz w:val="24"/>
        </w:rPr>
      </w:pPr>
      <w:r>
        <w:rPr>
          <w:sz w:val="24"/>
        </w:rPr>
        <w:t>El  medio  físico  geográfico  que  influye  en  las  condiciones  de     </w:t>
      </w:r>
      <w:r>
        <w:rPr>
          <w:spacing w:val="6"/>
          <w:sz w:val="24"/>
        </w:rPr>
        <w:t> </w:t>
      </w:r>
      <w:r>
        <w:rPr>
          <w:sz w:val="24"/>
        </w:rPr>
        <w:t>vida </w:t>
      </w:r>
      <w:r>
        <w:rPr>
          <w:spacing w:val="28"/>
          <w:sz w:val="24"/>
        </w:rPr>
        <w:t> </w:t>
      </w:r>
      <w:r>
        <w:rPr>
          <w:sz w:val="24"/>
        </w:rPr>
        <w:t>de</w:t>
        <w:tab/>
        <w:t>la sociedad  y</w:t>
      </w:r>
      <w:r>
        <w:rPr>
          <w:spacing w:val="62"/>
          <w:sz w:val="24"/>
        </w:rPr>
        <w:t> </w:t>
      </w:r>
      <w:r>
        <w:rPr>
          <w:sz w:val="24"/>
        </w:rPr>
        <w:t>a</w:t>
        <w:tab/>
        <w:t>su  vez  sufre  modificaciones  por  la  acción</w:t>
      </w:r>
      <w:r>
        <w:rPr>
          <w:spacing w:val="42"/>
          <w:sz w:val="24"/>
        </w:rPr>
        <w:t> </w:t>
      </w:r>
      <w:r>
        <w:rPr>
          <w:sz w:val="24"/>
        </w:rPr>
        <w:t>humana.</w:t>
      </w:r>
    </w:p>
    <w:p>
      <w:pPr>
        <w:pStyle w:val="BodyText"/>
      </w:pPr>
    </w:p>
    <w:p>
      <w:pPr>
        <w:pStyle w:val="BodyText"/>
        <w:spacing w:line="360" w:lineRule="auto" w:before="144"/>
        <w:ind w:left="116" w:right="111"/>
        <w:jc w:val="both"/>
      </w:pPr>
      <w:r>
        <w:rPr/>
        <w:t>Rodríguez (1995), considera a los estilo de vida como un conjunto de patrones conductuales o hábitos que guardan una relación con la salud, entendiendo por patrones conductuales formas recurrentes de comportamiento que se ejecutan  </w:t>
      </w:r>
      <w:r>
        <w:rPr>
          <w:spacing w:val="-4"/>
        </w:rPr>
        <w:t>de  </w:t>
      </w:r>
      <w:r>
        <w:rPr/>
        <w:t>forma estructurada y que se pueden entender como hábito  cuando  constituyen  el modo  habitual  de  responder  a  diferentes</w:t>
      </w:r>
      <w:r>
        <w:rPr>
          <w:spacing w:val="54"/>
        </w:rPr>
        <w:t> </w:t>
      </w:r>
      <w:r>
        <w:rPr/>
        <w:t>situaciones.</w:t>
      </w:r>
    </w:p>
    <w:p>
      <w:pPr>
        <w:pStyle w:val="BodyText"/>
      </w:pPr>
    </w:p>
    <w:p>
      <w:pPr>
        <w:pStyle w:val="BodyText"/>
        <w:spacing w:line="360" w:lineRule="auto" w:before="140"/>
        <w:ind w:left="116" w:right="110"/>
        <w:jc w:val="both"/>
      </w:pPr>
      <w:r>
        <w:rPr/>
        <w:t>Los  estilos  de  vida  constituyen  el  comportamiento  cotidiano  de  las  personas  y   de ellos dependen los riesgos a los que se expongan las personas y englobar situaciones como el tipo de vivienda que habitan, el tipo de alimentos que se  consumen, actividades recreativas  que  </w:t>
      </w:r>
      <w:r>
        <w:rPr>
          <w:spacing w:val="-3"/>
        </w:rPr>
        <w:t>se  </w:t>
      </w:r>
      <w:r>
        <w:rPr/>
        <w:t>realizan  y  la  distribución  del  tiempo  libre. (Blázquez-Morales, Torres, Pavón, Gogeascoechea y Blázquez-Domínguez, 2010).</w:t>
      </w:r>
    </w:p>
    <w:p>
      <w:pPr>
        <w:pStyle w:val="BodyText"/>
      </w:pPr>
    </w:p>
    <w:p>
      <w:pPr>
        <w:pStyle w:val="BodyText"/>
        <w:spacing w:line="360" w:lineRule="auto" w:before="144"/>
        <w:ind w:left="116" w:right="111"/>
        <w:jc w:val="both"/>
      </w:pPr>
      <w:r>
        <w:rPr/>
        <w:t>Los estilos de vida se van conformando en  el  proceso  de  desarrollo  de  las  personas, y se ve influenciado por factores personales, ambientales y sociales y comprende tres aspectos relacionados, lo cultural, las formas y estructuras  organizativas  y  lo  ideológico  (Campos,</w:t>
      </w:r>
      <w:r>
        <w:rPr>
          <w:spacing w:val="48"/>
        </w:rPr>
        <w:t> </w:t>
      </w:r>
      <w:r>
        <w:rPr/>
        <w:t>2009).</w:t>
      </w:r>
    </w:p>
    <w:p>
      <w:pPr>
        <w:pStyle w:val="BodyText"/>
      </w:pPr>
    </w:p>
    <w:p>
      <w:pPr>
        <w:pStyle w:val="BodyText"/>
        <w:spacing w:line="360" w:lineRule="auto" w:before="139"/>
        <w:ind w:left="116" w:right="110"/>
        <w:jc w:val="both"/>
      </w:pPr>
      <w:r>
        <w:rPr/>
        <w:t>Mendoza, </w:t>
      </w:r>
      <w:r>
        <w:rPr>
          <w:i/>
        </w:rPr>
        <w:t>et.  al</w:t>
      </w:r>
      <w:r>
        <w:rPr/>
        <w:t>.  (1994),  mencionan  que  el  estilo  ideal  de  vida  saludable  no  existe, pues eso implicaría que sólo  existe  una  cierta  manera  de  afrontar diariamente  la  realidad  en  la  que  se  vive  y  ésta  es  saludable,   además   cualquier estilo de vida calificado globalmente como saludable puede contener elementos  no  saludables,  o  saludables  en  un  sentido  pero  no  en</w:t>
      </w:r>
      <w:r>
        <w:rPr>
          <w:spacing w:val="45"/>
        </w:rPr>
        <w:t> </w:t>
      </w:r>
      <w:r>
        <w:rPr/>
        <w:t>otro.</w:t>
      </w:r>
    </w:p>
    <w:p>
      <w:pPr>
        <w:pStyle w:val="BodyText"/>
        <w:spacing w:before="8"/>
        <w:rPr>
          <w:sz w:val="35"/>
        </w:rPr>
      </w:pPr>
    </w:p>
    <w:p>
      <w:pPr>
        <w:pStyle w:val="Heading1"/>
        <w:numPr>
          <w:ilvl w:val="1"/>
          <w:numId w:val="8"/>
        </w:numPr>
        <w:tabs>
          <w:tab w:pos="519" w:val="left" w:leader="none"/>
        </w:tabs>
        <w:spacing w:line="240" w:lineRule="auto" w:before="1" w:after="0"/>
        <w:ind w:left="518" w:right="0" w:hanging="402"/>
        <w:jc w:val="both"/>
      </w:pPr>
      <w:r>
        <w:rPr/>
        <w:t>concepto  de  calidad  de</w:t>
      </w:r>
      <w:r>
        <w:rPr>
          <w:spacing w:val="61"/>
        </w:rPr>
        <w:t> </w:t>
      </w:r>
      <w:r>
        <w:rPr/>
        <w:t>vida</w:t>
      </w:r>
    </w:p>
    <w:p>
      <w:pPr>
        <w:spacing w:after="0" w:line="240" w:lineRule="auto"/>
        <w:jc w:val="both"/>
        <w:sectPr>
          <w:pgSz w:w="12240" w:h="15840"/>
          <w:pgMar w:header="729" w:footer="0" w:top="960" w:bottom="280" w:left="1300" w:right="1300"/>
        </w:sectPr>
      </w:pPr>
    </w:p>
    <w:p>
      <w:pPr>
        <w:pStyle w:val="BodyText"/>
        <w:rPr>
          <w:b/>
          <w:sz w:val="20"/>
        </w:rPr>
      </w:pPr>
    </w:p>
    <w:p>
      <w:pPr>
        <w:pStyle w:val="BodyText"/>
        <w:spacing w:line="362" w:lineRule="auto" w:before="213"/>
        <w:ind w:left="116" w:right="114"/>
        <w:jc w:val="both"/>
      </w:pPr>
      <w:r>
        <w:rPr/>
        <w:t>Generelo (1998), cita de manera textual a  Setién  (1993),  quien  define  calidad  de vida</w:t>
      </w:r>
      <w:r>
        <w:rPr>
          <w:spacing w:val="61"/>
        </w:rPr>
        <w:t> </w:t>
      </w:r>
      <w:r>
        <w:rPr/>
        <w:t>como:</w:t>
      </w:r>
    </w:p>
    <w:p>
      <w:pPr>
        <w:pStyle w:val="BodyText"/>
        <w:spacing w:line="360" w:lineRule="auto"/>
        <w:ind w:left="822" w:right="110"/>
        <w:jc w:val="both"/>
      </w:pPr>
      <w:r>
        <w:rPr/>
        <w:t>“el grado en que </w:t>
      </w:r>
      <w:r>
        <w:rPr>
          <w:spacing w:val="-3"/>
        </w:rPr>
        <w:t>se </w:t>
      </w:r>
      <w:r>
        <w:rPr/>
        <w:t>satisfacen las necesidades humanas. En los ámbitos geográficos y en las áreas concretas donde las necesidades quedan </w:t>
      </w:r>
      <w:r>
        <w:rPr>
          <w:spacing w:val="-3"/>
        </w:rPr>
        <w:t>más </w:t>
      </w:r>
      <w:r>
        <w:rPr/>
        <w:t>satisfechas, la  calidad  de  vida  será  mejor:  tal  sociedad  o  tales  áreas estarán </w:t>
      </w:r>
      <w:r>
        <w:rPr>
          <w:spacing w:val="-3"/>
        </w:rPr>
        <w:t>más </w:t>
      </w:r>
      <w:r>
        <w:rPr/>
        <w:t>desarrolladas. En el caso contrario, la sociedad o el aspecto concreto  estará  menos  desarrollado  y  la  calidad  de  vida  será</w:t>
      </w:r>
      <w:r>
        <w:rPr>
          <w:spacing w:val="47"/>
        </w:rPr>
        <w:t> </w:t>
      </w:r>
      <w:r>
        <w:rPr/>
        <w:t>peor.”</w:t>
      </w:r>
    </w:p>
    <w:p>
      <w:pPr>
        <w:pStyle w:val="BodyText"/>
      </w:pPr>
    </w:p>
    <w:p>
      <w:pPr>
        <w:pStyle w:val="BodyText"/>
        <w:spacing w:line="360" w:lineRule="auto" w:before="139"/>
        <w:ind w:left="116" w:right="109"/>
        <w:jc w:val="both"/>
      </w:pPr>
      <w:r>
        <w:rPr/>
        <w:t>La  calidad  de  vida  relacionada  a  salud  se  define  con  respecto  a  la  </w:t>
      </w:r>
      <w:r>
        <w:rPr>
          <w:spacing w:val="-3"/>
        </w:rPr>
        <w:t>forma  </w:t>
      </w:r>
      <w:r>
        <w:rPr/>
        <w:t>en  que la enfermedad (como una fuente del dolor  o  disfunción  física)  impone  limitaciones o alteraciones  en  el  comportamiento  diario,  las  actividades  sociales  y el  bienestar  psicológico  (Wanden,  Sanz,  Escribá,  Castelló  &amp;  Wamden,</w:t>
      </w:r>
      <w:r>
        <w:rPr>
          <w:spacing w:val="49"/>
        </w:rPr>
        <w:t> </w:t>
      </w:r>
      <w:r>
        <w:rPr/>
        <w:t>2009).</w:t>
      </w:r>
    </w:p>
    <w:p>
      <w:pPr>
        <w:pStyle w:val="BodyText"/>
      </w:pPr>
    </w:p>
    <w:p>
      <w:pPr>
        <w:pStyle w:val="BodyText"/>
        <w:spacing w:line="360" w:lineRule="auto" w:before="144"/>
        <w:ind w:left="116" w:right="110"/>
        <w:jc w:val="both"/>
      </w:pPr>
      <w:r>
        <w:rPr/>
        <w:t>Para Cantón (2000), </w:t>
      </w:r>
      <w:r>
        <w:rPr>
          <w:spacing w:val="3"/>
        </w:rPr>
        <w:t>la </w:t>
      </w:r>
      <w:r>
        <w:rPr/>
        <w:t>calidad  de  vida  </w:t>
      </w:r>
      <w:r>
        <w:rPr>
          <w:spacing w:val="-3"/>
        </w:rPr>
        <w:t>se  </w:t>
      </w:r>
      <w:r>
        <w:rPr/>
        <w:t>refiere  a  los  estilos  de  vida  social,  a  los hábitos diarios </w:t>
      </w:r>
      <w:r>
        <w:rPr>
          <w:spacing w:val="-3"/>
        </w:rPr>
        <w:t>y,  </w:t>
      </w:r>
      <w:r>
        <w:rPr/>
        <w:t>en  conjunto  al  entorno  social  en  que  se  desarrolla  la  persona,  así  como  la  forma  subjetiva  de</w:t>
      </w:r>
      <w:r>
        <w:rPr>
          <w:spacing w:val="55"/>
        </w:rPr>
        <w:t> </w:t>
      </w:r>
      <w:r>
        <w:rPr/>
        <w:t>vivenciarlo.</w:t>
      </w:r>
    </w:p>
    <w:p>
      <w:pPr>
        <w:pStyle w:val="BodyText"/>
      </w:pPr>
    </w:p>
    <w:p>
      <w:pPr>
        <w:pStyle w:val="BodyText"/>
        <w:spacing w:line="360" w:lineRule="auto" w:before="144"/>
        <w:ind w:left="116" w:right="110"/>
        <w:jc w:val="both"/>
      </w:pPr>
      <w:r>
        <w:rPr/>
        <w:t>Veenhoven (1998), plantea la clasificación de calidad de vida  considerando  la  habilidad como calidad de entorno,  la  aptitud  o  capacidad  para  la  vida  como  calidad  de  acción  y  la  plenitud  como  calidad  de  resultado.  La  calidad   del  entorno  está  relacionada  con  las  condiciones  externas  necesarias  para  una   buena vida; la calidad </w:t>
      </w:r>
      <w:r>
        <w:rPr>
          <w:spacing w:val="-3"/>
        </w:rPr>
        <w:t>del </w:t>
      </w:r>
      <w:r>
        <w:rPr/>
        <w:t>resultado se  centra  en  y  describe  los  productos  de  la  vida como disfrute de esta. Estos dos significados de calidad de vida se refieren respectivamente al objetivo  y  lo  subjetivo  de  esta.  El  tercer  significado  referido  a la  calidad  de  la  acción  permite  la  integración  de  los  significados  anteriores  con  la  capacidad  que  tiene  la  gente  para  enfrentarse  a  la</w:t>
      </w:r>
      <w:r>
        <w:rPr>
          <w:spacing w:val="46"/>
        </w:rPr>
        <w:t> </w:t>
      </w:r>
      <w:r>
        <w:rPr/>
        <w:t>vida.</w:t>
      </w:r>
    </w:p>
    <w:p>
      <w:pPr>
        <w:pStyle w:val="BodyText"/>
      </w:pPr>
    </w:p>
    <w:p>
      <w:pPr>
        <w:pStyle w:val="BodyText"/>
        <w:spacing w:line="360" w:lineRule="auto" w:before="144"/>
        <w:ind w:left="116" w:right="109"/>
        <w:jc w:val="both"/>
      </w:pPr>
      <w:r>
        <w:rPr/>
        <w:t>La calidad de vida es un concepto  que  utiliza  parámetros  subjetivos  para  constituirse; por tanto, es influenciable y hace necesario considerar aspectos contextuales como la  vivienda,  los  servicios  con  los  que  cuenta,  los  inherentes  a la  salud,  que  lleve  a  cabo  una  valoración  en   el  contexto  de  la salud  médica    </w:t>
      </w:r>
      <w:r>
        <w:rPr>
          <w:spacing w:val="38"/>
        </w:rPr>
        <w:t> </w:t>
      </w:r>
      <w:r>
        <w:rPr/>
        <w:t>y</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10"/>
        <w:jc w:val="both"/>
      </w:pPr>
      <w:r>
        <w:rPr/>
        <w:t>asistencial, en conjunto con el ámbito económico y político. No debe reducirse a indicadores, porcentajes y estadísticas  de  cómo  viven  las  personas  y  la  satisfacción  de  necesidades.  (Peña,  Terán,  Moreno  y  Bazán,</w:t>
      </w:r>
      <w:r>
        <w:rPr>
          <w:spacing w:val="42"/>
        </w:rPr>
        <w:t> </w:t>
      </w:r>
      <w:r>
        <w:rPr/>
        <w:t>2009)</w:t>
      </w:r>
    </w:p>
    <w:p>
      <w:pPr>
        <w:pStyle w:val="BodyText"/>
        <w:spacing w:before="10"/>
        <w:rPr>
          <w:sz w:val="35"/>
        </w:rPr>
      </w:pPr>
    </w:p>
    <w:p>
      <w:pPr>
        <w:pStyle w:val="BodyText"/>
        <w:spacing w:line="360" w:lineRule="auto"/>
        <w:ind w:left="116" w:right="111"/>
        <w:jc w:val="both"/>
      </w:pPr>
      <w:r>
        <w:rPr/>
        <w:t>Levy y Anderson (1980),  señalan  que  la  calidad  de  vida  es  una  medida  compuesta por el bienestar físico, mental  y  social;  así  como  de  felicidad,  satisfacción y recompensa tal en la forma que la  percibe  cada  individuo  y  cada  grupo.</w:t>
      </w:r>
    </w:p>
    <w:p>
      <w:pPr>
        <w:pStyle w:val="BodyText"/>
      </w:pPr>
    </w:p>
    <w:p>
      <w:pPr>
        <w:pStyle w:val="BodyText"/>
        <w:spacing w:line="360" w:lineRule="auto" w:before="144"/>
        <w:ind w:left="116" w:right="110"/>
        <w:jc w:val="both"/>
      </w:pPr>
      <w:r>
        <w:rPr/>
        <w:t>La  evaluación  de  la  calidad  de  vida  en  un  paciente  representa  el  impacto  de  una enfermedad y su consecuente  tratamiento  tiene  sobre  la  percepción  del paciente de  </w:t>
      </w:r>
      <w:r>
        <w:rPr>
          <w:spacing w:val="-3"/>
        </w:rPr>
        <w:t>su  </w:t>
      </w:r>
      <w:r>
        <w:rPr/>
        <w:t>bienestar.  </w:t>
      </w:r>
      <w:r>
        <w:rPr>
          <w:spacing w:val="-4"/>
        </w:rPr>
        <w:t>El </w:t>
      </w:r>
      <w:r>
        <w:rPr>
          <w:spacing w:val="58"/>
        </w:rPr>
        <w:t> </w:t>
      </w:r>
      <w:r>
        <w:rPr/>
        <w:t>concepto  de  calidad  de  vida  no  puede  ser  de  ningún modo independiente de las normas culturales, patrones de conducta y expectativas de cada uno. Está claro que calidad de vida es una  noción  eminentemente humana  que  se  relaciona  con  el  grado  de  satisfacción  que  tiene  la persona  con  su  situación  física,  su  estado  emocional,  su  vida  familiar,  amorosa, social así como el sentido que le atribuye a su vida, entre otras cosas (Schwartzmann,</w:t>
      </w:r>
      <w:r>
        <w:rPr>
          <w:spacing w:val="63"/>
        </w:rPr>
        <w:t> </w:t>
      </w:r>
      <w:r>
        <w:rPr/>
        <w:t>2003).</w:t>
      </w:r>
    </w:p>
    <w:p>
      <w:pPr>
        <w:pStyle w:val="BodyText"/>
      </w:pPr>
    </w:p>
    <w:p>
      <w:pPr>
        <w:pStyle w:val="BodyText"/>
        <w:spacing w:line="360" w:lineRule="auto" w:before="139"/>
        <w:ind w:left="116" w:right="111"/>
        <w:jc w:val="both"/>
      </w:pPr>
      <w:r>
        <w:rPr/>
        <w:t>La calidad de vida  se  debe  de  mirar  desde  fuera  y  dentro  de  los  individuos:  desde  la  parte  individual  (lo  privado)  y  la  parte  colectiva  (lo  público),  desde  estos  dos  puntos  es  importante  considerar  la  percepción,  el  sentido  de  la  vida,  la  utilidad,  la  felicidad,  la  valoración  y  otros  aspectos  subjetivos  que  hacen  que  la  vida  tenga  calidad  con  responsabilidad  moral  (Cardona  y  Agudelo,</w:t>
      </w:r>
      <w:r>
        <w:rPr>
          <w:spacing w:val="51"/>
        </w:rPr>
        <w:t> </w:t>
      </w:r>
      <w:r>
        <w:rPr/>
        <w:t>2005).</w:t>
      </w:r>
    </w:p>
    <w:p>
      <w:pPr>
        <w:pStyle w:val="BodyText"/>
      </w:pPr>
    </w:p>
    <w:p>
      <w:pPr>
        <w:pStyle w:val="BodyText"/>
        <w:spacing w:line="362" w:lineRule="auto" w:before="140"/>
        <w:ind w:left="116" w:right="111"/>
        <w:jc w:val="both"/>
      </w:pPr>
      <w:r>
        <w:rPr/>
        <w:t>Ardila (2003:163), describe que la calidad de vida tiene dos componentes,  uno  subjetivo  y  otro  objetivo  y,  los  engloba  dentro  de  su</w:t>
      </w:r>
      <w:r>
        <w:rPr>
          <w:spacing w:val="53"/>
        </w:rPr>
        <w:t> </w:t>
      </w:r>
      <w:r>
        <w:rPr/>
        <w:t>definición:</w:t>
      </w:r>
    </w:p>
    <w:p>
      <w:pPr>
        <w:pStyle w:val="BodyText"/>
        <w:spacing w:before="11"/>
        <w:rPr>
          <w:sz w:val="35"/>
        </w:rPr>
      </w:pPr>
    </w:p>
    <w:p>
      <w:pPr>
        <w:pStyle w:val="BodyText"/>
        <w:spacing w:line="360" w:lineRule="auto"/>
        <w:ind w:left="822" w:right="106"/>
        <w:jc w:val="both"/>
      </w:pPr>
      <w:r>
        <w:rPr/>
        <w:t>“Calidad de vida es un estado de satisfacción general, derivado  de  </w:t>
      </w:r>
      <w:r>
        <w:rPr>
          <w:spacing w:val="4"/>
        </w:rPr>
        <w:t>la  </w:t>
      </w:r>
      <w:r>
        <w:rPr/>
        <w:t>realización de  las  potencialidades  de  la  persona.  Posee  aspectos  subjetivos y   aspectos   objetivos.   Es   una   sensación   subjetiva   de   bienestar    </w:t>
      </w:r>
      <w:r>
        <w:rPr>
          <w:spacing w:val="56"/>
        </w:rPr>
        <w:t> </w:t>
      </w:r>
      <w:r>
        <w:rPr/>
        <w:t>físico,</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822" w:right="114"/>
        <w:jc w:val="both"/>
      </w:pPr>
      <w:r>
        <w:rPr/>
        <w:t>psicológico y social. Incluye como aspectos subjetivos  la  intimidad,  la  expresión emocional, la seguridad percibida, la productividad personal  y  la  salud  objetiva.  Como  aspectos  objetivos  el  bienestar  material,   las  relaciones  armónicas  con  el  ambiente  físico  y  social  y  con  la  comunidad,   y  la  salud  objetivamente</w:t>
      </w:r>
      <w:r>
        <w:rPr>
          <w:spacing w:val="58"/>
        </w:rPr>
        <w:t> </w:t>
      </w:r>
      <w:r>
        <w:rPr/>
        <w:t>percibida”.</w:t>
      </w:r>
    </w:p>
    <w:p>
      <w:pPr>
        <w:pStyle w:val="BodyText"/>
      </w:pPr>
    </w:p>
    <w:p>
      <w:pPr>
        <w:pStyle w:val="Heading1"/>
        <w:numPr>
          <w:ilvl w:val="2"/>
          <w:numId w:val="9"/>
        </w:numPr>
        <w:tabs>
          <w:tab w:pos="789" w:val="left" w:leader="none"/>
        </w:tabs>
        <w:spacing w:line="240" w:lineRule="auto" w:before="140" w:after="0"/>
        <w:ind w:left="789" w:right="0" w:hanging="673"/>
        <w:jc w:val="both"/>
      </w:pPr>
      <w:r>
        <w:rPr/>
        <w:t>Indicadores  de  calidad  de</w:t>
      </w:r>
      <w:r>
        <w:rPr>
          <w:spacing w:val="54"/>
        </w:rPr>
        <w:t> </w:t>
      </w:r>
      <w:r>
        <w:rPr/>
        <w:t>vida</w:t>
      </w:r>
    </w:p>
    <w:p>
      <w:pPr>
        <w:pStyle w:val="BodyText"/>
        <w:rPr>
          <w:b/>
        </w:rPr>
      </w:pPr>
    </w:p>
    <w:p>
      <w:pPr>
        <w:pStyle w:val="BodyText"/>
        <w:spacing w:before="2"/>
        <w:rPr>
          <w:b/>
        </w:rPr>
      </w:pPr>
    </w:p>
    <w:p>
      <w:pPr>
        <w:pStyle w:val="BodyText"/>
        <w:spacing w:line="360" w:lineRule="auto"/>
        <w:ind w:left="116" w:right="111"/>
        <w:jc w:val="both"/>
      </w:pPr>
      <w:r>
        <w:rPr/>
        <w:t>Levy  y  Anderson  (1980),  consideran  </w:t>
      </w:r>
      <w:r>
        <w:rPr>
          <w:spacing w:val="-3"/>
        </w:rPr>
        <w:t>como  </w:t>
      </w:r>
      <w:r>
        <w:rPr/>
        <w:t>indicadores  de  calidad  de  vida  que   se  repiten  con  mayor  frecuencia  en  los  estudios  sociológicos,  los  siguientes; salud, alimentación adecuada, educación, ocupación, condiciones de trabajo, condiciones de vivienda, seguridad social, vestimenta  adecuada  y  derechos  humanos.</w:t>
      </w:r>
    </w:p>
    <w:p>
      <w:pPr>
        <w:pStyle w:val="BodyText"/>
      </w:pPr>
    </w:p>
    <w:p>
      <w:pPr>
        <w:pStyle w:val="BodyText"/>
        <w:spacing w:line="360" w:lineRule="auto" w:before="144"/>
        <w:ind w:left="116" w:right="110"/>
        <w:jc w:val="both"/>
      </w:pPr>
      <w:r>
        <w:rPr/>
        <w:t>A su vez Abbey y  Andrews  (1986),  expusieron  que  las  variables  social-  psicológicas  como  el  estrés,  el  control  sobre  la  propia  vida,  el  control  por  otro,  el apoyo social  y  el  desempeño  personal  influencian  las  variables  psicológicas  de la ansiedad y la  depresión,  que  entonces  determinan  los  resultados  de  la  calidad de vida, tales como el disfrute, la irritación emocional, el éxito en la vida  y  la  evaluación  del</w:t>
      </w:r>
      <w:r>
        <w:rPr>
          <w:spacing w:val="65"/>
        </w:rPr>
        <w:t> </w:t>
      </w:r>
      <w:r>
        <w:rPr/>
        <w:t>yo.</w:t>
      </w:r>
    </w:p>
    <w:p>
      <w:pPr>
        <w:pStyle w:val="BodyText"/>
      </w:pPr>
    </w:p>
    <w:p>
      <w:pPr>
        <w:pStyle w:val="BodyText"/>
        <w:spacing w:line="360" w:lineRule="auto" w:before="145"/>
        <w:ind w:left="116" w:right="111"/>
        <w:jc w:val="both"/>
      </w:pPr>
      <w:r>
        <w:rPr/>
        <w:t>Otra de  las  propuestas  </w:t>
      </w:r>
      <w:r>
        <w:rPr>
          <w:spacing w:val="-3"/>
        </w:rPr>
        <w:t>más  </w:t>
      </w:r>
      <w:r>
        <w:rPr/>
        <w:t>amplias  que  existen  es  la  postulada  por  Ware  (1976), en la cual incluye hasta un total  de  diez  dimensiones:  satisfacción  con la vida, plenitud en los papeles  sociales  y  de  trabajo,  sensación  de  ser  productivo,  útil o influyente, sensación de control sobre su entorno y destino (autoeficacia), autoestima, plenitud espiritual, sentido de integración social en la comunidad, sentimiento de  seguridad  en  el  presente  y  en  el  futuro  y  sentido  de  la  diversión  y  del</w:t>
      </w:r>
      <w:r>
        <w:rPr>
          <w:spacing w:val="66"/>
        </w:rPr>
        <w:t> </w:t>
      </w:r>
      <w:r>
        <w:rPr/>
        <w:t>placer.</w:t>
      </w:r>
    </w:p>
    <w:p>
      <w:pPr>
        <w:pStyle w:val="BodyText"/>
      </w:pPr>
    </w:p>
    <w:p>
      <w:pPr>
        <w:pStyle w:val="BodyText"/>
        <w:spacing w:line="362" w:lineRule="auto" w:before="140"/>
        <w:ind w:left="116" w:right="116"/>
        <w:jc w:val="both"/>
      </w:pPr>
      <w:r>
        <w:rPr/>
        <w:t>Por su parte Ardila (2003), señala que la calidad de vida está  conformada  por  aspectos  subjetivos  y  objetivos;  entre  los  aspectos  subjetivos  se  pueden</w:t>
      </w:r>
      <w:r>
        <w:rPr>
          <w:spacing w:val="-7"/>
        </w:rPr>
        <w:t> </w:t>
      </w:r>
      <w:r>
        <w:rPr/>
        <w:t>encontrar</w:t>
      </w:r>
    </w:p>
    <w:p>
      <w:pPr>
        <w:spacing w:after="0" w:line="362"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116" w:right="111"/>
        <w:jc w:val="both"/>
      </w:pPr>
      <w:r>
        <w:rPr/>
        <w:t>la intimidad, la expresión emocional, seguridad percibida, productividad personal  y salud percibida; dentro de los aspectos objetivos la calidad de  vida  incluye  el  bienestar material,  relaciones  armónicas  con  el  ambiente,  relaciones  armónicas  con  la  comunidad,  y  la  salud  objetivamente</w:t>
      </w:r>
      <w:r>
        <w:rPr>
          <w:spacing w:val="51"/>
        </w:rPr>
        <w:t> </w:t>
      </w:r>
      <w:r>
        <w:rPr/>
        <w:t>considerada.</w:t>
      </w:r>
    </w:p>
    <w:p>
      <w:pPr>
        <w:pStyle w:val="BodyText"/>
      </w:pPr>
    </w:p>
    <w:p>
      <w:pPr>
        <w:pStyle w:val="BodyText"/>
        <w:spacing w:line="360" w:lineRule="auto" w:before="144"/>
        <w:ind w:left="116" w:right="112"/>
        <w:jc w:val="both"/>
      </w:pPr>
      <w:r>
        <w:rPr/>
        <w:t>Racionero (1986; en Rodríguez, 2006), establece una jerarquía de necesidades, organizando  los  indicadores  de  calidad  de  vida  en  cuatro campos:</w:t>
      </w:r>
    </w:p>
    <w:p>
      <w:pPr>
        <w:pStyle w:val="BodyText"/>
      </w:pPr>
    </w:p>
    <w:p>
      <w:pPr>
        <w:pStyle w:val="BodyText"/>
        <w:spacing w:line="360" w:lineRule="auto" w:before="139"/>
        <w:ind w:left="116" w:right="111"/>
        <w:jc w:val="both"/>
      </w:pPr>
      <w:r>
        <w:rPr/>
        <w:t>1.- Seguridad personal: hace referencia  a  la  cobertura  de  las  necesidades  biológicas del cuerpo que garanticen la integridad corporal y la ausencia de enfermedades, así como  lo  referido  a  indicadores  de  tipo  económico  que  satisfagan  las  necesidades  de  protección,  seguridad  y</w:t>
      </w:r>
      <w:r>
        <w:rPr>
          <w:spacing w:val="53"/>
        </w:rPr>
        <w:t> </w:t>
      </w:r>
      <w:r>
        <w:rPr/>
        <w:t>salud.</w:t>
      </w:r>
    </w:p>
    <w:p>
      <w:pPr>
        <w:pStyle w:val="BodyText"/>
      </w:pPr>
    </w:p>
    <w:p>
      <w:pPr>
        <w:pStyle w:val="BodyText"/>
        <w:spacing w:line="360" w:lineRule="auto" w:before="144"/>
        <w:ind w:left="116" w:right="109"/>
        <w:jc w:val="both"/>
      </w:pPr>
      <w:r>
        <w:rPr/>
        <w:t>2.- Ambiente físico: referidos  a  las  condiciones  medioambientales  que  se  desarrollen en el entorno vital: eliminación de la polución, ruidos, congestión y contaminaciones  diversas  que  puedan  afectar  directamente  a  los  seres</w:t>
      </w:r>
      <w:r>
        <w:rPr>
          <w:spacing w:val="-18"/>
        </w:rPr>
        <w:t> </w:t>
      </w:r>
      <w:r>
        <w:rPr/>
        <w:t>vivos.</w:t>
      </w:r>
    </w:p>
    <w:p>
      <w:pPr>
        <w:pStyle w:val="BodyText"/>
      </w:pPr>
    </w:p>
    <w:p>
      <w:pPr>
        <w:pStyle w:val="BodyText"/>
        <w:spacing w:line="360" w:lineRule="auto" w:before="144"/>
        <w:ind w:left="116" w:right="111"/>
        <w:jc w:val="both"/>
      </w:pPr>
      <w:r>
        <w:rPr/>
        <w:t>3.- Ambiente social: características de los grupos  sociales  y  entorno  de  amistades que nos rodean y que poseen una influencia directa en nuestros hábitos y comportamientos.</w:t>
      </w:r>
    </w:p>
    <w:p>
      <w:pPr>
        <w:pStyle w:val="BodyText"/>
      </w:pPr>
    </w:p>
    <w:p>
      <w:pPr>
        <w:pStyle w:val="BodyText"/>
        <w:spacing w:line="360" w:lineRule="auto" w:before="145"/>
        <w:ind w:left="116" w:right="109"/>
        <w:jc w:val="both"/>
      </w:pPr>
      <w:r>
        <w:rPr/>
        <w:t>4.- Ambiente  psíquico:  incluye  indicadores  sobre  la  necesidad  de  autorrealización  o libertad para el pleno desarrollo de talentos y capacidades de la persona, que garantice  el  desenvolvimiento  correcto  en  el  contexto</w:t>
      </w:r>
      <w:r>
        <w:rPr>
          <w:spacing w:val="51"/>
        </w:rPr>
        <w:t> </w:t>
      </w:r>
      <w:r>
        <w:rPr/>
        <w:t>social.</w:t>
      </w:r>
    </w:p>
    <w:p>
      <w:pPr>
        <w:pStyle w:val="BodyText"/>
        <w:spacing w:before="8"/>
        <w:rPr>
          <w:sz w:val="35"/>
        </w:rPr>
      </w:pPr>
    </w:p>
    <w:p>
      <w:pPr>
        <w:pStyle w:val="Heading1"/>
        <w:numPr>
          <w:ilvl w:val="2"/>
          <w:numId w:val="9"/>
        </w:numPr>
        <w:tabs>
          <w:tab w:pos="722" w:val="left" w:leader="none"/>
        </w:tabs>
        <w:spacing w:line="240" w:lineRule="auto" w:before="0" w:after="0"/>
        <w:ind w:left="721" w:right="0" w:hanging="605"/>
        <w:jc w:val="both"/>
      </w:pPr>
      <w:r>
        <w:rPr/>
        <w:t>La  teoría  de  Orem:</w:t>
      </w:r>
      <w:r>
        <w:rPr>
          <w:spacing w:val="53"/>
        </w:rPr>
        <w:t> </w:t>
      </w:r>
      <w:r>
        <w:rPr/>
        <w:t>Autocuidado</w:t>
      </w:r>
    </w:p>
    <w:p>
      <w:pPr>
        <w:pStyle w:val="BodyText"/>
        <w:rPr>
          <w:b/>
        </w:rPr>
      </w:pPr>
    </w:p>
    <w:p>
      <w:pPr>
        <w:pStyle w:val="BodyText"/>
        <w:spacing w:before="7"/>
        <w:rPr>
          <w:b/>
        </w:rPr>
      </w:pPr>
    </w:p>
    <w:p>
      <w:pPr>
        <w:pStyle w:val="BodyText"/>
        <w:spacing w:line="360" w:lineRule="auto"/>
        <w:ind w:left="116" w:right="109"/>
        <w:jc w:val="both"/>
      </w:pPr>
      <w:r>
        <w:rPr/>
        <w:t>Como  lo  indican  Tejada,  Grimaldo  y  Maldonado  (2006),  es  evidente   que   el apoyo familiar  repercute  en  la  enfermedad,  su  evolución  y  desenlace;  </w:t>
      </w:r>
      <w:r>
        <w:rPr>
          <w:spacing w:val="-3"/>
        </w:rPr>
        <w:t>se  </w:t>
      </w:r>
      <w:r>
        <w:rPr/>
        <w:t>considera elemento fundamental  para  desarrollar  conductas  de  salud  y  autocuidado,  así  </w:t>
      </w:r>
      <w:r>
        <w:rPr>
          <w:spacing w:val="-4"/>
        </w:rPr>
        <w:t>como  </w:t>
      </w:r>
      <w:r>
        <w:rPr/>
        <w:t>en  la  adhesión  del  enfermo  al  tratamiento </w:t>
      </w:r>
      <w:r>
        <w:rPr>
          <w:spacing w:val="6"/>
        </w:rPr>
        <w:t> </w:t>
      </w:r>
      <w:r>
        <w:rPr/>
        <w:t>médico.</w:t>
      </w:r>
    </w:p>
    <w:p>
      <w:pPr>
        <w:spacing w:after="0" w:line="360" w:lineRule="auto"/>
        <w:jc w:val="both"/>
        <w:sectPr>
          <w:pgSz w:w="12240" w:h="15840"/>
          <w:pgMar w:header="729" w:footer="0" w:top="960" w:bottom="280" w:left="1300" w:right="1300"/>
        </w:sectPr>
      </w:pPr>
    </w:p>
    <w:p>
      <w:pPr>
        <w:pStyle w:val="BodyText"/>
        <w:rPr>
          <w:sz w:val="20"/>
        </w:rPr>
      </w:pPr>
    </w:p>
    <w:p>
      <w:pPr>
        <w:pStyle w:val="BodyText"/>
        <w:rPr>
          <w:sz w:val="20"/>
        </w:rPr>
      </w:pPr>
    </w:p>
    <w:p>
      <w:pPr>
        <w:pStyle w:val="BodyText"/>
        <w:spacing w:before="9"/>
        <w:rPr>
          <w:sz w:val="28"/>
        </w:rPr>
      </w:pPr>
    </w:p>
    <w:p>
      <w:pPr>
        <w:pStyle w:val="BodyText"/>
        <w:spacing w:line="360" w:lineRule="auto" w:before="70"/>
        <w:ind w:left="116" w:right="110"/>
        <w:jc w:val="both"/>
      </w:pPr>
      <w:r>
        <w:rPr/>
        <w:t>Dorothea Orem  presenta  su  Teoría  de  enfermería  del  déficit  de  autocuidado”  como una teoría general compuesta por tres teorías relacionadas: La teoría de autocuidado,  que  describe  el  porqué  y  el  cómo  las  personas  cuidan  de  sí mismas; la teoría de déficit de autocuidado, que describe y  explica  cómo  </w:t>
      </w:r>
      <w:r>
        <w:rPr>
          <w:spacing w:val="4"/>
        </w:rPr>
        <w:t>la  </w:t>
      </w:r>
      <w:r>
        <w:rPr/>
        <w:t>enfermería puede ayudar a la gente; y la teoría de sistemas de enfermería, que  describe  y  explica  las  relaciones  que  hay  que  mantener,  (Marriner  y  Raile</w:t>
      </w:r>
      <w:r>
        <w:rPr>
          <w:spacing w:val="43"/>
        </w:rPr>
        <w:t> </w:t>
      </w:r>
      <w:r>
        <w:rPr/>
        <w:t>2003).</w:t>
      </w:r>
    </w:p>
    <w:p>
      <w:pPr>
        <w:pStyle w:val="BodyText"/>
      </w:pPr>
    </w:p>
    <w:p>
      <w:pPr>
        <w:pStyle w:val="BodyText"/>
        <w:spacing w:line="360" w:lineRule="auto" w:before="139"/>
        <w:ind w:left="116" w:right="109"/>
        <w:jc w:val="both"/>
      </w:pPr>
      <w:r>
        <w:rPr/>
        <w:t>Dorothea Orem (1991), define el autocuidado como una conducta que existe en situaciones concretas de la vida, dirigidas  por  las  personas  hacía  sí  mismas  o  hacía su entorno, para regular los factores que afectan a </w:t>
      </w:r>
      <w:r>
        <w:rPr>
          <w:spacing w:val="-3"/>
        </w:rPr>
        <w:t>su </w:t>
      </w:r>
      <w:r>
        <w:rPr/>
        <w:t>propio desarrollo y funcionamiento en beneficio de su vida, su salud y bienestar. Es una actividad  aprendida  por  los  individuos  y  orientada  hacia  un</w:t>
      </w:r>
      <w:r>
        <w:rPr>
          <w:spacing w:val="51"/>
        </w:rPr>
        <w:t> </w:t>
      </w:r>
      <w:r>
        <w:rPr/>
        <w:t>objetivo.</w:t>
      </w:r>
    </w:p>
    <w:p>
      <w:pPr>
        <w:pStyle w:val="BodyText"/>
      </w:pPr>
    </w:p>
    <w:p>
      <w:pPr>
        <w:pStyle w:val="BodyText"/>
        <w:spacing w:line="360" w:lineRule="auto" w:before="144"/>
        <w:ind w:left="116" w:right="109"/>
        <w:jc w:val="both"/>
      </w:pPr>
      <w:r>
        <w:rPr/>
        <w:t>En el término autocuidado la palabra “auto” hace referencia  al  sentido  del  ser  humano  completo.  </w:t>
      </w:r>
      <w:r>
        <w:rPr>
          <w:spacing w:val="-4"/>
        </w:rPr>
        <w:t>El </w:t>
      </w:r>
      <w:r>
        <w:rPr>
          <w:spacing w:val="58"/>
        </w:rPr>
        <w:t> </w:t>
      </w:r>
      <w:r>
        <w:rPr/>
        <w:t>autocuidado  tiene  un  propósito.  Es  una  acción  que  tiene  un patrón y una secuencia, y  cuando  </w:t>
      </w:r>
      <w:r>
        <w:rPr>
          <w:spacing w:val="-3"/>
        </w:rPr>
        <w:t>se  </w:t>
      </w:r>
      <w:r>
        <w:rPr/>
        <w:t>realiza  efectivamente,  contribuye  de  manera  específica  a  la  integridad  estructural,  desarrollo   y   funcionamiento humanos  (Orem,</w:t>
      </w:r>
      <w:r>
        <w:rPr>
          <w:spacing w:val="57"/>
        </w:rPr>
        <w:t> </w:t>
      </w:r>
      <w:r>
        <w:rPr/>
        <w:t>1993).</w:t>
      </w:r>
    </w:p>
    <w:p>
      <w:pPr>
        <w:pStyle w:val="BodyText"/>
      </w:pPr>
    </w:p>
    <w:p>
      <w:pPr>
        <w:pStyle w:val="BodyText"/>
        <w:spacing w:line="360" w:lineRule="auto" w:before="139"/>
        <w:ind w:left="116" w:right="108"/>
        <w:jc w:val="both"/>
      </w:pPr>
      <w:r>
        <w:rPr/>
        <w:t>Se considera al ser  humano  como  un  organismo  biológico,  racional  y  pensante;  los seres humanos tienen la  capacidad  de  reflexionar  sobre  sí  </w:t>
      </w:r>
      <w:r>
        <w:rPr>
          <w:spacing w:val="-2"/>
        </w:rPr>
        <w:t>mismos</w:t>
      </w:r>
      <w:r>
        <w:rPr>
          <w:spacing w:val="62"/>
        </w:rPr>
        <w:t> </w:t>
      </w:r>
      <w:r>
        <w:rPr/>
        <w:t>y  su  entorno, capacidad para simbolizar lo que  experimentan  y  usar  creaciones  simbólicas (ideas, palabras) para pensar, comunicarse y guiar los  esfuerzos  para  hacer cosas que  son  beneficiosas  para  sí  mismos  y  otros.  El  entorno  es  entendido en este modelo como  todos  aquellos  factores,  físicos,  químicos,  biológicos y  sociales,  ya  sean  éstos  familiares  o  comunitarios,  que  pueden  influir  e  interactuar  en  la  persona  (Orem,</w:t>
      </w:r>
      <w:r>
        <w:rPr>
          <w:spacing w:val="54"/>
        </w:rPr>
        <w:t> </w:t>
      </w:r>
      <w:r>
        <w:rPr/>
        <w:t>1991).</w:t>
      </w:r>
    </w:p>
    <w:p>
      <w:pPr>
        <w:pStyle w:val="BodyText"/>
      </w:pPr>
    </w:p>
    <w:p>
      <w:pPr>
        <w:pStyle w:val="BodyText"/>
        <w:spacing w:line="362" w:lineRule="auto" w:before="140"/>
        <w:ind w:left="116" w:right="111"/>
        <w:jc w:val="both"/>
      </w:pPr>
      <w:r>
        <w:rPr/>
        <w:t>Orem (1998), describe en  su  modelo  la  Teoría  del  Autocuidado  como  la práctica  de   actividades   que   los   individuos   realizan   por   sí   y   para   sí   mismos,     </w:t>
      </w:r>
      <w:r>
        <w:rPr>
          <w:spacing w:val="8"/>
        </w:rPr>
        <w:t> </w:t>
      </w:r>
      <w:r>
        <w:rPr/>
        <w:t>para</w:t>
      </w:r>
    </w:p>
    <w:p>
      <w:pPr>
        <w:spacing w:after="0" w:line="362"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36" w:right="157"/>
        <w:jc w:val="both"/>
      </w:pPr>
      <w:r>
        <w:rPr/>
        <w:t>mantener  la  vida,  la  salud  y  el  bienestar.  Por  tanto,  es  necesario  dar  respuesta  a  una  serie  de  requisitos  de  autocuidado  que  pueden</w:t>
      </w:r>
      <w:r>
        <w:rPr>
          <w:spacing w:val="54"/>
        </w:rPr>
        <w:t> </w:t>
      </w:r>
      <w:r>
        <w:rPr/>
        <w:t>ser:</w:t>
      </w:r>
    </w:p>
    <w:p>
      <w:pPr>
        <w:pStyle w:val="BodyText"/>
        <w:spacing w:before="11"/>
        <w:rPr>
          <w:sz w:val="35"/>
        </w:rPr>
      </w:pPr>
    </w:p>
    <w:p>
      <w:pPr>
        <w:pStyle w:val="BodyText"/>
        <w:spacing w:line="360" w:lineRule="auto"/>
        <w:ind w:left="136" w:right="156"/>
        <w:jc w:val="both"/>
      </w:pPr>
      <w:r>
        <w:rPr/>
        <w:t>Requisitos universales: satisfacen necesidades de agua, aire, alimentos, eliminación/excreción, actividad y reposo,  soledad  e  interacción  social,  prevención  de  peligros  y  promoción  del  funcionamiento  y  desarrollo</w:t>
      </w:r>
      <w:r>
        <w:rPr>
          <w:spacing w:val="40"/>
        </w:rPr>
        <w:t> </w:t>
      </w:r>
      <w:r>
        <w:rPr/>
        <w:t>humano.</w:t>
      </w:r>
    </w:p>
    <w:p>
      <w:pPr>
        <w:pStyle w:val="BodyText"/>
      </w:pPr>
    </w:p>
    <w:p>
      <w:pPr>
        <w:pStyle w:val="BodyText"/>
        <w:spacing w:line="360" w:lineRule="auto" w:before="140"/>
        <w:ind w:left="136" w:right="151"/>
        <w:jc w:val="both"/>
      </w:pPr>
      <w:r>
        <w:rPr/>
        <w:t>Requisitos de desarrollo: garantizan el crecimiento y desarrollo normal, desde la concepción  hasta  la  senectud  y  el  enfrentar  situaciones  que  pueden afectarlo.</w:t>
      </w:r>
    </w:p>
    <w:p>
      <w:pPr>
        <w:pStyle w:val="BodyText"/>
        <w:rPr>
          <w:sz w:val="20"/>
        </w:rPr>
      </w:pPr>
    </w:p>
    <w:p>
      <w:pPr>
        <w:pStyle w:val="BodyText"/>
        <w:spacing w:before="6"/>
        <w:rPr>
          <w:sz w:val="10"/>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0"/>
        <w:gridCol w:w="2139"/>
        <w:gridCol w:w="3691"/>
        <w:gridCol w:w="2365"/>
      </w:tblGrid>
      <w:tr>
        <w:trPr>
          <w:trHeight w:val="426" w:hRule="exact"/>
        </w:trPr>
        <w:tc>
          <w:tcPr>
            <w:tcW w:w="1290" w:type="dxa"/>
          </w:tcPr>
          <w:p>
            <w:pPr>
              <w:pStyle w:val="TableParagraph"/>
              <w:spacing w:line="240" w:lineRule="auto" w:before="69"/>
              <w:ind w:left="16" w:right="112"/>
              <w:jc w:val="center"/>
              <w:rPr>
                <w:sz w:val="24"/>
              </w:rPr>
            </w:pPr>
            <w:r>
              <w:rPr>
                <w:sz w:val="24"/>
              </w:rPr>
              <w:t>Requisitos</w:t>
            </w:r>
          </w:p>
        </w:tc>
        <w:tc>
          <w:tcPr>
            <w:tcW w:w="2139" w:type="dxa"/>
          </w:tcPr>
          <w:p>
            <w:pPr>
              <w:pStyle w:val="TableParagraph"/>
              <w:tabs>
                <w:tab w:pos="677" w:val="left" w:leader="none"/>
              </w:tabs>
              <w:spacing w:line="240" w:lineRule="auto" w:before="69"/>
              <w:ind w:left="0" w:right="5"/>
              <w:jc w:val="center"/>
              <w:rPr>
                <w:sz w:val="24"/>
              </w:rPr>
            </w:pPr>
            <w:r>
              <w:rPr>
                <w:sz w:val="24"/>
              </w:rPr>
              <w:t>ante</w:t>
              <w:tab/>
              <w:t>alteraciones</w:t>
            </w:r>
          </w:p>
        </w:tc>
        <w:tc>
          <w:tcPr>
            <w:tcW w:w="3691" w:type="dxa"/>
          </w:tcPr>
          <w:p>
            <w:pPr>
              <w:pStyle w:val="TableParagraph"/>
              <w:tabs>
                <w:tab w:pos="363" w:val="left" w:leader="none"/>
                <w:tab w:pos="1396" w:val="left" w:leader="none"/>
                <w:tab w:pos="1876" w:val="left" w:leader="none"/>
                <w:tab w:pos="2274" w:val="left" w:leader="none"/>
                <w:tab w:pos="3206" w:val="left" w:leader="none"/>
              </w:tabs>
              <w:spacing w:line="240" w:lineRule="auto" w:before="69"/>
              <w:ind w:left="18"/>
              <w:jc w:val="center"/>
              <w:rPr>
                <w:sz w:val="24"/>
              </w:rPr>
            </w:pPr>
            <w:r>
              <w:rPr>
                <w:sz w:val="24"/>
              </w:rPr>
              <w:t>o</w:t>
              <w:tab/>
              <w:t>desvíos</w:t>
              <w:tab/>
              <w:t>en</w:t>
              <w:tab/>
              <w:t>el</w:t>
              <w:tab/>
              <w:t>estado</w:t>
              <w:tab/>
              <w:t>de</w:t>
            </w:r>
          </w:p>
        </w:tc>
        <w:tc>
          <w:tcPr>
            <w:tcW w:w="2365" w:type="dxa"/>
          </w:tcPr>
          <w:p>
            <w:pPr>
              <w:pStyle w:val="TableParagraph"/>
              <w:tabs>
                <w:tab w:pos="918" w:val="left" w:leader="none"/>
                <w:tab w:pos="1758" w:val="left" w:leader="none"/>
                <w:tab w:pos="2099" w:val="left" w:leader="none"/>
              </w:tabs>
              <w:spacing w:line="240" w:lineRule="auto" w:before="69"/>
              <w:ind w:left="68"/>
              <w:jc w:val="center"/>
              <w:rPr>
                <w:sz w:val="24"/>
              </w:rPr>
            </w:pPr>
            <w:r>
              <w:rPr>
                <w:sz w:val="24"/>
              </w:rPr>
              <w:t>salud:</w:t>
              <w:tab/>
              <w:t>llevan</w:t>
              <w:tab/>
              <w:t>a</w:t>
              <w:tab/>
            </w:r>
            <w:r>
              <w:rPr>
                <w:spacing w:val="4"/>
                <w:sz w:val="24"/>
              </w:rPr>
              <w:t>la</w:t>
            </w:r>
          </w:p>
        </w:tc>
      </w:tr>
      <w:tr>
        <w:trPr>
          <w:trHeight w:val="426" w:hRule="exact"/>
        </w:trPr>
        <w:tc>
          <w:tcPr>
            <w:tcW w:w="1290" w:type="dxa"/>
          </w:tcPr>
          <w:p>
            <w:pPr>
              <w:pStyle w:val="TableParagraph"/>
              <w:spacing w:line="240" w:lineRule="auto" w:before="55"/>
              <w:ind w:left="16" w:right="58"/>
              <w:jc w:val="center"/>
              <w:rPr>
                <w:sz w:val="24"/>
              </w:rPr>
            </w:pPr>
            <w:r>
              <w:rPr>
                <w:sz w:val="24"/>
              </w:rPr>
              <w:t>persona  a</w:t>
            </w:r>
          </w:p>
        </w:tc>
        <w:tc>
          <w:tcPr>
            <w:tcW w:w="2139" w:type="dxa"/>
          </w:tcPr>
          <w:p>
            <w:pPr>
              <w:pStyle w:val="TableParagraph"/>
              <w:spacing w:line="240" w:lineRule="auto" w:before="55"/>
              <w:ind w:left="11" w:right="5"/>
              <w:jc w:val="center"/>
              <w:rPr>
                <w:sz w:val="24"/>
              </w:rPr>
            </w:pPr>
            <w:r>
              <w:rPr>
                <w:sz w:val="24"/>
              </w:rPr>
              <w:t>buscar  asistencia</w:t>
            </w:r>
          </w:p>
        </w:tc>
        <w:tc>
          <w:tcPr>
            <w:tcW w:w="3691" w:type="dxa"/>
          </w:tcPr>
          <w:p>
            <w:pPr>
              <w:pStyle w:val="TableParagraph"/>
              <w:spacing w:line="240" w:lineRule="auto" w:before="55"/>
              <w:ind w:left="3"/>
              <w:jc w:val="center"/>
              <w:rPr>
                <w:sz w:val="24"/>
              </w:rPr>
            </w:pPr>
            <w:r>
              <w:rPr>
                <w:sz w:val="24"/>
              </w:rPr>
              <w:t>médica   segura,   a  atender  los</w:t>
            </w:r>
          </w:p>
        </w:tc>
        <w:tc>
          <w:tcPr>
            <w:tcW w:w="2365" w:type="dxa"/>
          </w:tcPr>
          <w:p>
            <w:pPr>
              <w:pStyle w:val="TableParagraph"/>
              <w:spacing w:line="240" w:lineRule="auto" w:before="55"/>
              <w:ind w:left="44"/>
              <w:jc w:val="center"/>
              <w:rPr>
                <w:sz w:val="24"/>
              </w:rPr>
            </w:pPr>
            <w:r>
              <w:rPr>
                <w:sz w:val="24"/>
              </w:rPr>
              <w:t>resultados  molestos</w:t>
            </w:r>
          </w:p>
        </w:tc>
      </w:tr>
    </w:tbl>
    <w:p>
      <w:pPr>
        <w:pStyle w:val="BodyText"/>
        <w:spacing w:line="360" w:lineRule="auto" w:before="42"/>
        <w:ind w:left="136" w:right="150"/>
        <w:jc w:val="both"/>
      </w:pPr>
      <w:r>
        <w:rPr/>
        <w:t>de una enfermedad; a seguir una terapia medicamentosa; a atender los efectos molestos de la alteración en el estado de salud;  a  aceptar  una  nueva  imagen  corporal y los cuidados necesarios  para  fortalecer  el  autoconcepto  o  aprender  a  vivir  con  la</w:t>
      </w:r>
      <w:r>
        <w:rPr>
          <w:spacing w:val="61"/>
        </w:rPr>
        <w:t> </w:t>
      </w:r>
      <w:r>
        <w:rPr/>
        <w:t>patología.</w:t>
      </w:r>
    </w:p>
    <w:p>
      <w:pPr>
        <w:pStyle w:val="BodyText"/>
      </w:pPr>
    </w:p>
    <w:p>
      <w:pPr>
        <w:pStyle w:val="BodyText"/>
        <w:spacing w:line="360" w:lineRule="auto" w:before="144"/>
        <w:ind w:left="136" w:right="150"/>
        <w:jc w:val="both"/>
      </w:pPr>
      <w:r>
        <w:rPr/>
        <w:t>Todo esto se genera a partir de las habilidades que tienen los individuos para comprometerse en las operaciones de  autocuidado  (conocidas  también  como agencia de autocuidado) y que, además posee una estructura compleja:  las capacidades básicas que afectan el desarrollo de cualquier acción  deliberada,  un  grupo de habilidades relacionadas con  el  compromiso  para  el  autocuidado  conocidas como componentes  de  poder,  y  un  grupo  de  capacidades  especializadas necesarias  para  desarrollar  operaciones  de  autocuidado  conformadas  por  las  capacidades  estimativas,  transicionales   y   productivas,  (Orem,</w:t>
      </w:r>
      <w:r>
        <w:rPr>
          <w:spacing w:val="63"/>
        </w:rPr>
        <w:t> </w:t>
      </w:r>
      <w:r>
        <w:rPr/>
        <w:t>2001).</w:t>
      </w:r>
    </w:p>
    <w:p>
      <w:pPr>
        <w:pStyle w:val="BodyText"/>
      </w:pPr>
    </w:p>
    <w:p>
      <w:pPr>
        <w:pStyle w:val="Heading1"/>
        <w:spacing w:before="139"/>
        <w:ind w:left="136"/>
      </w:pPr>
      <w:r>
        <w:rPr/>
        <w:t>2.2.2.1  Hábitos  de  salud  en  pacientes</w:t>
      </w:r>
      <w:r>
        <w:rPr>
          <w:spacing w:val="50"/>
        </w:rPr>
        <w:t> </w:t>
      </w:r>
      <w:r>
        <w:rPr/>
        <w:t>diabéticos</w:t>
      </w:r>
    </w:p>
    <w:p>
      <w:pPr>
        <w:pStyle w:val="BodyText"/>
        <w:rPr>
          <w:b/>
        </w:rPr>
      </w:pPr>
    </w:p>
    <w:p>
      <w:pPr>
        <w:pStyle w:val="BodyText"/>
        <w:spacing w:before="3"/>
        <w:rPr>
          <w:b/>
        </w:rPr>
      </w:pPr>
    </w:p>
    <w:p>
      <w:pPr>
        <w:pStyle w:val="BodyText"/>
        <w:spacing w:line="362" w:lineRule="auto"/>
        <w:ind w:left="136" w:right="149"/>
        <w:jc w:val="both"/>
      </w:pPr>
      <w:r>
        <w:rPr/>
        <w:t>La presencia de las  enfermedades  crónicas  es  consecuencia  de  los  hábitos  de  vida  poco  saludables  de  las  personas.  La  importancia  que  tienen  los   estilos   </w:t>
      </w:r>
      <w:r>
        <w:rPr>
          <w:spacing w:val="32"/>
        </w:rPr>
        <w:t> </w:t>
      </w:r>
      <w:r>
        <w:rPr/>
        <w:t>de</w:t>
      </w:r>
    </w:p>
    <w:p>
      <w:pPr>
        <w:spacing w:after="0" w:line="362" w:lineRule="auto"/>
        <w:jc w:val="both"/>
        <w:sectPr>
          <w:pgSz w:w="12240" w:h="15840"/>
          <w:pgMar w:header="729" w:footer="0" w:top="960" w:bottom="280" w:left="1280" w:right="1260"/>
        </w:sectPr>
      </w:pPr>
    </w:p>
    <w:p>
      <w:pPr>
        <w:pStyle w:val="BodyText"/>
        <w:rPr>
          <w:sz w:val="20"/>
        </w:rPr>
      </w:pPr>
    </w:p>
    <w:p>
      <w:pPr>
        <w:pStyle w:val="BodyText"/>
        <w:spacing w:line="362" w:lineRule="auto" w:before="213"/>
        <w:ind w:left="116" w:right="111"/>
        <w:jc w:val="both"/>
      </w:pPr>
      <w:r>
        <w:rPr/>
        <w:t>vida en el tratamiento  de  las  personas  diabéticas  es  aún  mayor  cuando  </w:t>
      </w:r>
      <w:r>
        <w:rPr>
          <w:spacing w:val="-3"/>
        </w:rPr>
        <w:t>se  </w:t>
      </w:r>
      <w:r>
        <w:rPr/>
        <w:t>trata  de  pacientes  diabéticos  con  obesidad  o</w:t>
      </w:r>
      <w:r>
        <w:rPr>
          <w:spacing w:val="48"/>
        </w:rPr>
        <w:t> </w:t>
      </w:r>
      <w:r>
        <w:rPr/>
        <w:t>sobrepeso.</w:t>
      </w:r>
    </w:p>
    <w:p>
      <w:pPr>
        <w:pStyle w:val="BodyText"/>
        <w:spacing w:before="11"/>
        <w:rPr>
          <w:sz w:val="35"/>
        </w:rPr>
      </w:pPr>
    </w:p>
    <w:p>
      <w:pPr>
        <w:pStyle w:val="BodyText"/>
        <w:spacing w:line="360" w:lineRule="auto"/>
        <w:ind w:left="116" w:right="110"/>
        <w:jc w:val="both"/>
      </w:pPr>
      <w:r>
        <w:rPr/>
        <w:t>Seidell (2000),  menciona  que  los  cambios  en  las  exigencias  físicas  de  los  trabajos actuales, la mecanización de distintas áreas laborales, así  como  las actividades que se realizan en el </w:t>
      </w:r>
      <w:r>
        <w:rPr>
          <w:spacing w:val="-3"/>
        </w:rPr>
        <w:t>tiempo </w:t>
      </w:r>
      <w:r>
        <w:rPr/>
        <w:t>de ocio y los medios de transporte han generado  en  la  población  el  incremento  del  sedentarismo,  y  en  la  mayoría  de   las  personas  el  sobrepeso  y  la</w:t>
      </w:r>
      <w:r>
        <w:rPr>
          <w:spacing w:val="55"/>
        </w:rPr>
        <w:t> </w:t>
      </w:r>
      <w:r>
        <w:rPr/>
        <w:t>obesidad.</w:t>
      </w:r>
    </w:p>
    <w:p>
      <w:pPr>
        <w:pStyle w:val="BodyText"/>
      </w:pPr>
    </w:p>
    <w:p>
      <w:pPr>
        <w:pStyle w:val="BodyText"/>
        <w:spacing w:line="360" w:lineRule="auto" w:before="144"/>
        <w:ind w:left="116" w:right="109"/>
        <w:jc w:val="both"/>
      </w:pPr>
      <w:r>
        <w:rPr/>
        <w:t>Tomando  como  referencia  la  </w:t>
      </w:r>
      <w:r>
        <w:rPr>
          <w:spacing w:val="-3"/>
        </w:rPr>
        <w:t>Norma   </w:t>
      </w:r>
      <w:r>
        <w:rPr/>
        <w:t>Oficial   Mexicana   NOM-015-SSA2-1994 para la prevención, tratamiento y control  de  la  diabetes,  indica  como  parte  del  tratamiento de la diabetes, los lineamientos para  realizar  los  planes  de  ejercicio  físico,  los  cuales  deben  contemplar  la  evaluación  clínica  del  paciente,   tomando en cuenta la edad, estado general de salud,  evolución  de  la  enfermedad,  alimentación y medicamentos,  así  como  las  restricciones  en  algunos  alimentos  y  en el consumo de alcohol, haciendo énfasis en aquellos  pacientes  que  además  tengan  sobrepeso  u</w:t>
      </w:r>
      <w:r>
        <w:rPr>
          <w:spacing w:val="57"/>
        </w:rPr>
        <w:t> </w:t>
      </w:r>
      <w:r>
        <w:rPr/>
        <w:t>obesidad.</w:t>
      </w:r>
    </w:p>
    <w:p>
      <w:pPr>
        <w:pStyle w:val="BodyText"/>
      </w:pPr>
    </w:p>
    <w:p>
      <w:pPr>
        <w:pStyle w:val="BodyText"/>
        <w:spacing w:line="360" w:lineRule="auto" w:before="144"/>
        <w:ind w:left="116" w:right="109"/>
        <w:jc w:val="both"/>
      </w:pPr>
      <w:r>
        <w:rPr/>
        <w:t>Además hace énfasis  en  el  control  de  peso  de  los  pacientes  diabéticos  ya  que  es indispensable para llevar el control de su metabolismo, pues entre las complicaciones que </w:t>
      </w:r>
      <w:r>
        <w:rPr>
          <w:spacing w:val="-3"/>
        </w:rPr>
        <w:t>se </w:t>
      </w:r>
      <w:r>
        <w:rPr/>
        <w:t>generan a partir  del  aumento  de  peso  es  que  se  genera  una resistencia a la insulina. Si  bien  este  tipo  de  diabetes  no  es  insulinodependiente (ellos </w:t>
      </w:r>
      <w:r>
        <w:rPr>
          <w:spacing w:val="-3"/>
        </w:rPr>
        <w:t>si </w:t>
      </w:r>
      <w:r>
        <w:rPr/>
        <w:t>generan la insulina), el organismo puede que no  la  asimile.</w:t>
      </w:r>
    </w:p>
    <w:p>
      <w:pPr>
        <w:pStyle w:val="BodyText"/>
        <w:spacing w:line="360" w:lineRule="auto" w:before="3"/>
        <w:ind w:left="116" w:right="111"/>
        <w:jc w:val="both"/>
      </w:pPr>
      <w:r>
        <w:rPr/>
        <w:t>Dentro  del  tratamiento  de  la  diabetes,  se  consideran  tres  aspectos  fundamentales:  la dieta,  la  actividad  física  y  los</w:t>
      </w:r>
      <w:r>
        <w:rPr>
          <w:spacing w:val="45"/>
        </w:rPr>
        <w:t> </w:t>
      </w:r>
      <w:r>
        <w:rPr/>
        <w:t>medicamentos.</w:t>
      </w:r>
    </w:p>
    <w:p>
      <w:pPr>
        <w:pStyle w:val="BodyText"/>
      </w:pPr>
    </w:p>
    <w:p>
      <w:pPr>
        <w:pStyle w:val="BodyText"/>
        <w:spacing w:line="360" w:lineRule="auto" w:before="144"/>
        <w:ind w:left="116" w:right="111"/>
        <w:jc w:val="both"/>
      </w:pPr>
      <w:r>
        <w:rPr/>
        <w:t>La actividad física es un  componente  importante  en  el  estilo  de  vida  saludable  pues favorece la disminución de la grasa corporal  y  el  incremento  de  la  grasa  magra, mejora de la función del sistema cardiovascular e incrementa el bienestar psicosocial.     En    personas    con    diabetes     mellitus,    se    recomienda    </w:t>
      </w:r>
      <w:r>
        <w:rPr>
          <w:spacing w:val="61"/>
        </w:rPr>
        <w:t> </w:t>
      </w:r>
      <w:r>
        <w:rPr/>
        <w:t>realizar</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10"/>
        <w:jc w:val="both"/>
      </w:pPr>
      <w:r>
        <w:rPr/>
        <w:t>aproximadamente 150 minutos a  la  semana  de  actividad  física  moderada,  llevar  una  dieta  saludable  con  una  restricción  en  el  consumo  de  calorías.   (Sigal,  Kenny,  Wasserman  y  Castaneda,</w:t>
      </w:r>
      <w:r>
        <w:rPr>
          <w:spacing w:val="58"/>
        </w:rPr>
        <w:t> </w:t>
      </w:r>
      <w:r>
        <w:rPr/>
        <w:t>2004).</w:t>
      </w:r>
    </w:p>
    <w:p>
      <w:pPr>
        <w:pStyle w:val="BodyText"/>
        <w:spacing w:before="10"/>
        <w:rPr>
          <w:sz w:val="35"/>
        </w:rPr>
      </w:pPr>
    </w:p>
    <w:p>
      <w:pPr>
        <w:pStyle w:val="BodyText"/>
        <w:spacing w:line="360" w:lineRule="auto"/>
        <w:ind w:left="116" w:right="109"/>
        <w:jc w:val="both"/>
      </w:pPr>
      <w:r>
        <w:rPr/>
        <w:t>La angustia asociada con la  diabetes  afecta  de  distintas  </w:t>
      </w:r>
      <w:r>
        <w:rPr>
          <w:spacing w:val="-2"/>
        </w:rPr>
        <w:t>formas  </w:t>
      </w:r>
      <w:r>
        <w:rPr/>
        <w:t>a  los  pacientes  que  la  padecen,  principalmente  a  su  calidad  de  vida.  Los  médicos   y profesionales de la salud, pueden ayudar a reducir la angustia  que  les  afecta,  a  través del apoyo emocional  y  conductual,  así  como  establecer  una  educación  dentro de esta enfermedad para que los pacientes  puedan  sobrellevar  su  enfermedad.  (Sansgiry,  Naik,  Brown   &amp;  Latini,</w:t>
      </w:r>
      <w:r>
        <w:rPr>
          <w:spacing w:val="47"/>
        </w:rPr>
        <w:t> </w:t>
      </w:r>
      <w:r>
        <w:rPr/>
        <w:t>2013).</w:t>
      </w:r>
    </w:p>
    <w:p>
      <w:pPr>
        <w:pStyle w:val="BodyText"/>
      </w:pPr>
    </w:p>
    <w:p>
      <w:pPr>
        <w:pStyle w:val="BodyText"/>
        <w:spacing w:line="360" w:lineRule="auto" w:before="140"/>
        <w:ind w:left="116" w:right="109"/>
        <w:jc w:val="both"/>
      </w:pPr>
      <w:r>
        <w:rPr/>
        <w:t>La prevención de la diabetes, seguirá  siendo  uno  de  los  caminos  para  discutir  sobre la importancia que tiene la prevención de la obesidad, siendo éstas  enfermedades causadas por los diferentes cambios en los estilos de vida en la población, el incremento de la  ingesta  calórica  y  la  disminución  en  el  gasto  de  ésta  (Seidell,</w:t>
      </w:r>
      <w:r>
        <w:rPr>
          <w:spacing w:val="61"/>
        </w:rPr>
        <w:t> </w:t>
      </w:r>
      <w:r>
        <w:rPr/>
        <w:t>2000).</w:t>
      </w:r>
    </w:p>
    <w:p>
      <w:pPr>
        <w:pStyle w:val="BodyText"/>
      </w:pPr>
    </w:p>
    <w:p>
      <w:pPr>
        <w:pStyle w:val="Heading1"/>
        <w:spacing w:line="360" w:lineRule="auto" w:before="140"/>
        <w:ind w:left="116" w:right="112"/>
      </w:pPr>
      <w:r>
        <w:rPr/>
        <w:t>2.3 Relación entre hábitos de vida y calidad de vida en personas con diabetes y obesidad o sobrepeso</w:t>
      </w:r>
    </w:p>
    <w:p>
      <w:pPr>
        <w:pStyle w:val="BodyText"/>
        <w:rPr>
          <w:b/>
        </w:rPr>
      </w:pPr>
    </w:p>
    <w:p>
      <w:pPr>
        <w:pStyle w:val="BodyText"/>
        <w:spacing w:line="360" w:lineRule="auto" w:before="144"/>
        <w:ind w:left="116" w:right="111"/>
        <w:jc w:val="both"/>
      </w:pPr>
      <w:r>
        <w:rPr/>
        <w:t>Los conceptos de estilos  de  vida  y  calidad  de  vida  están  estrechamente  vinculados, puesto que la calidad de  vida  está  determinada  por  el  estilo  de  vida  que  se  desee  adoptar,  bien  de  </w:t>
      </w:r>
      <w:r>
        <w:rPr>
          <w:spacing w:val="-3"/>
        </w:rPr>
        <w:t>forma  </w:t>
      </w:r>
      <w:r>
        <w:rPr/>
        <w:t>individual  o  bien  de  </w:t>
      </w:r>
      <w:r>
        <w:rPr>
          <w:spacing w:val="-3"/>
        </w:rPr>
        <w:t>forma  </w:t>
      </w:r>
      <w:r>
        <w:rPr/>
        <w:t>grupal  (Gutiérrez,  2000;  citado  por  Tuero  y  Márquez,</w:t>
      </w:r>
      <w:r>
        <w:rPr>
          <w:spacing w:val="52"/>
        </w:rPr>
        <w:t> </w:t>
      </w:r>
      <w:r>
        <w:rPr/>
        <w:t>2013).</w:t>
      </w:r>
    </w:p>
    <w:p>
      <w:pPr>
        <w:pStyle w:val="BodyText"/>
        <w:spacing w:line="360" w:lineRule="auto" w:before="3"/>
        <w:ind w:left="116" w:right="110"/>
        <w:jc w:val="both"/>
      </w:pPr>
      <w:r>
        <w:rPr/>
        <w:t>Bersh (2006), describe que </w:t>
      </w:r>
      <w:r>
        <w:rPr>
          <w:spacing w:val="2"/>
        </w:rPr>
        <w:t>una </w:t>
      </w:r>
      <w:r>
        <w:rPr/>
        <w:t>característica de  muchos  obesos  es  la  dificultad  para identificar y expresar las propias emociones,  lo  cual  hace  que  recurran  a  comer  en  exceso  como  una  estrategia  </w:t>
      </w:r>
      <w:r>
        <w:rPr>
          <w:spacing w:val="-3"/>
        </w:rPr>
        <w:t>mal  </w:t>
      </w:r>
      <w:r>
        <w:rPr/>
        <w:t>adaptativa  para</w:t>
      </w:r>
      <w:r>
        <w:rPr>
          <w:spacing w:val="57"/>
        </w:rPr>
        <w:t> </w:t>
      </w:r>
      <w:r>
        <w:rPr/>
        <w:t>manejarlas.</w:t>
      </w:r>
    </w:p>
    <w:p>
      <w:pPr>
        <w:pStyle w:val="BodyText"/>
      </w:pPr>
    </w:p>
    <w:p>
      <w:pPr>
        <w:pStyle w:val="BodyText"/>
        <w:spacing w:line="360" w:lineRule="auto" w:before="140"/>
        <w:ind w:left="116" w:right="110"/>
        <w:jc w:val="both"/>
      </w:pPr>
      <w:r>
        <w:rPr/>
        <w:t>De acuerdo a Seuc, Domínguez y Díaz (2003), el término calidad de  vida  y  en  especial los aspectos psicológicos  que  la  integran  se  han  trabajado  intensamente en   los   últimos   años   siendo   un   tema   sobresaliente   en   las   sociedades    </w:t>
      </w:r>
      <w:r>
        <w:rPr>
          <w:spacing w:val="26"/>
        </w:rPr>
        <w:t> </w:t>
      </w:r>
      <w:r>
        <w:rPr>
          <w:spacing w:val="-3"/>
        </w:rPr>
        <w:t>más</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10"/>
        <w:jc w:val="both"/>
      </w:pPr>
      <w:r>
        <w:rPr/>
        <w:t>avanzadas. </w:t>
      </w:r>
      <w:r>
        <w:rPr>
          <w:spacing w:val="-4"/>
        </w:rPr>
        <w:t>El</w:t>
      </w:r>
      <w:r>
        <w:rPr>
          <w:spacing w:val="58"/>
        </w:rPr>
        <w:t> </w:t>
      </w:r>
      <w:r>
        <w:rPr>
          <w:spacing w:val="-3"/>
        </w:rPr>
        <w:t>manejo </w:t>
      </w:r>
      <w:r>
        <w:rPr/>
        <w:t>efectivo  incluye  medidas  relacionadas  con  los  estilos  de  vida como: llevar una dieta saludable, realizar actividad física, mantener el peso adecuado  y  no</w:t>
      </w:r>
      <w:r>
        <w:rPr>
          <w:spacing w:val="57"/>
        </w:rPr>
        <w:t> </w:t>
      </w:r>
      <w:r>
        <w:rPr/>
        <w:t>fumar.</w:t>
      </w:r>
    </w:p>
    <w:p>
      <w:pPr>
        <w:pStyle w:val="BodyText"/>
        <w:spacing w:before="10"/>
        <w:rPr>
          <w:sz w:val="35"/>
        </w:rPr>
      </w:pPr>
    </w:p>
    <w:p>
      <w:pPr>
        <w:pStyle w:val="BodyText"/>
        <w:spacing w:line="360" w:lineRule="auto"/>
        <w:ind w:left="116" w:right="110"/>
        <w:jc w:val="both"/>
      </w:pPr>
      <w:r>
        <w:rPr/>
        <w:t>En cuanto a la depresión, se sabe  que  cursa  con  aumento  o  disminución  del  apetito y que en general tiende a amplificar los patrones de  cambio  de  peso  asociados con la edad; es decir los adultos  jóvenes  con  depresión  tienden  a aumentar de peso, mientras que los adultos  mayores  bajan  de  peso  (Di  Pietro,  Anda,  Williamson,  Stunkard,</w:t>
      </w:r>
      <w:r>
        <w:rPr>
          <w:spacing w:val="57"/>
        </w:rPr>
        <w:t> </w:t>
      </w:r>
      <w:r>
        <w:rPr/>
        <w:t>1992).</w:t>
      </w:r>
    </w:p>
    <w:p>
      <w:pPr>
        <w:pStyle w:val="BodyText"/>
      </w:pPr>
    </w:p>
    <w:p>
      <w:pPr>
        <w:pStyle w:val="BodyText"/>
        <w:spacing w:line="360" w:lineRule="auto" w:before="145"/>
        <w:ind w:left="116" w:right="109"/>
        <w:jc w:val="both"/>
      </w:pPr>
      <w:r>
        <w:rPr/>
        <w:t>En relación al estilo de vida moderno Coutinho (1999) asegura  que  el  hábito  de  comer fuera  de  casa  contribuye  al  aumento  de  tejido  adiposo  de  las  personas,  ya que mayormente, las comidas suelen ser ricas en grasas y contienen un alto contenido calórico. Así </w:t>
      </w:r>
      <w:r>
        <w:rPr>
          <w:spacing w:val="-2"/>
        </w:rPr>
        <w:t>mismo, </w:t>
      </w:r>
      <w:r>
        <w:rPr/>
        <w:t>aun siendo no demasiado pesadas, se tiende a desarrollar un consumo exagerado de alimentos, por  lo  que  el  efecto  final  se  traduce en  un  elevado  consumo  calórico  que  contribuye  de  este  modo  al  aumento  del  tejido</w:t>
      </w:r>
      <w:r>
        <w:rPr>
          <w:spacing w:val="60"/>
        </w:rPr>
        <w:t> </w:t>
      </w:r>
      <w:r>
        <w:rPr/>
        <w:t>adiposo.</w:t>
      </w:r>
    </w:p>
    <w:p>
      <w:pPr>
        <w:pStyle w:val="BodyText"/>
      </w:pPr>
    </w:p>
    <w:p>
      <w:pPr>
        <w:pStyle w:val="BodyText"/>
        <w:spacing w:line="360" w:lineRule="auto" w:before="144"/>
        <w:ind w:left="116" w:right="109"/>
        <w:jc w:val="both"/>
      </w:pPr>
      <w:r>
        <w:rPr/>
        <w:t>En México los  estilos  de  vida  no  saludables  se  reflejan  en  el  consumo  inmoderado de alimentos "chatarra" (ampliamente publicitados en los medios de comunicación) que son promocionados  </w:t>
      </w:r>
      <w:r>
        <w:rPr>
          <w:spacing w:val="-3"/>
        </w:rPr>
        <w:t>como  </w:t>
      </w:r>
      <w:r>
        <w:rPr/>
        <w:t>comida  rápida,  están  constituidos  de un alto  contenido  de  grasa  y  calorías,  con  escaso  valor  nutritivo,  (López  y  Ávalos,</w:t>
      </w:r>
      <w:r>
        <w:rPr>
          <w:spacing w:val="62"/>
        </w:rPr>
        <w:t> </w:t>
      </w:r>
      <w:r>
        <w:rPr/>
        <w:t>2013).</w:t>
      </w:r>
    </w:p>
    <w:p>
      <w:pPr>
        <w:pStyle w:val="BodyText"/>
        <w:spacing w:line="360" w:lineRule="auto" w:before="2"/>
        <w:ind w:left="116" w:right="110"/>
        <w:jc w:val="both"/>
      </w:pPr>
      <w:r>
        <w:rPr/>
        <w:t>Los autores mencionados  en  el  párrafo  anterior,  señalan  que  los  casos  de diabetes han incrementado de manera considerable  en  México,  y  en  ellos  intervienen diversos factores sociales, culturales y económicos, que  influyen  en  el estilo de vida de las personas. Para revertir esta  tendencia  se  hace  necesario  superar limitantes, tales como la creencia  entre  la  población  (que  se  hizo  costumbre)  de  que  el  hecho  de  ser  gordo  es  sinónimo  de  ser</w:t>
      </w:r>
      <w:r>
        <w:rPr>
          <w:spacing w:val="50"/>
        </w:rPr>
        <w:t> </w:t>
      </w:r>
      <w:r>
        <w:rPr/>
        <w:t>saludable.</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116" w:right="110"/>
        <w:jc w:val="both"/>
      </w:pPr>
      <w:r>
        <w:rPr/>
        <w:t>Como lo dicen Hernández, Gutiérrez y Reynoso (2013), los estilos de vida poco saludables son altamente prevalentes entre  niños,  adolescentes  y  adultos  mexicanos, propiciando un aumento  importante  de  la  obesidad  y  sobrepeso, principal  factor  de  riesgo  modificable  de  la</w:t>
      </w:r>
      <w:r>
        <w:rPr>
          <w:spacing w:val="57"/>
        </w:rPr>
        <w:t> </w:t>
      </w:r>
      <w:r>
        <w:rPr/>
        <w:t>diabetes.</w:t>
      </w:r>
    </w:p>
    <w:p>
      <w:pPr>
        <w:pStyle w:val="BodyText"/>
      </w:pPr>
    </w:p>
    <w:p>
      <w:pPr>
        <w:pStyle w:val="BodyText"/>
        <w:spacing w:line="360" w:lineRule="auto" w:before="144"/>
        <w:ind w:left="116" w:right="106"/>
        <w:jc w:val="both"/>
      </w:pPr>
      <w:r>
        <w:rPr/>
        <w:t>La tradición de convivencia familiar a través de la "hora de comer", la cual </w:t>
      </w:r>
      <w:r>
        <w:rPr>
          <w:spacing w:val="-4"/>
        </w:rPr>
        <w:t>no </w:t>
      </w:r>
      <w:r>
        <w:rPr/>
        <w:t>necesariamente coincide con los horarios de alimentación de las personas  con  diabetes mellitus (las que deben ser estrictas en sus horarios a fin de evitar hipoglucemias), de igual forma, se perturba la costumbre del  paciente  diabético  cuando convive en una  comida  familiar,  debido  que  está  obligado  a  comer alimentos diferentes a los que  los  demás  consumen,  lo cual  le  genera  una sensación de segregación. Además, en lo referente a la cuestión económica, </w:t>
      </w:r>
      <w:r>
        <w:rPr>
          <w:spacing w:val="4"/>
        </w:rPr>
        <w:t>la </w:t>
      </w:r>
      <w:r>
        <w:rPr/>
        <w:t>preparación de comidas especiales, diferentes, para las personas  con  diabetes  mellitus y para los  no  enfermos  de  una  misma  familia,  representa  un  gasto  extra de  tiempo  y  dinero  (Torres,  Sandoval  y  Pando,</w:t>
      </w:r>
      <w:r>
        <w:rPr>
          <w:spacing w:val="51"/>
        </w:rPr>
        <w:t> </w:t>
      </w:r>
      <w:r>
        <w:rPr/>
        <w:t>2005).</w:t>
      </w:r>
    </w:p>
    <w:p>
      <w:pPr>
        <w:pStyle w:val="BodyText"/>
      </w:pPr>
    </w:p>
    <w:p>
      <w:pPr>
        <w:pStyle w:val="BodyText"/>
        <w:spacing w:line="360" w:lineRule="auto" w:before="139"/>
        <w:ind w:left="116" w:right="109"/>
        <w:jc w:val="both"/>
      </w:pPr>
      <w:r>
        <w:rPr/>
        <w:t>La OCDE (2015), menciona que  la  esperanza  de  vida  es  la  medida  de  la  salud  sin embargo ésta sólo  toma  en  cuenta  la  duración  de  la  vida  de  una  persona  y no su calidad. Por otra parte señala que  las  enfermedades  crónicas  como  la  diabetes son las principales causas de muerte  y  discapacidad,  a  pesar  de  ello,  estas  enfermedades  pueden  prevenirse,  ya  que  se   relacionan   con   estilos  de vida que son posibles de modificar. Las personas que no fuman,  que  consumen  alcohol  en  cantidades  moderadas,  mantienen  una  actividad  física,   llevan   una dieta equilibrada y no padecen sobrepeso  u  obesidad  corren  un  riesgo  mucho  menor  de  muerte  temprana  que  quienes  tienen  hábitos  poco</w:t>
      </w:r>
      <w:r>
        <w:rPr>
          <w:spacing w:val="41"/>
        </w:rPr>
        <w:t> </w:t>
      </w:r>
      <w:r>
        <w:rPr/>
        <w:t>sanos.</w:t>
      </w:r>
    </w:p>
    <w:p>
      <w:pPr>
        <w:pStyle w:val="BodyText"/>
      </w:pPr>
    </w:p>
    <w:p>
      <w:pPr>
        <w:pStyle w:val="BodyText"/>
        <w:spacing w:line="360" w:lineRule="auto" w:before="144"/>
        <w:ind w:left="116" w:right="109"/>
        <w:jc w:val="both"/>
      </w:pPr>
      <w:r>
        <w:rPr/>
        <w:t>En  México  </w:t>
      </w:r>
      <w:r>
        <w:rPr>
          <w:spacing w:val="-3"/>
        </w:rPr>
        <w:t>se  </w:t>
      </w:r>
      <w:r>
        <w:rPr/>
        <w:t>ha  incrementado  la  esperanza  de  vida,  en  2014  el  Instituto Nacional de Estadística  y  Geografía  (INEGI)  da  a  conocer  que  el  número  promedio de años que se  espera  vivir  una  persona  en  el  país  es  de  casi  75  años.  Sin  embargo  algunos  de  los  periódicos  mexicanos  como  La Jornada  y   CNN  México  reportaron  que  en  2015,  nuestro  país  tiene  la  esperanza  de      </w:t>
      </w:r>
      <w:r>
        <w:rPr>
          <w:spacing w:val="3"/>
        </w:rPr>
        <w:t> </w:t>
      </w:r>
      <w:r>
        <w:rPr/>
        <w:t>vida</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08"/>
        <w:jc w:val="both"/>
      </w:pPr>
      <w:r>
        <w:rPr>
          <w:spacing w:val="-3"/>
        </w:rPr>
        <w:t>más </w:t>
      </w:r>
      <w:r>
        <w:rPr/>
        <w:t>baja de  acuerdo  a  la  OCDE  ya  que  el  promedio  de  vida  es  de  80.5  años  en  los  34  países  que  la  conforman  y  México  es  el  único  país  que  no  rebasa  los  75  años,  con  un  promedio  de  74.6</w:t>
      </w:r>
      <w:r>
        <w:rPr>
          <w:spacing w:val="51"/>
        </w:rPr>
        <w:t> </w:t>
      </w:r>
      <w:r>
        <w:rPr/>
        <w:t>años.</w:t>
      </w:r>
    </w:p>
    <w:p>
      <w:pPr>
        <w:pStyle w:val="BodyText"/>
        <w:spacing w:before="10"/>
        <w:rPr>
          <w:sz w:val="35"/>
        </w:rPr>
      </w:pPr>
    </w:p>
    <w:p>
      <w:pPr>
        <w:pStyle w:val="BodyText"/>
        <w:spacing w:line="360" w:lineRule="auto"/>
        <w:ind w:left="116" w:right="110"/>
        <w:jc w:val="both"/>
      </w:pPr>
      <w:r>
        <w:rPr/>
        <w:t>Si bien  la  diabetes  tipo  2  no  es  curable,  se  pude  tener  controlada  a  través  de  un estilo de vida saludable, además que este tipo de  enfermedades  crónicas  (diabetes, obesidad, cáncer, etc.) afecta la percepción en la calidad de  vida  de  quienes  la  padecen  (Pera,</w:t>
      </w:r>
      <w:r>
        <w:rPr>
          <w:spacing w:val="57"/>
        </w:rPr>
        <w:t> </w:t>
      </w:r>
      <w:r>
        <w:rPr/>
        <w:t>2011).</w:t>
      </w:r>
    </w:p>
    <w:p>
      <w:pPr>
        <w:pStyle w:val="BodyText"/>
      </w:pPr>
    </w:p>
    <w:p>
      <w:pPr>
        <w:pStyle w:val="BodyText"/>
        <w:spacing w:line="360" w:lineRule="auto" w:before="144"/>
        <w:ind w:left="116" w:right="110"/>
        <w:jc w:val="both"/>
      </w:pPr>
      <w:r>
        <w:rPr/>
        <w:t>No se han  encontrado  estudios  que  marquen  la  relación  existente  entre  los  hábitos de vida (HV) y la calidad  de  vida  (CV)  en  pacientes  con  diabetes  y obesidad o con sobrepeso en México, de ahí la importancia de la presente  investigación  ya  que  la  comorbilidad  existente  entre  estas   enfermedades   tiene una fuerte asociación a la calidad de vida y los hábitos de vida que tienen  los  pacientes.</w:t>
      </w:r>
    </w:p>
    <w:p>
      <w:pPr>
        <w:spacing w:after="0" w:line="360" w:lineRule="auto"/>
        <w:jc w:val="both"/>
        <w:sectPr>
          <w:pgSz w:w="12240" w:h="15840"/>
          <w:pgMar w:header="729" w:footer="0" w:top="960" w:bottom="280" w:left="1300" w:right="1300"/>
        </w:sectPr>
      </w:pPr>
    </w:p>
    <w:p>
      <w:pPr>
        <w:pStyle w:val="BodyText"/>
        <w:rPr>
          <w:sz w:val="20"/>
        </w:rPr>
      </w:pPr>
    </w:p>
    <w:p>
      <w:pPr>
        <w:pStyle w:val="Heading1"/>
        <w:spacing w:before="208"/>
        <w:ind w:left="390" w:right="387"/>
        <w:jc w:val="center"/>
      </w:pPr>
      <w:r>
        <w:rPr/>
        <w:t>CAPITULO III: MÉTODO</w:t>
      </w:r>
    </w:p>
    <w:p>
      <w:pPr>
        <w:pStyle w:val="BodyText"/>
        <w:rPr>
          <w:b/>
        </w:rPr>
      </w:pPr>
    </w:p>
    <w:p>
      <w:pPr>
        <w:pStyle w:val="BodyText"/>
        <w:spacing w:before="3"/>
        <w:rPr>
          <w:b/>
        </w:rPr>
      </w:pPr>
    </w:p>
    <w:p>
      <w:pPr>
        <w:pStyle w:val="ListParagraph"/>
        <w:numPr>
          <w:ilvl w:val="1"/>
          <w:numId w:val="10"/>
        </w:numPr>
        <w:tabs>
          <w:tab w:pos="516" w:val="left" w:leader="none"/>
        </w:tabs>
        <w:spacing w:line="240" w:lineRule="auto" w:before="0" w:after="0"/>
        <w:ind w:left="515" w:right="0" w:hanging="399"/>
        <w:jc w:val="both"/>
        <w:rPr>
          <w:b/>
          <w:sz w:val="24"/>
        </w:rPr>
      </w:pPr>
      <w:r>
        <w:rPr>
          <w:b/>
          <w:sz w:val="24"/>
        </w:rPr>
        <w:t>Tipo  de  estudio  o</w:t>
      </w:r>
      <w:r>
        <w:rPr>
          <w:b/>
          <w:spacing w:val="60"/>
          <w:sz w:val="24"/>
        </w:rPr>
        <w:t> </w:t>
      </w:r>
      <w:r>
        <w:rPr>
          <w:b/>
          <w:sz w:val="24"/>
        </w:rPr>
        <w:t>investigación</w:t>
      </w:r>
    </w:p>
    <w:p>
      <w:pPr>
        <w:pStyle w:val="BodyText"/>
        <w:rPr>
          <w:b/>
        </w:rPr>
      </w:pPr>
    </w:p>
    <w:p>
      <w:pPr>
        <w:pStyle w:val="BodyText"/>
        <w:spacing w:before="2"/>
        <w:rPr>
          <w:b/>
        </w:rPr>
      </w:pPr>
    </w:p>
    <w:p>
      <w:pPr>
        <w:pStyle w:val="BodyText"/>
        <w:spacing w:line="362" w:lineRule="auto"/>
        <w:ind w:left="116" w:right="110"/>
        <w:jc w:val="both"/>
      </w:pPr>
      <w:r>
        <w:rPr/>
        <w:t>El  enfoque  de  la  investigación  fue  de  corte  cuantitativo,  pues  se   buscó   la prueba  de  la  hipótesis</w:t>
      </w:r>
      <w:r>
        <w:rPr>
          <w:spacing w:val="60"/>
        </w:rPr>
        <w:t> </w:t>
      </w:r>
      <w:r>
        <w:rPr/>
        <w:t>nula.</w:t>
      </w:r>
    </w:p>
    <w:p>
      <w:pPr>
        <w:pStyle w:val="BodyText"/>
        <w:spacing w:before="10"/>
        <w:rPr>
          <w:sz w:val="35"/>
        </w:rPr>
      </w:pPr>
    </w:p>
    <w:p>
      <w:pPr>
        <w:pStyle w:val="BodyText"/>
        <w:spacing w:line="360" w:lineRule="auto" w:before="1"/>
        <w:ind w:left="116" w:right="111"/>
        <w:jc w:val="both"/>
      </w:pPr>
      <w:r>
        <w:rPr/>
        <w:t>El tipo de investigación  que  se  realizó  fue  correlacional,  en  ésta  se  buscó relacionar las variables hábitos  de  vida  y  calidad  de  vida  de  las  personas diabéticas  que  padecen  sobrepeso  u</w:t>
      </w:r>
      <w:r>
        <w:rPr>
          <w:spacing w:val="52"/>
        </w:rPr>
        <w:t> </w:t>
      </w:r>
      <w:r>
        <w:rPr/>
        <w:t>obesidad.</w:t>
      </w:r>
    </w:p>
    <w:p>
      <w:pPr>
        <w:pStyle w:val="BodyText"/>
      </w:pPr>
    </w:p>
    <w:p>
      <w:pPr>
        <w:pStyle w:val="BodyText"/>
        <w:spacing w:line="360" w:lineRule="auto" w:before="140"/>
        <w:ind w:left="116" w:right="110"/>
        <w:jc w:val="both"/>
      </w:pPr>
      <w:r>
        <w:rPr/>
        <w:t>Por  último,  fue  de  tipo  empírica  ya  que  se  trabajó  en la  aplicación  directa   de dos  cuestionarios  a  pacientes  que  tienen  diabetes  y  obesidad  o</w:t>
      </w:r>
      <w:r>
        <w:rPr>
          <w:spacing w:val="40"/>
        </w:rPr>
        <w:t> </w:t>
      </w:r>
      <w:r>
        <w:rPr/>
        <w:t>sobrepeso.</w:t>
      </w:r>
    </w:p>
    <w:p>
      <w:pPr>
        <w:pStyle w:val="BodyText"/>
      </w:pPr>
    </w:p>
    <w:p>
      <w:pPr>
        <w:pStyle w:val="Heading1"/>
        <w:numPr>
          <w:ilvl w:val="1"/>
          <w:numId w:val="10"/>
        </w:numPr>
        <w:tabs>
          <w:tab w:pos="521" w:val="left" w:leader="none"/>
        </w:tabs>
        <w:spacing w:line="240" w:lineRule="auto" w:before="140" w:after="0"/>
        <w:ind w:left="520" w:right="0" w:hanging="404"/>
        <w:jc w:val="both"/>
      </w:pPr>
      <w:r>
        <w:rPr/>
        <w:t>Planteamiento  del  problema  o  pregunta  de</w:t>
      </w:r>
      <w:r>
        <w:rPr>
          <w:spacing w:val="46"/>
        </w:rPr>
        <w:t> </w:t>
      </w:r>
      <w:r>
        <w:rPr/>
        <w:t>investigación</w:t>
      </w:r>
    </w:p>
    <w:p>
      <w:pPr>
        <w:pStyle w:val="BodyText"/>
        <w:rPr>
          <w:b/>
        </w:rPr>
      </w:pPr>
    </w:p>
    <w:p>
      <w:pPr>
        <w:pStyle w:val="BodyText"/>
        <w:spacing w:before="2"/>
        <w:rPr>
          <w:b/>
        </w:rPr>
      </w:pPr>
    </w:p>
    <w:p>
      <w:pPr>
        <w:pStyle w:val="BodyText"/>
        <w:spacing w:line="360" w:lineRule="auto"/>
        <w:ind w:left="116" w:right="112"/>
        <w:jc w:val="both"/>
      </w:pPr>
      <w:r>
        <w:rPr/>
        <w:t>De acuerdo con la OMS (2014) en México el 14%  de  la  población  ha  muerto  a  causa de diabetes, además que  la  probabilidad  de  morir  entre  los  30  y  los  70  años debido a las principales enfermedades crónicas es del 16%;  manteniéndose dentro  de  los  factores  de  riesgo  la</w:t>
      </w:r>
      <w:r>
        <w:rPr>
          <w:spacing w:val="44"/>
        </w:rPr>
        <w:t> </w:t>
      </w:r>
      <w:r>
        <w:rPr/>
        <w:t>obesidad.</w:t>
      </w:r>
    </w:p>
    <w:p>
      <w:pPr>
        <w:pStyle w:val="BodyText"/>
      </w:pPr>
    </w:p>
    <w:p>
      <w:pPr>
        <w:pStyle w:val="BodyText"/>
        <w:spacing w:line="360" w:lineRule="auto" w:before="145"/>
        <w:ind w:left="116" w:right="117" w:firstLine="67"/>
        <w:jc w:val="both"/>
      </w:pPr>
      <w:r>
        <w:rPr/>
        <w:t>La obesidad y la diabetes son un problema de salud pública en México y son  analizados en conjunto con algunos de sus determinantes sociales como la alimentación, el sedentarismo y la distribución de ingresos (Moreno, García, Soto, Capraro y Limón,</w:t>
      </w:r>
      <w:r>
        <w:rPr>
          <w:spacing w:val="-10"/>
        </w:rPr>
        <w:t> </w:t>
      </w:r>
      <w:r>
        <w:rPr/>
        <w:t>2014)</w:t>
      </w:r>
    </w:p>
    <w:p>
      <w:pPr>
        <w:pStyle w:val="BodyText"/>
      </w:pPr>
    </w:p>
    <w:p>
      <w:pPr>
        <w:pStyle w:val="BodyText"/>
        <w:spacing w:line="360" w:lineRule="auto" w:before="144"/>
        <w:ind w:left="116" w:right="124"/>
        <w:jc w:val="both"/>
      </w:pPr>
      <w:r>
        <w:rPr/>
        <w:t>Organismos internacionales  mencionan  que  el  cambio  en  los  hábitos  alimentarios  y  en  el  estilo  de  vida  de  las  personas  han  hecho  que  las   enfermedades crónicas no transmisibles (incluidas la obesidad,  la  diabetes  tipo  2,  las  enfermedades cardiovasculares,  la  hipertensión  y  los  accidentes  cerebrovasculares y   algunos   tipos   de   cáncer)  sean   causa  de  discapacidad   y  muerte   </w:t>
      </w:r>
      <w:r>
        <w:rPr>
          <w:spacing w:val="41"/>
        </w:rPr>
        <w:t> </w:t>
      </w:r>
      <w:r>
        <w:rPr/>
        <w:t>prematura</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26"/>
        <w:jc w:val="both"/>
      </w:pPr>
      <w:r>
        <w:rPr/>
        <w:t>tanto en países en  desarrollo  como  en  vías  de  desarrollo  y  suponen  cargas  en  los  presupuestos  sanitarios  ya  sobrecargados  (OMS  y  FAO,</w:t>
      </w:r>
      <w:r>
        <w:rPr>
          <w:spacing w:val="40"/>
        </w:rPr>
        <w:t> </w:t>
      </w:r>
      <w:r>
        <w:rPr/>
        <w:t>2003).</w:t>
      </w:r>
    </w:p>
    <w:p>
      <w:pPr>
        <w:pStyle w:val="BodyText"/>
        <w:spacing w:before="11"/>
        <w:rPr>
          <w:sz w:val="35"/>
        </w:rPr>
      </w:pPr>
    </w:p>
    <w:p>
      <w:pPr>
        <w:pStyle w:val="BodyText"/>
        <w:spacing w:line="360" w:lineRule="auto"/>
        <w:ind w:left="116" w:right="106"/>
        <w:jc w:val="both"/>
      </w:pPr>
      <w:r>
        <w:rPr/>
        <w:t>La Secretaría de la Salud (2013), menciona que el sobrepeso, la obesidad y  </w:t>
      </w:r>
      <w:r>
        <w:rPr>
          <w:spacing w:val="4"/>
        </w:rPr>
        <w:t>la  </w:t>
      </w:r>
      <w:r>
        <w:rPr/>
        <w:t>diabetes  son  enfermedades  complejas  y  multifactoriales  y  cuya  naturaleza  involucra  a  los  sectores  público,  privado  y  social  así  como  al   individuo.   Al mismo tiempo agrega que la dinámica  epidemiológica  en  México  que  afecta  </w:t>
      </w:r>
      <w:r>
        <w:rPr>
          <w:spacing w:val="4"/>
        </w:rPr>
        <w:t>la  </w:t>
      </w:r>
      <w:r>
        <w:rPr/>
        <w:t>carga de  la  morbilidad  y  la  mortalidad  se  ve  determinada  por  factores  asociados  a la  desigualdad  social,  económica  y  a  los  estilos  de  vida  pocos  saludables;  entre éstos últimos destacan: la  falta  de  actividad  física,  la  alimentación  inadecuada, el consumo de alcohol, tabaco y otro tipo de  drogas,  así  como  accidentes</w:t>
      </w:r>
      <w:r>
        <w:rPr>
          <w:spacing w:val="63"/>
        </w:rPr>
        <w:t> </w:t>
      </w:r>
      <w:r>
        <w:rPr/>
        <w:t>viales.</w:t>
      </w:r>
    </w:p>
    <w:p>
      <w:pPr>
        <w:pStyle w:val="BodyText"/>
      </w:pPr>
    </w:p>
    <w:p>
      <w:pPr>
        <w:pStyle w:val="BodyText"/>
        <w:spacing w:line="360" w:lineRule="auto" w:before="144"/>
        <w:ind w:left="116" w:right="109"/>
        <w:jc w:val="both"/>
      </w:pPr>
      <w:r>
        <w:rPr/>
        <w:t>Si bien en  México  se  ha  incrementado  la  esperanza  de  vida  en  toda  la  población, incluso la de  personas  con  alguna  enfermedad  crónica,  la  interrogante  es  ¿qué  relación  existe  entre  la  calidad  de  vida  y  los  hábitos  de  vida  que   tienen estas personas que padecen enfermedades como diabetes, sobrepeso y obesidad?</w:t>
      </w:r>
    </w:p>
    <w:p>
      <w:pPr>
        <w:pStyle w:val="BodyText"/>
        <w:spacing w:before="8"/>
        <w:rPr>
          <w:sz w:val="35"/>
        </w:rPr>
      </w:pPr>
    </w:p>
    <w:p>
      <w:pPr>
        <w:pStyle w:val="Heading1"/>
        <w:numPr>
          <w:ilvl w:val="1"/>
          <w:numId w:val="10"/>
        </w:numPr>
        <w:tabs>
          <w:tab w:pos="521" w:val="left" w:leader="none"/>
        </w:tabs>
        <w:spacing w:line="240" w:lineRule="auto" w:before="0" w:after="0"/>
        <w:ind w:left="520" w:right="0" w:hanging="404"/>
        <w:jc w:val="both"/>
      </w:pPr>
      <w:r>
        <w:rPr/>
        <w:t>Definición  de</w:t>
      </w:r>
      <w:r>
        <w:rPr>
          <w:spacing w:val="60"/>
        </w:rPr>
        <w:t> </w:t>
      </w:r>
      <w:r>
        <w:rPr/>
        <w:t>variables</w:t>
      </w:r>
    </w:p>
    <w:p>
      <w:pPr>
        <w:pStyle w:val="BodyText"/>
        <w:rPr>
          <w:b/>
        </w:rPr>
      </w:pPr>
    </w:p>
    <w:p>
      <w:pPr>
        <w:pStyle w:val="BodyText"/>
        <w:spacing w:before="7"/>
        <w:rPr>
          <w:b/>
        </w:rPr>
      </w:pPr>
    </w:p>
    <w:p>
      <w:pPr>
        <w:pStyle w:val="BodyText"/>
        <w:spacing w:line="360" w:lineRule="auto" w:before="1"/>
        <w:ind w:left="116" w:right="112"/>
        <w:jc w:val="both"/>
      </w:pPr>
      <w:r>
        <w:rPr/>
        <w:t>Las variables que se usaron fueron  dependientes,  con  niveles  de  medición  intervalar:</w:t>
      </w:r>
    </w:p>
    <w:p>
      <w:pPr>
        <w:pStyle w:val="BodyText"/>
      </w:pPr>
    </w:p>
    <w:p>
      <w:pPr>
        <w:pStyle w:val="BodyText"/>
        <w:spacing w:before="140"/>
        <w:ind w:left="116"/>
        <w:jc w:val="both"/>
      </w:pPr>
      <w:r>
        <w:rPr/>
        <w:t>Hábitos  de</w:t>
      </w:r>
      <w:r>
        <w:rPr>
          <w:spacing w:val="66"/>
        </w:rPr>
        <w:t> </w:t>
      </w:r>
      <w:r>
        <w:rPr/>
        <w:t>vida</w:t>
      </w:r>
    </w:p>
    <w:p>
      <w:pPr>
        <w:pStyle w:val="BodyText"/>
        <w:spacing w:line="360" w:lineRule="auto" w:before="137"/>
        <w:ind w:left="116" w:right="111"/>
        <w:jc w:val="both"/>
      </w:pPr>
      <w:r>
        <w:rPr/>
        <w:t>Rodríguez (1995), considera a los estilo de vida como un conjunto de patrones conductuales o hábitos que guardan una relación con la salud, entendiendo por patrones conductuales formas recurrentes de comportamiento que se ejecutan  </w:t>
      </w:r>
      <w:r>
        <w:rPr>
          <w:spacing w:val="-4"/>
        </w:rPr>
        <w:t>de  </w:t>
      </w:r>
      <w:r>
        <w:rPr/>
        <w:t>forma estructurada y que se pueden entender como hábito  cuando  constituyen  el modo  habitual  de  responder  a  diferentes</w:t>
      </w:r>
      <w:r>
        <w:rPr>
          <w:spacing w:val="55"/>
        </w:rPr>
        <w:t> </w:t>
      </w:r>
      <w:r>
        <w:rPr/>
        <w:t>situaciones.</w:t>
      </w:r>
    </w:p>
    <w:p>
      <w:pPr>
        <w:spacing w:after="0" w:line="360" w:lineRule="auto"/>
        <w:jc w:val="both"/>
        <w:sectPr>
          <w:pgSz w:w="12240" w:h="15840"/>
          <w:pgMar w:header="729" w:footer="0" w:top="960" w:bottom="280" w:left="1300" w:right="1300"/>
        </w:sectPr>
      </w:pPr>
    </w:p>
    <w:p>
      <w:pPr>
        <w:pStyle w:val="BodyText"/>
        <w:rPr>
          <w:sz w:val="20"/>
        </w:rPr>
      </w:pPr>
    </w:p>
    <w:p>
      <w:pPr>
        <w:spacing w:line="360" w:lineRule="auto" w:before="213"/>
        <w:ind w:left="116" w:right="109" w:firstLine="0"/>
        <w:jc w:val="both"/>
        <w:rPr>
          <w:sz w:val="24"/>
        </w:rPr>
      </w:pPr>
      <w:r>
        <w:rPr>
          <w:sz w:val="24"/>
        </w:rPr>
        <w:t>Para medir los hábitos  de  vida  se  decidió  aplicar  el  </w:t>
      </w:r>
      <w:r>
        <w:rPr>
          <w:i/>
          <w:sz w:val="24"/>
        </w:rPr>
        <w:t>“Cuestionario  para  la  </w:t>
      </w:r>
      <w:r>
        <w:rPr>
          <w:i/>
          <w:sz w:val="24"/>
        </w:rPr>
        <w:t>valoración  y  cuantificación  de  los  hábitos  de  vida  relacionados  con  el  sobrepeso  y  la  obesidad”  </w:t>
      </w:r>
      <w:r>
        <w:rPr>
          <w:sz w:val="24"/>
        </w:rPr>
        <w:t>desarrollado  por  Pando,  Ruiz,  Jódar,  Garrido,  De  Rosendo   &amp;  Usán (2004) y validado en la  población  mexicana  por  Álvarez  y Guadarrama (Inédito).</w:t>
      </w:r>
    </w:p>
    <w:p>
      <w:pPr>
        <w:pStyle w:val="BodyText"/>
      </w:pPr>
    </w:p>
    <w:p>
      <w:pPr>
        <w:pStyle w:val="BodyText"/>
        <w:spacing w:before="144"/>
        <w:ind w:left="116"/>
        <w:jc w:val="both"/>
      </w:pPr>
      <w:r>
        <w:rPr/>
        <w:t>Los  factores  que  permitieron  medir  esta  variable</w:t>
      </w:r>
      <w:r>
        <w:rPr>
          <w:spacing w:val="51"/>
        </w:rPr>
        <w:t> </w:t>
      </w:r>
      <w:r>
        <w:rPr/>
        <w:t>fueron:</w:t>
      </w:r>
    </w:p>
    <w:p>
      <w:pPr>
        <w:pStyle w:val="BodyText"/>
      </w:pPr>
    </w:p>
    <w:p>
      <w:pPr>
        <w:pStyle w:val="BodyText"/>
        <w:spacing w:before="9"/>
        <w:rPr>
          <w:sz w:val="23"/>
        </w:rPr>
      </w:pPr>
    </w:p>
    <w:p>
      <w:pPr>
        <w:pStyle w:val="BodyText"/>
        <w:spacing w:line="360" w:lineRule="auto"/>
        <w:ind w:left="116" w:right="111"/>
        <w:jc w:val="both"/>
      </w:pPr>
      <w:r>
        <w:rPr/>
        <w:t>1.- Contenido calórico de  la  dieta  (CC):  la  preocupación  por  el  contenido  energético o calórico de la dieta. Esta  dimensión  recoge  el  tipo  de  conductas  propias de una persona con sobrepeso  que  ha  recibido  instrucciones  sobre  algún tipo de dieta alimenticia: vigilar las calorías que se consumen, tomar raciones  pequeñas,  esperar  unos  minutos  antes  de  tomar  algo  que</w:t>
      </w:r>
      <w:r>
        <w:rPr>
          <w:spacing w:val="47"/>
        </w:rPr>
        <w:t> </w:t>
      </w:r>
      <w:r>
        <w:rPr/>
        <w:t>apetece.</w:t>
      </w:r>
    </w:p>
    <w:p>
      <w:pPr>
        <w:pStyle w:val="BodyText"/>
      </w:pPr>
    </w:p>
    <w:p>
      <w:pPr>
        <w:pStyle w:val="BodyText"/>
        <w:spacing w:line="360" w:lineRule="auto" w:before="144"/>
        <w:ind w:left="116" w:right="106"/>
        <w:jc w:val="both"/>
      </w:pPr>
      <w:r>
        <w:rPr/>
        <w:t>2.- Comer por bienestar psicológico (CBP): incluye afirmaciones que relacionan </w:t>
      </w:r>
      <w:r>
        <w:rPr>
          <w:spacing w:val="4"/>
        </w:rPr>
        <w:t>la </w:t>
      </w:r>
      <w:r>
        <w:rPr/>
        <w:t>comida  con  el  alivio  de  algún  tipo  de  malestar  psicológico  (desánimo, aburrimiento,</w:t>
      </w:r>
      <w:r>
        <w:rPr>
          <w:spacing w:val="59"/>
        </w:rPr>
        <w:t> </w:t>
      </w:r>
      <w:r>
        <w:rPr/>
        <w:t>ansiedad).</w:t>
      </w:r>
    </w:p>
    <w:p>
      <w:pPr>
        <w:pStyle w:val="BodyText"/>
      </w:pPr>
    </w:p>
    <w:p>
      <w:pPr>
        <w:pStyle w:val="BodyText"/>
        <w:spacing w:line="360" w:lineRule="auto" w:before="144"/>
        <w:ind w:left="116" w:right="111"/>
        <w:jc w:val="both"/>
      </w:pPr>
      <w:r>
        <w:rPr/>
        <w:t>3.- Ejercicio físico (EF): se refiere a la práctica habitual o sistemática (incluso programada)  de  ejercicio</w:t>
      </w:r>
      <w:r>
        <w:rPr>
          <w:spacing w:val="58"/>
        </w:rPr>
        <w:t> </w:t>
      </w:r>
      <w:r>
        <w:rPr/>
        <w:t>físico.</w:t>
      </w:r>
    </w:p>
    <w:p>
      <w:pPr>
        <w:pStyle w:val="BodyText"/>
      </w:pPr>
    </w:p>
    <w:p>
      <w:pPr>
        <w:pStyle w:val="BodyText"/>
        <w:spacing w:line="360" w:lineRule="auto" w:before="145"/>
        <w:ind w:left="116" w:right="110"/>
        <w:jc w:val="both"/>
      </w:pPr>
      <w:r>
        <w:rPr/>
        <w:t>4.- Alimentación saludable (AS): agrupa afirmaciones relacionadas con el tipo de alimentos (y la </w:t>
      </w:r>
      <w:r>
        <w:rPr>
          <w:spacing w:val="-3"/>
        </w:rPr>
        <w:t>forma </w:t>
      </w:r>
      <w:r>
        <w:rPr/>
        <w:t>de prepararlos) que toma una  persona  preocupada  por  mantener una alimentación saludable. Recoge  el  tipo  de  conductas  que  lleva  a  cabo una persona sin problemas de sobrepeso pero interesada en cuidar la alimentación: comer verdura y alimentos frescos, no abusar de los fritos y de  las grasas,</w:t>
      </w:r>
      <w:r>
        <w:rPr>
          <w:spacing w:val="66"/>
        </w:rPr>
        <w:t> </w:t>
      </w:r>
      <w:r>
        <w:rPr/>
        <w:t>etc.</w:t>
      </w:r>
    </w:p>
    <w:p>
      <w:pPr>
        <w:pStyle w:val="BodyText"/>
      </w:pPr>
    </w:p>
    <w:p>
      <w:pPr>
        <w:pStyle w:val="BodyText"/>
        <w:spacing w:before="140"/>
        <w:ind w:left="116"/>
        <w:jc w:val="both"/>
      </w:pPr>
      <w:r>
        <w:rPr/>
        <w:t>Calidad  de</w:t>
      </w:r>
      <w:r>
        <w:rPr>
          <w:spacing w:val="65"/>
        </w:rPr>
        <w:t> </w:t>
      </w:r>
      <w:r>
        <w:rPr/>
        <w:t>vida</w:t>
      </w:r>
    </w:p>
    <w:p>
      <w:pPr>
        <w:pStyle w:val="BodyText"/>
        <w:spacing w:line="362" w:lineRule="auto" w:before="137"/>
        <w:ind w:left="116" w:right="113"/>
        <w:jc w:val="both"/>
      </w:pPr>
      <w:r>
        <w:rPr/>
        <w:t>La  calidad  de  vida  es  definida  por  Ardila (2003)  como un estado de satisfacción  que   se   deriva   de   la   realización  de  las  potencialidades  de  la  persona   y   </w:t>
      </w:r>
      <w:r>
        <w:rPr>
          <w:spacing w:val="1"/>
        </w:rPr>
        <w:t> </w:t>
      </w:r>
      <w:r>
        <w:rPr/>
        <w:t>tiene</w:t>
      </w:r>
    </w:p>
    <w:p>
      <w:pPr>
        <w:spacing w:after="0" w:line="362"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116" w:right="110"/>
        <w:jc w:val="both"/>
      </w:pPr>
      <w:r>
        <w:rPr/>
        <w:t>aspectos subjetivos y objetivos. Dentro de los aspectos subjetivos se encuentran la intimidad, la expresión emocional, la seguridad percibida, la productividad personal. Entre los aspectos objetivos menciona el  bienestar  material,  las  relaciones  armónicas  con  el  ambiente  físico  y  social  y  con  la  comunidad,  y  la  salud objetiva.</w:t>
      </w:r>
    </w:p>
    <w:p>
      <w:pPr>
        <w:pStyle w:val="BodyText"/>
      </w:pPr>
    </w:p>
    <w:p>
      <w:pPr>
        <w:pStyle w:val="BodyText"/>
        <w:spacing w:line="360" w:lineRule="auto" w:before="144"/>
        <w:ind w:left="116" w:right="111"/>
        <w:jc w:val="both"/>
      </w:pPr>
      <w:r>
        <w:rPr/>
        <w:t>Para medir la calidad de vida se aplicó  el  cuestionario  </w:t>
      </w:r>
      <w:r>
        <w:rPr>
          <w:i/>
        </w:rPr>
        <w:t>“Diabetes  39”  </w:t>
      </w:r>
      <w:r>
        <w:rPr/>
        <w:t>creado  por Boyer y Earp (1997),  validado  en  población  mexicana  por  López  y  Rodríguez (2006).</w:t>
      </w:r>
    </w:p>
    <w:p>
      <w:pPr>
        <w:pStyle w:val="BodyText"/>
      </w:pPr>
    </w:p>
    <w:p>
      <w:pPr>
        <w:pStyle w:val="BodyText"/>
        <w:spacing w:before="145"/>
        <w:ind w:left="116"/>
        <w:jc w:val="both"/>
      </w:pPr>
      <w:r>
        <w:rPr/>
        <w:t>Los  factores  que  permitieron  medir  esta  variable</w:t>
      </w:r>
      <w:r>
        <w:rPr>
          <w:spacing w:val="50"/>
        </w:rPr>
        <w:t> </w:t>
      </w:r>
      <w:r>
        <w:rPr/>
        <w:t>fueron:</w:t>
      </w:r>
    </w:p>
    <w:p>
      <w:pPr>
        <w:pStyle w:val="BodyText"/>
      </w:pPr>
    </w:p>
    <w:p>
      <w:pPr>
        <w:pStyle w:val="BodyText"/>
        <w:spacing w:before="9"/>
        <w:rPr>
          <w:sz w:val="23"/>
        </w:rPr>
      </w:pPr>
    </w:p>
    <w:p>
      <w:pPr>
        <w:pStyle w:val="BodyText"/>
        <w:ind w:left="116"/>
        <w:jc w:val="both"/>
      </w:pPr>
      <w:r>
        <w:rPr/>
        <w:t>1.-  Energía-movilidad:  Se  refiere  a  la  práctica  de  ejercicio</w:t>
      </w:r>
      <w:r>
        <w:rPr>
          <w:spacing w:val="51"/>
        </w:rPr>
        <w:t> </w:t>
      </w:r>
      <w:r>
        <w:rPr/>
        <w:t>físico.</w:t>
      </w:r>
    </w:p>
    <w:p>
      <w:pPr>
        <w:pStyle w:val="BodyText"/>
      </w:pPr>
    </w:p>
    <w:p>
      <w:pPr>
        <w:pStyle w:val="BodyText"/>
        <w:spacing w:before="2"/>
      </w:pPr>
    </w:p>
    <w:p>
      <w:pPr>
        <w:pStyle w:val="BodyText"/>
        <w:spacing w:line="360" w:lineRule="auto" w:before="1"/>
        <w:ind w:left="116" w:right="109"/>
        <w:jc w:val="both"/>
      </w:pPr>
      <w:r>
        <w:rPr/>
        <w:t>2.- Control de la diabetes: Señala la preocupación por mantener el control de su diabetes, la asistencia constante a sus citas médicas, y la procuración de sus medicamentos.</w:t>
      </w:r>
    </w:p>
    <w:p>
      <w:pPr>
        <w:pStyle w:val="BodyText"/>
      </w:pPr>
    </w:p>
    <w:p>
      <w:pPr>
        <w:pStyle w:val="BodyText"/>
        <w:spacing w:line="360" w:lineRule="auto" w:before="144"/>
        <w:ind w:left="116" w:right="110"/>
        <w:jc w:val="both"/>
      </w:pPr>
      <w:r>
        <w:rPr/>
        <w:t>3.- Ansiedad-preocupación: La preocupación por distintos aspectos de  </w:t>
      </w:r>
      <w:r>
        <w:rPr>
          <w:spacing w:val="-3"/>
        </w:rPr>
        <w:t>su  </w:t>
      </w:r>
      <w:r>
        <w:rPr/>
        <w:t>vida personal,  familiar  y  social,  así  como  su</w:t>
      </w:r>
      <w:r>
        <w:rPr>
          <w:spacing w:val="58"/>
        </w:rPr>
        <w:t> </w:t>
      </w:r>
      <w:r>
        <w:rPr/>
        <w:t>salud.</w:t>
      </w:r>
    </w:p>
    <w:p>
      <w:pPr>
        <w:pStyle w:val="BodyText"/>
      </w:pPr>
    </w:p>
    <w:p>
      <w:pPr>
        <w:pStyle w:val="BodyText"/>
        <w:spacing w:line="360" w:lineRule="auto" w:before="145"/>
        <w:ind w:left="116" w:right="116"/>
        <w:jc w:val="both"/>
      </w:pPr>
      <w:r>
        <w:rPr/>
        <w:t>4.- Carga social: Incluye la preocupación por la convivencia familiar y social, por  ejemplo  con  los</w:t>
      </w:r>
      <w:r>
        <w:rPr>
          <w:spacing w:val="62"/>
        </w:rPr>
        <w:t> </w:t>
      </w:r>
      <w:r>
        <w:rPr/>
        <w:t>amigos.</w:t>
      </w:r>
    </w:p>
    <w:p>
      <w:pPr>
        <w:pStyle w:val="BodyText"/>
      </w:pPr>
    </w:p>
    <w:p>
      <w:pPr>
        <w:pStyle w:val="BodyText"/>
        <w:spacing w:line="360" w:lineRule="auto" w:before="140"/>
        <w:ind w:left="116" w:right="120"/>
        <w:jc w:val="both"/>
      </w:pPr>
      <w:r>
        <w:rPr/>
        <w:t>5.- Función sexual: abarca aspectos de su vida  sexual,  considerados  como  problemas  en  las  relaciones  íntimas  con  sus</w:t>
      </w:r>
      <w:r>
        <w:rPr>
          <w:spacing w:val="49"/>
        </w:rPr>
        <w:t> </w:t>
      </w:r>
      <w:r>
        <w:rPr/>
        <w:t>parejas.</w:t>
      </w:r>
    </w:p>
    <w:p>
      <w:pPr>
        <w:pStyle w:val="BodyText"/>
      </w:pPr>
    </w:p>
    <w:p>
      <w:pPr>
        <w:pStyle w:val="BodyText"/>
        <w:spacing w:line="360" w:lineRule="auto" w:before="144"/>
        <w:ind w:left="116" w:right="122"/>
        <w:jc w:val="both"/>
      </w:pPr>
      <w:r>
        <w:rPr/>
        <w:t>Los pacientes responden qué tanto está afectada su calidad  de  vida  durante  </w:t>
      </w:r>
      <w:r>
        <w:rPr>
          <w:spacing w:val="-4"/>
        </w:rPr>
        <w:t>el </w:t>
      </w:r>
      <w:r>
        <w:rPr>
          <w:spacing w:val="58"/>
        </w:rPr>
        <w:t> </w:t>
      </w:r>
      <w:r>
        <w:rPr/>
        <w:t>último  </w:t>
      </w:r>
      <w:r>
        <w:rPr>
          <w:spacing w:val="-3"/>
        </w:rPr>
        <w:t>mes  </w:t>
      </w:r>
      <w:r>
        <w:rPr/>
        <w:t>por  la  acción  que  expresa  cada</w:t>
      </w:r>
      <w:r>
        <w:rPr>
          <w:spacing w:val="63"/>
        </w:rPr>
        <w:t> </w:t>
      </w:r>
      <w:r>
        <w:rPr/>
        <w:t>ítem.</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212"/>
      </w:pPr>
      <w:r>
        <w:rPr/>
        <w:t>Cabe mencionar que  para  calificar  del  instrumento  fue  a  menor  puntaje  mayor  será  la  calidad  de  vida  y  a  mayor  puntaje  menor  será  la  calidad  de</w:t>
      </w:r>
      <w:r>
        <w:rPr>
          <w:spacing w:val="51"/>
        </w:rPr>
        <w:t> </w:t>
      </w:r>
      <w:r>
        <w:rPr/>
        <w:t>vida.</w:t>
      </w:r>
    </w:p>
    <w:p>
      <w:pPr>
        <w:pStyle w:val="BodyText"/>
      </w:pPr>
    </w:p>
    <w:p>
      <w:pPr>
        <w:pStyle w:val="BodyText"/>
      </w:pPr>
    </w:p>
    <w:p>
      <w:pPr>
        <w:pStyle w:val="BodyText"/>
        <w:spacing w:before="5"/>
        <w:rPr>
          <w:sz w:val="23"/>
        </w:rPr>
      </w:pPr>
    </w:p>
    <w:p>
      <w:pPr>
        <w:pStyle w:val="Heading1"/>
        <w:numPr>
          <w:ilvl w:val="1"/>
          <w:numId w:val="10"/>
        </w:numPr>
        <w:tabs>
          <w:tab w:pos="521" w:val="left" w:leader="none"/>
        </w:tabs>
        <w:spacing w:line="240" w:lineRule="auto" w:before="0" w:after="0"/>
        <w:ind w:left="520" w:right="0" w:hanging="404"/>
        <w:jc w:val="both"/>
      </w:pPr>
      <w:r>
        <w:rPr/>
        <w:t>Planteamiento  de</w:t>
      </w:r>
      <w:r>
        <w:rPr>
          <w:spacing w:val="54"/>
        </w:rPr>
        <w:t> </w:t>
      </w:r>
      <w:r>
        <w:rPr/>
        <w:t>hipótesis</w:t>
      </w:r>
    </w:p>
    <w:p>
      <w:pPr>
        <w:pStyle w:val="BodyText"/>
        <w:rPr>
          <w:b/>
        </w:rPr>
      </w:pPr>
    </w:p>
    <w:p>
      <w:pPr>
        <w:pStyle w:val="BodyText"/>
        <w:spacing w:before="7"/>
        <w:rPr>
          <w:b/>
        </w:rPr>
      </w:pPr>
    </w:p>
    <w:p>
      <w:pPr>
        <w:pStyle w:val="BodyText"/>
        <w:spacing w:line="360" w:lineRule="auto"/>
        <w:ind w:left="116" w:right="212"/>
      </w:pPr>
      <w:r>
        <w:rPr/>
        <w:t>Hipótesis nula: No existe  relación  entre  los  hábitos  de  vida  y  la  calidad  de  vida  de  las  personas  diabéticas  con  obesidad  o</w:t>
      </w:r>
      <w:r>
        <w:rPr>
          <w:spacing w:val="48"/>
        </w:rPr>
        <w:t> </w:t>
      </w:r>
      <w:r>
        <w:rPr/>
        <w:t>sobrepeso.</w:t>
      </w:r>
    </w:p>
    <w:p>
      <w:pPr>
        <w:pStyle w:val="BodyText"/>
      </w:pPr>
    </w:p>
    <w:p>
      <w:pPr>
        <w:pStyle w:val="BodyText"/>
        <w:spacing w:line="360" w:lineRule="auto" w:before="144"/>
        <w:ind w:left="116" w:right="212"/>
      </w:pPr>
      <w:r>
        <w:rPr/>
        <w:t>Hipótesis alterna:  Existe  relación  entre  los  hábitos  de  vida  y  la  calidad  de  vida  de  las  personas  diabéticas  con  obesidad  o</w:t>
      </w:r>
      <w:r>
        <w:rPr>
          <w:spacing w:val="48"/>
        </w:rPr>
        <w:t> </w:t>
      </w:r>
      <w:r>
        <w:rPr/>
        <w:t>sobrepeso</w:t>
      </w:r>
    </w:p>
    <w:p>
      <w:pPr>
        <w:pStyle w:val="BodyText"/>
        <w:spacing w:before="8"/>
        <w:rPr>
          <w:sz w:val="35"/>
        </w:rPr>
      </w:pPr>
    </w:p>
    <w:p>
      <w:pPr>
        <w:pStyle w:val="Heading1"/>
        <w:numPr>
          <w:ilvl w:val="1"/>
          <w:numId w:val="10"/>
        </w:numPr>
        <w:tabs>
          <w:tab w:pos="521" w:val="left" w:leader="none"/>
        </w:tabs>
        <w:spacing w:line="240" w:lineRule="auto" w:before="0" w:after="0"/>
        <w:ind w:left="520" w:right="0" w:hanging="404"/>
        <w:jc w:val="both"/>
      </w:pPr>
      <w:r>
        <w:rPr/>
        <w:t>Definición  del  universo  de</w:t>
      </w:r>
      <w:r>
        <w:rPr>
          <w:spacing w:val="51"/>
        </w:rPr>
        <w:t> </w:t>
      </w:r>
      <w:r>
        <w:rPr/>
        <w:t>estudio</w:t>
      </w:r>
    </w:p>
    <w:p>
      <w:pPr>
        <w:pStyle w:val="BodyText"/>
        <w:rPr>
          <w:b/>
        </w:rPr>
      </w:pPr>
    </w:p>
    <w:p>
      <w:pPr>
        <w:pStyle w:val="BodyText"/>
        <w:spacing w:before="7"/>
        <w:rPr>
          <w:b/>
        </w:rPr>
      </w:pPr>
    </w:p>
    <w:p>
      <w:pPr>
        <w:pStyle w:val="BodyText"/>
        <w:spacing w:line="360" w:lineRule="auto"/>
        <w:ind w:left="116" w:right="212" w:firstLine="67"/>
      </w:pPr>
      <w:r>
        <w:rPr/>
        <w:t>La población que se necesitó para realizar la investigación, fueron personas con diabetes  tipo  2  diagnosticada  y  que,  agregado  padecieran  obesidad  o sobrepeso.</w:t>
      </w:r>
    </w:p>
    <w:p>
      <w:pPr>
        <w:pStyle w:val="BodyText"/>
      </w:pPr>
    </w:p>
    <w:p>
      <w:pPr>
        <w:pStyle w:val="BodyText"/>
        <w:spacing w:line="360" w:lineRule="auto" w:before="144"/>
        <w:ind w:left="116" w:right="109"/>
        <w:jc w:val="both"/>
      </w:pPr>
      <w:r>
        <w:rPr/>
        <w:t>En  la  Unidad  de  Atención  al  Diabético,  se  tenía  el  registro   de   744  pacientes, sin embargo se  detectó  que  el  registro  no  estaba  completo  desde  el  </w:t>
      </w:r>
      <w:r>
        <w:rPr>
          <w:spacing w:val="-3"/>
        </w:rPr>
        <w:t>mes  </w:t>
      </w:r>
      <w:r>
        <w:rPr/>
        <w:t>de  junio del 2014  hasta  Enero  de  2015  fecha  en  la  cual  se  concluyó  la  aplicación  de los instrumentos, por lo  que  se  obtuvo  el  promedio  de  los  pacientes  que acudían con frecuencia en los meses de Enero a Mayo del 2014, obteniendo un promedio  de  159   pacientes</w:t>
      </w:r>
      <w:r>
        <w:rPr>
          <w:spacing w:val="56"/>
        </w:rPr>
        <w:t> </w:t>
      </w:r>
      <w:r>
        <w:rPr/>
        <w:t>frecuentes.</w:t>
      </w:r>
    </w:p>
    <w:p>
      <w:pPr>
        <w:pStyle w:val="BodyText"/>
      </w:pPr>
    </w:p>
    <w:p>
      <w:pPr>
        <w:pStyle w:val="BodyText"/>
        <w:spacing w:line="360" w:lineRule="auto" w:before="140"/>
        <w:ind w:left="116" w:right="2946"/>
      </w:pPr>
      <w:r>
        <w:rPr/>
        <w:t>Con los datos proporcionados por la unidad se obtuvo que:     En  el  </w:t>
      </w:r>
      <w:r>
        <w:rPr>
          <w:spacing w:val="-3"/>
        </w:rPr>
        <w:t>mes  </w:t>
      </w:r>
      <w:r>
        <w:rPr/>
        <w:t>de  enero  se  atendieron  154</w:t>
      </w:r>
      <w:r>
        <w:rPr>
          <w:spacing w:val="65"/>
        </w:rPr>
        <w:t> </w:t>
      </w:r>
      <w:r>
        <w:rPr/>
        <w:t>pacientes</w:t>
      </w:r>
    </w:p>
    <w:p>
      <w:pPr>
        <w:pStyle w:val="BodyText"/>
        <w:spacing w:line="360" w:lineRule="auto" w:before="7"/>
        <w:ind w:left="116" w:right="6689"/>
        <w:jc w:val="both"/>
      </w:pPr>
      <w:r>
        <w:rPr/>
        <w:t>En Febrero 86 pacientes En Marzo 198 pacientes En  Abril  211</w:t>
      </w:r>
      <w:r>
        <w:rPr>
          <w:spacing w:val="65"/>
        </w:rPr>
        <w:t> </w:t>
      </w:r>
      <w:r>
        <w:rPr/>
        <w:t>pacientes</w:t>
      </w:r>
    </w:p>
    <w:p>
      <w:pPr>
        <w:pStyle w:val="BodyText"/>
        <w:spacing w:before="2"/>
        <w:ind w:left="116"/>
        <w:jc w:val="both"/>
      </w:pPr>
      <w:r>
        <w:rPr/>
        <w:t>Y  por  último  en  Mayo  149</w:t>
      </w:r>
      <w:r>
        <w:rPr>
          <w:spacing w:val="62"/>
        </w:rPr>
        <w:t> </w:t>
      </w:r>
      <w:r>
        <w:rPr/>
        <w:t>pacientes</w:t>
      </w:r>
    </w:p>
    <w:p>
      <w:pPr>
        <w:spacing w:after="0"/>
        <w:jc w:val="both"/>
        <w:sectPr>
          <w:pgSz w:w="12240" w:h="15840"/>
          <w:pgMar w:header="729" w:footer="0" w:top="960" w:bottom="280" w:left="1300" w:right="1300"/>
        </w:sectPr>
      </w:pPr>
    </w:p>
    <w:p>
      <w:pPr>
        <w:pStyle w:val="BodyText"/>
        <w:rPr>
          <w:sz w:val="20"/>
        </w:rPr>
      </w:pPr>
    </w:p>
    <w:p>
      <w:pPr>
        <w:pStyle w:val="Heading1"/>
        <w:numPr>
          <w:ilvl w:val="1"/>
          <w:numId w:val="10"/>
        </w:numPr>
        <w:tabs>
          <w:tab w:pos="521" w:val="left" w:leader="none"/>
        </w:tabs>
        <w:spacing w:line="240" w:lineRule="auto" w:before="208" w:after="0"/>
        <w:ind w:left="520" w:right="0" w:hanging="404"/>
        <w:jc w:val="both"/>
      </w:pPr>
      <w:r>
        <w:rPr/>
        <w:t>Definición  de  la</w:t>
      </w:r>
      <w:r>
        <w:rPr>
          <w:spacing w:val="52"/>
        </w:rPr>
        <w:t> </w:t>
      </w:r>
      <w:r>
        <w:rPr/>
        <w:t>muestra</w:t>
      </w:r>
    </w:p>
    <w:p>
      <w:pPr>
        <w:pStyle w:val="BodyText"/>
        <w:rPr>
          <w:b/>
        </w:rPr>
      </w:pPr>
    </w:p>
    <w:p>
      <w:pPr>
        <w:pStyle w:val="BodyText"/>
        <w:spacing w:before="7"/>
        <w:rPr>
          <w:b/>
        </w:rPr>
      </w:pPr>
    </w:p>
    <w:p>
      <w:pPr>
        <w:pStyle w:val="BodyText"/>
        <w:spacing w:line="360" w:lineRule="auto" w:before="1"/>
        <w:ind w:left="116" w:right="110"/>
        <w:jc w:val="both"/>
      </w:pPr>
      <w:r>
        <w:rPr/>
        <w:t>El tipo de la muestra fue no probabilística intencional, se tuvo que  buscar  a  los  sujetos que contaran con  las  características  de  la  investigación  y  así,  los  datos  que arrojaran los  instrumentos  fueran  verídicos  y  </w:t>
      </w:r>
      <w:r>
        <w:rPr>
          <w:spacing w:val="-3"/>
        </w:rPr>
        <w:t>se  </w:t>
      </w:r>
      <w:r>
        <w:rPr/>
        <w:t>ubicaran  dentro  parámetros  de </w:t>
      </w:r>
      <w:r>
        <w:rPr>
          <w:spacing w:val="2"/>
        </w:rPr>
        <w:t> </w:t>
      </w:r>
      <w:r>
        <w:rPr/>
        <w:t>ésta.</w:t>
      </w:r>
    </w:p>
    <w:p>
      <w:pPr>
        <w:pStyle w:val="BodyText"/>
      </w:pPr>
    </w:p>
    <w:p>
      <w:pPr>
        <w:pStyle w:val="BodyText"/>
        <w:spacing w:line="360" w:lineRule="auto" w:before="140"/>
        <w:ind w:left="116" w:right="106"/>
        <w:jc w:val="both"/>
      </w:pPr>
      <w:r>
        <w:rPr/>
        <w:t>La aplicación de los instrumentos se realizó  a  119  pacientes  del  Centro  Especializado en Atención Primaria a la Salud  (CEAPS),  (perteneciente  a  </w:t>
      </w:r>
      <w:r>
        <w:rPr>
          <w:spacing w:val="4"/>
        </w:rPr>
        <w:t>la </w:t>
      </w:r>
      <w:r>
        <w:rPr/>
        <w:t>Secretaría de Salud),  específicamente  de  la  unidad  de  Atención  al  Diabético  (UAD),  ubicada  en  San  Gaspar  Tlalhuelilpan,  Metepec,  Estado  de</w:t>
      </w:r>
      <w:r>
        <w:rPr>
          <w:spacing w:val="44"/>
        </w:rPr>
        <w:t> </w:t>
      </w:r>
      <w:r>
        <w:rPr/>
        <w:t>México.</w:t>
      </w:r>
    </w:p>
    <w:p>
      <w:pPr>
        <w:pStyle w:val="BodyText"/>
      </w:pPr>
    </w:p>
    <w:p>
      <w:pPr>
        <w:pStyle w:val="BodyText"/>
        <w:spacing w:line="360" w:lineRule="auto" w:before="139"/>
        <w:ind w:left="116" w:right="110"/>
        <w:jc w:val="both"/>
      </w:pPr>
      <w:r>
        <w:rPr/>
        <w:t>De los pacientes que </w:t>
      </w:r>
      <w:r>
        <w:rPr>
          <w:spacing w:val="-3"/>
        </w:rPr>
        <w:t>se  </w:t>
      </w:r>
      <w:r>
        <w:rPr/>
        <w:t>encontraban  en  la  base  de  datos  en  su  mayoría  no  asistía a la unidad, en  promedio  sólo  159  pacientes  acudían  de  </w:t>
      </w:r>
      <w:r>
        <w:rPr>
          <w:spacing w:val="-3"/>
        </w:rPr>
        <w:t>forma  </w:t>
      </w:r>
      <w:r>
        <w:rPr/>
        <w:t>frecuente,  por lo que  se  decidió  aplicar  el  mismo  número  de  instrumentos.  Sin  embargo  en el tiempo de aplicación  sólo  se  aplicaron  119  </w:t>
      </w:r>
      <w:r>
        <w:rPr>
          <w:spacing w:val="-3"/>
        </w:rPr>
        <w:t>ya  </w:t>
      </w:r>
      <w:r>
        <w:rPr/>
        <w:t>que  los  pacientes  se  comenzaban a repetir. Además que 23 pacientes se negaron a contestar el  cuestionario.</w:t>
      </w:r>
    </w:p>
    <w:p>
      <w:pPr>
        <w:pStyle w:val="BodyText"/>
      </w:pPr>
    </w:p>
    <w:p>
      <w:pPr>
        <w:pStyle w:val="BodyText"/>
        <w:spacing w:line="360" w:lineRule="auto" w:before="139"/>
        <w:ind w:left="116" w:right="109"/>
        <w:jc w:val="both"/>
      </w:pPr>
      <w:r>
        <w:rPr/>
        <w:t>A pesar  de  que  fueron  119  aplicaciones,  debido  a  los  criterios  de  inclusión  y  a  la falta de información en algunos aspectos como la edad, talla y respuestas sin contestar se eliminaron  algunos  cuestionarios,  quedando  una  muestra  de  97 sujetos.</w:t>
      </w:r>
    </w:p>
    <w:p>
      <w:pPr>
        <w:pStyle w:val="BodyText"/>
        <w:spacing w:before="8"/>
        <w:rPr>
          <w:sz w:val="35"/>
        </w:rPr>
      </w:pPr>
    </w:p>
    <w:p>
      <w:pPr>
        <w:pStyle w:val="Heading1"/>
        <w:numPr>
          <w:ilvl w:val="1"/>
          <w:numId w:val="10"/>
        </w:numPr>
        <w:tabs>
          <w:tab w:pos="521" w:val="left" w:leader="none"/>
        </w:tabs>
        <w:spacing w:line="240" w:lineRule="auto" w:before="0" w:after="0"/>
        <w:ind w:left="520" w:right="0" w:hanging="404"/>
        <w:jc w:val="both"/>
      </w:pPr>
      <w:r>
        <w:rPr/>
        <w:t>Selección  y/o  diseño  de</w:t>
      </w:r>
      <w:r>
        <w:rPr>
          <w:spacing w:val="44"/>
        </w:rPr>
        <w:t> </w:t>
      </w:r>
      <w:r>
        <w:rPr/>
        <w:t>instrumentos</w:t>
      </w:r>
    </w:p>
    <w:p>
      <w:pPr>
        <w:pStyle w:val="BodyText"/>
        <w:rPr>
          <w:b/>
        </w:rPr>
      </w:pPr>
    </w:p>
    <w:p>
      <w:pPr>
        <w:pStyle w:val="BodyText"/>
        <w:spacing w:before="7"/>
        <w:rPr>
          <w:b/>
        </w:rPr>
      </w:pPr>
    </w:p>
    <w:p>
      <w:pPr>
        <w:pStyle w:val="BodyText"/>
        <w:spacing w:line="360" w:lineRule="auto"/>
        <w:ind w:left="116" w:right="110"/>
        <w:jc w:val="both"/>
      </w:pPr>
      <w:r>
        <w:rPr/>
        <w:t>Para realizar esta investigación </w:t>
      </w:r>
      <w:r>
        <w:rPr>
          <w:spacing w:val="-3"/>
        </w:rPr>
        <w:t>se </w:t>
      </w:r>
      <w:r>
        <w:rPr/>
        <w:t>aplicaron dos cuestionarios con validación en población</w:t>
      </w:r>
      <w:r>
        <w:rPr>
          <w:spacing w:val="59"/>
        </w:rPr>
        <w:t> </w:t>
      </w:r>
      <w:r>
        <w:rPr/>
        <w:t>mexicana.</w:t>
      </w:r>
    </w:p>
    <w:p>
      <w:pPr>
        <w:pStyle w:val="BodyText"/>
      </w:pPr>
    </w:p>
    <w:p>
      <w:pPr>
        <w:pStyle w:val="BodyText"/>
        <w:spacing w:before="140"/>
        <w:ind w:left="116"/>
        <w:jc w:val="both"/>
      </w:pPr>
      <w:r>
        <w:rPr/>
        <w:t>Los  cuestionarios  a  que  se  aplicaron</w:t>
      </w:r>
      <w:r>
        <w:rPr>
          <w:spacing w:val="53"/>
        </w:rPr>
        <w:t> </w:t>
      </w:r>
      <w:r>
        <w:rPr/>
        <w:t>fueron:</w:t>
      </w:r>
    </w:p>
    <w:p>
      <w:pPr>
        <w:spacing w:after="0"/>
        <w:jc w:val="both"/>
        <w:sectPr>
          <w:pgSz w:w="12240" w:h="15840"/>
          <w:pgMar w:header="729" w:footer="0" w:top="960" w:bottom="280" w:left="1300" w:right="1300"/>
        </w:sectPr>
      </w:pPr>
    </w:p>
    <w:p>
      <w:pPr>
        <w:pStyle w:val="BodyText"/>
        <w:rPr>
          <w:sz w:val="20"/>
        </w:rPr>
      </w:pPr>
    </w:p>
    <w:p>
      <w:pPr>
        <w:pStyle w:val="BodyText"/>
        <w:spacing w:line="360" w:lineRule="auto" w:before="213"/>
        <w:ind w:left="116" w:right="110"/>
        <w:jc w:val="both"/>
      </w:pPr>
      <w:r>
        <w:rPr>
          <w:i/>
        </w:rPr>
        <w:t>“Cuestionario para la  valoración  y  cuantificación  de  los  hábitos  de  vida  </w:t>
      </w:r>
      <w:r>
        <w:rPr>
          <w:i/>
        </w:rPr>
        <w:t>relacionados con el sobrepeso  y  la  obesidad”  </w:t>
      </w:r>
      <w:r>
        <w:rPr/>
        <w:t>de  origen  español,  creado  por  Pardo, Ruiz, Jódar, Garrido,  De  Rosendo,  Usán  (2004).  Fue  validado  en  la población  mexicana  por  Álvarez  y  Guadarrama  (Inédito). La  confiabilidad  fue  de  un alpha de Cronbach de .855. Para la validación en la población mexicana se realizaron 135 cuestionarios con personas con un  rango  entre  18  a  30  años  de  edad dentro de la Universidad Autónoma del Estado  de  México. El  cuestionario  cuenta con 20 </w:t>
      </w:r>
      <w:r>
        <w:rPr>
          <w:spacing w:val="-3"/>
        </w:rPr>
        <w:t>ítems </w:t>
      </w:r>
      <w:r>
        <w:rPr/>
        <w:t>con  5  opciones  de  respuesta  en  una  distribución  de  4 factores. Y la calificación va en sentido directo, a mayor puntuación hábitos de vida </w:t>
      </w:r>
      <w:r>
        <w:rPr>
          <w:spacing w:val="-3"/>
        </w:rPr>
        <w:t>más </w:t>
      </w:r>
      <w:r>
        <w:rPr/>
        <w:t>positivos.</w:t>
      </w:r>
    </w:p>
    <w:p>
      <w:pPr>
        <w:pStyle w:val="BodyText"/>
      </w:pPr>
    </w:p>
    <w:p>
      <w:pPr>
        <w:pStyle w:val="BodyText"/>
        <w:spacing w:line="360" w:lineRule="auto" w:before="140"/>
        <w:ind w:left="116" w:right="110"/>
        <w:jc w:val="both"/>
      </w:pPr>
      <w:r>
        <w:rPr/>
        <w:t>El  segundo  instrumento  que  se  aplicó  fue  un  cuestionario  para  la  calidad  de  vida </w:t>
      </w:r>
      <w:r>
        <w:rPr>
          <w:i/>
        </w:rPr>
        <w:t>“Diabetes 39"</w:t>
      </w:r>
      <w:r>
        <w:rPr/>
        <w:t>, desarrollado por Boyer y Earp (1997). Ésta  validación  fue  realizada por López y Rodríguez (2006) en  pacientes  mexicanos  con  diabetes  mellitus tipo 2. La confiabilidad de  la  versión  adaptada  del  cuestionario  </w:t>
      </w:r>
      <w:r>
        <w:rPr>
          <w:i/>
        </w:rPr>
        <w:t>“Diabetes  </w:t>
      </w:r>
      <w:r>
        <w:rPr>
          <w:i/>
        </w:rPr>
        <w:t>39” </w:t>
      </w:r>
      <w:r>
        <w:rPr/>
        <w:t>fue  alta,  con  un  alpha  de  Cronbach  &gt; 0.8. El  cuestionario  cuenta  con  39  ítems cerrados con 7  opciones  de  respuesta  que  se  agrupan  en  cinco  dimensiones. Cabe señalar que a mayor puntuación menor calidad de</w:t>
      </w:r>
      <w:r>
        <w:rPr>
          <w:spacing w:val="-31"/>
        </w:rPr>
        <w:t> </w:t>
      </w:r>
      <w:r>
        <w:rPr/>
        <w:t>vida.</w:t>
      </w:r>
    </w:p>
    <w:p>
      <w:pPr>
        <w:pStyle w:val="BodyText"/>
        <w:spacing w:before="8"/>
        <w:rPr>
          <w:sz w:val="35"/>
        </w:rPr>
      </w:pPr>
    </w:p>
    <w:p>
      <w:pPr>
        <w:pStyle w:val="Heading1"/>
        <w:numPr>
          <w:ilvl w:val="1"/>
          <w:numId w:val="10"/>
        </w:numPr>
        <w:tabs>
          <w:tab w:pos="521" w:val="left" w:leader="none"/>
        </w:tabs>
        <w:spacing w:line="240" w:lineRule="auto" w:before="0" w:after="0"/>
        <w:ind w:left="520" w:right="0" w:hanging="404"/>
        <w:jc w:val="both"/>
      </w:pPr>
      <w:r>
        <w:rPr/>
        <w:t>Diseño  de  la</w:t>
      </w:r>
      <w:r>
        <w:rPr>
          <w:spacing w:val="53"/>
        </w:rPr>
        <w:t> </w:t>
      </w:r>
      <w:r>
        <w:rPr/>
        <w:t>investigación</w:t>
      </w:r>
    </w:p>
    <w:p>
      <w:pPr>
        <w:pStyle w:val="BodyText"/>
        <w:rPr>
          <w:b/>
        </w:rPr>
      </w:pPr>
    </w:p>
    <w:p>
      <w:pPr>
        <w:pStyle w:val="BodyText"/>
        <w:spacing w:before="7"/>
        <w:rPr>
          <w:b/>
        </w:rPr>
      </w:pPr>
    </w:p>
    <w:p>
      <w:pPr>
        <w:pStyle w:val="BodyText"/>
        <w:spacing w:line="360" w:lineRule="auto" w:before="1"/>
        <w:ind w:left="116" w:right="114"/>
        <w:jc w:val="both"/>
      </w:pPr>
      <w:r>
        <w:rPr/>
        <w:t>El diseño de esta investigación fue no experimental de tipo transversal correlacional-causal,  ya  que  tiene  como  objetivo  principal  describir  la  relación  entre  las</w:t>
      </w:r>
      <w:r>
        <w:rPr>
          <w:spacing w:val="61"/>
        </w:rPr>
        <w:t> </w:t>
      </w:r>
      <w:r>
        <w:rPr/>
        <w:t>variables.</w:t>
      </w:r>
    </w:p>
    <w:p>
      <w:pPr>
        <w:pStyle w:val="BodyText"/>
        <w:spacing w:before="8"/>
        <w:rPr>
          <w:sz w:val="35"/>
        </w:rPr>
      </w:pPr>
    </w:p>
    <w:p>
      <w:pPr>
        <w:pStyle w:val="Heading1"/>
        <w:numPr>
          <w:ilvl w:val="1"/>
          <w:numId w:val="10"/>
        </w:numPr>
        <w:tabs>
          <w:tab w:pos="521" w:val="left" w:leader="none"/>
        </w:tabs>
        <w:spacing w:line="240" w:lineRule="auto" w:before="0" w:after="0"/>
        <w:ind w:left="520" w:right="0" w:hanging="404"/>
        <w:jc w:val="both"/>
      </w:pPr>
      <w:r>
        <w:rPr/>
        <w:t>Captura  de  la</w:t>
      </w:r>
      <w:r>
        <w:rPr>
          <w:spacing w:val="54"/>
        </w:rPr>
        <w:t> </w:t>
      </w:r>
      <w:r>
        <w:rPr/>
        <w:t>información</w:t>
      </w:r>
    </w:p>
    <w:p>
      <w:pPr>
        <w:pStyle w:val="BodyText"/>
        <w:rPr>
          <w:b/>
        </w:rPr>
      </w:pPr>
    </w:p>
    <w:p>
      <w:pPr>
        <w:pStyle w:val="BodyText"/>
        <w:spacing w:before="7"/>
        <w:rPr>
          <w:b/>
        </w:rPr>
      </w:pPr>
    </w:p>
    <w:p>
      <w:pPr>
        <w:pStyle w:val="BodyText"/>
        <w:spacing w:line="360" w:lineRule="auto"/>
        <w:ind w:left="116" w:right="109"/>
        <w:jc w:val="both"/>
      </w:pPr>
      <w:r>
        <w:rPr/>
        <w:t>La aplicación de los  cuestionarios  </w:t>
      </w:r>
      <w:r>
        <w:rPr>
          <w:spacing w:val="-3"/>
        </w:rPr>
        <w:t>se  </w:t>
      </w:r>
      <w:r>
        <w:rPr/>
        <w:t>realizó  a  los  pacientes  que  se  encontraban en la sala  de  espera  dentro  de  la  Unidad  de  Atención  al  diabético,  el  peso  y  talla  se  obtuvo  con  ayuda  de  </w:t>
      </w:r>
      <w:r>
        <w:rPr>
          <w:spacing w:val="-3"/>
        </w:rPr>
        <w:t>su</w:t>
      </w:r>
      <w:r>
        <w:rPr>
          <w:spacing w:val="59"/>
        </w:rPr>
        <w:t> </w:t>
      </w:r>
      <w:r>
        <w:rPr/>
        <w:t>expediente.</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116" w:right="109"/>
        <w:jc w:val="both"/>
      </w:pPr>
      <w:r>
        <w:rPr/>
        <w:t>Las aplicaciones </w:t>
      </w:r>
      <w:r>
        <w:rPr>
          <w:spacing w:val="-3"/>
        </w:rPr>
        <w:t>se </w:t>
      </w:r>
      <w:r>
        <w:rPr/>
        <w:t>realizaron del  </w:t>
      </w:r>
      <w:r>
        <w:rPr>
          <w:spacing w:val="-3"/>
        </w:rPr>
        <w:t>mes  </w:t>
      </w:r>
      <w:r>
        <w:rPr/>
        <w:t>de  Noviembre  de  2014  al  </w:t>
      </w:r>
      <w:r>
        <w:rPr>
          <w:spacing w:val="-3"/>
        </w:rPr>
        <w:t>mes  </w:t>
      </w:r>
      <w:r>
        <w:rPr/>
        <w:t>de  Enero  del  2015.  Se  realizaron  de  </w:t>
      </w:r>
      <w:r>
        <w:rPr>
          <w:spacing w:val="-3"/>
        </w:rPr>
        <w:t>forma  </w:t>
      </w:r>
      <w:r>
        <w:rPr/>
        <w:t>personal  y  directa,  se  hacían  las  preguntas  y  el  paciente  respondía  a  éstas,  primero  se  les  aplicó  el  cuestionario  de  hábitos  de  vida,  para  que  posteriormente  contestaran  el  cuestionario  de  Diabetes</w:t>
      </w:r>
      <w:r>
        <w:rPr>
          <w:spacing w:val="47"/>
        </w:rPr>
        <w:t> </w:t>
      </w:r>
      <w:r>
        <w:rPr/>
        <w:t>39.</w:t>
      </w:r>
    </w:p>
    <w:p>
      <w:pPr>
        <w:pStyle w:val="BodyText"/>
      </w:pPr>
    </w:p>
    <w:p>
      <w:pPr>
        <w:pStyle w:val="BodyText"/>
        <w:spacing w:line="360" w:lineRule="auto" w:before="144"/>
        <w:ind w:left="116" w:right="119"/>
        <w:jc w:val="both"/>
      </w:pPr>
      <w:r>
        <w:rPr/>
        <w:t>La captura de los  cuestionarios  se  realizó  en  el  programa  estadístico  SPSS  versión</w:t>
      </w:r>
      <w:r>
        <w:rPr>
          <w:spacing w:val="66"/>
        </w:rPr>
        <w:t> </w:t>
      </w:r>
      <w:r>
        <w:rPr/>
        <w:t>19.</w:t>
      </w:r>
    </w:p>
    <w:p>
      <w:pPr>
        <w:pStyle w:val="BodyText"/>
        <w:spacing w:before="8"/>
        <w:rPr>
          <w:sz w:val="35"/>
        </w:rPr>
      </w:pPr>
    </w:p>
    <w:p>
      <w:pPr>
        <w:pStyle w:val="Heading1"/>
        <w:numPr>
          <w:ilvl w:val="1"/>
          <w:numId w:val="10"/>
        </w:numPr>
        <w:tabs>
          <w:tab w:pos="655" w:val="left" w:leader="none"/>
        </w:tabs>
        <w:spacing w:line="240" w:lineRule="auto" w:before="0" w:after="0"/>
        <w:ind w:left="654" w:right="0" w:hanging="538"/>
        <w:jc w:val="both"/>
      </w:pPr>
      <w:r>
        <w:rPr/>
        <w:t>Procesamiento  de</w:t>
      </w:r>
      <w:r>
        <w:rPr>
          <w:spacing w:val="53"/>
        </w:rPr>
        <w:t> </w:t>
      </w:r>
      <w:r>
        <w:rPr/>
        <w:t>información</w:t>
      </w:r>
    </w:p>
    <w:p>
      <w:pPr>
        <w:pStyle w:val="BodyText"/>
        <w:rPr>
          <w:b/>
        </w:rPr>
      </w:pPr>
    </w:p>
    <w:p>
      <w:pPr>
        <w:pStyle w:val="BodyText"/>
        <w:spacing w:before="7"/>
        <w:rPr>
          <w:b/>
        </w:rPr>
      </w:pPr>
    </w:p>
    <w:p>
      <w:pPr>
        <w:pStyle w:val="BodyText"/>
        <w:spacing w:line="360" w:lineRule="auto" w:before="1"/>
        <w:ind w:left="116" w:right="109"/>
        <w:jc w:val="both"/>
      </w:pPr>
      <w:r>
        <w:rPr/>
        <w:t>Se hizo uso  de  la  estadística  descriptiva  para  obtener  porcentajes  y  frecuencias  de ambas  variables.  Además  para  probar  la  hipótesis,  se  trabajó  con  la  estadística inferencial paramétrica. Específicamente la prueba de correlación  de Pearson  y la prueba t de Student muestras relacionadas, al  nivel  de  significancia</w:t>
      </w:r>
      <w:r>
        <w:rPr>
          <w:spacing w:val="-20"/>
        </w:rPr>
        <w:t> </w:t>
      </w:r>
      <w:r>
        <w:rPr/>
        <w:t>≤.05</w:t>
      </w:r>
    </w:p>
    <w:p>
      <w:pPr>
        <w:pStyle w:val="BodyText"/>
        <w:spacing w:before="8"/>
        <w:rPr>
          <w:sz w:val="35"/>
        </w:rPr>
      </w:pPr>
    </w:p>
    <w:p>
      <w:pPr>
        <w:pStyle w:val="Heading1"/>
        <w:numPr>
          <w:ilvl w:val="1"/>
          <w:numId w:val="10"/>
        </w:numPr>
        <w:tabs>
          <w:tab w:pos="655" w:val="left" w:leader="none"/>
        </w:tabs>
        <w:spacing w:line="240" w:lineRule="auto" w:before="0" w:after="0"/>
        <w:ind w:left="654" w:right="0" w:hanging="538"/>
        <w:jc w:val="both"/>
      </w:pPr>
      <w:r>
        <w:rPr/>
        <w:t>Prueba  de</w:t>
      </w:r>
      <w:r>
        <w:rPr>
          <w:spacing w:val="56"/>
        </w:rPr>
        <w:t> </w:t>
      </w:r>
      <w:r>
        <w:rPr/>
        <w:t>hipótesis</w:t>
      </w:r>
    </w:p>
    <w:p>
      <w:pPr>
        <w:pStyle w:val="BodyText"/>
        <w:rPr>
          <w:b/>
        </w:rPr>
      </w:pPr>
    </w:p>
    <w:p>
      <w:pPr>
        <w:pStyle w:val="BodyText"/>
        <w:spacing w:before="7"/>
        <w:rPr>
          <w:b/>
        </w:rPr>
      </w:pPr>
    </w:p>
    <w:p>
      <w:pPr>
        <w:spacing w:before="0"/>
        <w:ind w:left="116" w:right="0" w:firstLine="0"/>
        <w:jc w:val="both"/>
        <w:rPr>
          <w:sz w:val="24"/>
        </w:rPr>
      </w:pPr>
      <w:r>
        <w:rPr>
          <w:sz w:val="24"/>
        </w:rPr>
        <w:t>Ho= r</w:t>
      </w:r>
      <w:r>
        <w:rPr>
          <w:position w:val="-2"/>
          <w:sz w:val="16"/>
        </w:rPr>
        <w:t>xy </w:t>
      </w:r>
      <w:r>
        <w:rPr>
          <w:sz w:val="24"/>
        </w:rPr>
        <w:t>= 0</w:t>
      </w:r>
    </w:p>
    <w:p>
      <w:pPr>
        <w:pStyle w:val="BodyText"/>
        <w:spacing w:line="360" w:lineRule="auto" w:before="123"/>
        <w:ind w:left="116" w:right="110"/>
        <w:jc w:val="both"/>
      </w:pPr>
      <w:r>
        <w:rPr/>
        <w:t>No  existe  relación  estadísticamente  significativa  entre  las  variables  calidad  de  vida  y  hábitos  de</w:t>
      </w:r>
      <w:r>
        <w:rPr>
          <w:spacing w:val="63"/>
        </w:rPr>
        <w:t> </w:t>
      </w:r>
      <w:r>
        <w:rPr/>
        <w:t>vida;</w:t>
      </w:r>
    </w:p>
    <w:p>
      <w:pPr>
        <w:pStyle w:val="BodyText"/>
      </w:pPr>
    </w:p>
    <w:p>
      <w:pPr>
        <w:spacing w:before="145"/>
        <w:ind w:left="116" w:right="0" w:firstLine="0"/>
        <w:jc w:val="both"/>
        <w:rPr>
          <w:sz w:val="24"/>
        </w:rPr>
      </w:pPr>
      <w:r>
        <w:rPr>
          <w:sz w:val="24"/>
        </w:rPr>
        <w:t>Hi= r</w:t>
      </w:r>
      <w:r>
        <w:rPr>
          <w:position w:val="-2"/>
          <w:sz w:val="16"/>
        </w:rPr>
        <w:t>xy </w:t>
      </w:r>
      <w:r>
        <w:rPr>
          <w:sz w:val="24"/>
        </w:rPr>
        <w:t>≠ 0</w:t>
      </w:r>
    </w:p>
    <w:p>
      <w:pPr>
        <w:pStyle w:val="BodyText"/>
        <w:spacing w:line="360" w:lineRule="auto" w:before="123"/>
        <w:ind w:left="116" w:right="109"/>
        <w:jc w:val="both"/>
      </w:pPr>
      <w:r>
        <w:rPr/>
        <w:t>Existe relación estadísticamente significativa entre las variables calidad de vida y hábitos  de</w:t>
      </w:r>
      <w:r>
        <w:rPr>
          <w:spacing w:val="64"/>
        </w:rPr>
        <w:t> </w:t>
      </w:r>
      <w:r>
        <w:rPr/>
        <w:t>vida.</w:t>
      </w:r>
    </w:p>
    <w:p>
      <w:pPr>
        <w:spacing w:after="0" w:line="360" w:lineRule="auto"/>
        <w:jc w:val="both"/>
        <w:sectPr>
          <w:pgSz w:w="12240" w:h="15840"/>
          <w:pgMar w:header="729" w:footer="0" w:top="960" w:bottom="280" w:left="1300" w:right="1300"/>
        </w:sectPr>
      </w:pPr>
    </w:p>
    <w:p>
      <w:pPr>
        <w:pStyle w:val="BodyText"/>
        <w:rPr>
          <w:sz w:val="20"/>
        </w:rPr>
      </w:pPr>
      <w:r>
        <w:rPr/>
        <w:drawing>
          <wp:anchor distT="0" distB="0" distL="0" distR="0" allowOverlap="1" layoutInCell="1" locked="0" behindDoc="0" simplePos="0" relativeHeight="1072">
            <wp:simplePos x="0" y="0"/>
            <wp:positionH relativeFrom="page">
              <wp:posOffset>899464</wp:posOffset>
            </wp:positionH>
            <wp:positionV relativeFrom="page">
              <wp:posOffset>5494273</wp:posOffset>
            </wp:positionV>
            <wp:extent cx="207264" cy="185927"/>
            <wp:effectExtent l="0" t="0" r="0" b="0"/>
            <wp:wrapNone/>
            <wp:docPr id="1" name="image4.png" descr=""/>
            <wp:cNvGraphicFramePr>
              <a:graphicFrameLocks noChangeAspect="1"/>
            </wp:cNvGraphicFramePr>
            <a:graphic>
              <a:graphicData uri="http://schemas.openxmlformats.org/drawingml/2006/picture">
                <pic:pic>
                  <pic:nvPicPr>
                    <pic:cNvPr id="2" name="image4.png"/>
                    <pic:cNvPicPr/>
                  </pic:nvPicPr>
                  <pic:blipFill>
                    <a:blip r:embed="rId9" cstate="print"/>
                    <a:stretch>
                      <a:fillRect/>
                    </a:stretch>
                  </pic:blipFill>
                  <pic:spPr>
                    <a:xfrm>
                      <a:off x="0" y="0"/>
                      <a:ext cx="207264" cy="185927"/>
                    </a:xfrm>
                    <a:prstGeom prst="rect">
                      <a:avLst/>
                    </a:prstGeom>
                  </pic:spPr>
                </pic:pic>
              </a:graphicData>
            </a:graphic>
          </wp:anchor>
        </w:drawing>
      </w:r>
    </w:p>
    <w:p>
      <w:pPr>
        <w:pStyle w:val="Heading1"/>
        <w:spacing w:before="208"/>
        <w:ind w:left="2838"/>
        <w:jc w:val="left"/>
      </w:pPr>
      <w:r>
        <w:rPr/>
        <w:t>PRESENTACIÓN  DE</w:t>
      </w:r>
      <w:r>
        <w:rPr>
          <w:spacing w:val="58"/>
        </w:rPr>
        <w:t> </w:t>
      </w:r>
      <w:r>
        <w:rPr/>
        <w:t>RESULTADOS</w:t>
      </w:r>
    </w:p>
    <w:p>
      <w:pPr>
        <w:pStyle w:val="BodyText"/>
        <w:rPr>
          <w:b/>
        </w:rPr>
      </w:pPr>
    </w:p>
    <w:p>
      <w:pPr>
        <w:pStyle w:val="BodyText"/>
        <w:spacing w:before="7"/>
        <w:rPr>
          <w:b/>
        </w:rPr>
      </w:pPr>
    </w:p>
    <w:p>
      <w:pPr>
        <w:pStyle w:val="BodyText"/>
        <w:spacing w:line="360" w:lineRule="auto" w:before="1"/>
        <w:ind w:left="216" w:right="110"/>
        <w:jc w:val="both"/>
      </w:pPr>
      <w:r>
        <w:rPr/>
        <w:t>Con  respecto  a  la  distribución  de  edad  de  la  muestra,  ésta  se  encontró  entre  los 25 a 85 años, mostrando una edad promedio de  54.05  años  con  una  D.E.  11.675. Además, se realizó un análisis por frecuencias y porcentajes para  las  diferentes variables; (véase  tabla  1)  la  mayoría  de  los  encuestados  fueron  mujeres.  Con  un  índice  de  masa  corporal  ubicado  en  el  sobrepeso.  Un  porcentaje imponente considero su CV poco afectada, pero con hábitos de vida negativos y moderados, mientras que la </w:t>
      </w:r>
      <w:r>
        <w:rPr>
          <w:spacing w:val="-3"/>
        </w:rPr>
        <w:t>CVP </w:t>
      </w:r>
      <w:r>
        <w:rPr/>
        <w:t>como máxima y un número  bajo considero  a  su  enfermedad  como  extremadamente</w:t>
      </w:r>
      <w:r>
        <w:rPr>
          <w:spacing w:val="51"/>
        </w:rPr>
        <w:t> </w:t>
      </w:r>
      <w:r>
        <w:rPr/>
        <w:t>grave.</w:t>
      </w:r>
    </w:p>
    <w:p>
      <w:pPr>
        <w:pStyle w:val="BodyText"/>
      </w:pPr>
    </w:p>
    <w:p>
      <w:pPr>
        <w:pStyle w:val="BodyText"/>
        <w:spacing w:before="140"/>
        <w:ind w:left="216"/>
        <w:jc w:val="both"/>
      </w:pPr>
      <w:r>
        <w:rPr/>
        <w:t>Tabla 1.  Distribución  de  la  población  para  las  distintas  variables n=97</w:t>
      </w:r>
    </w:p>
    <w:p>
      <w:pPr>
        <w:pStyle w:val="BodyText"/>
        <w:spacing w:before="3"/>
        <w:rPr>
          <w:sz w:val="12"/>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00"/>
        <w:gridCol w:w="2846"/>
        <w:gridCol w:w="1915"/>
        <w:gridCol w:w="2201"/>
      </w:tblGrid>
      <w:tr>
        <w:trPr>
          <w:trHeight w:val="288" w:hRule="exact"/>
        </w:trPr>
        <w:tc>
          <w:tcPr>
            <w:tcW w:w="2100" w:type="dxa"/>
            <w:tcBorders>
              <w:left w:val="nil"/>
              <w:right w:val="nil"/>
            </w:tcBorders>
          </w:tcPr>
          <w:p>
            <w:pPr>
              <w:pStyle w:val="TableParagraph"/>
              <w:spacing w:line="272" w:lineRule="exact"/>
              <w:ind w:left="778"/>
              <w:rPr>
                <w:sz w:val="24"/>
              </w:rPr>
            </w:pPr>
            <w:r>
              <w:rPr>
                <w:sz w:val="24"/>
              </w:rPr>
              <w:t>Variable</w:t>
            </w:r>
          </w:p>
        </w:tc>
        <w:tc>
          <w:tcPr>
            <w:tcW w:w="2846" w:type="dxa"/>
            <w:tcBorders>
              <w:left w:val="nil"/>
              <w:right w:val="nil"/>
            </w:tcBorders>
          </w:tcPr>
          <w:p>
            <w:pPr/>
          </w:p>
        </w:tc>
        <w:tc>
          <w:tcPr>
            <w:tcW w:w="1915" w:type="dxa"/>
            <w:tcBorders>
              <w:left w:val="nil"/>
              <w:right w:val="nil"/>
            </w:tcBorders>
          </w:tcPr>
          <w:p>
            <w:pPr>
              <w:pStyle w:val="TableParagraph"/>
              <w:spacing w:line="272" w:lineRule="exact"/>
              <w:ind w:left="188" w:right="499"/>
              <w:jc w:val="center"/>
              <w:rPr>
                <w:sz w:val="24"/>
              </w:rPr>
            </w:pPr>
            <w:r>
              <w:rPr>
                <w:sz w:val="24"/>
              </w:rPr>
              <w:t>Frecuencia</w:t>
            </w:r>
          </w:p>
        </w:tc>
        <w:tc>
          <w:tcPr>
            <w:tcW w:w="2201" w:type="dxa"/>
            <w:tcBorders>
              <w:left w:val="nil"/>
              <w:right w:val="nil"/>
            </w:tcBorders>
          </w:tcPr>
          <w:p>
            <w:pPr>
              <w:pStyle w:val="TableParagraph"/>
              <w:spacing w:line="272" w:lineRule="exact"/>
              <w:ind w:left="499" w:right="513"/>
              <w:jc w:val="center"/>
              <w:rPr>
                <w:sz w:val="24"/>
              </w:rPr>
            </w:pPr>
            <w:r>
              <w:rPr>
                <w:sz w:val="24"/>
              </w:rPr>
              <w:t>Porcentaje</w:t>
            </w:r>
          </w:p>
        </w:tc>
      </w:tr>
      <w:tr>
        <w:trPr>
          <w:trHeight w:val="288" w:hRule="exact"/>
        </w:trPr>
        <w:tc>
          <w:tcPr>
            <w:tcW w:w="2100" w:type="dxa"/>
            <w:tcBorders>
              <w:left w:val="nil"/>
              <w:bottom w:val="nil"/>
              <w:right w:val="nil"/>
            </w:tcBorders>
          </w:tcPr>
          <w:p>
            <w:pPr>
              <w:pStyle w:val="TableParagraph"/>
              <w:spacing w:line="272" w:lineRule="exact"/>
              <w:ind w:left="110"/>
              <w:rPr>
                <w:sz w:val="24"/>
              </w:rPr>
            </w:pPr>
            <w:r>
              <w:rPr>
                <w:sz w:val="24"/>
              </w:rPr>
              <w:t>Sexo</w:t>
            </w:r>
          </w:p>
        </w:tc>
        <w:tc>
          <w:tcPr>
            <w:tcW w:w="2846" w:type="dxa"/>
            <w:tcBorders>
              <w:left w:val="nil"/>
              <w:bottom w:val="nil"/>
              <w:right w:val="nil"/>
            </w:tcBorders>
          </w:tcPr>
          <w:p>
            <w:pPr>
              <w:pStyle w:val="TableParagraph"/>
              <w:spacing w:line="272" w:lineRule="exact"/>
              <w:ind w:left="440" w:right="184"/>
              <w:rPr>
                <w:sz w:val="24"/>
              </w:rPr>
            </w:pPr>
            <w:r>
              <w:rPr>
                <w:sz w:val="24"/>
              </w:rPr>
              <w:t>Mujer</w:t>
            </w:r>
          </w:p>
        </w:tc>
        <w:tc>
          <w:tcPr>
            <w:tcW w:w="1915" w:type="dxa"/>
            <w:tcBorders>
              <w:left w:val="nil"/>
              <w:bottom w:val="nil"/>
              <w:right w:val="nil"/>
            </w:tcBorders>
          </w:tcPr>
          <w:p>
            <w:pPr>
              <w:pStyle w:val="TableParagraph"/>
              <w:spacing w:line="272" w:lineRule="exact"/>
              <w:ind w:left="181" w:right="499"/>
              <w:jc w:val="center"/>
              <w:rPr>
                <w:sz w:val="24"/>
              </w:rPr>
            </w:pPr>
            <w:r>
              <w:rPr>
                <w:sz w:val="24"/>
              </w:rPr>
              <w:t>66</w:t>
            </w:r>
          </w:p>
        </w:tc>
        <w:tc>
          <w:tcPr>
            <w:tcW w:w="2201" w:type="dxa"/>
            <w:tcBorders>
              <w:left w:val="nil"/>
              <w:bottom w:val="nil"/>
              <w:right w:val="nil"/>
            </w:tcBorders>
          </w:tcPr>
          <w:p>
            <w:pPr>
              <w:pStyle w:val="TableParagraph"/>
              <w:spacing w:line="272" w:lineRule="exact"/>
              <w:ind w:left="497" w:right="513"/>
              <w:jc w:val="center"/>
              <w:rPr>
                <w:sz w:val="24"/>
              </w:rPr>
            </w:pPr>
            <w:r>
              <w:rPr>
                <w:sz w:val="24"/>
              </w:rPr>
              <w:t>68</w:t>
            </w:r>
          </w:p>
        </w:tc>
      </w:tr>
      <w:tr>
        <w:trPr>
          <w:trHeight w:val="274" w:hRule="exact"/>
        </w:trPr>
        <w:tc>
          <w:tcPr>
            <w:tcW w:w="2100" w:type="dxa"/>
            <w:tcBorders>
              <w:top w:val="nil"/>
              <w:left w:val="nil"/>
              <w:right w:val="nil"/>
            </w:tcBorders>
          </w:tcPr>
          <w:p>
            <w:pPr/>
          </w:p>
        </w:tc>
        <w:tc>
          <w:tcPr>
            <w:tcW w:w="2846" w:type="dxa"/>
            <w:tcBorders>
              <w:top w:val="nil"/>
              <w:left w:val="nil"/>
              <w:right w:val="nil"/>
            </w:tcBorders>
          </w:tcPr>
          <w:p>
            <w:pPr>
              <w:pStyle w:val="TableParagraph"/>
              <w:spacing w:line="262" w:lineRule="exact"/>
              <w:ind w:left="440" w:right="184"/>
              <w:rPr>
                <w:sz w:val="24"/>
              </w:rPr>
            </w:pPr>
            <w:r>
              <w:rPr>
                <w:sz w:val="24"/>
              </w:rPr>
              <w:t>Hombre</w:t>
            </w:r>
          </w:p>
        </w:tc>
        <w:tc>
          <w:tcPr>
            <w:tcW w:w="1915" w:type="dxa"/>
            <w:tcBorders>
              <w:top w:val="nil"/>
              <w:left w:val="nil"/>
              <w:right w:val="nil"/>
            </w:tcBorders>
          </w:tcPr>
          <w:p>
            <w:pPr>
              <w:pStyle w:val="TableParagraph"/>
              <w:spacing w:line="262" w:lineRule="exact"/>
              <w:ind w:left="181" w:right="499"/>
              <w:jc w:val="center"/>
              <w:rPr>
                <w:sz w:val="24"/>
              </w:rPr>
            </w:pPr>
            <w:r>
              <w:rPr>
                <w:sz w:val="24"/>
              </w:rPr>
              <w:t>31</w:t>
            </w:r>
          </w:p>
        </w:tc>
        <w:tc>
          <w:tcPr>
            <w:tcW w:w="2201" w:type="dxa"/>
            <w:tcBorders>
              <w:top w:val="nil"/>
              <w:left w:val="nil"/>
              <w:right w:val="nil"/>
            </w:tcBorders>
          </w:tcPr>
          <w:p>
            <w:pPr>
              <w:pStyle w:val="TableParagraph"/>
              <w:spacing w:line="262" w:lineRule="exact"/>
              <w:ind w:left="497" w:right="513"/>
              <w:jc w:val="center"/>
              <w:rPr>
                <w:sz w:val="24"/>
              </w:rPr>
            </w:pPr>
            <w:r>
              <w:rPr>
                <w:sz w:val="24"/>
              </w:rPr>
              <w:t>32</w:t>
            </w:r>
          </w:p>
        </w:tc>
      </w:tr>
      <w:tr>
        <w:trPr>
          <w:trHeight w:val="295" w:hRule="exact"/>
        </w:trPr>
        <w:tc>
          <w:tcPr>
            <w:tcW w:w="2100" w:type="dxa"/>
            <w:tcBorders>
              <w:left w:val="nil"/>
              <w:bottom w:val="nil"/>
              <w:right w:val="nil"/>
            </w:tcBorders>
          </w:tcPr>
          <w:p>
            <w:pPr>
              <w:pStyle w:val="TableParagraph"/>
              <w:spacing w:line="272" w:lineRule="exact"/>
              <w:ind w:left="110"/>
              <w:rPr>
                <w:sz w:val="24"/>
              </w:rPr>
            </w:pPr>
            <w:r>
              <w:rPr>
                <w:sz w:val="24"/>
              </w:rPr>
              <w:t>IMC</w:t>
            </w:r>
          </w:p>
        </w:tc>
        <w:tc>
          <w:tcPr>
            <w:tcW w:w="2846" w:type="dxa"/>
            <w:tcBorders>
              <w:left w:val="nil"/>
              <w:bottom w:val="nil"/>
              <w:right w:val="nil"/>
            </w:tcBorders>
          </w:tcPr>
          <w:p>
            <w:pPr>
              <w:pStyle w:val="TableParagraph"/>
              <w:spacing w:line="272" w:lineRule="exact"/>
              <w:ind w:left="440" w:right="184"/>
              <w:rPr>
                <w:sz w:val="24"/>
              </w:rPr>
            </w:pPr>
            <w:r>
              <w:rPr>
                <w:sz w:val="24"/>
              </w:rPr>
              <w:t>Sobrepeso</w:t>
            </w:r>
          </w:p>
        </w:tc>
        <w:tc>
          <w:tcPr>
            <w:tcW w:w="1915" w:type="dxa"/>
            <w:tcBorders>
              <w:left w:val="nil"/>
              <w:bottom w:val="nil"/>
              <w:right w:val="nil"/>
            </w:tcBorders>
          </w:tcPr>
          <w:p>
            <w:pPr>
              <w:pStyle w:val="TableParagraph"/>
              <w:spacing w:line="272" w:lineRule="exact"/>
              <w:ind w:left="181" w:right="499"/>
              <w:jc w:val="center"/>
              <w:rPr>
                <w:sz w:val="24"/>
              </w:rPr>
            </w:pPr>
            <w:r>
              <w:rPr>
                <w:sz w:val="24"/>
              </w:rPr>
              <w:t>63</w:t>
            </w:r>
          </w:p>
        </w:tc>
        <w:tc>
          <w:tcPr>
            <w:tcW w:w="2201" w:type="dxa"/>
            <w:tcBorders>
              <w:left w:val="nil"/>
              <w:bottom w:val="nil"/>
              <w:right w:val="nil"/>
            </w:tcBorders>
          </w:tcPr>
          <w:p>
            <w:pPr>
              <w:pStyle w:val="TableParagraph"/>
              <w:spacing w:line="272" w:lineRule="exact"/>
              <w:ind w:left="497" w:right="513"/>
              <w:jc w:val="center"/>
              <w:rPr>
                <w:sz w:val="24"/>
              </w:rPr>
            </w:pPr>
            <w:r>
              <w:rPr>
                <w:sz w:val="24"/>
              </w:rPr>
              <w:t>65</w:t>
            </w:r>
          </w:p>
        </w:tc>
      </w:tr>
      <w:tr>
        <w:trPr>
          <w:trHeight w:val="286" w:hRule="exact"/>
        </w:trPr>
        <w:tc>
          <w:tcPr>
            <w:tcW w:w="2100" w:type="dxa"/>
            <w:tcBorders>
              <w:top w:val="nil"/>
              <w:left w:val="nil"/>
              <w:bottom w:val="nil"/>
              <w:right w:val="nil"/>
            </w:tcBorders>
          </w:tcPr>
          <w:p>
            <w:pPr/>
          </w:p>
        </w:tc>
        <w:tc>
          <w:tcPr>
            <w:tcW w:w="2846" w:type="dxa"/>
            <w:tcBorders>
              <w:top w:val="nil"/>
              <w:left w:val="nil"/>
              <w:bottom w:val="nil"/>
              <w:right w:val="nil"/>
            </w:tcBorders>
          </w:tcPr>
          <w:p>
            <w:pPr>
              <w:pStyle w:val="TableParagraph"/>
              <w:spacing w:line="269" w:lineRule="exact"/>
              <w:ind w:left="440" w:right="184"/>
              <w:rPr>
                <w:sz w:val="24"/>
              </w:rPr>
            </w:pPr>
            <w:r>
              <w:rPr>
                <w:sz w:val="24"/>
              </w:rPr>
              <w:t>Obesidad 1</w:t>
            </w:r>
          </w:p>
        </w:tc>
        <w:tc>
          <w:tcPr>
            <w:tcW w:w="1915" w:type="dxa"/>
            <w:tcBorders>
              <w:top w:val="nil"/>
              <w:left w:val="nil"/>
              <w:bottom w:val="nil"/>
              <w:right w:val="nil"/>
            </w:tcBorders>
          </w:tcPr>
          <w:p>
            <w:pPr>
              <w:pStyle w:val="TableParagraph"/>
              <w:spacing w:line="269" w:lineRule="exact"/>
              <w:ind w:left="181" w:right="499"/>
              <w:jc w:val="center"/>
              <w:rPr>
                <w:sz w:val="24"/>
              </w:rPr>
            </w:pPr>
            <w:r>
              <w:rPr>
                <w:sz w:val="24"/>
              </w:rPr>
              <w:t>33</w:t>
            </w:r>
          </w:p>
        </w:tc>
        <w:tc>
          <w:tcPr>
            <w:tcW w:w="2201" w:type="dxa"/>
            <w:tcBorders>
              <w:top w:val="nil"/>
              <w:left w:val="nil"/>
              <w:bottom w:val="nil"/>
              <w:right w:val="nil"/>
            </w:tcBorders>
          </w:tcPr>
          <w:p>
            <w:pPr>
              <w:pStyle w:val="TableParagraph"/>
              <w:spacing w:line="269" w:lineRule="exact"/>
              <w:ind w:left="497" w:right="513"/>
              <w:jc w:val="center"/>
              <w:rPr>
                <w:sz w:val="24"/>
              </w:rPr>
            </w:pPr>
            <w:r>
              <w:rPr>
                <w:sz w:val="24"/>
              </w:rPr>
              <w:t>34</w:t>
            </w:r>
          </w:p>
        </w:tc>
      </w:tr>
      <w:tr>
        <w:trPr>
          <w:trHeight w:val="278" w:hRule="exact"/>
        </w:trPr>
        <w:tc>
          <w:tcPr>
            <w:tcW w:w="2100" w:type="dxa"/>
            <w:tcBorders>
              <w:top w:val="nil"/>
              <w:left w:val="nil"/>
              <w:right w:val="nil"/>
            </w:tcBorders>
          </w:tcPr>
          <w:p>
            <w:pPr/>
          </w:p>
        </w:tc>
        <w:tc>
          <w:tcPr>
            <w:tcW w:w="2846" w:type="dxa"/>
            <w:tcBorders>
              <w:top w:val="nil"/>
              <w:left w:val="nil"/>
              <w:right w:val="nil"/>
            </w:tcBorders>
          </w:tcPr>
          <w:p>
            <w:pPr>
              <w:pStyle w:val="TableParagraph"/>
              <w:spacing w:line="267" w:lineRule="exact"/>
              <w:ind w:left="440" w:right="184"/>
              <w:rPr>
                <w:sz w:val="24"/>
              </w:rPr>
            </w:pPr>
            <w:r>
              <w:rPr>
                <w:sz w:val="24"/>
              </w:rPr>
              <w:t>Obesidad 2</w:t>
            </w:r>
          </w:p>
        </w:tc>
        <w:tc>
          <w:tcPr>
            <w:tcW w:w="1915" w:type="dxa"/>
            <w:tcBorders>
              <w:top w:val="nil"/>
              <w:left w:val="nil"/>
              <w:right w:val="nil"/>
            </w:tcBorders>
          </w:tcPr>
          <w:p>
            <w:pPr>
              <w:pStyle w:val="TableParagraph"/>
              <w:spacing w:line="267" w:lineRule="exact"/>
              <w:ind w:left="0" w:right="319"/>
              <w:jc w:val="center"/>
              <w:rPr>
                <w:sz w:val="24"/>
              </w:rPr>
            </w:pPr>
            <w:r>
              <w:rPr>
                <w:w w:val="99"/>
                <w:sz w:val="24"/>
              </w:rPr>
              <w:t>1</w:t>
            </w:r>
          </w:p>
        </w:tc>
        <w:tc>
          <w:tcPr>
            <w:tcW w:w="2201" w:type="dxa"/>
            <w:tcBorders>
              <w:top w:val="nil"/>
              <w:left w:val="nil"/>
              <w:right w:val="nil"/>
            </w:tcBorders>
          </w:tcPr>
          <w:p>
            <w:pPr>
              <w:pStyle w:val="TableParagraph"/>
              <w:spacing w:line="267" w:lineRule="exact"/>
              <w:ind w:left="0" w:right="18"/>
              <w:jc w:val="center"/>
              <w:rPr>
                <w:sz w:val="24"/>
              </w:rPr>
            </w:pPr>
            <w:r>
              <w:rPr>
                <w:w w:val="99"/>
                <w:sz w:val="24"/>
              </w:rPr>
              <w:t>1</w:t>
            </w:r>
          </w:p>
        </w:tc>
      </w:tr>
      <w:tr>
        <w:trPr>
          <w:trHeight w:val="569" w:hRule="exact"/>
        </w:trPr>
        <w:tc>
          <w:tcPr>
            <w:tcW w:w="2100" w:type="dxa"/>
            <w:vMerge w:val="restart"/>
            <w:tcBorders>
              <w:left w:val="nil"/>
              <w:right w:val="nil"/>
            </w:tcBorders>
          </w:tcPr>
          <w:p>
            <w:pPr>
              <w:pStyle w:val="TableParagraph"/>
              <w:spacing w:line="272" w:lineRule="exact"/>
              <w:ind w:left="110"/>
              <w:rPr>
                <w:sz w:val="24"/>
              </w:rPr>
            </w:pPr>
            <w:r>
              <w:rPr>
                <w:sz w:val="24"/>
              </w:rPr>
              <w:t>Cv</w:t>
            </w:r>
          </w:p>
          <w:p>
            <w:pPr>
              <w:pStyle w:val="TableParagraph"/>
              <w:spacing w:line="240" w:lineRule="auto" w:before="3"/>
              <w:ind w:left="0"/>
              <w:rPr>
                <w:sz w:val="25"/>
              </w:rPr>
            </w:pPr>
          </w:p>
          <w:p>
            <w:pPr>
              <w:pStyle w:val="TableParagraph"/>
              <w:spacing w:line="240" w:lineRule="auto"/>
              <w:ind w:left="273"/>
              <w:rPr>
                <w:sz w:val="24"/>
              </w:rPr>
            </w:pPr>
            <w:r>
              <w:rPr>
                <w:sz w:val="24"/>
              </w:rPr>
              <w:t>= 2.59</w:t>
            </w:r>
          </w:p>
          <w:p>
            <w:pPr>
              <w:pStyle w:val="TableParagraph"/>
              <w:spacing w:line="240" w:lineRule="auto" w:before="2"/>
              <w:ind w:left="110"/>
              <w:rPr>
                <w:sz w:val="24"/>
              </w:rPr>
            </w:pPr>
            <w:r>
              <w:rPr>
                <w:sz w:val="24"/>
              </w:rPr>
              <w:t>D.E.=1.10850</w:t>
            </w:r>
          </w:p>
        </w:tc>
        <w:tc>
          <w:tcPr>
            <w:tcW w:w="2846" w:type="dxa"/>
            <w:tcBorders>
              <w:left w:val="nil"/>
              <w:bottom w:val="nil"/>
              <w:right w:val="nil"/>
            </w:tcBorders>
          </w:tcPr>
          <w:p>
            <w:pPr>
              <w:pStyle w:val="TableParagraph"/>
              <w:spacing w:line="274" w:lineRule="exact" w:before="1"/>
              <w:ind w:left="440" w:right="184"/>
              <w:rPr>
                <w:sz w:val="24"/>
              </w:rPr>
            </w:pPr>
            <w:r>
              <w:rPr>
                <w:sz w:val="24"/>
              </w:rPr>
              <w:t>Sumamente Afectada</w:t>
            </w:r>
          </w:p>
        </w:tc>
        <w:tc>
          <w:tcPr>
            <w:tcW w:w="1915" w:type="dxa"/>
            <w:tcBorders>
              <w:left w:val="nil"/>
              <w:bottom w:val="nil"/>
              <w:right w:val="nil"/>
            </w:tcBorders>
          </w:tcPr>
          <w:p>
            <w:pPr>
              <w:pStyle w:val="TableParagraph"/>
              <w:spacing w:line="272" w:lineRule="exact"/>
              <w:ind w:left="0" w:right="319"/>
              <w:jc w:val="center"/>
              <w:rPr>
                <w:sz w:val="24"/>
              </w:rPr>
            </w:pPr>
            <w:r>
              <w:rPr>
                <w:w w:val="99"/>
                <w:sz w:val="24"/>
              </w:rPr>
              <w:t>1</w:t>
            </w:r>
          </w:p>
        </w:tc>
        <w:tc>
          <w:tcPr>
            <w:tcW w:w="2201" w:type="dxa"/>
            <w:tcBorders>
              <w:left w:val="nil"/>
              <w:bottom w:val="nil"/>
              <w:right w:val="nil"/>
            </w:tcBorders>
          </w:tcPr>
          <w:p>
            <w:pPr>
              <w:pStyle w:val="TableParagraph"/>
              <w:spacing w:line="272" w:lineRule="exact"/>
              <w:ind w:left="0" w:right="18"/>
              <w:jc w:val="center"/>
              <w:rPr>
                <w:sz w:val="24"/>
              </w:rPr>
            </w:pPr>
            <w:r>
              <w:rPr>
                <w:w w:val="99"/>
                <w:sz w:val="24"/>
              </w:rPr>
              <w:t>1</w:t>
            </w:r>
          </w:p>
        </w:tc>
      </w:tr>
      <w:tr>
        <w:trPr>
          <w:trHeight w:val="566" w:hRule="exact"/>
        </w:trPr>
        <w:tc>
          <w:tcPr>
            <w:tcW w:w="2100" w:type="dxa"/>
            <w:vMerge/>
            <w:tcBorders>
              <w:left w:val="nil"/>
              <w:bottom w:val="nil"/>
              <w:right w:val="nil"/>
            </w:tcBorders>
          </w:tcPr>
          <w:p>
            <w:pPr/>
          </w:p>
        </w:tc>
        <w:tc>
          <w:tcPr>
            <w:tcW w:w="2846" w:type="dxa"/>
            <w:tcBorders>
              <w:top w:val="nil"/>
              <w:left w:val="nil"/>
              <w:bottom w:val="nil"/>
              <w:right w:val="nil"/>
            </w:tcBorders>
          </w:tcPr>
          <w:p>
            <w:pPr>
              <w:pStyle w:val="TableParagraph"/>
              <w:spacing w:line="237" w:lineRule="auto"/>
              <w:ind w:left="440" w:right="184"/>
              <w:rPr>
                <w:sz w:val="24"/>
              </w:rPr>
            </w:pPr>
            <w:r>
              <w:rPr>
                <w:sz w:val="24"/>
              </w:rPr>
              <w:t>Moderadamente afectada</w:t>
            </w:r>
          </w:p>
        </w:tc>
        <w:tc>
          <w:tcPr>
            <w:tcW w:w="1915" w:type="dxa"/>
            <w:tcBorders>
              <w:top w:val="nil"/>
              <w:left w:val="nil"/>
              <w:bottom w:val="nil"/>
              <w:right w:val="nil"/>
            </w:tcBorders>
          </w:tcPr>
          <w:p>
            <w:pPr>
              <w:pStyle w:val="TableParagraph"/>
              <w:spacing w:line="269" w:lineRule="exact"/>
              <w:ind w:left="181" w:right="499"/>
              <w:jc w:val="center"/>
              <w:rPr>
                <w:sz w:val="24"/>
              </w:rPr>
            </w:pPr>
            <w:r>
              <w:rPr>
                <w:sz w:val="24"/>
              </w:rPr>
              <w:t>37</w:t>
            </w:r>
          </w:p>
        </w:tc>
        <w:tc>
          <w:tcPr>
            <w:tcW w:w="2201" w:type="dxa"/>
            <w:tcBorders>
              <w:top w:val="nil"/>
              <w:left w:val="nil"/>
              <w:bottom w:val="nil"/>
              <w:right w:val="nil"/>
            </w:tcBorders>
          </w:tcPr>
          <w:p>
            <w:pPr>
              <w:pStyle w:val="TableParagraph"/>
              <w:spacing w:line="269" w:lineRule="exact"/>
              <w:ind w:left="499" w:right="507"/>
              <w:jc w:val="center"/>
              <w:rPr>
                <w:sz w:val="24"/>
              </w:rPr>
            </w:pPr>
            <w:r>
              <w:rPr>
                <w:sz w:val="24"/>
              </w:rPr>
              <w:t>37.1</w:t>
            </w:r>
          </w:p>
        </w:tc>
      </w:tr>
      <w:tr>
        <w:trPr>
          <w:trHeight w:val="271" w:hRule="exact"/>
        </w:trPr>
        <w:tc>
          <w:tcPr>
            <w:tcW w:w="2100" w:type="dxa"/>
            <w:tcBorders>
              <w:top w:val="nil"/>
              <w:left w:val="nil"/>
              <w:right w:val="nil"/>
            </w:tcBorders>
          </w:tcPr>
          <w:p>
            <w:pPr/>
          </w:p>
        </w:tc>
        <w:tc>
          <w:tcPr>
            <w:tcW w:w="2846" w:type="dxa"/>
            <w:tcBorders>
              <w:top w:val="nil"/>
              <w:left w:val="nil"/>
              <w:right w:val="nil"/>
            </w:tcBorders>
          </w:tcPr>
          <w:p>
            <w:pPr>
              <w:pStyle w:val="TableParagraph"/>
              <w:ind w:left="440" w:right="184"/>
              <w:rPr>
                <w:sz w:val="24"/>
              </w:rPr>
            </w:pPr>
            <w:r>
              <w:rPr>
                <w:sz w:val="24"/>
              </w:rPr>
              <w:t>Poco afectada</w:t>
            </w:r>
          </w:p>
        </w:tc>
        <w:tc>
          <w:tcPr>
            <w:tcW w:w="1915" w:type="dxa"/>
            <w:tcBorders>
              <w:top w:val="nil"/>
              <w:left w:val="nil"/>
              <w:right w:val="nil"/>
            </w:tcBorders>
          </w:tcPr>
          <w:p>
            <w:pPr>
              <w:pStyle w:val="TableParagraph"/>
              <w:ind w:left="181" w:right="499"/>
              <w:jc w:val="center"/>
              <w:rPr>
                <w:sz w:val="24"/>
              </w:rPr>
            </w:pPr>
            <w:r>
              <w:rPr>
                <w:sz w:val="24"/>
              </w:rPr>
              <w:t>59</w:t>
            </w:r>
          </w:p>
        </w:tc>
        <w:tc>
          <w:tcPr>
            <w:tcW w:w="2201" w:type="dxa"/>
            <w:tcBorders>
              <w:top w:val="nil"/>
              <w:left w:val="nil"/>
              <w:right w:val="nil"/>
            </w:tcBorders>
          </w:tcPr>
          <w:p>
            <w:pPr>
              <w:pStyle w:val="TableParagraph"/>
              <w:ind w:left="499" w:right="507"/>
              <w:jc w:val="center"/>
              <w:rPr>
                <w:sz w:val="24"/>
              </w:rPr>
            </w:pPr>
            <w:r>
              <w:rPr>
                <w:sz w:val="24"/>
              </w:rPr>
              <w:t>61.9</w:t>
            </w:r>
          </w:p>
        </w:tc>
      </w:tr>
      <w:tr>
        <w:trPr>
          <w:trHeight w:val="298" w:hRule="exact"/>
        </w:trPr>
        <w:tc>
          <w:tcPr>
            <w:tcW w:w="2100" w:type="dxa"/>
            <w:tcBorders>
              <w:left w:val="nil"/>
              <w:bottom w:val="nil"/>
              <w:right w:val="nil"/>
            </w:tcBorders>
          </w:tcPr>
          <w:p>
            <w:pPr>
              <w:pStyle w:val="TableParagraph"/>
              <w:spacing w:line="240" w:lineRule="auto"/>
              <w:ind w:left="110"/>
              <w:rPr>
                <w:sz w:val="24"/>
              </w:rPr>
            </w:pPr>
            <w:r>
              <w:rPr>
                <w:sz w:val="24"/>
              </w:rPr>
              <w:t>Hv</w:t>
            </w:r>
          </w:p>
        </w:tc>
        <w:tc>
          <w:tcPr>
            <w:tcW w:w="2846" w:type="dxa"/>
            <w:tcBorders>
              <w:left w:val="nil"/>
              <w:bottom w:val="nil"/>
              <w:right w:val="nil"/>
            </w:tcBorders>
          </w:tcPr>
          <w:p>
            <w:pPr>
              <w:pStyle w:val="TableParagraph"/>
              <w:spacing w:line="240" w:lineRule="auto"/>
              <w:ind w:left="440" w:right="184"/>
              <w:rPr>
                <w:sz w:val="24"/>
              </w:rPr>
            </w:pPr>
            <w:r>
              <w:rPr>
                <w:sz w:val="24"/>
              </w:rPr>
              <w:t>Negativos</w:t>
            </w:r>
          </w:p>
        </w:tc>
        <w:tc>
          <w:tcPr>
            <w:tcW w:w="1915" w:type="dxa"/>
            <w:tcBorders>
              <w:left w:val="nil"/>
              <w:bottom w:val="nil"/>
              <w:right w:val="nil"/>
            </w:tcBorders>
          </w:tcPr>
          <w:p>
            <w:pPr>
              <w:pStyle w:val="TableParagraph"/>
              <w:spacing w:line="240" w:lineRule="auto"/>
              <w:ind w:left="181" w:right="499"/>
              <w:jc w:val="center"/>
              <w:rPr>
                <w:sz w:val="24"/>
              </w:rPr>
            </w:pPr>
            <w:r>
              <w:rPr>
                <w:sz w:val="24"/>
              </w:rPr>
              <w:t>29</w:t>
            </w:r>
          </w:p>
        </w:tc>
        <w:tc>
          <w:tcPr>
            <w:tcW w:w="2201" w:type="dxa"/>
            <w:tcBorders>
              <w:left w:val="nil"/>
              <w:bottom w:val="nil"/>
              <w:right w:val="nil"/>
            </w:tcBorders>
          </w:tcPr>
          <w:p>
            <w:pPr>
              <w:pStyle w:val="TableParagraph"/>
              <w:spacing w:line="240" w:lineRule="auto"/>
              <w:ind w:left="499" w:right="507"/>
              <w:jc w:val="center"/>
              <w:rPr>
                <w:sz w:val="24"/>
              </w:rPr>
            </w:pPr>
            <w:r>
              <w:rPr>
                <w:sz w:val="24"/>
              </w:rPr>
              <w:t>29.9</w:t>
            </w:r>
          </w:p>
        </w:tc>
      </w:tr>
      <w:tr>
        <w:trPr>
          <w:trHeight w:val="286" w:hRule="exact"/>
        </w:trPr>
        <w:tc>
          <w:tcPr>
            <w:tcW w:w="2100" w:type="dxa"/>
            <w:tcBorders>
              <w:top w:val="nil"/>
              <w:left w:val="nil"/>
              <w:bottom w:val="nil"/>
              <w:right w:val="nil"/>
            </w:tcBorders>
          </w:tcPr>
          <w:p>
            <w:pPr/>
          </w:p>
        </w:tc>
        <w:tc>
          <w:tcPr>
            <w:tcW w:w="2846" w:type="dxa"/>
            <w:tcBorders>
              <w:top w:val="nil"/>
              <w:left w:val="nil"/>
              <w:bottom w:val="nil"/>
              <w:right w:val="nil"/>
            </w:tcBorders>
          </w:tcPr>
          <w:p>
            <w:pPr>
              <w:pStyle w:val="TableParagraph"/>
              <w:spacing w:line="267" w:lineRule="exact"/>
              <w:ind w:left="440" w:right="184"/>
              <w:rPr>
                <w:sz w:val="24"/>
              </w:rPr>
            </w:pPr>
            <w:r>
              <w:rPr>
                <w:sz w:val="24"/>
              </w:rPr>
              <w:t>Moderados</w:t>
            </w:r>
          </w:p>
        </w:tc>
        <w:tc>
          <w:tcPr>
            <w:tcW w:w="1915" w:type="dxa"/>
            <w:tcBorders>
              <w:top w:val="nil"/>
              <w:left w:val="nil"/>
              <w:bottom w:val="nil"/>
              <w:right w:val="nil"/>
            </w:tcBorders>
          </w:tcPr>
          <w:p>
            <w:pPr>
              <w:pStyle w:val="TableParagraph"/>
              <w:spacing w:line="267" w:lineRule="exact"/>
              <w:ind w:left="181" w:right="499"/>
              <w:jc w:val="center"/>
              <w:rPr>
                <w:sz w:val="24"/>
              </w:rPr>
            </w:pPr>
            <w:r>
              <w:rPr>
                <w:sz w:val="24"/>
              </w:rPr>
              <w:t>53</w:t>
            </w:r>
          </w:p>
        </w:tc>
        <w:tc>
          <w:tcPr>
            <w:tcW w:w="2201" w:type="dxa"/>
            <w:tcBorders>
              <w:top w:val="nil"/>
              <w:left w:val="nil"/>
              <w:bottom w:val="nil"/>
              <w:right w:val="nil"/>
            </w:tcBorders>
          </w:tcPr>
          <w:p>
            <w:pPr>
              <w:pStyle w:val="TableParagraph"/>
              <w:spacing w:line="267" w:lineRule="exact"/>
              <w:ind w:left="497" w:right="513"/>
              <w:jc w:val="center"/>
              <w:rPr>
                <w:sz w:val="24"/>
              </w:rPr>
            </w:pPr>
            <w:r>
              <w:rPr>
                <w:sz w:val="24"/>
              </w:rPr>
              <w:t>65</w:t>
            </w:r>
          </w:p>
        </w:tc>
      </w:tr>
      <w:tr>
        <w:trPr>
          <w:trHeight w:val="276" w:hRule="exact"/>
        </w:trPr>
        <w:tc>
          <w:tcPr>
            <w:tcW w:w="2100" w:type="dxa"/>
            <w:tcBorders>
              <w:top w:val="nil"/>
              <w:left w:val="nil"/>
              <w:right w:val="nil"/>
            </w:tcBorders>
          </w:tcPr>
          <w:p>
            <w:pPr/>
          </w:p>
        </w:tc>
        <w:tc>
          <w:tcPr>
            <w:tcW w:w="2846" w:type="dxa"/>
            <w:tcBorders>
              <w:top w:val="nil"/>
              <w:left w:val="nil"/>
              <w:right w:val="nil"/>
            </w:tcBorders>
          </w:tcPr>
          <w:p>
            <w:pPr>
              <w:pStyle w:val="TableParagraph"/>
              <w:spacing w:line="270" w:lineRule="exact"/>
              <w:ind w:left="440" w:right="184"/>
              <w:rPr>
                <w:sz w:val="24"/>
              </w:rPr>
            </w:pPr>
            <w:r>
              <w:rPr>
                <w:sz w:val="24"/>
              </w:rPr>
              <w:t>Positivos</w:t>
            </w:r>
          </w:p>
        </w:tc>
        <w:tc>
          <w:tcPr>
            <w:tcW w:w="1915" w:type="dxa"/>
            <w:tcBorders>
              <w:top w:val="nil"/>
              <w:left w:val="nil"/>
              <w:right w:val="nil"/>
            </w:tcBorders>
          </w:tcPr>
          <w:p>
            <w:pPr>
              <w:pStyle w:val="TableParagraph"/>
              <w:spacing w:line="270" w:lineRule="exact"/>
              <w:ind w:left="0" w:right="319"/>
              <w:jc w:val="center"/>
              <w:rPr>
                <w:sz w:val="24"/>
              </w:rPr>
            </w:pPr>
            <w:r>
              <w:rPr>
                <w:w w:val="99"/>
                <w:sz w:val="24"/>
              </w:rPr>
              <w:t>5</w:t>
            </w:r>
          </w:p>
        </w:tc>
        <w:tc>
          <w:tcPr>
            <w:tcW w:w="2201" w:type="dxa"/>
            <w:tcBorders>
              <w:top w:val="nil"/>
              <w:left w:val="nil"/>
              <w:right w:val="nil"/>
            </w:tcBorders>
          </w:tcPr>
          <w:p>
            <w:pPr>
              <w:pStyle w:val="TableParagraph"/>
              <w:spacing w:line="270" w:lineRule="exact"/>
              <w:ind w:left="499" w:right="507"/>
              <w:jc w:val="center"/>
              <w:rPr>
                <w:sz w:val="24"/>
              </w:rPr>
            </w:pPr>
            <w:r>
              <w:rPr>
                <w:sz w:val="24"/>
              </w:rPr>
              <w:t>5.1</w:t>
            </w:r>
          </w:p>
        </w:tc>
      </w:tr>
      <w:tr>
        <w:trPr>
          <w:trHeight w:val="295" w:hRule="exact"/>
        </w:trPr>
        <w:tc>
          <w:tcPr>
            <w:tcW w:w="2100" w:type="dxa"/>
            <w:tcBorders>
              <w:left w:val="nil"/>
              <w:bottom w:val="nil"/>
              <w:right w:val="nil"/>
            </w:tcBorders>
          </w:tcPr>
          <w:p>
            <w:pPr>
              <w:pStyle w:val="TableParagraph"/>
              <w:spacing w:line="272" w:lineRule="exact"/>
              <w:ind w:left="110"/>
              <w:rPr>
                <w:sz w:val="24"/>
              </w:rPr>
            </w:pPr>
            <w:r>
              <w:rPr>
                <w:sz w:val="24"/>
              </w:rPr>
              <w:t>Cvp</w:t>
            </w:r>
          </w:p>
        </w:tc>
        <w:tc>
          <w:tcPr>
            <w:tcW w:w="2846" w:type="dxa"/>
            <w:tcBorders>
              <w:left w:val="nil"/>
              <w:bottom w:val="nil"/>
              <w:right w:val="nil"/>
            </w:tcBorders>
          </w:tcPr>
          <w:p>
            <w:pPr>
              <w:pStyle w:val="TableParagraph"/>
              <w:spacing w:line="272" w:lineRule="exact"/>
              <w:ind w:left="440" w:right="184"/>
              <w:rPr>
                <w:sz w:val="24"/>
              </w:rPr>
            </w:pPr>
            <w:r>
              <w:rPr>
                <w:sz w:val="24"/>
              </w:rPr>
              <w:t>Mínimo calidad</w:t>
            </w:r>
          </w:p>
        </w:tc>
        <w:tc>
          <w:tcPr>
            <w:tcW w:w="1915" w:type="dxa"/>
            <w:tcBorders>
              <w:left w:val="nil"/>
              <w:bottom w:val="nil"/>
              <w:right w:val="nil"/>
            </w:tcBorders>
          </w:tcPr>
          <w:p>
            <w:pPr>
              <w:pStyle w:val="TableParagraph"/>
              <w:spacing w:line="272" w:lineRule="exact"/>
              <w:ind w:left="0" w:right="319"/>
              <w:jc w:val="center"/>
              <w:rPr>
                <w:sz w:val="24"/>
              </w:rPr>
            </w:pPr>
            <w:r>
              <w:rPr>
                <w:w w:val="99"/>
                <w:sz w:val="24"/>
              </w:rPr>
              <w:t>3</w:t>
            </w:r>
          </w:p>
        </w:tc>
        <w:tc>
          <w:tcPr>
            <w:tcW w:w="2201" w:type="dxa"/>
            <w:tcBorders>
              <w:left w:val="nil"/>
              <w:bottom w:val="nil"/>
              <w:right w:val="nil"/>
            </w:tcBorders>
          </w:tcPr>
          <w:p>
            <w:pPr>
              <w:pStyle w:val="TableParagraph"/>
              <w:spacing w:line="272" w:lineRule="exact"/>
              <w:ind w:left="499" w:right="507"/>
              <w:jc w:val="center"/>
              <w:rPr>
                <w:sz w:val="24"/>
              </w:rPr>
            </w:pPr>
            <w:r>
              <w:rPr>
                <w:sz w:val="24"/>
              </w:rPr>
              <w:t>3.1</w:t>
            </w:r>
          </w:p>
        </w:tc>
      </w:tr>
      <w:tr>
        <w:trPr>
          <w:trHeight w:val="286" w:hRule="exact"/>
        </w:trPr>
        <w:tc>
          <w:tcPr>
            <w:tcW w:w="2100" w:type="dxa"/>
            <w:tcBorders>
              <w:top w:val="nil"/>
              <w:left w:val="nil"/>
              <w:bottom w:val="nil"/>
              <w:right w:val="nil"/>
            </w:tcBorders>
          </w:tcPr>
          <w:p>
            <w:pPr/>
          </w:p>
        </w:tc>
        <w:tc>
          <w:tcPr>
            <w:tcW w:w="2846" w:type="dxa"/>
            <w:tcBorders>
              <w:top w:val="nil"/>
              <w:left w:val="nil"/>
              <w:bottom w:val="nil"/>
              <w:right w:val="nil"/>
            </w:tcBorders>
          </w:tcPr>
          <w:p>
            <w:pPr>
              <w:pStyle w:val="TableParagraph"/>
              <w:spacing w:line="269" w:lineRule="exact"/>
              <w:ind w:left="440" w:right="184"/>
              <w:rPr>
                <w:sz w:val="24"/>
              </w:rPr>
            </w:pPr>
            <w:r>
              <w:rPr>
                <w:sz w:val="24"/>
              </w:rPr>
              <w:t>Moderado</w:t>
            </w:r>
          </w:p>
        </w:tc>
        <w:tc>
          <w:tcPr>
            <w:tcW w:w="1915" w:type="dxa"/>
            <w:tcBorders>
              <w:top w:val="nil"/>
              <w:left w:val="nil"/>
              <w:bottom w:val="nil"/>
              <w:right w:val="nil"/>
            </w:tcBorders>
          </w:tcPr>
          <w:p>
            <w:pPr>
              <w:pStyle w:val="TableParagraph"/>
              <w:spacing w:line="269" w:lineRule="exact"/>
              <w:ind w:left="181" w:right="499"/>
              <w:jc w:val="center"/>
              <w:rPr>
                <w:sz w:val="24"/>
              </w:rPr>
            </w:pPr>
            <w:r>
              <w:rPr>
                <w:sz w:val="24"/>
              </w:rPr>
              <w:t>46</w:t>
            </w:r>
          </w:p>
        </w:tc>
        <w:tc>
          <w:tcPr>
            <w:tcW w:w="2201" w:type="dxa"/>
            <w:tcBorders>
              <w:top w:val="nil"/>
              <w:left w:val="nil"/>
              <w:bottom w:val="nil"/>
              <w:right w:val="nil"/>
            </w:tcBorders>
          </w:tcPr>
          <w:p>
            <w:pPr>
              <w:pStyle w:val="TableParagraph"/>
              <w:spacing w:line="269" w:lineRule="exact"/>
              <w:ind w:left="499" w:right="507"/>
              <w:jc w:val="center"/>
              <w:rPr>
                <w:sz w:val="24"/>
              </w:rPr>
            </w:pPr>
            <w:r>
              <w:rPr>
                <w:sz w:val="24"/>
              </w:rPr>
              <w:t>47.4</w:t>
            </w:r>
          </w:p>
        </w:tc>
      </w:tr>
      <w:tr>
        <w:trPr>
          <w:trHeight w:val="278" w:hRule="exact"/>
        </w:trPr>
        <w:tc>
          <w:tcPr>
            <w:tcW w:w="2100" w:type="dxa"/>
            <w:tcBorders>
              <w:top w:val="nil"/>
              <w:left w:val="nil"/>
              <w:right w:val="nil"/>
            </w:tcBorders>
          </w:tcPr>
          <w:p>
            <w:pPr/>
          </w:p>
        </w:tc>
        <w:tc>
          <w:tcPr>
            <w:tcW w:w="2846" w:type="dxa"/>
            <w:tcBorders>
              <w:top w:val="nil"/>
              <w:left w:val="nil"/>
              <w:right w:val="nil"/>
            </w:tcBorders>
          </w:tcPr>
          <w:p>
            <w:pPr>
              <w:pStyle w:val="TableParagraph"/>
              <w:spacing w:line="267" w:lineRule="exact"/>
              <w:ind w:left="440" w:right="184"/>
              <w:rPr>
                <w:sz w:val="24"/>
              </w:rPr>
            </w:pPr>
            <w:r>
              <w:rPr>
                <w:sz w:val="24"/>
              </w:rPr>
              <w:t>Máxima</w:t>
            </w:r>
          </w:p>
        </w:tc>
        <w:tc>
          <w:tcPr>
            <w:tcW w:w="1915" w:type="dxa"/>
            <w:tcBorders>
              <w:top w:val="nil"/>
              <w:left w:val="nil"/>
              <w:right w:val="nil"/>
            </w:tcBorders>
          </w:tcPr>
          <w:p>
            <w:pPr>
              <w:pStyle w:val="TableParagraph"/>
              <w:spacing w:line="267" w:lineRule="exact"/>
              <w:ind w:left="181" w:right="499"/>
              <w:jc w:val="center"/>
              <w:rPr>
                <w:sz w:val="24"/>
              </w:rPr>
            </w:pPr>
            <w:r>
              <w:rPr>
                <w:sz w:val="24"/>
              </w:rPr>
              <w:t>48</w:t>
            </w:r>
          </w:p>
        </w:tc>
        <w:tc>
          <w:tcPr>
            <w:tcW w:w="2201" w:type="dxa"/>
            <w:tcBorders>
              <w:top w:val="nil"/>
              <w:left w:val="nil"/>
              <w:right w:val="nil"/>
            </w:tcBorders>
          </w:tcPr>
          <w:p>
            <w:pPr>
              <w:pStyle w:val="TableParagraph"/>
              <w:spacing w:line="267" w:lineRule="exact"/>
              <w:ind w:left="499" w:right="507"/>
              <w:jc w:val="center"/>
              <w:rPr>
                <w:sz w:val="24"/>
              </w:rPr>
            </w:pPr>
            <w:r>
              <w:rPr>
                <w:sz w:val="24"/>
              </w:rPr>
              <w:t>49.5</w:t>
            </w:r>
          </w:p>
        </w:tc>
      </w:tr>
      <w:tr>
        <w:trPr>
          <w:trHeight w:val="295" w:hRule="exact"/>
        </w:trPr>
        <w:tc>
          <w:tcPr>
            <w:tcW w:w="2100" w:type="dxa"/>
            <w:vMerge w:val="restart"/>
            <w:tcBorders>
              <w:left w:val="nil"/>
              <w:right w:val="nil"/>
            </w:tcBorders>
          </w:tcPr>
          <w:p>
            <w:pPr>
              <w:pStyle w:val="TableParagraph"/>
              <w:spacing w:line="274" w:lineRule="exact" w:before="1"/>
              <w:ind w:left="110" w:right="689"/>
              <w:rPr>
                <w:sz w:val="24"/>
              </w:rPr>
            </w:pPr>
            <w:r>
              <w:rPr>
                <w:sz w:val="24"/>
              </w:rPr>
              <w:t>Gravedad enfermedad</w:t>
            </w:r>
          </w:p>
        </w:tc>
        <w:tc>
          <w:tcPr>
            <w:tcW w:w="2846" w:type="dxa"/>
            <w:tcBorders>
              <w:left w:val="nil"/>
              <w:bottom w:val="nil"/>
              <w:right w:val="nil"/>
            </w:tcBorders>
          </w:tcPr>
          <w:p>
            <w:pPr>
              <w:pStyle w:val="TableParagraph"/>
              <w:spacing w:line="272" w:lineRule="exact"/>
              <w:ind w:left="440" w:right="184"/>
              <w:rPr>
                <w:sz w:val="24"/>
              </w:rPr>
            </w:pPr>
            <w:r>
              <w:rPr>
                <w:sz w:val="24"/>
              </w:rPr>
              <w:t>Ninguna</w:t>
            </w:r>
          </w:p>
        </w:tc>
        <w:tc>
          <w:tcPr>
            <w:tcW w:w="1915" w:type="dxa"/>
            <w:tcBorders>
              <w:left w:val="nil"/>
              <w:bottom w:val="nil"/>
              <w:right w:val="nil"/>
            </w:tcBorders>
          </w:tcPr>
          <w:p>
            <w:pPr>
              <w:pStyle w:val="TableParagraph"/>
              <w:spacing w:line="272" w:lineRule="exact"/>
              <w:ind w:left="181" w:right="499"/>
              <w:jc w:val="center"/>
              <w:rPr>
                <w:sz w:val="24"/>
              </w:rPr>
            </w:pPr>
            <w:r>
              <w:rPr>
                <w:sz w:val="24"/>
              </w:rPr>
              <w:t>39</w:t>
            </w:r>
          </w:p>
        </w:tc>
        <w:tc>
          <w:tcPr>
            <w:tcW w:w="2201" w:type="dxa"/>
            <w:tcBorders>
              <w:left w:val="nil"/>
              <w:bottom w:val="nil"/>
              <w:right w:val="nil"/>
            </w:tcBorders>
          </w:tcPr>
          <w:p>
            <w:pPr>
              <w:pStyle w:val="TableParagraph"/>
              <w:spacing w:line="272" w:lineRule="exact"/>
              <w:ind w:left="499" w:right="507"/>
              <w:jc w:val="center"/>
              <w:rPr>
                <w:sz w:val="24"/>
              </w:rPr>
            </w:pPr>
            <w:r>
              <w:rPr>
                <w:sz w:val="24"/>
              </w:rPr>
              <w:t>40.2</w:t>
            </w:r>
          </w:p>
        </w:tc>
      </w:tr>
      <w:tr>
        <w:trPr>
          <w:trHeight w:val="281" w:hRule="exact"/>
        </w:trPr>
        <w:tc>
          <w:tcPr>
            <w:tcW w:w="2100" w:type="dxa"/>
            <w:vMerge/>
            <w:tcBorders>
              <w:left w:val="nil"/>
              <w:bottom w:val="nil"/>
              <w:right w:val="nil"/>
            </w:tcBorders>
          </w:tcPr>
          <w:p>
            <w:pPr/>
          </w:p>
        </w:tc>
        <w:tc>
          <w:tcPr>
            <w:tcW w:w="2846" w:type="dxa"/>
            <w:tcBorders>
              <w:top w:val="nil"/>
              <w:left w:val="nil"/>
              <w:bottom w:val="nil"/>
              <w:right w:val="nil"/>
            </w:tcBorders>
          </w:tcPr>
          <w:p>
            <w:pPr>
              <w:pStyle w:val="TableParagraph"/>
              <w:spacing w:line="270" w:lineRule="exact"/>
              <w:ind w:left="440" w:right="184"/>
              <w:rPr>
                <w:sz w:val="24"/>
              </w:rPr>
            </w:pPr>
            <w:r>
              <w:rPr>
                <w:sz w:val="24"/>
              </w:rPr>
              <w:t>Moderada</w:t>
            </w:r>
          </w:p>
        </w:tc>
        <w:tc>
          <w:tcPr>
            <w:tcW w:w="1915" w:type="dxa"/>
            <w:tcBorders>
              <w:top w:val="nil"/>
              <w:left w:val="nil"/>
              <w:bottom w:val="nil"/>
              <w:right w:val="nil"/>
            </w:tcBorders>
          </w:tcPr>
          <w:p>
            <w:pPr>
              <w:pStyle w:val="TableParagraph"/>
              <w:spacing w:line="270" w:lineRule="exact"/>
              <w:ind w:left="181" w:right="499"/>
              <w:jc w:val="center"/>
              <w:rPr>
                <w:sz w:val="24"/>
              </w:rPr>
            </w:pPr>
            <w:r>
              <w:rPr>
                <w:sz w:val="24"/>
              </w:rPr>
              <w:t>48</w:t>
            </w:r>
          </w:p>
        </w:tc>
        <w:tc>
          <w:tcPr>
            <w:tcW w:w="2201" w:type="dxa"/>
            <w:tcBorders>
              <w:top w:val="nil"/>
              <w:left w:val="nil"/>
              <w:bottom w:val="nil"/>
              <w:right w:val="nil"/>
            </w:tcBorders>
          </w:tcPr>
          <w:p>
            <w:pPr>
              <w:pStyle w:val="TableParagraph"/>
              <w:spacing w:line="270" w:lineRule="exact"/>
              <w:ind w:left="499" w:right="507"/>
              <w:jc w:val="center"/>
              <w:rPr>
                <w:sz w:val="24"/>
              </w:rPr>
            </w:pPr>
            <w:r>
              <w:rPr>
                <w:sz w:val="24"/>
              </w:rPr>
              <w:t>49.5</w:t>
            </w:r>
          </w:p>
        </w:tc>
      </w:tr>
      <w:tr>
        <w:trPr>
          <w:trHeight w:val="274" w:hRule="exact"/>
        </w:trPr>
        <w:tc>
          <w:tcPr>
            <w:tcW w:w="2100" w:type="dxa"/>
            <w:tcBorders>
              <w:top w:val="nil"/>
              <w:left w:val="nil"/>
              <w:right w:val="nil"/>
            </w:tcBorders>
          </w:tcPr>
          <w:p>
            <w:pPr/>
          </w:p>
        </w:tc>
        <w:tc>
          <w:tcPr>
            <w:tcW w:w="2846" w:type="dxa"/>
            <w:tcBorders>
              <w:top w:val="nil"/>
              <w:left w:val="nil"/>
              <w:right w:val="nil"/>
            </w:tcBorders>
          </w:tcPr>
          <w:p>
            <w:pPr>
              <w:pStyle w:val="TableParagraph"/>
              <w:spacing w:line="262" w:lineRule="exact"/>
              <w:ind w:left="440" w:right="184"/>
              <w:rPr>
                <w:sz w:val="24"/>
              </w:rPr>
            </w:pPr>
            <w:r>
              <w:rPr>
                <w:sz w:val="24"/>
              </w:rPr>
              <w:t>Extrema</w:t>
            </w:r>
          </w:p>
        </w:tc>
        <w:tc>
          <w:tcPr>
            <w:tcW w:w="1915" w:type="dxa"/>
            <w:tcBorders>
              <w:top w:val="nil"/>
              <w:left w:val="nil"/>
              <w:right w:val="nil"/>
            </w:tcBorders>
          </w:tcPr>
          <w:p>
            <w:pPr>
              <w:pStyle w:val="TableParagraph"/>
              <w:spacing w:line="262" w:lineRule="exact"/>
              <w:ind w:left="181" w:right="499"/>
              <w:jc w:val="center"/>
              <w:rPr>
                <w:sz w:val="24"/>
              </w:rPr>
            </w:pPr>
            <w:r>
              <w:rPr>
                <w:sz w:val="24"/>
              </w:rPr>
              <w:t>10</w:t>
            </w:r>
          </w:p>
        </w:tc>
        <w:tc>
          <w:tcPr>
            <w:tcW w:w="2201" w:type="dxa"/>
            <w:tcBorders>
              <w:top w:val="nil"/>
              <w:left w:val="nil"/>
              <w:right w:val="nil"/>
            </w:tcBorders>
          </w:tcPr>
          <w:p>
            <w:pPr>
              <w:pStyle w:val="TableParagraph"/>
              <w:spacing w:line="262" w:lineRule="exact"/>
              <w:ind w:left="499" w:right="507"/>
              <w:jc w:val="center"/>
              <w:rPr>
                <w:sz w:val="24"/>
              </w:rPr>
            </w:pPr>
            <w:r>
              <w:rPr>
                <w:sz w:val="24"/>
              </w:rPr>
              <w:t>10.3</w:t>
            </w:r>
          </w:p>
        </w:tc>
      </w:tr>
    </w:tbl>
    <w:p>
      <w:pPr>
        <w:pStyle w:val="BodyText"/>
        <w:spacing w:before="5"/>
        <w:rPr>
          <w:sz w:val="29"/>
        </w:rPr>
      </w:pPr>
    </w:p>
    <w:p>
      <w:pPr>
        <w:pStyle w:val="BodyText"/>
        <w:spacing w:line="360" w:lineRule="auto" w:before="70"/>
        <w:ind w:left="216" w:right="116"/>
        <w:jc w:val="both"/>
      </w:pPr>
      <w:r>
        <w:rPr/>
        <w:t>Con respecto  a  los  análisis  de  correlación,  estos  se  realizaron  para  la  muestra  en general y la variable  sexo,  en  dicho  análisis  se  tomó  en  cuenta  ambas  variables  (CV  y  HV)  así  como  sus</w:t>
      </w:r>
      <w:r>
        <w:rPr>
          <w:spacing w:val="55"/>
        </w:rPr>
        <w:t> </w:t>
      </w:r>
      <w:r>
        <w:rPr/>
        <w:t>factores.</w:t>
      </w:r>
    </w:p>
    <w:p>
      <w:pPr>
        <w:spacing w:after="0" w:line="360" w:lineRule="auto"/>
        <w:jc w:val="both"/>
        <w:sectPr>
          <w:pgSz w:w="12240" w:h="15840"/>
          <w:pgMar w:header="729" w:footer="0" w:top="960" w:bottom="280" w:left="1200" w:right="1300"/>
        </w:sectPr>
      </w:pPr>
    </w:p>
    <w:p>
      <w:pPr>
        <w:pStyle w:val="BodyText"/>
        <w:rPr>
          <w:sz w:val="20"/>
        </w:rPr>
      </w:pPr>
    </w:p>
    <w:p>
      <w:pPr>
        <w:pStyle w:val="BodyText"/>
        <w:spacing w:line="360" w:lineRule="auto" w:before="213"/>
        <w:ind w:left="116" w:right="110"/>
        <w:jc w:val="both"/>
      </w:pPr>
      <w:r>
        <w:rPr/>
        <w:t>De  acuerdo  a  la  muestra  general  se  obtuvo  la  tabla  2  mostrando  que  existe   una correlación negativa  baja  entre  las  variables  hábitos  de  vida  y  calidad  de  vida. De modo  que  la  calidad  de  vida  </w:t>
      </w:r>
      <w:r>
        <w:rPr>
          <w:spacing w:val="-3"/>
        </w:rPr>
        <w:t>se  </w:t>
      </w:r>
      <w:r>
        <w:rPr/>
        <w:t>encuentra  relacionada  con  los  hábitos  de vida de las personas diabéticas, sin  embargo  no  son  dependientes  una  de  la otra, una  persona  puede  tener  calidad  de  vida  sin  tener  buenos  hábitos  de  vida  y  a  la</w:t>
      </w:r>
      <w:r>
        <w:rPr>
          <w:spacing w:val="-5"/>
        </w:rPr>
        <w:t> </w:t>
      </w:r>
      <w:r>
        <w:rPr/>
        <w:t>inversa.</w:t>
      </w:r>
    </w:p>
    <w:p>
      <w:pPr>
        <w:pStyle w:val="BodyText"/>
      </w:pPr>
    </w:p>
    <w:p>
      <w:pPr>
        <w:pStyle w:val="BodyText"/>
        <w:spacing w:line="360" w:lineRule="auto" w:before="140"/>
        <w:ind w:left="116" w:right="111"/>
        <w:jc w:val="both"/>
      </w:pPr>
      <w:r>
        <w:rPr/>
        <w:t>Con  respecto  a  los  factores  se  obtuvo  que:  el  factor  contenido  calórico  tiene   una  correlación  negativa  baja  con  el  factor  control  de  la</w:t>
      </w:r>
      <w:r>
        <w:rPr>
          <w:spacing w:val="50"/>
        </w:rPr>
        <w:t> </w:t>
      </w:r>
      <w:r>
        <w:rPr/>
        <w:t>diabetes.</w:t>
      </w:r>
    </w:p>
    <w:p>
      <w:pPr>
        <w:pStyle w:val="BodyText"/>
      </w:pPr>
    </w:p>
    <w:p>
      <w:pPr>
        <w:pStyle w:val="BodyText"/>
        <w:spacing w:line="360" w:lineRule="auto" w:before="145"/>
        <w:ind w:left="116" w:right="110"/>
        <w:jc w:val="both"/>
      </w:pPr>
      <w:r>
        <w:rPr/>
        <w:t>El factor comer por bienestar psicológico, mostró correlaciones positivas, tanto moderadas como bajas con los factores: energía, control de la diabetes, ansiedad-preocupación y con la variable calidad de vida. </w:t>
      </w:r>
      <w:r>
        <w:rPr>
          <w:spacing w:val="-4"/>
        </w:rPr>
        <w:t>El  </w:t>
      </w:r>
      <w:r>
        <w:rPr/>
        <w:t>factor  ejercicio  físico  arrojó correlaciones  negativas,  moderadas  y  bajas  con  los  factores  energía,  control de la diabetes, carga social y con la variable calidad de vida. El factor alimentación saludable muestra correlaciones negativas, moderadas y  bajas  con control  de  la  diabetes,  ansiedad-preocupación  y  con  la  variable  calidad  de</w:t>
      </w:r>
      <w:r>
        <w:rPr>
          <w:spacing w:val="45"/>
        </w:rPr>
        <w:t> </w:t>
      </w:r>
      <w:r>
        <w:rPr/>
        <w:t>vida.</w:t>
      </w:r>
    </w:p>
    <w:p>
      <w:pPr>
        <w:pStyle w:val="BodyText"/>
      </w:pPr>
    </w:p>
    <w:p>
      <w:pPr>
        <w:pStyle w:val="BodyText"/>
        <w:spacing w:line="360" w:lineRule="auto" w:before="144"/>
        <w:ind w:left="116" w:right="113"/>
        <w:jc w:val="both"/>
      </w:pPr>
      <w:r>
        <w:rPr/>
        <w:t>La variable hábitos de  vida  mostró  una  correlación  negativa  y  baja  con  los  factores  energía,  así  como  con  control  de  la</w:t>
      </w:r>
      <w:r>
        <w:rPr>
          <w:spacing w:val="48"/>
        </w:rPr>
        <w:t> </w:t>
      </w:r>
      <w:r>
        <w:rPr/>
        <w:t>diabetes.</w:t>
      </w:r>
    </w:p>
    <w:p>
      <w:pPr>
        <w:pStyle w:val="BodyText"/>
        <w:rPr>
          <w:sz w:val="25"/>
        </w:rPr>
      </w:pPr>
    </w:p>
    <w:p>
      <w:pPr>
        <w:pStyle w:val="BodyText"/>
        <w:spacing w:line="274" w:lineRule="exact"/>
        <w:ind w:left="116" w:right="110"/>
        <w:jc w:val="both"/>
      </w:pPr>
      <w:r>
        <w:rPr/>
        <w:t>Tabla 2. Correlación de Pearson para las  variables  calidad  de  vida  y  hábitos  de  vida  y  sus  factores  para  los  97  sujetos</w:t>
      </w:r>
      <w:r>
        <w:rPr>
          <w:spacing w:val="54"/>
        </w:rPr>
        <w:t> </w:t>
      </w:r>
      <w:r>
        <w:rPr/>
        <w:t>encuestados</w:t>
      </w:r>
    </w:p>
    <w:p>
      <w:pPr>
        <w:pStyle w:val="BodyText"/>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3"/>
        <w:gridCol w:w="1504"/>
        <w:gridCol w:w="1510"/>
        <w:gridCol w:w="1196"/>
        <w:gridCol w:w="1651"/>
        <w:gridCol w:w="1161"/>
      </w:tblGrid>
      <w:tr>
        <w:trPr>
          <w:trHeight w:val="840" w:hRule="exact"/>
        </w:trPr>
        <w:tc>
          <w:tcPr>
            <w:tcW w:w="2053" w:type="dxa"/>
            <w:tcBorders>
              <w:left w:val="nil"/>
              <w:right w:val="nil"/>
            </w:tcBorders>
          </w:tcPr>
          <w:p>
            <w:pPr>
              <w:pStyle w:val="TableParagraph"/>
              <w:spacing w:line="242" w:lineRule="auto"/>
              <w:ind w:left="638" w:right="376" w:hanging="169"/>
              <w:rPr>
                <w:sz w:val="24"/>
              </w:rPr>
            </w:pPr>
            <w:r>
              <w:rPr>
                <w:sz w:val="24"/>
              </w:rPr>
              <w:t>Variables y factores</w:t>
            </w:r>
          </w:p>
        </w:tc>
        <w:tc>
          <w:tcPr>
            <w:tcW w:w="1504" w:type="dxa"/>
            <w:tcBorders>
              <w:left w:val="nil"/>
              <w:right w:val="nil"/>
            </w:tcBorders>
          </w:tcPr>
          <w:p>
            <w:pPr>
              <w:pStyle w:val="TableParagraph"/>
              <w:spacing w:line="242" w:lineRule="auto"/>
              <w:ind w:left="343" w:right="157" w:hanging="111"/>
              <w:rPr>
                <w:sz w:val="24"/>
              </w:rPr>
            </w:pPr>
            <w:r>
              <w:rPr>
                <w:sz w:val="24"/>
              </w:rPr>
              <w:t>Contenido Calórico</w:t>
            </w:r>
          </w:p>
        </w:tc>
        <w:tc>
          <w:tcPr>
            <w:tcW w:w="1510" w:type="dxa"/>
            <w:tcBorders>
              <w:left w:val="nil"/>
              <w:right w:val="nil"/>
            </w:tcBorders>
          </w:tcPr>
          <w:p>
            <w:pPr>
              <w:pStyle w:val="TableParagraph"/>
              <w:spacing w:line="240" w:lineRule="auto"/>
              <w:ind w:left="174" w:right="145" w:hanging="6"/>
              <w:jc w:val="center"/>
              <w:rPr>
                <w:sz w:val="24"/>
              </w:rPr>
            </w:pPr>
            <w:r>
              <w:rPr>
                <w:sz w:val="24"/>
              </w:rPr>
              <w:t>Comer por bienestar psicológico</w:t>
            </w:r>
          </w:p>
        </w:tc>
        <w:tc>
          <w:tcPr>
            <w:tcW w:w="1196" w:type="dxa"/>
            <w:tcBorders>
              <w:left w:val="nil"/>
              <w:right w:val="nil"/>
            </w:tcBorders>
          </w:tcPr>
          <w:p>
            <w:pPr>
              <w:pStyle w:val="TableParagraph"/>
              <w:spacing w:line="242" w:lineRule="auto"/>
              <w:ind w:left="325" w:right="122" w:hanging="178"/>
              <w:rPr>
                <w:sz w:val="24"/>
              </w:rPr>
            </w:pPr>
            <w:r>
              <w:rPr>
                <w:sz w:val="24"/>
              </w:rPr>
              <w:t>Ejercicio físico</w:t>
            </w:r>
          </w:p>
        </w:tc>
        <w:tc>
          <w:tcPr>
            <w:tcW w:w="1651" w:type="dxa"/>
            <w:tcBorders>
              <w:left w:val="nil"/>
              <w:right w:val="nil"/>
            </w:tcBorders>
          </w:tcPr>
          <w:p>
            <w:pPr>
              <w:pStyle w:val="TableParagraph"/>
              <w:spacing w:line="242" w:lineRule="auto"/>
              <w:ind w:left="310" w:right="120" w:hanging="173"/>
              <w:rPr>
                <w:sz w:val="24"/>
              </w:rPr>
            </w:pPr>
            <w:r>
              <w:rPr>
                <w:sz w:val="24"/>
              </w:rPr>
              <w:t>Alimentación saludable</w:t>
            </w:r>
          </w:p>
        </w:tc>
        <w:tc>
          <w:tcPr>
            <w:tcW w:w="1161" w:type="dxa"/>
            <w:tcBorders>
              <w:left w:val="nil"/>
              <w:right w:val="nil"/>
            </w:tcBorders>
          </w:tcPr>
          <w:p>
            <w:pPr>
              <w:pStyle w:val="TableParagraph"/>
              <w:spacing w:line="242" w:lineRule="auto"/>
              <w:ind w:left="138" w:right="189"/>
              <w:rPr>
                <w:sz w:val="24"/>
              </w:rPr>
            </w:pPr>
            <w:r>
              <w:rPr>
                <w:sz w:val="24"/>
              </w:rPr>
              <w:t>Hábitos de vida</w:t>
            </w:r>
          </w:p>
        </w:tc>
      </w:tr>
      <w:tr>
        <w:trPr>
          <w:trHeight w:val="288" w:hRule="exact"/>
        </w:trPr>
        <w:tc>
          <w:tcPr>
            <w:tcW w:w="2053" w:type="dxa"/>
            <w:tcBorders>
              <w:left w:val="nil"/>
              <w:bottom w:val="nil"/>
              <w:right w:val="nil"/>
            </w:tcBorders>
          </w:tcPr>
          <w:p>
            <w:pPr>
              <w:pStyle w:val="TableParagraph"/>
              <w:spacing w:line="272" w:lineRule="exact"/>
              <w:ind w:left="110" w:right="376"/>
              <w:rPr>
                <w:sz w:val="24"/>
              </w:rPr>
            </w:pPr>
            <w:r>
              <w:rPr>
                <w:sz w:val="24"/>
              </w:rPr>
              <w:t>Energía</w:t>
            </w:r>
          </w:p>
        </w:tc>
        <w:tc>
          <w:tcPr>
            <w:tcW w:w="1504" w:type="dxa"/>
            <w:tcBorders>
              <w:left w:val="nil"/>
              <w:bottom w:val="nil"/>
              <w:right w:val="nil"/>
            </w:tcBorders>
          </w:tcPr>
          <w:p>
            <w:pPr>
              <w:pStyle w:val="TableParagraph"/>
              <w:spacing w:line="272" w:lineRule="exact"/>
              <w:ind w:left="0" w:right="440"/>
              <w:jc w:val="right"/>
              <w:rPr>
                <w:sz w:val="24"/>
              </w:rPr>
            </w:pPr>
            <w:r>
              <w:rPr>
                <w:sz w:val="24"/>
              </w:rPr>
              <w:t>-.126</w:t>
            </w:r>
          </w:p>
        </w:tc>
        <w:tc>
          <w:tcPr>
            <w:tcW w:w="1510" w:type="dxa"/>
            <w:tcBorders>
              <w:left w:val="nil"/>
              <w:bottom w:val="nil"/>
              <w:right w:val="nil"/>
            </w:tcBorders>
          </w:tcPr>
          <w:p>
            <w:pPr>
              <w:pStyle w:val="TableParagraph"/>
              <w:spacing w:line="272" w:lineRule="exact"/>
              <w:ind w:left="418" w:right="393"/>
              <w:jc w:val="center"/>
              <w:rPr>
                <w:sz w:val="24"/>
              </w:rPr>
            </w:pPr>
            <w:r>
              <w:rPr>
                <w:sz w:val="24"/>
              </w:rPr>
              <w:t>.206*</w:t>
            </w:r>
          </w:p>
        </w:tc>
        <w:tc>
          <w:tcPr>
            <w:tcW w:w="1196" w:type="dxa"/>
            <w:tcBorders>
              <w:left w:val="nil"/>
              <w:bottom w:val="nil"/>
              <w:right w:val="nil"/>
            </w:tcBorders>
          </w:tcPr>
          <w:p>
            <w:pPr>
              <w:pStyle w:val="TableParagraph"/>
              <w:spacing w:line="272" w:lineRule="exact"/>
              <w:ind w:left="219" w:right="202"/>
              <w:jc w:val="center"/>
              <w:rPr>
                <w:sz w:val="24"/>
              </w:rPr>
            </w:pPr>
            <w:r>
              <w:rPr>
                <w:sz w:val="24"/>
              </w:rPr>
              <w:t>-.310**</w:t>
            </w:r>
          </w:p>
        </w:tc>
        <w:tc>
          <w:tcPr>
            <w:tcW w:w="1651" w:type="dxa"/>
            <w:tcBorders>
              <w:left w:val="nil"/>
              <w:bottom w:val="nil"/>
              <w:right w:val="nil"/>
            </w:tcBorders>
          </w:tcPr>
          <w:p>
            <w:pPr>
              <w:pStyle w:val="TableParagraph"/>
              <w:spacing w:line="272" w:lineRule="exact"/>
              <w:ind w:left="437" w:right="437"/>
              <w:jc w:val="center"/>
              <w:rPr>
                <w:sz w:val="24"/>
              </w:rPr>
            </w:pPr>
            <w:r>
              <w:rPr>
                <w:sz w:val="24"/>
              </w:rPr>
              <w:t>-.182</w:t>
            </w:r>
          </w:p>
        </w:tc>
        <w:tc>
          <w:tcPr>
            <w:tcW w:w="1161" w:type="dxa"/>
            <w:tcBorders>
              <w:left w:val="nil"/>
              <w:bottom w:val="nil"/>
              <w:right w:val="nil"/>
            </w:tcBorders>
          </w:tcPr>
          <w:p>
            <w:pPr>
              <w:pStyle w:val="TableParagraph"/>
              <w:spacing w:line="272" w:lineRule="exact"/>
              <w:ind w:left="259" w:right="221"/>
              <w:jc w:val="center"/>
              <w:rPr>
                <w:sz w:val="24"/>
              </w:rPr>
            </w:pPr>
            <w:r>
              <w:rPr>
                <w:sz w:val="24"/>
              </w:rPr>
              <w:t>-.209*</w:t>
            </w:r>
          </w:p>
        </w:tc>
      </w:tr>
      <w:tr>
        <w:trPr>
          <w:trHeight w:val="276" w:hRule="exact"/>
        </w:trPr>
        <w:tc>
          <w:tcPr>
            <w:tcW w:w="2053" w:type="dxa"/>
            <w:tcBorders>
              <w:top w:val="nil"/>
              <w:left w:val="nil"/>
              <w:bottom w:val="nil"/>
              <w:right w:val="nil"/>
            </w:tcBorders>
          </w:tcPr>
          <w:p>
            <w:pPr>
              <w:pStyle w:val="TableParagraph"/>
              <w:spacing w:line="262" w:lineRule="exact"/>
              <w:ind w:left="110" w:right="376"/>
              <w:rPr>
                <w:sz w:val="24"/>
              </w:rPr>
            </w:pPr>
            <w:r>
              <w:rPr>
                <w:sz w:val="24"/>
              </w:rPr>
              <w:t>Control</w:t>
            </w:r>
          </w:p>
        </w:tc>
        <w:tc>
          <w:tcPr>
            <w:tcW w:w="1504" w:type="dxa"/>
            <w:tcBorders>
              <w:top w:val="nil"/>
              <w:left w:val="nil"/>
              <w:bottom w:val="nil"/>
              <w:right w:val="nil"/>
            </w:tcBorders>
          </w:tcPr>
          <w:p>
            <w:pPr>
              <w:pStyle w:val="TableParagraph"/>
              <w:spacing w:line="262" w:lineRule="exact"/>
              <w:ind w:left="0" w:right="394"/>
              <w:jc w:val="right"/>
              <w:rPr>
                <w:sz w:val="24"/>
              </w:rPr>
            </w:pPr>
            <w:r>
              <w:rPr>
                <w:sz w:val="24"/>
              </w:rPr>
              <w:t>-.210*</w:t>
            </w:r>
          </w:p>
        </w:tc>
        <w:tc>
          <w:tcPr>
            <w:tcW w:w="1510" w:type="dxa"/>
            <w:tcBorders>
              <w:top w:val="nil"/>
              <w:left w:val="nil"/>
              <w:bottom w:val="nil"/>
              <w:right w:val="nil"/>
            </w:tcBorders>
          </w:tcPr>
          <w:p>
            <w:pPr>
              <w:pStyle w:val="TableParagraph"/>
              <w:spacing w:line="262" w:lineRule="exact"/>
              <w:ind w:left="423" w:right="393"/>
              <w:jc w:val="center"/>
              <w:rPr>
                <w:sz w:val="24"/>
              </w:rPr>
            </w:pPr>
            <w:r>
              <w:rPr>
                <w:sz w:val="24"/>
              </w:rPr>
              <w:t>.381**</w:t>
            </w:r>
          </w:p>
        </w:tc>
        <w:tc>
          <w:tcPr>
            <w:tcW w:w="1196" w:type="dxa"/>
            <w:tcBorders>
              <w:top w:val="nil"/>
              <w:left w:val="nil"/>
              <w:bottom w:val="nil"/>
              <w:right w:val="nil"/>
            </w:tcBorders>
          </w:tcPr>
          <w:p>
            <w:pPr>
              <w:pStyle w:val="TableParagraph"/>
              <w:spacing w:line="262" w:lineRule="exact"/>
              <w:ind w:left="219" w:right="202"/>
              <w:jc w:val="center"/>
              <w:rPr>
                <w:sz w:val="24"/>
              </w:rPr>
            </w:pPr>
            <w:r>
              <w:rPr>
                <w:sz w:val="24"/>
              </w:rPr>
              <w:t>-.330**</w:t>
            </w:r>
          </w:p>
        </w:tc>
        <w:tc>
          <w:tcPr>
            <w:tcW w:w="1651" w:type="dxa"/>
            <w:tcBorders>
              <w:top w:val="nil"/>
              <w:left w:val="nil"/>
              <w:bottom w:val="nil"/>
              <w:right w:val="nil"/>
            </w:tcBorders>
          </w:tcPr>
          <w:p>
            <w:pPr>
              <w:pStyle w:val="TableParagraph"/>
              <w:spacing w:line="262" w:lineRule="exact"/>
              <w:ind w:left="440" w:right="437"/>
              <w:jc w:val="center"/>
              <w:rPr>
                <w:sz w:val="24"/>
              </w:rPr>
            </w:pPr>
            <w:r>
              <w:rPr>
                <w:sz w:val="24"/>
              </w:rPr>
              <w:t>-.290**</w:t>
            </w:r>
          </w:p>
        </w:tc>
        <w:tc>
          <w:tcPr>
            <w:tcW w:w="1161" w:type="dxa"/>
            <w:tcBorders>
              <w:top w:val="nil"/>
              <w:left w:val="nil"/>
              <w:bottom w:val="nil"/>
              <w:right w:val="nil"/>
            </w:tcBorders>
          </w:tcPr>
          <w:p>
            <w:pPr>
              <w:pStyle w:val="TableParagraph"/>
              <w:spacing w:line="262" w:lineRule="exact"/>
              <w:ind w:left="259" w:right="221"/>
              <w:jc w:val="center"/>
              <w:rPr>
                <w:sz w:val="24"/>
              </w:rPr>
            </w:pPr>
            <w:r>
              <w:rPr>
                <w:sz w:val="24"/>
              </w:rPr>
              <w:t>-.239*</w:t>
            </w:r>
          </w:p>
        </w:tc>
      </w:tr>
      <w:tr>
        <w:trPr>
          <w:trHeight w:val="276" w:hRule="exact"/>
        </w:trPr>
        <w:tc>
          <w:tcPr>
            <w:tcW w:w="2053" w:type="dxa"/>
            <w:tcBorders>
              <w:top w:val="nil"/>
              <w:left w:val="nil"/>
              <w:bottom w:val="nil"/>
              <w:right w:val="nil"/>
            </w:tcBorders>
          </w:tcPr>
          <w:p>
            <w:pPr>
              <w:pStyle w:val="TableParagraph"/>
              <w:ind w:left="110" w:right="376"/>
              <w:rPr>
                <w:sz w:val="24"/>
              </w:rPr>
            </w:pPr>
            <w:r>
              <w:rPr>
                <w:sz w:val="24"/>
              </w:rPr>
              <w:t>Ansiedad</w:t>
            </w:r>
          </w:p>
        </w:tc>
        <w:tc>
          <w:tcPr>
            <w:tcW w:w="1504" w:type="dxa"/>
            <w:tcBorders>
              <w:top w:val="nil"/>
              <w:left w:val="nil"/>
              <w:bottom w:val="nil"/>
              <w:right w:val="nil"/>
            </w:tcBorders>
          </w:tcPr>
          <w:p>
            <w:pPr>
              <w:pStyle w:val="TableParagraph"/>
              <w:ind w:left="0" w:right="440"/>
              <w:jc w:val="right"/>
              <w:rPr>
                <w:sz w:val="24"/>
              </w:rPr>
            </w:pPr>
            <w:r>
              <w:rPr>
                <w:sz w:val="24"/>
              </w:rPr>
              <w:t>-.174</w:t>
            </w:r>
          </w:p>
        </w:tc>
        <w:tc>
          <w:tcPr>
            <w:tcW w:w="1510" w:type="dxa"/>
            <w:tcBorders>
              <w:top w:val="nil"/>
              <w:left w:val="nil"/>
              <w:bottom w:val="nil"/>
              <w:right w:val="nil"/>
            </w:tcBorders>
          </w:tcPr>
          <w:p>
            <w:pPr>
              <w:pStyle w:val="TableParagraph"/>
              <w:ind w:left="423" w:right="393"/>
              <w:jc w:val="center"/>
              <w:rPr>
                <w:sz w:val="24"/>
              </w:rPr>
            </w:pPr>
            <w:r>
              <w:rPr>
                <w:sz w:val="24"/>
              </w:rPr>
              <w:t>.272**</w:t>
            </w:r>
          </w:p>
        </w:tc>
        <w:tc>
          <w:tcPr>
            <w:tcW w:w="1196" w:type="dxa"/>
            <w:tcBorders>
              <w:top w:val="nil"/>
              <w:left w:val="nil"/>
              <w:bottom w:val="nil"/>
              <w:right w:val="nil"/>
            </w:tcBorders>
          </w:tcPr>
          <w:p>
            <w:pPr>
              <w:pStyle w:val="TableParagraph"/>
              <w:ind w:left="217" w:right="202"/>
              <w:jc w:val="center"/>
              <w:rPr>
                <w:sz w:val="24"/>
              </w:rPr>
            </w:pPr>
            <w:r>
              <w:rPr>
                <w:sz w:val="24"/>
              </w:rPr>
              <w:t>-.014</w:t>
            </w:r>
          </w:p>
        </w:tc>
        <w:tc>
          <w:tcPr>
            <w:tcW w:w="1651" w:type="dxa"/>
            <w:tcBorders>
              <w:top w:val="nil"/>
              <w:left w:val="nil"/>
              <w:bottom w:val="nil"/>
              <w:right w:val="nil"/>
            </w:tcBorders>
          </w:tcPr>
          <w:p>
            <w:pPr>
              <w:pStyle w:val="TableParagraph"/>
              <w:ind w:left="440" w:right="437"/>
              <w:jc w:val="center"/>
              <w:rPr>
                <w:sz w:val="24"/>
              </w:rPr>
            </w:pPr>
            <w:r>
              <w:rPr>
                <w:sz w:val="24"/>
              </w:rPr>
              <w:t>-.370**</w:t>
            </w:r>
          </w:p>
        </w:tc>
        <w:tc>
          <w:tcPr>
            <w:tcW w:w="1161" w:type="dxa"/>
            <w:tcBorders>
              <w:top w:val="nil"/>
              <w:left w:val="nil"/>
              <w:bottom w:val="nil"/>
              <w:right w:val="nil"/>
            </w:tcBorders>
          </w:tcPr>
          <w:p>
            <w:pPr>
              <w:pStyle w:val="TableParagraph"/>
              <w:ind w:left="251" w:right="221"/>
              <w:jc w:val="center"/>
              <w:rPr>
                <w:sz w:val="24"/>
              </w:rPr>
            </w:pPr>
            <w:r>
              <w:rPr>
                <w:sz w:val="24"/>
              </w:rPr>
              <w:t>-.126</w:t>
            </w:r>
          </w:p>
        </w:tc>
      </w:tr>
      <w:tr>
        <w:trPr>
          <w:trHeight w:val="276" w:hRule="exact"/>
        </w:trPr>
        <w:tc>
          <w:tcPr>
            <w:tcW w:w="2053" w:type="dxa"/>
            <w:tcBorders>
              <w:top w:val="nil"/>
              <w:left w:val="nil"/>
              <w:bottom w:val="nil"/>
              <w:right w:val="nil"/>
            </w:tcBorders>
          </w:tcPr>
          <w:p>
            <w:pPr>
              <w:pStyle w:val="TableParagraph"/>
              <w:spacing w:line="262" w:lineRule="exact"/>
              <w:ind w:left="110" w:right="376"/>
              <w:rPr>
                <w:sz w:val="24"/>
              </w:rPr>
            </w:pPr>
            <w:r>
              <w:rPr>
                <w:sz w:val="24"/>
              </w:rPr>
              <w:t>Carga</w:t>
            </w:r>
          </w:p>
        </w:tc>
        <w:tc>
          <w:tcPr>
            <w:tcW w:w="1504" w:type="dxa"/>
            <w:tcBorders>
              <w:top w:val="nil"/>
              <w:left w:val="nil"/>
              <w:bottom w:val="nil"/>
              <w:right w:val="nil"/>
            </w:tcBorders>
          </w:tcPr>
          <w:p>
            <w:pPr>
              <w:pStyle w:val="TableParagraph"/>
              <w:spacing w:line="262" w:lineRule="exact"/>
              <w:ind w:left="0" w:right="440"/>
              <w:jc w:val="right"/>
              <w:rPr>
                <w:sz w:val="24"/>
              </w:rPr>
            </w:pPr>
            <w:r>
              <w:rPr>
                <w:sz w:val="24"/>
              </w:rPr>
              <w:t>-.011</w:t>
            </w:r>
          </w:p>
        </w:tc>
        <w:tc>
          <w:tcPr>
            <w:tcW w:w="1510" w:type="dxa"/>
            <w:tcBorders>
              <w:top w:val="nil"/>
              <w:left w:val="nil"/>
              <w:bottom w:val="nil"/>
              <w:right w:val="nil"/>
            </w:tcBorders>
          </w:tcPr>
          <w:p>
            <w:pPr>
              <w:pStyle w:val="TableParagraph"/>
              <w:spacing w:line="262" w:lineRule="exact"/>
              <w:ind w:left="420" w:right="393"/>
              <w:jc w:val="center"/>
              <w:rPr>
                <w:sz w:val="24"/>
              </w:rPr>
            </w:pPr>
            <w:r>
              <w:rPr>
                <w:sz w:val="24"/>
              </w:rPr>
              <w:t>.144</w:t>
            </w:r>
          </w:p>
        </w:tc>
        <w:tc>
          <w:tcPr>
            <w:tcW w:w="1196" w:type="dxa"/>
            <w:tcBorders>
              <w:top w:val="nil"/>
              <w:left w:val="nil"/>
              <w:bottom w:val="nil"/>
              <w:right w:val="nil"/>
            </w:tcBorders>
          </w:tcPr>
          <w:p>
            <w:pPr>
              <w:pStyle w:val="TableParagraph"/>
              <w:spacing w:line="262" w:lineRule="exact"/>
              <w:ind w:left="219" w:right="197"/>
              <w:jc w:val="center"/>
              <w:rPr>
                <w:sz w:val="24"/>
              </w:rPr>
            </w:pPr>
            <w:r>
              <w:rPr>
                <w:sz w:val="24"/>
              </w:rPr>
              <w:t>-.208*</w:t>
            </w:r>
          </w:p>
        </w:tc>
        <w:tc>
          <w:tcPr>
            <w:tcW w:w="1651" w:type="dxa"/>
            <w:tcBorders>
              <w:top w:val="nil"/>
              <w:left w:val="nil"/>
              <w:bottom w:val="nil"/>
              <w:right w:val="nil"/>
            </w:tcBorders>
          </w:tcPr>
          <w:p>
            <w:pPr>
              <w:pStyle w:val="TableParagraph"/>
              <w:spacing w:line="262" w:lineRule="exact"/>
              <w:ind w:left="437" w:right="437"/>
              <w:jc w:val="center"/>
              <w:rPr>
                <w:sz w:val="24"/>
              </w:rPr>
            </w:pPr>
            <w:r>
              <w:rPr>
                <w:sz w:val="24"/>
              </w:rPr>
              <w:t>-.164</w:t>
            </w:r>
          </w:p>
        </w:tc>
        <w:tc>
          <w:tcPr>
            <w:tcW w:w="1161" w:type="dxa"/>
            <w:tcBorders>
              <w:top w:val="nil"/>
              <w:left w:val="nil"/>
              <w:bottom w:val="nil"/>
              <w:right w:val="nil"/>
            </w:tcBorders>
          </w:tcPr>
          <w:p>
            <w:pPr>
              <w:pStyle w:val="TableParagraph"/>
              <w:spacing w:line="262" w:lineRule="exact"/>
              <w:ind w:left="251" w:right="221"/>
              <w:jc w:val="center"/>
              <w:rPr>
                <w:sz w:val="24"/>
              </w:rPr>
            </w:pPr>
            <w:r>
              <w:rPr>
                <w:sz w:val="24"/>
              </w:rPr>
              <w:t>-.103</w:t>
            </w:r>
          </w:p>
        </w:tc>
      </w:tr>
      <w:tr>
        <w:trPr>
          <w:trHeight w:val="276" w:hRule="exact"/>
        </w:trPr>
        <w:tc>
          <w:tcPr>
            <w:tcW w:w="2053" w:type="dxa"/>
            <w:tcBorders>
              <w:top w:val="nil"/>
              <w:left w:val="nil"/>
              <w:bottom w:val="nil"/>
              <w:right w:val="nil"/>
            </w:tcBorders>
          </w:tcPr>
          <w:p>
            <w:pPr>
              <w:pStyle w:val="TableParagraph"/>
              <w:ind w:left="110"/>
              <w:rPr>
                <w:sz w:val="24"/>
              </w:rPr>
            </w:pPr>
            <w:r>
              <w:rPr>
                <w:sz w:val="24"/>
              </w:rPr>
              <w:t>Funcionamiento</w:t>
            </w:r>
          </w:p>
        </w:tc>
        <w:tc>
          <w:tcPr>
            <w:tcW w:w="1504" w:type="dxa"/>
            <w:tcBorders>
              <w:top w:val="nil"/>
              <w:left w:val="nil"/>
              <w:bottom w:val="nil"/>
              <w:right w:val="nil"/>
            </w:tcBorders>
          </w:tcPr>
          <w:p>
            <w:pPr>
              <w:pStyle w:val="TableParagraph"/>
              <w:ind w:left="0" w:right="440"/>
              <w:jc w:val="right"/>
              <w:rPr>
                <w:sz w:val="24"/>
              </w:rPr>
            </w:pPr>
            <w:r>
              <w:rPr>
                <w:sz w:val="24"/>
              </w:rPr>
              <w:t>-.005</w:t>
            </w:r>
          </w:p>
        </w:tc>
        <w:tc>
          <w:tcPr>
            <w:tcW w:w="1510" w:type="dxa"/>
            <w:tcBorders>
              <w:top w:val="nil"/>
              <w:left w:val="nil"/>
              <w:bottom w:val="nil"/>
              <w:right w:val="nil"/>
            </w:tcBorders>
          </w:tcPr>
          <w:p>
            <w:pPr>
              <w:pStyle w:val="TableParagraph"/>
              <w:ind w:left="420" w:right="393"/>
              <w:jc w:val="center"/>
              <w:rPr>
                <w:sz w:val="24"/>
              </w:rPr>
            </w:pPr>
            <w:r>
              <w:rPr>
                <w:sz w:val="24"/>
              </w:rPr>
              <w:t>.112</w:t>
            </w:r>
          </w:p>
        </w:tc>
        <w:tc>
          <w:tcPr>
            <w:tcW w:w="1196" w:type="dxa"/>
            <w:tcBorders>
              <w:top w:val="nil"/>
              <w:left w:val="nil"/>
              <w:bottom w:val="nil"/>
              <w:right w:val="nil"/>
            </w:tcBorders>
          </w:tcPr>
          <w:p>
            <w:pPr>
              <w:pStyle w:val="TableParagraph"/>
              <w:ind w:left="219" w:right="200"/>
              <w:jc w:val="center"/>
              <w:rPr>
                <w:sz w:val="24"/>
              </w:rPr>
            </w:pPr>
            <w:r>
              <w:rPr>
                <w:sz w:val="24"/>
              </w:rPr>
              <w:t>.023</w:t>
            </w:r>
          </w:p>
        </w:tc>
        <w:tc>
          <w:tcPr>
            <w:tcW w:w="1651" w:type="dxa"/>
            <w:tcBorders>
              <w:top w:val="nil"/>
              <w:left w:val="nil"/>
              <w:bottom w:val="nil"/>
              <w:right w:val="nil"/>
            </w:tcBorders>
          </w:tcPr>
          <w:p>
            <w:pPr>
              <w:pStyle w:val="TableParagraph"/>
              <w:ind w:left="437" w:right="437"/>
              <w:jc w:val="center"/>
              <w:rPr>
                <w:sz w:val="24"/>
              </w:rPr>
            </w:pPr>
            <w:r>
              <w:rPr>
                <w:sz w:val="24"/>
              </w:rPr>
              <w:t>-.137</w:t>
            </w:r>
          </w:p>
        </w:tc>
        <w:tc>
          <w:tcPr>
            <w:tcW w:w="1161" w:type="dxa"/>
            <w:tcBorders>
              <w:top w:val="nil"/>
              <w:left w:val="nil"/>
              <w:bottom w:val="nil"/>
              <w:right w:val="nil"/>
            </w:tcBorders>
          </w:tcPr>
          <w:p>
            <w:pPr>
              <w:pStyle w:val="TableParagraph"/>
              <w:ind w:left="256" w:right="221"/>
              <w:jc w:val="center"/>
              <w:rPr>
                <w:sz w:val="24"/>
              </w:rPr>
            </w:pPr>
            <w:r>
              <w:rPr>
                <w:sz w:val="24"/>
              </w:rPr>
              <w:t>.010</w:t>
            </w:r>
          </w:p>
        </w:tc>
      </w:tr>
      <w:tr>
        <w:trPr>
          <w:trHeight w:val="274" w:hRule="exact"/>
        </w:trPr>
        <w:tc>
          <w:tcPr>
            <w:tcW w:w="2053" w:type="dxa"/>
            <w:tcBorders>
              <w:top w:val="nil"/>
              <w:left w:val="nil"/>
              <w:right w:val="nil"/>
            </w:tcBorders>
          </w:tcPr>
          <w:p>
            <w:pPr>
              <w:pStyle w:val="TableParagraph"/>
              <w:spacing w:line="262" w:lineRule="exact"/>
              <w:ind w:left="110"/>
              <w:rPr>
                <w:sz w:val="24"/>
              </w:rPr>
            </w:pPr>
            <w:r>
              <w:rPr>
                <w:sz w:val="24"/>
              </w:rPr>
              <w:t>Calidad de vida</w:t>
            </w:r>
          </w:p>
        </w:tc>
        <w:tc>
          <w:tcPr>
            <w:tcW w:w="1504" w:type="dxa"/>
            <w:tcBorders>
              <w:top w:val="nil"/>
              <w:left w:val="nil"/>
              <w:right w:val="nil"/>
            </w:tcBorders>
          </w:tcPr>
          <w:p>
            <w:pPr>
              <w:pStyle w:val="TableParagraph"/>
              <w:spacing w:line="262" w:lineRule="exact"/>
              <w:ind w:left="0" w:right="440"/>
              <w:jc w:val="right"/>
              <w:rPr>
                <w:sz w:val="24"/>
              </w:rPr>
            </w:pPr>
            <w:r>
              <w:rPr>
                <w:sz w:val="24"/>
              </w:rPr>
              <w:t>-.155</w:t>
            </w:r>
          </w:p>
        </w:tc>
        <w:tc>
          <w:tcPr>
            <w:tcW w:w="1510" w:type="dxa"/>
            <w:tcBorders>
              <w:top w:val="nil"/>
              <w:left w:val="nil"/>
              <w:right w:val="nil"/>
            </w:tcBorders>
          </w:tcPr>
          <w:p>
            <w:pPr>
              <w:pStyle w:val="TableParagraph"/>
              <w:spacing w:line="262" w:lineRule="exact"/>
              <w:ind w:left="423" w:right="393"/>
              <w:jc w:val="center"/>
              <w:rPr>
                <w:sz w:val="24"/>
              </w:rPr>
            </w:pPr>
            <w:r>
              <w:rPr>
                <w:sz w:val="24"/>
              </w:rPr>
              <w:t>.295**</w:t>
            </w:r>
          </w:p>
        </w:tc>
        <w:tc>
          <w:tcPr>
            <w:tcW w:w="1196" w:type="dxa"/>
            <w:tcBorders>
              <w:top w:val="nil"/>
              <w:left w:val="nil"/>
              <w:right w:val="nil"/>
            </w:tcBorders>
          </w:tcPr>
          <w:p>
            <w:pPr>
              <w:pStyle w:val="TableParagraph"/>
              <w:spacing w:line="262" w:lineRule="exact"/>
              <w:ind w:left="219" w:right="202"/>
              <w:jc w:val="center"/>
              <w:rPr>
                <w:sz w:val="24"/>
              </w:rPr>
            </w:pPr>
            <w:r>
              <w:rPr>
                <w:sz w:val="24"/>
              </w:rPr>
              <w:t>-.278**</w:t>
            </w:r>
          </w:p>
        </w:tc>
        <w:tc>
          <w:tcPr>
            <w:tcW w:w="1651" w:type="dxa"/>
            <w:tcBorders>
              <w:top w:val="nil"/>
              <w:left w:val="nil"/>
              <w:right w:val="nil"/>
            </w:tcBorders>
          </w:tcPr>
          <w:p>
            <w:pPr>
              <w:pStyle w:val="TableParagraph"/>
              <w:spacing w:line="262" w:lineRule="exact"/>
              <w:ind w:left="440" w:right="437"/>
              <w:jc w:val="center"/>
              <w:rPr>
                <w:sz w:val="24"/>
              </w:rPr>
            </w:pPr>
            <w:r>
              <w:rPr>
                <w:sz w:val="24"/>
              </w:rPr>
              <w:t>-.275**</w:t>
            </w:r>
          </w:p>
        </w:tc>
        <w:tc>
          <w:tcPr>
            <w:tcW w:w="1161" w:type="dxa"/>
            <w:tcBorders>
              <w:top w:val="nil"/>
              <w:left w:val="nil"/>
              <w:right w:val="nil"/>
            </w:tcBorders>
          </w:tcPr>
          <w:p>
            <w:pPr>
              <w:pStyle w:val="TableParagraph"/>
              <w:spacing w:line="262" w:lineRule="exact"/>
              <w:ind w:left="259" w:right="221"/>
              <w:jc w:val="center"/>
              <w:rPr>
                <w:sz w:val="24"/>
              </w:rPr>
            </w:pPr>
            <w:r>
              <w:rPr>
                <w:sz w:val="24"/>
              </w:rPr>
              <w:t>-.206*</w:t>
            </w:r>
          </w:p>
        </w:tc>
      </w:tr>
    </w:tbl>
    <w:p>
      <w:pPr>
        <w:spacing w:line="225" w:lineRule="exact" w:before="0"/>
        <w:ind w:left="116" w:right="212" w:firstLine="0"/>
        <w:jc w:val="left"/>
        <w:rPr>
          <w:sz w:val="20"/>
        </w:rPr>
      </w:pPr>
      <w:r>
        <w:rPr>
          <w:sz w:val="20"/>
        </w:rPr>
        <w:t>**. Correlation is significant at the 0.01 level (2-tailed).</w:t>
      </w:r>
    </w:p>
    <w:p>
      <w:pPr>
        <w:spacing w:before="0"/>
        <w:ind w:left="116" w:right="212" w:firstLine="0"/>
        <w:jc w:val="left"/>
        <w:rPr>
          <w:sz w:val="20"/>
        </w:rPr>
      </w:pPr>
      <w:r>
        <w:rPr>
          <w:sz w:val="20"/>
        </w:rPr>
        <w:t>*. Correlation is significant at the 0.05 level (2-tailed).</w:t>
      </w:r>
    </w:p>
    <w:p>
      <w:pPr>
        <w:spacing w:after="0"/>
        <w:jc w:val="left"/>
        <w:rPr>
          <w:sz w:val="20"/>
        </w:rPr>
        <w:sectPr>
          <w:pgSz w:w="12240" w:h="15840"/>
          <w:pgMar w:header="729" w:footer="0" w:top="960" w:bottom="280" w:left="1300" w:right="1300"/>
        </w:sectPr>
      </w:pPr>
    </w:p>
    <w:p>
      <w:pPr>
        <w:pStyle w:val="BodyText"/>
        <w:rPr>
          <w:sz w:val="20"/>
        </w:rPr>
      </w:pPr>
    </w:p>
    <w:p>
      <w:pPr>
        <w:pStyle w:val="BodyText"/>
        <w:spacing w:line="362" w:lineRule="auto" w:before="213"/>
        <w:ind w:left="116" w:right="113"/>
        <w:jc w:val="both"/>
      </w:pPr>
      <w:r>
        <w:rPr/>
        <w:t>En la tabla 3 se puede observar que  en  el  sexo  femenino,  no  existe  correlación entre las variables hábitos de vida y calidad de vida, sin embargo, se muestran correlaciones  entre  algunos  factores  de  las mismas.</w:t>
      </w:r>
    </w:p>
    <w:p>
      <w:pPr>
        <w:pStyle w:val="BodyText"/>
        <w:spacing w:before="10"/>
        <w:rPr>
          <w:sz w:val="35"/>
        </w:rPr>
      </w:pPr>
    </w:p>
    <w:p>
      <w:pPr>
        <w:pStyle w:val="BodyText"/>
        <w:spacing w:line="362" w:lineRule="auto"/>
        <w:ind w:left="116" w:right="109"/>
        <w:jc w:val="both"/>
      </w:pPr>
      <w:r>
        <w:rPr/>
        <w:t>El factor </w:t>
      </w:r>
      <w:r>
        <w:rPr>
          <w:spacing w:val="-3"/>
        </w:rPr>
        <w:t>comer </w:t>
      </w:r>
      <w:r>
        <w:rPr/>
        <w:t>por bienestar psicológico muestra  correlaciones  positivas  y  moderadas con el factor control de la diabetes y la variable hábitos  de  vida;  correlación  positiva  y  baja  con  el  factor</w:t>
      </w:r>
      <w:r>
        <w:rPr>
          <w:spacing w:val="52"/>
        </w:rPr>
        <w:t> </w:t>
      </w:r>
      <w:r>
        <w:rPr/>
        <w:t>ansiedad.</w:t>
      </w:r>
    </w:p>
    <w:p>
      <w:pPr>
        <w:pStyle w:val="BodyText"/>
        <w:spacing w:before="10"/>
        <w:rPr>
          <w:sz w:val="35"/>
        </w:rPr>
      </w:pPr>
    </w:p>
    <w:p>
      <w:pPr>
        <w:pStyle w:val="BodyText"/>
        <w:spacing w:line="362" w:lineRule="auto"/>
        <w:ind w:left="116" w:right="110"/>
        <w:jc w:val="both"/>
      </w:pPr>
      <w:r>
        <w:rPr/>
        <w:t>El  factor  ejercicio  físico  de  la  variable  hábitos  de  vida  tiene  una  relación  negativa y moderada con los factores energía, control de  la  diabetes  y  con  la  variable  Calidad  de</w:t>
      </w:r>
      <w:r>
        <w:rPr>
          <w:spacing w:val="64"/>
        </w:rPr>
        <w:t> </w:t>
      </w:r>
      <w:r>
        <w:rPr/>
        <w:t>vida.</w:t>
      </w:r>
    </w:p>
    <w:p>
      <w:pPr>
        <w:pStyle w:val="BodyText"/>
        <w:spacing w:before="7"/>
        <w:rPr>
          <w:sz w:val="34"/>
        </w:rPr>
      </w:pPr>
    </w:p>
    <w:p>
      <w:pPr>
        <w:pStyle w:val="BodyText"/>
        <w:spacing w:line="242" w:lineRule="auto"/>
        <w:ind w:left="116" w:right="212"/>
      </w:pPr>
      <w:r>
        <w:rPr/>
        <w:t>Tabla 3. Correlación de Pearson para las variables CV y HV sus factores  en  la muestra  de  mujeres  n=</w:t>
      </w:r>
      <w:r>
        <w:rPr>
          <w:spacing w:val="58"/>
        </w:rPr>
        <w:t> </w:t>
      </w:r>
      <w:r>
        <w:rPr/>
        <w:t>66</w:t>
      </w:r>
    </w:p>
    <w:p>
      <w:pPr>
        <w:pStyle w:val="BodyText"/>
        <w:spacing w:before="3"/>
        <w:rPr>
          <w:sz w:val="26"/>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1"/>
        <w:gridCol w:w="1435"/>
        <w:gridCol w:w="1549"/>
        <w:gridCol w:w="1266"/>
        <w:gridCol w:w="1709"/>
        <w:gridCol w:w="1137"/>
      </w:tblGrid>
      <w:tr>
        <w:trPr>
          <w:trHeight w:val="835" w:hRule="exact"/>
        </w:trPr>
        <w:tc>
          <w:tcPr>
            <w:tcW w:w="1981" w:type="dxa"/>
            <w:tcBorders>
              <w:left w:val="nil"/>
              <w:right w:val="nil"/>
            </w:tcBorders>
          </w:tcPr>
          <w:p>
            <w:pPr>
              <w:pStyle w:val="TableParagraph"/>
              <w:spacing w:line="274" w:lineRule="exact" w:before="1"/>
              <w:ind w:left="566" w:right="375" w:hanging="168"/>
              <w:rPr>
                <w:sz w:val="24"/>
              </w:rPr>
            </w:pPr>
            <w:r>
              <w:rPr>
                <w:sz w:val="24"/>
              </w:rPr>
              <w:t>Variables y factores</w:t>
            </w:r>
          </w:p>
        </w:tc>
        <w:tc>
          <w:tcPr>
            <w:tcW w:w="1435" w:type="dxa"/>
            <w:tcBorders>
              <w:left w:val="nil"/>
              <w:right w:val="nil"/>
            </w:tcBorders>
          </w:tcPr>
          <w:p>
            <w:pPr>
              <w:pStyle w:val="TableParagraph"/>
              <w:spacing w:line="274" w:lineRule="exact" w:before="1"/>
              <w:ind w:left="271" w:right="160" w:hanging="111"/>
              <w:rPr>
                <w:sz w:val="24"/>
              </w:rPr>
            </w:pPr>
            <w:r>
              <w:rPr>
                <w:sz w:val="24"/>
              </w:rPr>
              <w:t>Contenido Calórico</w:t>
            </w:r>
          </w:p>
        </w:tc>
        <w:tc>
          <w:tcPr>
            <w:tcW w:w="1549" w:type="dxa"/>
            <w:tcBorders>
              <w:left w:val="nil"/>
              <w:right w:val="nil"/>
            </w:tcBorders>
          </w:tcPr>
          <w:p>
            <w:pPr>
              <w:pStyle w:val="TableParagraph"/>
              <w:spacing w:line="240" w:lineRule="auto"/>
              <w:ind w:left="176" w:right="181" w:hanging="6"/>
              <w:jc w:val="center"/>
              <w:rPr>
                <w:sz w:val="24"/>
              </w:rPr>
            </w:pPr>
            <w:r>
              <w:rPr>
                <w:sz w:val="24"/>
              </w:rPr>
              <w:t>Comer por bienestar psicológico</w:t>
            </w:r>
          </w:p>
        </w:tc>
        <w:tc>
          <w:tcPr>
            <w:tcW w:w="1266" w:type="dxa"/>
            <w:tcBorders>
              <w:left w:val="nil"/>
              <w:right w:val="nil"/>
            </w:tcBorders>
          </w:tcPr>
          <w:p>
            <w:pPr>
              <w:pStyle w:val="TableParagraph"/>
              <w:spacing w:line="274" w:lineRule="exact" w:before="1"/>
              <w:ind w:left="361" w:right="155" w:hanging="178"/>
              <w:rPr>
                <w:sz w:val="24"/>
              </w:rPr>
            </w:pPr>
            <w:r>
              <w:rPr>
                <w:sz w:val="24"/>
              </w:rPr>
              <w:t>Ejercicio físico</w:t>
            </w:r>
          </w:p>
        </w:tc>
        <w:tc>
          <w:tcPr>
            <w:tcW w:w="1709" w:type="dxa"/>
            <w:tcBorders>
              <w:left w:val="nil"/>
              <w:right w:val="nil"/>
            </w:tcBorders>
          </w:tcPr>
          <w:p>
            <w:pPr>
              <w:pStyle w:val="TableParagraph"/>
              <w:spacing w:line="274" w:lineRule="exact" w:before="1"/>
              <w:ind w:left="344" w:right="143" w:hanging="173"/>
              <w:rPr>
                <w:sz w:val="24"/>
              </w:rPr>
            </w:pPr>
            <w:r>
              <w:rPr>
                <w:sz w:val="24"/>
              </w:rPr>
              <w:t>Alimentación saludable</w:t>
            </w:r>
          </w:p>
        </w:tc>
        <w:tc>
          <w:tcPr>
            <w:tcW w:w="1137" w:type="dxa"/>
            <w:tcBorders>
              <w:left w:val="nil"/>
              <w:right w:val="nil"/>
            </w:tcBorders>
          </w:tcPr>
          <w:p>
            <w:pPr>
              <w:pStyle w:val="TableParagraph"/>
              <w:spacing w:line="274" w:lineRule="exact" w:before="1"/>
              <w:ind w:left="186" w:right="141" w:hanging="24"/>
              <w:rPr>
                <w:sz w:val="24"/>
              </w:rPr>
            </w:pPr>
            <w:r>
              <w:rPr>
                <w:sz w:val="24"/>
              </w:rPr>
              <w:t>Hábitos de vida</w:t>
            </w:r>
          </w:p>
        </w:tc>
      </w:tr>
      <w:tr>
        <w:trPr>
          <w:trHeight w:val="291" w:hRule="exact"/>
        </w:trPr>
        <w:tc>
          <w:tcPr>
            <w:tcW w:w="1981" w:type="dxa"/>
            <w:tcBorders>
              <w:left w:val="nil"/>
              <w:bottom w:val="nil"/>
              <w:right w:val="nil"/>
            </w:tcBorders>
          </w:tcPr>
          <w:p>
            <w:pPr>
              <w:pStyle w:val="TableParagraph"/>
              <w:spacing w:line="272" w:lineRule="exact"/>
              <w:ind w:left="110" w:right="375"/>
              <w:rPr>
                <w:sz w:val="24"/>
              </w:rPr>
            </w:pPr>
            <w:r>
              <w:rPr>
                <w:sz w:val="24"/>
              </w:rPr>
              <w:t>Energía</w:t>
            </w:r>
          </w:p>
        </w:tc>
        <w:tc>
          <w:tcPr>
            <w:tcW w:w="1435" w:type="dxa"/>
            <w:tcBorders>
              <w:left w:val="nil"/>
              <w:bottom w:val="nil"/>
              <w:right w:val="nil"/>
            </w:tcBorders>
          </w:tcPr>
          <w:p>
            <w:pPr>
              <w:pStyle w:val="TableParagraph"/>
              <w:spacing w:line="272" w:lineRule="exact"/>
              <w:ind w:left="422" w:right="425"/>
              <w:jc w:val="center"/>
              <w:rPr>
                <w:sz w:val="24"/>
              </w:rPr>
            </w:pPr>
            <w:r>
              <w:rPr>
                <w:sz w:val="24"/>
              </w:rPr>
              <w:t>-.014</w:t>
            </w:r>
          </w:p>
        </w:tc>
        <w:tc>
          <w:tcPr>
            <w:tcW w:w="1549" w:type="dxa"/>
            <w:tcBorders>
              <w:left w:val="nil"/>
              <w:bottom w:val="nil"/>
              <w:right w:val="nil"/>
            </w:tcBorders>
          </w:tcPr>
          <w:p>
            <w:pPr>
              <w:pStyle w:val="TableParagraph"/>
              <w:spacing w:line="272" w:lineRule="exact"/>
              <w:ind w:left="424" w:right="427"/>
              <w:jc w:val="center"/>
              <w:rPr>
                <w:sz w:val="24"/>
              </w:rPr>
            </w:pPr>
            <w:r>
              <w:rPr>
                <w:sz w:val="24"/>
              </w:rPr>
              <w:t>.199</w:t>
            </w:r>
          </w:p>
        </w:tc>
        <w:tc>
          <w:tcPr>
            <w:tcW w:w="1266" w:type="dxa"/>
            <w:tcBorders>
              <w:left w:val="nil"/>
              <w:bottom w:val="nil"/>
              <w:right w:val="nil"/>
            </w:tcBorders>
          </w:tcPr>
          <w:p>
            <w:pPr>
              <w:pStyle w:val="TableParagraph"/>
              <w:spacing w:line="272" w:lineRule="exact"/>
              <w:ind w:left="255" w:right="235"/>
              <w:jc w:val="center"/>
              <w:rPr>
                <w:sz w:val="24"/>
              </w:rPr>
            </w:pPr>
            <w:r>
              <w:rPr>
                <w:sz w:val="24"/>
              </w:rPr>
              <w:t>-.340**</w:t>
            </w:r>
          </w:p>
        </w:tc>
        <w:tc>
          <w:tcPr>
            <w:tcW w:w="1709" w:type="dxa"/>
            <w:tcBorders>
              <w:left w:val="nil"/>
              <w:bottom w:val="nil"/>
              <w:right w:val="nil"/>
            </w:tcBorders>
          </w:tcPr>
          <w:p>
            <w:pPr>
              <w:pStyle w:val="TableParagraph"/>
              <w:spacing w:line="272" w:lineRule="exact"/>
              <w:ind w:left="584" w:right="143"/>
              <w:rPr>
                <w:sz w:val="24"/>
              </w:rPr>
            </w:pPr>
            <w:r>
              <w:rPr>
                <w:sz w:val="24"/>
              </w:rPr>
              <w:t>-.049</w:t>
            </w:r>
          </w:p>
        </w:tc>
        <w:tc>
          <w:tcPr>
            <w:tcW w:w="1137" w:type="dxa"/>
            <w:tcBorders>
              <w:left w:val="nil"/>
              <w:bottom w:val="nil"/>
              <w:right w:val="nil"/>
            </w:tcBorders>
          </w:tcPr>
          <w:p>
            <w:pPr>
              <w:pStyle w:val="TableParagraph"/>
              <w:spacing w:line="272" w:lineRule="exact"/>
              <w:ind w:left="278" w:right="272"/>
              <w:jc w:val="center"/>
              <w:rPr>
                <w:sz w:val="24"/>
              </w:rPr>
            </w:pPr>
            <w:r>
              <w:rPr>
                <w:sz w:val="24"/>
              </w:rPr>
              <w:t>-.116</w:t>
            </w:r>
          </w:p>
        </w:tc>
      </w:tr>
      <w:tr>
        <w:trPr>
          <w:trHeight w:val="276" w:hRule="exact"/>
        </w:trPr>
        <w:tc>
          <w:tcPr>
            <w:tcW w:w="1981" w:type="dxa"/>
            <w:tcBorders>
              <w:top w:val="nil"/>
              <w:left w:val="nil"/>
              <w:bottom w:val="nil"/>
              <w:right w:val="nil"/>
            </w:tcBorders>
          </w:tcPr>
          <w:p>
            <w:pPr>
              <w:pStyle w:val="TableParagraph"/>
              <w:ind w:left="110" w:right="375"/>
              <w:rPr>
                <w:sz w:val="24"/>
              </w:rPr>
            </w:pPr>
            <w:r>
              <w:rPr>
                <w:sz w:val="24"/>
              </w:rPr>
              <w:t>Control</w:t>
            </w:r>
          </w:p>
        </w:tc>
        <w:tc>
          <w:tcPr>
            <w:tcW w:w="1435" w:type="dxa"/>
            <w:tcBorders>
              <w:top w:val="nil"/>
              <w:left w:val="nil"/>
              <w:bottom w:val="nil"/>
              <w:right w:val="nil"/>
            </w:tcBorders>
          </w:tcPr>
          <w:p>
            <w:pPr>
              <w:pStyle w:val="TableParagraph"/>
              <w:ind w:left="422" w:right="425"/>
              <w:jc w:val="center"/>
              <w:rPr>
                <w:sz w:val="24"/>
              </w:rPr>
            </w:pPr>
            <w:r>
              <w:rPr>
                <w:sz w:val="24"/>
              </w:rPr>
              <w:t>-.147</w:t>
            </w:r>
          </w:p>
        </w:tc>
        <w:tc>
          <w:tcPr>
            <w:tcW w:w="1549" w:type="dxa"/>
            <w:tcBorders>
              <w:top w:val="nil"/>
              <w:left w:val="nil"/>
              <w:bottom w:val="nil"/>
              <w:right w:val="nil"/>
            </w:tcBorders>
          </w:tcPr>
          <w:p>
            <w:pPr>
              <w:pStyle w:val="TableParagraph"/>
              <w:ind w:left="426" w:right="427"/>
              <w:jc w:val="center"/>
              <w:rPr>
                <w:sz w:val="24"/>
              </w:rPr>
            </w:pPr>
            <w:r>
              <w:rPr>
                <w:sz w:val="24"/>
              </w:rPr>
              <w:t>.409**</w:t>
            </w:r>
          </w:p>
        </w:tc>
        <w:tc>
          <w:tcPr>
            <w:tcW w:w="1266" w:type="dxa"/>
            <w:tcBorders>
              <w:top w:val="nil"/>
              <w:left w:val="nil"/>
              <w:bottom w:val="nil"/>
              <w:right w:val="nil"/>
            </w:tcBorders>
          </w:tcPr>
          <w:p>
            <w:pPr>
              <w:pStyle w:val="TableParagraph"/>
              <w:ind w:left="255" w:right="235"/>
              <w:jc w:val="center"/>
              <w:rPr>
                <w:sz w:val="24"/>
              </w:rPr>
            </w:pPr>
            <w:r>
              <w:rPr>
                <w:sz w:val="24"/>
              </w:rPr>
              <w:t>-.315**</w:t>
            </w:r>
          </w:p>
        </w:tc>
        <w:tc>
          <w:tcPr>
            <w:tcW w:w="1709" w:type="dxa"/>
            <w:tcBorders>
              <w:top w:val="nil"/>
              <w:left w:val="nil"/>
              <w:bottom w:val="nil"/>
              <w:right w:val="nil"/>
            </w:tcBorders>
          </w:tcPr>
          <w:p>
            <w:pPr>
              <w:pStyle w:val="TableParagraph"/>
              <w:ind w:left="584" w:right="143"/>
              <w:rPr>
                <w:sz w:val="24"/>
              </w:rPr>
            </w:pPr>
            <w:r>
              <w:rPr>
                <w:sz w:val="24"/>
              </w:rPr>
              <w:t>-.159</w:t>
            </w:r>
          </w:p>
        </w:tc>
        <w:tc>
          <w:tcPr>
            <w:tcW w:w="1137" w:type="dxa"/>
            <w:tcBorders>
              <w:top w:val="nil"/>
              <w:left w:val="nil"/>
              <w:bottom w:val="nil"/>
              <w:right w:val="nil"/>
            </w:tcBorders>
          </w:tcPr>
          <w:p>
            <w:pPr>
              <w:pStyle w:val="TableParagraph"/>
              <w:ind w:left="278" w:right="272"/>
              <w:jc w:val="center"/>
              <w:rPr>
                <w:sz w:val="24"/>
              </w:rPr>
            </w:pPr>
            <w:r>
              <w:rPr>
                <w:sz w:val="24"/>
              </w:rPr>
              <w:t>-.143</w:t>
            </w:r>
          </w:p>
        </w:tc>
      </w:tr>
      <w:tr>
        <w:trPr>
          <w:trHeight w:val="276" w:hRule="exact"/>
        </w:trPr>
        <w:tc>
          <w:tcPr>
            <w:tcW w:w="1981" w:type="dxa"/>
            <w:tcBorders>
              <w:top w:val="nil"/>
              <w:left w:val="nil"/>
              <w:bottom w:val="nil"/>
              <w:right w:val="nil"/>
            </w:tcBorders>
          </w:tcPr>
          <w:p>
            <w:pPr>
              <w:pStyle w:val="TableParagraph"/>
              <w:spacing w:line="262" w:lineRule="exact"/>
              <w:ind w:left="110" w:right="375"/>
              <w:rPr>
                <w:sz w:val="24"/>
              </w:rPr>
            </w:pPr>
            <w:r>
              <w:rPr>
                <w:sz w:val="24"/>
              </w:rPr>
              <w:t>Ansiedad</w:t>
            </w:r>
          </w:p>
        </w:tc>
        <w:tc>
          <w:tcPr>
            <w:tcW w:w="1435" w:type="dxa"/>
            <w:tcBorders>
              <w:top w:val="nil"/>
              <w:left w:val="nil"/>
              <w:bottom w:val="nil"/>
              <w:right w:val="nil"/>
            </w:tcBorders>
          </w:tcPr>
          <w:p>
            <w:pPr>
              <w:pStyle w:val="TableParagraph"/>
              <w:spacing w:line="262" w:lineRule="exact"/>
              <w:ind w:left="422" w:right="425"/>
              <w:jc w:val="center"/>
              <w:rPr>
                <w:sz w:val="24"/>
              </w:rPr>
            </w:pPr>
            <w:r>
              <w:rPr>
                <w:sz w:val="24"/>
              </w:rPr>
              <w:t>-.110</w:t>
            </w:r>
          </w:p>
        </w:tc>
        <w:tc>
          <w:tcPr>
            <w:tcW w:w="1549" w:type="dxa"/>
            <w:tcBorders>
              <w:top w:val="nil"/>
              <w:left w:val="nil"/>
              <w:bottom w:val="nil"/>
              <w:right w:val="nil"/>
            </w:tcBorders>
          </w:tcPr>
          <w:p>
            <w:pPr>
              <w:pStyle w:val="TableParagraph"/>
              <w:spacing w:line="262" w:lineRule="exact"/>
              <w:ind w:left="422" w:right="427"/>
              <w:jc w:val="center"/>
              <w:rPr>
                <w:sz w:val="24"/>
              </w:rPr>
            </w:pPr>
            <w:r>
              <w:rPr>
                <w:sz w:val="24"/>
              </w:rPr>
              <w:t>.293*</w:t>
            </w:r>
          </w:p>
        </w:tc>
        <w:tc>
          <w:tcPr>
            <w:tcW w:w="1266" w:type="dxa"/>
            <w:tcBorders>
              <w:top w:val="nil"/>
              <w:left w:val="nil"/>
              <w:bottom w:val="nil"/>
              <w:right w:val="nil"/>
            </w:tcBorders>
          </w:tcPr>
          <w:p>
            <w:pPr>
              <w:pStyle w:val="TableParagraph"/>
              <w:spacing w:line="262" w:lineRule="exact"/>
              <w:ind w:left="252" w:right="235"/>
              <w:jc w:val="center"/>
              <w:rPr>
                <w:sz w:val="24"/>
              </w:rPr>
            </w:pPr>
            <w:r>
              <w:rPr>
                <w:sz w:val="24"/>
              </w:rPr>
              <w:t>-.010</w:t>
            </w:r>
          </w:p>
        </w:tc>
        <w:tc>
          <w:tcPr>
            <w:tcW w:w="1709" w:type="dxa"/>
            <w:tcBorders>
              <w:top w:val="nil"/>
              <w:left w:val="nil"/>
              <w:bottom w:val="nil"/>
              <w:right w:val="nil"/>
            </w:tcBorders>
          </w:tcPr>
          <w:p>
            <w:pPr>
              <w:pStyle w:val="TableParagraph"/>
              <w:spacing w:line="262" w:lineRule="exact"/>
              <w:ind w:left="584" w:right="143"/>
              <w:rPr>
                <w:sz w:val="24"/>
              </w:rPr>
            </w:pPr>
            <w:r>
              <w:rPr>
                <w:sz w:val="24"/>
              </w:rPr>
              <w:t>-.188</w:t>
            </w:r>
          </w:p>
        </w:tc>
        <w:tc>
          <w:tcPr>
            <w:tcW w:w="1137" w:type="dxa"/>
            <w:tcBorders>
              <w:top w:val="nil"/>
              <w:left w:val="nil"/>
              <w:bottom w:val="nil"/>
              <w:right w:val="nil"/>
            </w:tcBorders>
          </w:tcPr>
          <w:p>
            <w:pPr>
              <w:pStyle w:val="TableParagraph"/>
              <w:spacing w:line="262" w:lineRule="exact"/>
              <w:ind w:left="278" w:right="272"/>
              <w:jc w:val="center"/>
              <w:rPr>
                <w:sz w:val="24"/>
              </w:rPr>
            </w:pPr>
            <w:r>
              <w:rPr>
                <w:sz w:val="24"/>
              </w:rPr>
              <w:t>-.020</w:t>
            </w:r>
          </w:p>
        </w:tc>
      </w:tr>
      <w:tr>
        <w:trPr>
          <w:trHeight w:val="276" w:hRule="exact"/>
        </w:trPr>
        <w:tc>
          <w:tcPr>
            <w:tcW w:w="1981" w:type="dxa"/>
            <w:tcBorders>
              <w:top w:val="nil"/>
              <w:left w:val="nil"/>
              <w:bottom w:val="nil"/>
              <w:right w:val="nil"/>
            </w:tcBorders>
          </w:tcPr>
          <w:p>
            <w:pPr>
              <w:pStyle w:val="TableParagraph"/>
              <w:ind w:left="110" w:right="375"/>
              <w:rPr>
                <w:sz w:val="24"/>
              </w:rPr>
            </w:pPr>
            <w:r>
              <w:rPr>
                <w:sz w:val="24"/>
              </w:rPr>
              <w:t>Carga</w:t>
            </w:r>
          </w:p>
        </w:tc>
        <w:tc>
          <w:tcPr>
            <w:tcW w:w="1435" w:type="dxa"/>
            <w:tcBorders>
              <w:top w:val="nil"/>
              <w:left w:val="nil"/>
              <w:bottom w:val="nil"/>
              <w:right w:val="nil"/>
            </w:tcBorders>
          </w:tcPr>
          <w:p>
            <w:pPr>
              <w:pStyle w:val="TableParagraph"/>
              <w:ind w:left="417" w:right="425"/>
              <w:jc w:val="center"/>
              <w:rPr>
                <w:sz w:val="24"/>
              </w:rPr>
            </w:pPr>
            <w:r>
              <w:rPr>
                <w:sz w:val="24"/>
              </w:rPr>
              <w:t>.062</w:t>
            </w:r>
          </w:p>
        </w:tc>
        <w:tc>
          <w:tcPr>
            <w:tcW w:w="1549" w:type="dxa"/>
            <w:tcBorders>
              <w:top w:val="nil"/>
              <w:left w:val="nil"/>
              <w:bottom w:val="nil"/>
              <w:right w:val="nil"/>
            </w:tcBorders>
          </w:tcPr>
          <w:p>
            <w:pPr>
              <w:pStyle w:val="TableParagraph"/>
              <w:ind w:left="424" w:right="427"/>
              <w:jc w:val="center"/>
              <w:rPr>
                <w:sz w:val="24"/>
              </w:rPr>
            </w:pPr>
            <w:r>
              <w:rPr>
                <w:sz w:val="24"/>
              </w:rPr>
              <w:t>.215</w:t>
            </w:r>
          </w:p>
        </w:tc>
        <w:tc>
          <w:tcPr>
            <w:tcW w:w="1266" w:type="dxa"/>
            <w:tcBorders>
              <w:top w:val="nil"/>
              <w:left w:val="nil"/>
              <w:bottom w:val="nil"/>
              <w:right w:val="nil"/>
            </w:tcBorders>
          </w:tcPr>
          <w:p>
            <w:pPr>
              <w:pStyle w:val="TableParagraph"/>
              <w:ind w:left="252" w:right="235"/>
              <w:jc w:val="center"/>
              <w:rPr>
                <w:sz w:val="24"/>
              </w:rPr>
            </w:pPr>
            <w:r>
              <w:rPr>
                <w:sz w:val="24"/>
              </w:rPr>
              <w:t>-.200</w:t>
            </w:r>
          </w:p>
        </w:tc>
        <w:tc>
          <w:tcPr>
            <w:tcW w:w="1709" w:type="dxa"/>
            <w:tcBorders>
              <w:top w:val="nil"/>
              <w:left w:val="nil"/>
              <w:bottom w:val="nil"/>
              <w:right w:val="nil"/>
            </w:tcBorders>
          </w:tcPr>
          <w:p>
            <w:pPr>
              <w:pStyle w:val="TableParagraph"/>
              <w:ind w:left="584" w:right="143"/>
              <w:rPr>
                <w:sz w:val="24"/>
              </w:rPr>
            </w:pPr>
            <w:r>
              <w:rPr>
                <w:sz w:val="24"/>
              </w:rPr>
              <w:t>-.141</w:t>
            </w:r>
          </w:p>
        </w:tc>
        <w:tc>
          <w:tcPr>
            <w:tcW w:w="1137" w:type="dxa"/>
            <w:tcBorders>
              <w:top w:val="nil"/>
              <w:left w:val="nil"/>
              <w:bottom w:val="nil"/>
              <w:right w:val="nil"/>
            </w:tcBorders>
          </w:tcPr>
          <w:p>
            <w:pPr>
              <w:pStyle w:val="TableParagraph"/>
              <w:ind w:left="278" w:right="272"/>
              <w:jc w:val="center"/>
              <w:rPr>
                <w:sz w:val="24"/>
              </w:rPr>
            </w:pPr>
            <w:r>
              <w:rPr>
                <w:sz w:val="24"/>
              </w:rPr>
              <w:t>-.016</w:t>
            </w:r>
          </w:p>
        </w:tc>
      </w:tr>
      <w:tr>
        <w:trPr>
          <w:trHeight w:val="276" w:hRule="exact"/>
        </w:trPr>
        <w:tc>
          <w:tcPr>
            <w:tcW w:w="1981" w:type="dxa"/>
            <w:tcBorders>
              <w:top w:val="nil"/>
              <w:left w:val="nil"/>
              <w:bottom w:val="nil"/>
              <w:right w:val="nil"/>
            </w:tcBorders>
          </w:tcPr>
          <w:p>
            <w:pPr>
              <w:pStyle w:val="TableParagraph"/>
              <w:spacing w:line="262" w:lineRule="exact"/>
              <w:ind w:left="110"/>
              <w:rPr>
                <w:sz w:val="24"/>
              </w:rPr>
            </w:pPr>
            <w:r>
              <w:rPr>
                <w:sz w:val="24"/>
              </w:rPr>
              <w:t>Funcionamiento</w:t>
            </w:r>
          </w:p>
        </w:tc>
        <w:tc>
          <w:tcPr>
            <w:tcW w:w="1435" w:type="dxa"/>
            <w:tcBorders>
              <w:top w:val="nil"/>
              <w:left w:val="nil"/>
              <w:bottom w:val="nil"/>
              <w:right w:val="nil"/>
            </w:tcBorders>
          </w:tcPr>
          <w:p>
            <w:pPr>
              <w:pStyle w:val="TableParagraph"/>
              <w:spacing w:line="262" w:lineRule="exact"/>
              <w:ind w:left="417" w:right="425"/>
              <w:jc w:val="center"/>
              <w:rPr>
                <w:sz w:val="24"/>
              </w:rPr>
            </w:pPr>
            <w:r>
              <w:rPr>
                <w:sz w:val="24"/>
              </w:rPr>
              <w:t>.136</w:t>
            </w:r>
          </w:p>
        </w:tc>
        <w:tc>
          <w:tcPr>
            <w:tcW w:w="1549" w:type="dxa"/>
            <w:tcBorders>
              <w:top w:val="nil"/>
              <w:left w:val="nil"/>
              <w:bottom w:val="nil"/>
              <w:right w:val="nil"/>
            </w:tcBorders>
          </w:tcPr>
          <w:p>
            <w:pPr>
              <w:pStyle w:val="TableParagraph"/>
              <w:spacing w:line="262" w:lineRule="exact"/>
              <w:ind w:left="424" w:right="427"/>
              <w:jc w:val="center"/>
              <w:rPr>
                <w:sz w:val="24"/>
              </w:rPr>
            </w:pPr>
            <w:r>
              <w:rPr>
                <w:sz w:val="24"/>
              </w:rPr>
              <w:t>.046</w:t>
            </w:r>
          </w:p>
        </w:tc>
        <w:tc>
          <w:tcPr>
            <w:tcW w:w="1266" w:type="dxa"/>
            <w:tcBorders>
              <w:top w:val="nil"/>
              <w:left w:val="nil"/>
              <w:bottom w:val="nil"/>
              <w:right w:val="nil"/>
            </w:tcBorders>
          </w:tcPr>
          <w:p>
            <w:pPr>
              <w:pStyle w:val="TableParagraph"/>
              <w:spacing w:line="262" w:lineRule="exact"/>
              <w:ind w:left="252" w:right="235"/>
              <w:jc w:val="center"/>
              <w:rPr>
                <w:sz w:val="24"/>
              </w:rPr>
            </w:pPr>
            <w:r>
              <w:rPr>
                <w:sz w:val="24"/>
              </w:rPr>
              <w:t>-.032</w:t>
            </w:r>
          </w:p>
        </w:tc>
        <w:tc>
          <w:tcPr>
            <w:tcW w:w="1709" w:type="dxa"/>
            <w:tcBorders>
              <w:top w:val="nil"/>
              <w:left w:val="nil"/>
              <w:bottom w:val="nil"/>
              <w:right w:val="nil"/>
            </w:tcBorders>
          </w:tcPr>
          <w:p>
            <w:pPr>
              <w:pStyle w:val="TableParagraph"/>
              <w:spacing w:line="262" w:lineRule="exact"/>
              <w:ind w:left="627" w:right="143"/>
              <w:rPr>
                <w:sz w:val="24"/>
              </w:rPr>
            </w:pPr>
            <w:r>
              <w:rPr>
                <w:sz w:val="24"/>
              </w:rPr>
              <w:t>.029</w:t>
            </w:r>
          </w:p>
        </w:tc>
        <w:tc>
          <w:tcPr>
            <w:tcW w:w="1137" w:type="dxa"/>
            <w:tcBorders>
              <w:top w:val="nil"/>
              <w:left w:val="nil"/>
              <w:bottom w:val="nil"/>
              <w:right w:val="nil"/>
            </w:tcBorders>
          </w:tcPr>
          <w:p>
            <w:pPr>
              <w:pStyle w:val="TableParagraph"/>
              <w:spacing w:line="262" w:lineRule="exact"/>
              <w:ind w:left="278" w:right="267"/>
              <w:jc w:val="center"/>
              <w:rPr>
                <w:sz w:val="24"/>
              </w:rPr>
            </w:pPr>
            <w:r>
              <w:rPr>
                <w:sz w:val="24"/>
              </w:rPr>
              <w:t>.097</w:t>
            </w:r>
          </w:p>
        </w:tc>
      </w:tr>
      <w:tr>
        <w:trPr>
          <w:trHeight w:val="271" w:hRule="exact"/>
        </w:trPr>
        <w:tc>
          <w:tcPr>
            <w:tcW w:w="1981" w:type="dxa"/>
            <w:tcBorders>
              <w:top w:val="nil"/>
              <w:left w:val="nil"/>
              <w:right w:val="nil"/>
            </w:tcBorders>
          </w:tcPr>
          <w:p>
            <w:pPr>
              <w:pStyle w:val="TableParagraph"/>
              <w:ind w:left="110"/>
              <w:rPr>
                <w:sz w:val="24"/>
              </w:rPr>
            </w:pPr>
            <w:r>
              <w:rPr>
                <w:sz w:val="24"/>
              </w:rPr>
              <w:t>Calidad de vida</w:t>
            </w:r>
          </w:p>
        </w:tc>
        <w:tc>
          <w:tcPr>
            <w:tcW w:w="1435" w:type="dxa"/>
            <w:tcBorders>
              <w:top w:val="nil"/>
              <w:left w:val="nil"/>
              <w:right w:val="nil"/>
            </w:tcBorders>
          </w:tcPr>
          <w:p>
            <w:pPr>
              <w:pStyle w:val="TableParagraph"/>
              <w:ind w:left="422" w:right="425"/>
              <w:jc w:val="center"/>
              <w:rPr>
                <w:sz w:val="24"/>
              </w:rPr>
            </w:pPr>
            <w:r>
              <w:rPr>
                <w:sz w:val="24"/>
              </w:rPr>
              <w:t>-.045</w:t>
            </w:r>
          </w:p>
        </w:tc>
        <w:tc>
          <w:tcPr>
            <w:tcW w:w="1549" w:type="dxa"/>
            <w:tcBorders>
              <w:top w:val="nil"/>
              <w:left w:val="nil"/>
              <w:right w:val="nil"/>
            </w:tcBorders>
          </w:tcPr>
          <w:p>
            <w:pPr>
              <w:pStyle w:val="TableParagraph"/>
              <w:ind w:left="422" w:right="427"/>
              <w:jc w:val="center"/>
              <w:rPr>
                <w:sz w:val="24"/>
              </w:rPr>
            </w:pPr>
            <w:r>
              <w:rPr>
                <w:sz w:val="24"/>
              </w:rPr>
              <w:t>.310*</w:t>
            </w:r>
          </w:p>
        </w:tc>
        <w:tc>
          <w:tcPr>
            <w:tcW w:w="1266" w:type="dxa"/>
            <w:tcBorders>
              <w:top w:val="nil"/>
              <w:left w:val="nil"/>
              <w:right w:val="nil"/>
            </w:tcBorders>
          </w:tcPr>
          <w:p>
            <w:pPr>
              <w:pStyle w:val="TableParagraph"/>
              <w:ind w:left="255" w:right="230"/>
              <w:jc w:val="center"/>
              <w:rPr>
                <w:sz w:val="24"/>
              </w:rPr>
            </w:pPr>
            <w:r>
              <w:rPr>
                <w:sz w:val="24"/>
              </w:rPr>
              <w:t>-.301*</w:t>
            </w:r>
          </w:p>
        </w:tc>
        <w:tc>
          <w:tcPr>
            <w:tcW w:w="1709" w:type="dxa"/>
            <w:tcBorders>
              <w:top w:val="nil"/>
              <w:left w:val="nil"/>
              <w:right w:val="nil"/>
            </w:tcBorders>
          </w:tcPr>
          <w:p>
            <w:pPr>
              <w:pStyle w:val="TableParagraph"/>
              <w:ind w:left="584" w:right="143"/>
              <w:rPr>
                <w:sz w:val="24"/>
              </w:rPr>
            </w:pPr>
            <w:r>
              <w:rPr>
                <w:sz w:val="24"/>
              </w:rPr>
              <w:t>-.120</w:t>
            </w:r>
          </w:p>
        </w:tc>
        <w:tc>
          <w:tcPr>
            <w:tcW w:w="1137" w:type="dxa"/>
            <w:tcBorders>
              <w:top w:val="nil"/>
              <w:left w:val="nil"/>
              <w:right w:val="nil"/>
            </w:tcBorders>
          </w:tcPr>
          <w:p>
            <w:pPr>
              <w:pStyle w:val="TableParagraph"/>
              <w:ind w:left="278" w:right="272"/>
              <w:jc w:val="center"/>
              <w:rPr>
                <w:sz w:val="24"/>
              </w:rPr>
            </w:pPr>
            <w:r>
              <w:rPr>
                <w:sz w:val="24"/>
              </w:rPr>
              <w:t>-.095</w:t>
            </w:r>
          </w:p>
        </w:tc>
      </w:tr>
    </w:tbl>
    <w:p>
      <w:pPr>
        <w:spacing w:line="225" w:lineRule="exact" w:before="0"/>
        <w:ind w:left="116" w:right="0" w:firstLine="0"/>
        <w:jc w:val="both"/>
        <w:rPr>
          <w:sz w:val="20"/>
        </w:rPr>
      </w:pPr>
      <w:r>
        <w:rPr>
          <w:sz w:val="20"/>
        </w:rPr>
        <w:t>**. Correlation is significant at the 0.01 level (2-tailed).</w:t>
      </w:r>
    </w:p>
    <w:p>
      <w:pPr>
        <w:spacing w:before="1"/>
        <w:ind w:left="116" w:right="0" w:firstLine="0"/>
        <w:jc w:val="both"/>
        <w:rPr>
          <w:sz w:val="20"/>
        </w:rPr>
      </w:pPr>
      <w:r>
        <w:rPr>
          <w:sz w:val="20"/>
        </w:rPr>
        <w:t>*. Correlation is significant at the 0.05 level (2-tailed).</w:t>
      </w:r>
    </w:p>
    <w:p>
      <w:pPr>
        <w:pStyle w:val="BodyText"/>
        <w:spacing w:before="3"/>
      </w:pPr>
    </w:p>
    <w:p>
      <w:pPr>
        <w:pStyle w:val="BodyText"/>
        <w:spacing w:line="360" w:lineRule="auto"/>
        <w:ind w:left="116" w:right="110"/>
        <w:jc w:val="both"/>
      </w:pPr>
      <w:r>
        <w:rPr/>
        <w:t>En la tabla 4  se  muestra  que  en  el  sexo  masculino  existe  una  correlación  negativa y moderada de las variables interpretándose de la  siguiente  manera,  a  menor hábitos  de  vida,  mayor  afección  en  la  calidad  de  vida  y  a  menor  afectación en la calidad de  vida,  mayores  hábitos  de  vida.  Entonces  </w:t>
      </w:r>
      <w:r>
        <w:rPr>
          <w:spacing w:val="-3"/>
        </w:rPr>
        <w:t>se  </w:t>
      </w:r>
      <w:r>
        <w:rPr/>
        <w:t>puede  decir  que la  calidad  de  vida  podría  estar  determinada  por  los  hábitos  de  vida  que  se</w:t>
      </w:r>
      <w:r>
        <w:rPr>
          <w:spacing w:val="63"/>
        </w:rPr>
        <w:t> </w:t>
      </w:r>
      <w:r>
        <w:rPr/>
        <w:t>tengan.</w:t>
      </w:r>
    </w:p>
    <w:p>
      <w:pPr>
        <w:pStyle w:val="BodyText"/>
        <w:spacing w:line="360" w:lineRule="auto" w:before="209"/>
        <w:ind w:left="116" w:right="109"/>
        <w:jc w:val="both"/>
      </w:pPr>
      <w:r>
        <w:rPr/>
        <w:t>Además existen correlaciones entre los factores de las variables; el factor de  la  variable hábitos  de  vida,  contenido  calórico  tiene  una  relación  negativa  y  moderada   con   los   factores   energía   y   movilidad   y   control   de   la   diabetes</w:t>
      </w:r>
      <w:r>
        <w:rPr>
          <w:spacing w:val="19"/>
        </w:rPr>
        <w:t> </w:t>
      </w:r>
      <w:r>
        <w:rPr/>
        <w:t>así</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116" w:right="110"/>
        <w:jc w:val="both"/>
      </w:pPr>
      <w:r>
        <w:rPr/>
        <w:t>como con la variable calidad de vida. </w:t>
      </w:r>
      <w:r>
        <w:rPr>
          <w:spacing w:val="-3"/>
        </w:rPr>
        <w:t>Comer </w:t>
      </w:r>
      <w:r>
        <w:rPr/>
        <w:t>por bienestar psicológico tiene una  relación positiva y moderada con el factor control  de  diabetes.  </w:t>
      </w:r>
      <w:r>
        <w:rPr>
          <w:spacing w:val="-4"/>
        </w:rPr>
        <w:t>El  </w:t>
      </w:r>
      <w:r>
        <w:rPr/>
        <w:t>factor  ejercicio  físico tiene correlación  negativa  y  moderada  con  control  de  diabetes.  Se  destaca  el factor alimentación saludable con correlaciones  negativas,  moderadas  y  fuertes con los factores energía  y  movilidad,  control  de  la  diabetes,  ansiedad-  preocupación  y  con  la  variable  calidad  de</w:t>
      </w:r>
      <w:r>
        <w:rPr>
          <w:spacing w:val="55"/>
        </w:rPr>
        <w:t> </w:t>
      </w:r>
      <w:r>
        <w:rPr/>
        <w:t>vida.</w:t>
      </w:r>
    </w:p>
    <w:p>
      <w:pPr>
        <w:pStyle w:val="BodyText"/>
        <w:spacing w:line="355" w:lineRule="auto" w:before="209"/>
        <w:ind w:left="116" w:right="111"/>
        <w:jc w:val="both"/>
      </w:pPr>
      <w:r>
        <w:rPr/>
        <w:t>La variable hábitos de vida muestra una correlación positiva y moderada con los factores  energía  y  control  de  la</w:t>
      </w:r>
      <w:r>
        <w:rPr>
          <w:spacing w:val="61"/>
        </w:rPr>
        <w:t> </w:t>
      </w:r>
      <w:r>
        <w:rPr/>
        <w:t>diabetes.</w:t>
      </w:r>
    </w:p>
    <w:p>
      <w:pPr>
        <w:pStyle w:val="BodyText"/>
        <w:spacing w:before="6"/>
        <w:rPr>
          <w:sz w:val="29"/>
        </w:rPr>
      </w:pPr>
    </w:p>
    <w:p>
      <w:pPr>
        <w:pStyle w:val="BodyText"/>
        <w:spacing w:line="345" w:lineRule="auto"/>
        <w:ind w:left="116" w:right="366"/>
      </w:pPr>
      <w:r>
        <w:rPr/>
        <w:t>Tabla 4. Correlación de Pearson para las variables CV y HV de la muestra de hombres  n= 31</w:t>
      </w:r>
    </w:p>
    <w:p>
      <w:pPr>
        <w:pStyle w:val="BodyText"/>
        <w:spacing w:before="2"/>
        <w:rPr>
          <w:sz w:val="16"/>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17"/>
        <w:gridCol w:w="1504"/>
        <w:gridCol w:w="1546"/>
        <w:gridCol w:w="1196"/>
        <w:gridCol w:w="1702"/>
        <w:gridCol w:w="1111"/>
      </w:tblGrid>
      <w:tr>
        <w:trPr>
          <w:trHeight w:val="836" w:hRule="exact"/>
        </w:trPr>
        <w:tc>
          <w:tcPr>
            <w:tcW w:w="2017" w:type="dxa"/>
            <w:tcBorders>
              <w:left w:val="nil"/>
              <w:right w:val="nil"/>
            </w:tcBorders>
          </w:tcPr>
          <w:p>
            <w:pPr>
              <w:pStyle w:val="TableParagraph"/>
              <w:spacing w:line="274" w:lineRule="exact" w:before="1"/>
              <w:ind w:left="528" w:right="411" w:hanging="130"/>
              <w:rPr>
                <w:sz w:val="24"/>
              </w:rPr>
            </w:pPr>
            <w:r>
              <w:rPr>
                <w:sz w:val="24"/>
              </w:rPr>
              <w:t>Variables y Factores</w:t>
            </w:r>
          </w:p>
        </w:tc>
        <w:tc>
          <w:tcPr>
            <w:tcW w:w="1504" w:type="dxa"/>
            <w:tcBorders>
              <w:left w:val="nil"/>
              <w:right w:val="nil"/>
            </w:tcBorders>
          </w:tcPr>
          <w:p>
            <w:pPr>
              <w:pStyle w:val="TableParagraph"/>
              <w:spacing w:line="274" w:lineRule="exact" w:before="1"/>
              <w:ind w:left="307" w:right="193" w:hanging="111"/>
              <w:rPr>
                <w:sz w:val="24"/>
              </w:rPr>
            </w:pPr>
            <w:r>
              <w:rPr>
                <w:sz w:val="24"/>
              </w:rPr>
              <w:t>Contenido Calórico</w:t>
            </w:r>
          </w:p>
        </w:tc>
        <w:tc>
          <w:tcPr>
            <w:tcW w:w="1546" w:type="dxa"/>
            <w:tcBorders>
              <w:left w:val="nil"/>
              <w:right w:val="nil"/>
            </w:tcBorders>
          </w:tcPr>
          <w:p>
            <w:pPr>
              <w:pStyle w:val="TableParagraph"/>
              <w:spacing w:line="240" w:lineRule="auto"/>
              <w:ind w:left="210" w:right="145" w:hanging="5"/>
              <w:jc w:val="center"/>
              <w:rPr>
                <w:sz w:val="24"/>
              </w:rPr>
            </w:pPr>
            <w:r>
              <w:rPr>
                <w:sz w:val="24"/>
              </w:rPr>
              <w:t>Comer por bienestar psicológico</w:t>
            </w:r>
          </w:p>
        </w:tc>
        <w:tc>
          <w:tcPr>
            <w:tcW w:w="1196" w:type="dxa"/>
            <w:tcBorders>
              <w:left w:val="nil"/>
              <w:right w:val="nil"/>
            </w:tcBorders>
          </w:tcPr>
          <w:p>
            <w:pPr>
              <w:pStyle w:val="TableParagraph"/>
              <w:spacing w:line="274" w:lineRule="exact" w:before="1"/>
              <w:ind w:left="325" w:right="122" w:hanging="178"/>
              <w:rPr>
                <w:sz w:val="24"/>
              </w:rPr>
            </w:pPr>
            <w:r>
              <w:rPr>
                <w:sz w:val="24"/>
              </w:rPr>
              <w:t>Ejercicio físico</w:t>
            </w:r>
          </w:p>
        </w:tc>
        <w:tc>
          <w:tcPr>
            <w:tcW w:w="1702" w:type="dxa"/>
            <w:tcBorders>
              <w:left w:val="nil"/>
              <w:right w:val="nil"/>
            </w:tcBorders>
          </w:tcPr>
          <w:p>
            <w:pPr>
              <w:pStyle w:val="TableParagraph"/>
              <w:spacing w:line="274" w:lineRule="exact" w:before="1"/>
              <w:ind w:left="310" w:right="170" w:hanging="173"/>
              <w:rPr>
                <w:sz w:val="24"/>
              </w:rPr>
            </w:pPr>
            <w:r>
              <w:rPr>
                <w:sz w:val="24"/>
              </w:rPr>
              <w:t>Alimentación saludable</w:t>
            </w:r>
          </w:p>
        </w:tc>
        <w:tc>
          <w:tcPr>
            <w:tcW w:w="1111" w:type="dxa"/>
            <w:tcBorders>
              <w:left w:val="nil"/>
              <w:right w:val="nil"/>
            </w:tcBorders>
          </w:tcPr>
          <w:p>
            <w:pPr>
              <w:pStyle w:val="TableParagraph"/>
              <w:spacing w:line="274" w:lineRule="exact" w:before="1"/>
              <w:ind w:left="231" w:right="85" w:hanging="44"/>
              <w:rPr>
                <w:sz w:val="24"/>
              </w:rPr>
            </w:pPr>
            <w:r>
              <w:rPr>
                <w:sz w:val="24"/>
              </w:rPr>
              <w:t>Hábitos de vida</w:t>
            </w:r>
          </w:p>
        </w:tc>
      </w:tr>
      <w:tr>
        <w:trPr>
          <w:trHeight w:val="290" w:hRule="exact"/>
        </w:trPr>
        <w:tc>
          <w:tcPr>
            <w:tcW w:w="2017" w:type="dxa"/>
            <w:tcBorders>
              <w:left w:val="nil"/>
              <w:bottom w:val="nil"/>
              <w:right w:val="nil"/>
            </w:tcBorders>
          </w:tcPr>
          <w:p>
            <w:pPr>
              <w:pStyle w:val="TableParagraph"/>
              <w:spacing w:line="272" w:lineRule="exact"/>
              <w:ind w:left="110" w:right="411"/>
              <w:rPr>
                <w:sz w:val="24"/>
              </w:rPr>
            </w:pPr>
            <w:r>
              <w:rPr>
                <w:sz w:val="24"/>
              </w:rPr>
              <w:t>Energía</w:t>
            </w:r>
          </w:p>
        </w:tc>
        <w:tc>
          <w:tcPr>
            <w:tcW w:w="1504" w:type="dxa"/>
            <w:tcBorders>
              <w:left w:val="nil"/>
              <w:bottom w:val="nil"/>
              <w:right w:val="nil"/>
            </w:tcBorders>
          </w:tcPr>
          <w:p>
            <w:pPr>
              <w:pStyle w:val="TableParagraph"/>
              <w:spacing w:line="272" w:lineRule="exact"/>
              <w:ind w:left="427" w:right="157"/>
              <w:rPr>
                <w:sz w:val="24"/>
              </w:rPr>
            </w:pPr>
            <w:r>
              <w:rPr>
                <w:sz w:val="24"/>
              </w:rPr>
              <w:t>-.442*</w:t>
            </w:r>
          </w:p>
        </w:tc>
        <w:tc>
          <w:tcPr>
            <w:tcW w:w="1546" w:type="dxa"/>
            <w:tcBorders>
              <w:left w:val="nil"/>
              <w:bottom w:val="nil"/>
              <w:right w:val="nil"/>
            </w:tcBorders>
          </w:tcPr>
          <w:p>
            <w:pPr>
              <w:pStyle w:val="TableParagraph"/>
              <w:spacing w:line="272" w:lineRule="exact"/>
              <w:ind w:left="503" w:right="440"/>
              <w:jc w:val="center"/>
              <w:rPr>
                <w:sz w:val="24"/>
              </w:rPr>
            </w:pPr>
            <w:r>
              <w:rPr>
                <w:sz w:val="24"/>
              </w:rPr>
              <w:t>.266</w:t>
            </w:r>
          </w:p>
        </w:tc>
        <w:tc>
          <w:tcPr>
            <w:tcW w:w="1196" w:type="dxa"/>
            <w:tcBorders>
              <w:left w:val="nil"/>
              <w:bottom w:val="nil"/>
              <w:right w:val="nil"/>
            </w:tcBorders>
          </w:tcPr>
          <w:p>
            <w:pPr>
              <w:pStyle w:val="TableParagraph"/>
              <w:spacing w:line="272" w:lineRule="exact"/>
              <w:ind w:left="217" w:right="202"/>
              <w:jc w:val="center"/>
              <w:rPr>
                <w:sz w:val="24"/>
              </w:rPr>
            </w:pPr>
            <w:r>
              <w:rPr>
                <w:sz w:val="24"/>
              </w:rPr>
              <w:t>-.215</w:t>
            </w:r>
          </w:p>
        </w:tc>
        <w:tc>
          <w:tcPr>
            <w:tcW w:w="1702" w:type="dxa"/>
            <w:tcBorders>
              <w:left w:val="nil"/>
              <w:bottom w:val="nil"/>
              <w:right w:val="nil"/>
            </w:tcBorders>
          </w:tcPr>
          <w:p>
            <w:pPr>
              <w:pStyle w:val="TableParagraph"/>
              <w:spacing w:line="272" w:lineRule="exact"/>
              <w:ind w:left="507" w:right="170"/>
              <w:rPr>
                <w:sz w:val="24"/>
              </w:rPr>
            </w:pPr>
            <w:r>
              <w:rPr>
                <w:sz w:val="24"/>
              </w:rPr>
              <w:t>-.420*</w:t>
            </w:r>
          </w:p>
        </w:tc>
        <w:tc>
          <w:tcPr>
            <w:tcW w:w="1111" w:type="dxa"/>
            <w:tcBorders>
              <w:left w:val="nil"/>
              <w:bottom w:val="nil"/>
              <w:right w:val="nil"/>
            </w:tcBorders>
          </w:tcPr>
          <w:p>
            <w:pPr>
              <w:pStyle w:val="TableParagraph"/>
              <w:spacing w:line="272" w:lineRule="exact"/>
              <w:ind w:left="210" w:right="219"/>
              <w:jc w:val="center"/>
              <w:rPr>
                <w:sz w:val="24"/>
              </w:rPr>
            </w:pPr>
            <w:r>
              <w:rPr>
                <w:sz w:val="24"/>
              </w:rPr>
              <w:t>-.414*</w:t>
            </w:r>
          </w:p>
        </w:tc>
      </w:tr>
      <w:tr>
        <w:trPr>
          <w:trHeight w:val="276" w:hRule="exact"/>
        </w:trPr>
        <w:tc>
          <w:tcPr>
            <w:tcW w:w="2017" w:type="dxa"/>
            <w:tcBorders>
              <w:top w:val="nil"/>
              <w:left w:val="nil"/>
              <w:bottom w:val="nil"/>
              <w:right w:val="nil"/>
            </w:tcBorders>
          </w:tcPr>
          <w:p>
            <w:pPr>
              <w:pStyle w:val="TableParagraph"/>
              <w:ind w:left="110" w:right="411"/>
              <w:rPr>
                <w:sz w:val="24"/>
              </w:rPr>
            </w:pPr>
            <w:r>
              <w:rPr>
                <w:sz w:val="24"/>
              </w:rPr>
              <w:t>Control</w:t>
            </w:r>
          </w:p>
        </w:tc>
        <w:tc>
          <w:tcPr>
            <w:tcW w:w="1504" w:type="dxa"/>
            <w:tcBorders>
              <w:top w:val="nil"/>
              <w:left w:val="nil"/>
              <w:bottom w:val="nil"/>
              <w:right w:val="nil"/>
            </w:tcBorders>
          </w:tcPr>
          <w:p>
            <w:pPr>
              <w:pStyle w:val="TableParagraph"/>
              <w:ind w:left="427" w:right="157"/>
              <w:rPr>
                <w:sz w:val="24"/>
              </w:rPr>
            </w:pPr>
            <w:r>
              <w:rPr>
                <w:sz w:val="24"/>
              </w:rPr>
              <w:t>-.391*</w:t>
            </w:r>
          </w:p>
        </w:tc>
        <w:tc>
          <w:tcPr>
            <w:tcW w:w="1546" w:type="dxa"/>
            <w:tcBorders>
              <w:top w:val="nil"/>
              <w:left w:val="nil"/>
              <w:bottom w:val="nil"/>
              <w:right w:val="nil"/>
            </w:tcBorders>
          </w:tcPr>
          <w:p>
            <w:pPr>
              <w:pStyle w:val="TableParagraph"/>
              <w:ind w:left="503" w:right="442"/>
              <w:jc w:val="center"/>
              <w:rPr>
                <w:sz w:val="24"/>
              </w:rPr>
            </w:pPr>
            <w:r>
              <w:rPr>
                <w:sz w:val="24"/>
              </w:rPr>
              <w:t>.368*</w:t>
            </w:r>
          </w:p>
        </w:tc>
        <w:tc>
          <w:tcPr>
            <w:tcW w:w="1196" w:type="dxa"/>
            <w:tcBorders>
              <w:top w:val="nil"/>
              <w:left w:val="nil"/>
              <w:bottom w:val="nil"/>
              <w:right w:val="nil"/>
            </w:tcBorders>
          </w:tcPr>
          <w:p>
            <w:pPr>
              <w:pStyle w:val="TableParagraph"/>
              <w:ind w:left="219" w:right="197"/>
              <w:jc w:val="center"/>
              <w:rPr>
                <w:sz w:val="24"/>
              </w:rPr>
            </w:pPr>
            <w:r>
              <w:rPr>
                <w:sz w:val="24"/>
              </w:rPr>
              <w:t>-.360*</w:t>
            </w:r>
          </w:p>
        </w:tc>
        <w:tc>
          <w:tcPr>
            <w:tcW w:w="1702" w:type="dxa"/>
            <w:tcBorders>
              <w:top w:val="nil"/>
              <w:left w:val="nil"/>
              <w:bottom w:val="nil"/>
              <w:right w:val="nil"/>
            </w:tcBorders>
          </w:tcPr>
          <w:p>
            <w:pPr>
              <w:pStyle w:val="TableParagraph"/>
              <w:ind w:left="459" w:right="170"/>
              <w:rPr>
                <w:sz w:val="24"/>
              </w:rPr>
            </w:pPr>
            <w:r>
              <w:rPr>
                <w:sz w:val="24"/>
              </w:rPr>
              <w:t>-.514**</w:t>
            </w:r>
          </w:p>
        </w:tc>
        <w:tc>
          <w:tcPr>
            <w:tcW w:w="1111" w:type="dxa"/>
            <w:tcBorders>
              <w:top w:val="nil"/>
              <w:left w:val="nil"/>
              <w:bottom w:val="nil"/>
              <w:right w:val="nil"/>
            </w:tcBorders>
          </w:tcPr>
          <w:p>
            <w:pPr>
              <w:pStyle w:val="TableParagraph"/>
              <w:ind w:left="202" w:right="219"/>
              <w:jc w:val="center"/>
              <w:rPr>
                <w:sz w:val="24"/>
              </w:rPr>
            </w:pPr>
            <w:r>
              <w:rPr>
                <w:sz w:val="24"/>
              </w:rPr>
              <w:t>-.444</w:t>
            </w:r>
          </w:p>
        </w:tc>
      </w:tr>
      <w:tr>
        <w:trPr>
          <w:trHeight w:val="276" w:hRule="exact"/>
        </w:trPr>
        <w:tc>
          <w:tcPr>
            <w:tcW w:w="2017" w:type="dxa"/>
            <w:tcBorders>
              <w:top w:val="nil"/>
              <w:left w:val="nil"/>
              <w:bottom w:val="nil"/>
              <w:right w:val="nil"/>
            </w:tcBorders>
          </w:tcPr>
          <w:p>
            <w:pPr>
              <w:pStyle w:val="TableParagraph"/>
              <w:spacing w:line="262" w:lineRule="exact"/>
              <w:ind w:left="110" w:right="411"/>
              <w:rPr>
                <w:sz w:val="24"/>
              </w:rPr>
            </w:pPr>
            <w:r>
              <w:rPr>
                <w:sz w:val="24"/>
              </w:rPr>
              <w:t>Ansiedad</w:t>
            </w:r>
          </w:p>
        </w:tc>
        <w:tc>
          <w:tcPr>
            <w:tcW w:w="1504" w:type="dxa"/>
            <w:tcBorders>
              <w:top w:val="nil"/>
              <w:left w:val="nil"/>
              <w:bottom w:val="nil"/>
              <w:right w:val="nil"/>
            </w:tcBorders>
          </w:tcPr>
          <w:p>
            <w:pPr>
              <w:pStyle w:val="TableParagraph"/>
              <w:spacing w:line="262" w:lineRule="exact"/>
              <w:ind w:left="475" w:right="157"/>
              <w:rPr>
                <w:sz w:val="24"/>
              </w:rPr>
            </w:pPr>
            <w:r>
              <w:rPr>
                <w:sz w:val="24"/>
              </w:rPr>
              <w:t>-.349</w:t>
            </w:r>
          </w:p>
        </w:tc>
        <w:tc>
          <w:tcPr>
            <w:tcW w:w="1546" w:type="dxa"/>
            <w:tcBorders>
              <w:top w:val="nil"/>
              <w:left w:val="nil"/>
              <w:bottom w:val="nil"/>
              <w:right w:val="nil"/>
            </w:tcBorders>
          </w:tcPr>
          <w:p>
            <w:pPr>
              <w:pStyle w:val="TableParagraph"/>
              <w:spacing w:line="262" w:lineRule="exact"/>
              <w:ind w:left="503" w:right="440"/>
              <w:jc w:val="center"/>
              <w:rPr>
                <w:sz w:val="24"/>
              </w:rPr>
            </w:pPr>
            <w:r>
              <w:rPr>
                <w:sz w:val="24"/>
              </w:rPr>
              <w:t>.273</w:t>
            </w:r>
          </w:p>
        </w:tc>
        <w:tc>
          <w:tcPr>
            <w:tcW w:w="1196" w:type="dxa"/>
            <w:tcBorders>
              <w:top w:val="nil"/>
              <w:left w:val="nil"/>
              <w:bottom w:val="nil"/>
              <w:right w:val="nil"/>
            </w:tcBorders>
          </w:tcPr>
          <w:p>
            <w:pPr>
              <w:pStyle w:val="TableParagraph"/>
              <w:spacing w:line="262" w:lineRule="exact"/>
              <w:ind w:left="218" w:right="202"/>
              <w:jc w:val="center"/>
              <w:rPr>
                <w:sz w:val="24"/>
              </w:rPr>
            </w:pPr>
            <w:r>
              <w:rPr>
                <w:sz w:val="24"/>
              </w:rPr>
              <w:t>-124</w:t>
            </w:r>
          </w:p>
        </w:tc>
        <w:tc>
          <w:tcPr>
            <w:tcW w:w="1702" w:type="dxa"/>
            <w:tcBorders>
              <w:top w:val="nil"/>
              <w:left w:val="nil"/>
              <w:bottom w:val="nil"/>
              <w:right w:val="nil"/>
            </w:tcBorders>
          </w:tcPr>
          <w:p>
            <w:pPr>
              <w:pStyle w:val="TableParagraph"/>
              <w:spacing w:line="262" w:lineRule="exact"/>
              <w:ind w:left="459" w:right="170"/>
              <w:rPr>
                <w:sz w:val="24"/>
              </w:rPr>
            </w:pPr>
            <w:r>
              <w:rPr>
                <w:sz w:val="24"/>
              </w:rPr>
              <w:t>-.655**</w:t>
            </w:r>
          </w:p>
        </w:tc>
        <w:tc>
          <w:tcPr>
            <w:tcW w:w="1111" w:type="dxa"/>
            <w:tcBorders>
              <w:top w:val="nil"/>
              <w:left w:val="nil"/>
              <w:bottom w:val="nil"/>
              <w:right w:val="nil"/>
            </w:tcBorders>
          </w:tcPr>
          <w:p>
            <w:pPr>
              <w:pStyle w:val="TableParagraph"/>
              <w:spacing w:line="262" w:lineRule="exact"/>
              <w:ind w:left="202" w:right="219"/>
              <w:jc w:val="center"/>
              <w:rPr>
                <w:sz w:val="24"/>
              </w:rPr>
            </w:pPr>
            <w:r>
              <w:rPr>
                <w:sz w:val="24"/>
              </w:rPr>
              <w:t>-.336</w:t>
            </w:r>
          </w:p>
        </w:tc>
      </w:tr>
      <w:tr>
        <w:trPr>
          <w:trHeight w:val="276" w:hRule="exact"/>
        </w:trPr>
        <w:tc>
          <w:tcPr>
            <w:tcW w:w="2017" w:type="dxa"/>
            <w:tcBorders>
              <w:top w:val="nil"/>
              <w:left w:val="nil"/>
              <w:bottom w:val="nil"/>
              <w:right w:val="nil"/>
            </w:tcBorders>
          </w:tcPr>
          <w:p>
            <w:pPr>
              <w:pStyle w:val="TableParagraph"/>
              <w:ind w:left="110" w:right="411"/>
              <w:rPr>
                <w:sz w:val="24"/>
              </w:rPr>
            </w:pPr>
            <w:r>
              <w:rPr>
                <w:sz w:val="24"/>
              </w:rPr>
              <w:t>Carga</w:t>
            </w:r>
          </w:p>
        </w:tc>
        <w:tc>
          <w:tcPr>
            <w:tcW w:w="1504" w:type="dxa"/>
            <w:tcBorders>
              <w:top w:val="nil"/>
              <w:left w:val="nil"/>
              <w:bottom w:val="nil"/>
              <w:right w:val="nil"/>
            </w:tcBorders>
          </w:tcPr>
          <w:p>
            <w:pPr>
              <w:pStyle w:val="TableParagraph"/>
              <w:ind w:left="475" w:right="157"/>
              <w:rPr>
                <w:sz w:val="24"/>
              </w:rPr>
            </w:pPr>
            <w:r>
              <w:rPr>
                <w:sz w:val="24"/>
              </w:rPr>
              <w:t>-.340</w:t>
            </w:r>
          </w:p>
        </w:tc>
        <w:tc>
          <w:tcPr>
            <w:tcW w:w="1546" w:type="dxa"/>
            <w:tcBorders>
              <w:top w:val="nil"/>
              <w:left w:val="nil"/>
              <w:bottom w:val="nil"/>
              <w:right w:val="nil"/>
            </w:tcBorders>
          </w:tcPr>
          <w:p>
            <w:pPr>
              <w:pStyle w:val="TableParagraph"/>
              <w:ind w:left="503" w:right="440"/>
              <w:jc w:val="center"/>
              <w:rPr>
                <w:sz w:val="24"/>
              </w:rPr>
            </w:pPr>
            <w:r>
              <w:rPr>
                <w:sz w:val="24"/>
              </w:rPr>
              <w:t>.069</w:t>
            </w:r>
          </w:p>
        </w:tc>
        <w:tc>
          <w:tcPr>
            <w:tcW w:w="1196" w:type="dxa"/>
            <w:tcBorders>
              <w:top w:val="nil"/>
              <w:left w:val="nil"/>
              <w:bottom w:val="nil"/>
              <w:right w:val="nil"/>
            </w:tcBorders>
          </w:tcPr>
          <w:p>
            <w:pPr>
              <w:pStyle w:val="TableParagraph"/>
              <w:ind w:left="217" w:right="202"/>
              <w:jc w:val="center"/>
              <w:rPr>
                <w:sz w:val="24"/>
              </w:rPr>
            </w:pPr>
            <w:r>
              <w:rPr>
                <w:sz w:val="24"/>
              </w:rPr>
              <w:t>-.093</w:t>
            </w:r>
          </w:p>
        </w:tc>
        <w:tc>
          <w:tcPr>
            <w:tcW w:w="1702" w:type="dxa"/>
            <w:tcBorders>
              <w:top w:val="nil"/>
              <w:left w:val="nil"/>
              <w:bottom w:val="nil"/>
              <w:right w:val="nil"/>
            </w:tcBorders>
          </w:tcPr>
          <w:p>
            <w:pPr>
              <w:pStyle w:val="TableParagraph"/>
              <w:ind w:left="550" w:right="170"/>
              <w:rPr>
                <w:sz w:val="24"/>
              </w:rPr>
            </w:pPr>
            <w:r>
              <w:rPr>
                <w:sz w:val="24"/>
              </w:rPr>
              <w:t>-.292</w:t>
            </w:r>
          </w:p>
        </w:tc>
        <w:tc>
          <w:tcPr>
            <w:tcW w:w="1111" w:type="dxa"/>
            <w:tcBorders>
              <w:top w:val="nil"/>
              <w:left w:val="nil"/>
              <w:bottom w:val="nil"/>
              <w:right w:val="nil"/>
            </w:tcBorders>
          </w:tcPr>
          <w:p>
            <w:pPr>
              <w:pStyle w:val="TableParagraph"/>
              <w:ind w:left="202" w:right="219"/>
              <w:jc w:val="center"/>
              <w:rPr>
                <w:sz w:val="24"/>
              </w:rPr>
            </w:pPr>
            <w:r>
              <w:rPr>
                <w:sz w:val="24"/>
              </w:rPr>
              <w:t>-.327</w:t>
            </w:r>
          </w:p>
        </w:tc>
      </w:tr>
      <w:tr>
        <w:trPr>
          <w:trHeight w:val="276" w:hRule="exact"/>
        </w:trPr>
        <w:tc>
          <w:tcPr>
            <w:tcW w:w="2017" w:type="dxa"/>
            <w:tcBorders>
              <w:top w:val="nil"/>
              <w:left w:val="nil"/>
              <w:bottom w:val="nil"/>
              <w:right w:val="nil"/>
            </w:tcBorders>
          </w:tcPr>
          <w:p>
            <w:pPr>
              <w:pStyle w:val="TableParagraph"/>
              <w:spacing w:line="262" w:lineRule="exact"/>
              <w:ind w:left="110"/>
              <w:rPr>
                <w:sz w:val="24"/>
              </w:rPr>
            </w:pPr>
            <w:r>
              <w:rPr>
                <w:sz w:val="24"/>
              </w:rPr>
              <w:t>Funcionamiento</w:t>
            </w:r>
          </w:p>
        </w:tc>
        <w:tc>
          <w:tcPr>
            <w:tcW w:w="1504" w:type="dxa"/>
            <w:tcBorders>
              <w:top w:val="nil"/>
              <w:left w:val="nil"/>
              <w:bottom w:val="nil"/>
              <w:right w:val="nil"/>
            </w:tcBorders>
          </w:tcPr>
          <w:p>
            <w:pPr>
              <w:pStyle w:val="TableParagraph"/>
              <w:spacing w:line="262" w:lineRule="exact"/>
              <w:ind w:left="475" w:right="157"/>
              <w:rPr>
                <w:sz w:val="24"/>
              </w:rPr>
            </w:pPr>
            <w:r>
              <w:rPr>
                <w:sz w:val="24"/>
              </w:rPr>
              <w:t>-.250</w:t>
            </w:r>
          </w:p>
        </w:tc>
        <w:tc>
          <w:tcPr>
            <w:tcW w:w="1546" w:type="dxa"/>
            <w:tcBorders>
              <w:top w:val="nil"/>
              <w:left w:val="nil"/>
              <w:bottom w:val="nil"/>
              <w:right w:val="nil"/>
            </w:tcBorders>
          </w:tcPr>
          <w:p>
            <w:pPr>
              <w:pStyle w:val="TableParagraph"/>
              <w:spacing w:line="262" w:lineRule="exact"/>
              <w:ind w:left="503" w:right="440"/>
              <w:jc w:val="center"/>
              <w:rPr>
                <w:sz w:val="24"/>
              </w:rPr>
            </w:pPr>
            <w:r>
              <w:rPr>
                <w:sz w:val="24"/>
              </w:rPr>
              <w:t>.168</w:t>
            </w:r>
          </w:p>
        </w:tc>
        <w:tc>
          <w:tcPr>
            <w:tcW w:w="1196" w:type="dxa"/>
            <w:tcBorders>
              <w:top w:val="nil"/>
              <w:left w:val="nil"/>
              <w:bottom w:val="nil"/>
              <w:right w:val="nil"/>
            </w:tcBorders>
          </w:tcPr>
          <w:p>
            <w:pPr>
              <w:pStyle w:val="TableParagraph"/>
              <w:spacing w:line="262" w:lineRule="exact"/>
              <w:ind w:left="219" w:right="200"/>
              <w:jc w:val="center"/>
              <w:rPr>
                <w:sz w:val="24"/>
              </w:rPr>
            </w:pPr>
            <w:r>
              <w:rPr>
                <w:sz w:val="24"/>
              </w:rPr>
              <w:t>.022</w:t>
            </w:r>
          </w:p>
        </w:tc>
        <w:tc>
          <w:tcPr>
            <w:tcW w:w="1702" w:type="dxa"/>
            <w:tcBorders>
              <w:top w:val="nil"/>
              <w:left w:val="nil"/>
              <w:bottom w:val="nil"/>
              <w:right w:val="nil"/>
            </w:tcBorders>
          </w:tcPr>
          <w:p>
            <w:pPr>
              <w:pStyle w:val="TableParagraph"/>
              <w:spacing w:line="262" w:lineRule="exact"/>
              <w:ind w:left="550" w:right="170"/>
              <w:rPr>
                <w:sz w:val="24"/>
              </w:rPr>
            </w:pPr>
            <w:r>
              <w:rPr>
                <w:sz w:val="24"/>
              </w:rPr>
              <w:t>-.331</w:t>
            </w:r>
          </w:p>
        </w:tc>
        <w:tc>
          <w:tcPr>
            <w:tcW w:w="1111" w:type="dxa"/>
            <w:tcBorders>
              <w:top w:val="nil"/>
              <w:left w:val="nil"/>
              <w:bottom w:val="nil"/>
              <w:right w:val="nil"/>
            </w:tcBorders>
          </w:tcPr>
          <w:p>
            <w:pPr>
              <w:pStyle w:val="TableParagraph"/>
              <w:spacing w:line="262" w:lineRule="exact"/>
              <w:ind w:left="202" w:right="219"/>
              <w:jc w:val="center"/>
              <w:rPr>
                <w:sz w:val="24"/>
              </w:rPr>
            </w:pPr>
            <w:r>
              <w:rPr>
                <w:sz w:val="24"/>
              </w:rPr>
              <w:t>-.198</w:t>
            </w:r>
          </w:p>
        </w:tc>
      </w:tr>
      <w:tr>
        <w:trPr>
          <w:trHeight w:val="271" w:hRule="exact"/>
        </w:trPr>
        <w:tc>
          <w:tcPr>
            <w:tcW w:w="2017" w:type="dxa"/>
            <w:tcBorders>
              <w:top w:val="nil"/>
              <w:left w:val="nil"/>
              <w:right w:val="nil"/>
            </w:tcBorders>
          </w:tcPr>
          <w:p>
            <w:pPr>
              <w:pStyle w:val="TableParagraph"/>
              <w:ind w:left="110"/>
              <w:rPr>
                <w:sz w:val="24"/>
              </w:rPr>
            </w:pPr>
            <w:r>
              <w:rPr>
                <w:sz w:val="24"/>
              </w:rPr>
              <w:t>Calidad de vida</w:t>
            </w:r>
          </w:p>
        </w:tc>
        <w:tc>
          <w:tcPr>
            <w:tcW w:w="1504" w:type="dxa"/>
            <w:tcBorders>
              <w:top w:val="nil"/>
              <w:left w:val="nil"/>
              <w:right w:val="nil"/>
            </w:tcBorders>
          </w:tcPr>
          <w:p>
            <w:pPr>
              <w:pStyle w:val="TableParagraph"/>
              <w:ind w:left="427" w:right="157"/>
              <w:rPr>
                <w:sz w:val="24"/>
              </w:rPr>
            </w:pPr>
            <w:r>
              <w:rPr>
                <w:sz w:val="24"/>
              </w:rPr>
              <w:t>-.442*</w:t>
            </w:r>
          </w:p>
        </w:tc>
        <w:tc>
          <w:tcPr>
            <w:tcW w:w="1546" w:type="dxa"/>
            <w:tcBorders>
              <w:top w:val="nil"/>
              <w:left w:val="nil"/>
              <w:right w:val="nil"/>
            </w:tcBorders>
          </w:tcPr>
          <w:p>
            <w:pPr>
              <w:pStyle w:val="TableParagraph"/>
              <w:ind w:left="503" w:right="440"/>
              <w:jc w:val="center"/>
              <w:rPr>
                <w:sz w:val="24"/>
              </w:rPr>
            </w:pPr>
            <w:r>
              <w:rPr>
                <w:sz w:val="24"/>
              </w:rPr>
              <w:t>.307</w:t>
            </w:r>
          </w:p>
        </w:tc>
        <w:tc>
          <w:tcPr>
            <w:tcW w:w="1196" w:type="dxa"/>
            <w:tcBorders>
              <w:top w:val="nil"/>
              <w:left w:val="nil"/>
              <w:right w:val="nil"/>
            </w:tcBorders>
          </w:tcPr>
          <w:p>
            <w:pPr>
              <w:pStyle w:val="TableParagraph"/>
              <w:ind w:left="217" w:right="202"/>
              <w:jc w:val="center"/>
              <w:rPr>
                <w:sz w:val="24"/>
              </w:rPr>
            </w:pPr>
            <w:r>
              <w:rPr>
                <w:sz w:val="24"/>
              </w:rPr>
              <w:t>-.210</w:t>
            </w:r>
          </w:p>
        </w:tc>
        <w:tc>
          <w:tcPr>
            <w:tcW w:w="1702" w:type="dxa"/>
            <w:tcBorders>
              <w:top w:val="nil"/>
              <w:left w:val="nil"/>
              <w:right w:val="nil"/>
            </w:tcBorders>
          </w:tcPr>
          <w:p>
            <w:pPr>
              <w:pStyle w:val="TableParagraph"/>
              <w:ind w:left="459" w:right="170"/>
              <w:rPr>
                <w:sz w:val="24"/>
              </w:rPr>
            </w:pPr>
            <w:r>
              <w:rPr>
                <w:sz w:val="24"/>
              </w:rPr>
              <w:t>-.525**</w:t>
            </w:r>
          </w:p>
        </w:tc>
        <w:tc>
          <w:tcPr>
            <w:tcW w:w="1111" w:type="dxa"/>
            <w:tcBorders>
              <w:top w:val="nil"/>
              <w:left w:val="nil"/>
              <w:right w:val="nil"/>
            </w:tcBorders>
          </w:tcPr>
          <w:p>
            <w:pPr>
              <w:pStyle w:val="TableParagraph"/>
              <w:ind w:left="210" w:right="219"/>
              <w:jc w:val="center"/>
              <w:rPr>
                <w:sz w:val="24"/>
              </w:rPr>
            </w:pPr>
            <w:r>
              <w:rPr>
                <w:sz w:val="24"/>
              </w:rPr>
              <w:t>-.436*</w:t>
            </w:r>
          </w:p>
        </w:tc>
      </w:tr>
    </w:tbl>
    <w:p>
      <w:pPr>
        <w:spacing w:line="225" w:lineRule="exact" w:before="0"/>
        <w:ind w:left="116" w:right="0" w:firstLine="0"/>
        <w:jc w:val="both"/>
        <w:rPr>
          <w:sz w:val="20"/>
        </w:rPr>
      </w:pPr>
      <w:r>
        <w:rPr>
          <w:sz w:val="20"/>
        </w:rPr>
        <w:t>**. Correlation is significant at the 0.01 level (2-tailed).</w:t>
      </w:r>
    </w:p>
    <w:p>
      <w:pPr>
        <w:spacing w:before="0"/>
        <w:ind w:left="116" w:right="0" w:firstLine="0"/>
        <w:jc w:val="both"/>
        <w:rPr>
          <w:sz w:val="20"/>
        </w:rPr>
      </w:pPr>
      <w:r>
        <w:rPr>
          <w:sz w:val="20"/>
        </w:rPr>
        <w:t>*. Correlation is significant at the 0.05 level (2-tailed).</w:t>
      </w:r>
    </w:p>
    <w:p>
      <w:pPr>
        <w:pStyle w:val="BodyText"/>
        <w:rPr>
          <w:sz w:val="20"/>
        </w:rPr>
      </w:pPr>
    </w:p>
    <w:p>
      <w:pPr>
        <w:pStyle w:val="BodyText"/>
        <w:spacing w:before="9"/>
        <w:rPr>
          <w:sz w:val="16"/>
        </w:rPr>
      </w:pPr>
    </w:p>
    <w:p>
      <w:pPr>
        <w:pStyle w:val="BodyText"/>
        <w:spacing w:line="348" w:lineRule="auto"/>
        <w:ind w:left="116" w:right="110"/>
        <w:jc w:val="both"/>
      </w:pPr>
      <w:r>
        <w:rPr/>
        <w:t>Con respecto  a  la  CV  y  la  Calidad  de  Vida  Percibida  (CVP)  se  realizó  </w:t>
      </w:r>
      <w:r>
        <w:rPr>
          <w:spacing w:val="-4"/>
        </w:rPr>
        <w:t>el </w:t>
      </w:r>
      <w:r>
        <w:rPr>
          <w:spacing w:val="58"/>
        </w:rPr>
        <w:t> </w:t>
      </w:r>
      <w:r>
        <w:rPr/>
        <w:t>análisis t de Student muestras relacionadas para la  muestra  de  97  sujetos, observando  que  existe  una  diferencia  entre  ambas  variables  (</w:t>
      </w:r>
      <w:r>
        <w:rPr>
          <w:i/>
        </w:rPr>
        <w:t>gl</w:t>
      </w:r>
      <w:r>
        <w:rPr/>
        <w:t>= 96;  </w:t>
      </w:r>
      <w:r>
        <w:rPr>
          <w:i/>
        </w:rPr>
        <w:t>t</w:t>
      </w:r>
      <w:r>
        <w:rPr/>
        <w:t>=  10.198,  </w:t>
      </w:r>
      <w:r>
        <w:rPr>
          <w:i/>
        </w:rPr>
        <w:t>p</w:t>
      </w:r>
      <w:r>
        <w:rPr/>
        <w:t>= .000)  observando  un  valor  mayor  de  la  media  para  la  variable  CVP  (X= 5.39  y D.E=1.295) con respecto a la CV (X= 2.6500 y D.E.= 1.84750). Así como una correlación  negativa  moderada  (</w:t>
      </w:r>
      <w:r>
        <w:rPr>
          <w:i/>
        </w:rPr>
        <w:t>r</w:t>
      </w:r>
      <w:r>
        <w:rPr/>
        <w:t>= -.401</w:t>
      </w:r>
      <w:r>
        <w:rPr>
          <w:spacing w:val="51"/>
        </w:rPr>
        <w:t> </w:t>
      </w:r>
      <w:r>
        <w:rPr>
          <w:i/>
        </w:rPr>
        <w:t>p</w:t>
      </w:r>
      <w:r>
        <w:rPr/>
        <w:t>=.000).</w:t>
      </w:r>
    </w:p>
    <w:p>
      <w:pPr>
        <w:spacing w:after="0" w:line="348" w:lineRule="auto"/>
        <w:jc w:val="both"/>
        <w:sectPr>
          <w:pgSz w:w="12240" w:h="15840"/>
          <w:pgMar w:header="729" w:footer="0" w:top="960" w:bottom="280" w:left="1300" w:right="1300"/>
        </w:sectPr>
      </w:pPr>
    </w:p>
    <w:p>
      <w:pPr>
        <w:pStyle w:val="BodyText"/>
        <w:rPr>
          <w:sz w:val="20"/>
        </w:rPr>
      </w:pPr>
    </w:p>
    <w:p>
      <w:pPr>
        <w:pStyle w:val="Heading1"/>
        <w:spacing w:before="208"/>
        <w:ind w:left="3132" w:right="212"/>
        <w:jc w:val="left"/>
      </w:pPr>
      <w:r>
        <w:rPr/>
        <w:t>ANÁLISIS  DE</w:t>
      </w:r>
      <w:r>
        <w:rPr>
          <w:spacing w:val="55"/>
        </w:rPr>
        <w:t> </w:t>
      </w:r>
      <w:r>
        <w:rPr/>
        <w:t>RESULTADOS</w:t>
      </w:r>
    </w:p>
    <w:p>
      <w:pPr>
        <w:pStyle w:val="BodyText"/>
        <w:rPr>
          <w:b/>
        </w:rPr>
      </w:pPr>
    </w:p>
    <w:p>
      <w:pPr>
        <w:pStyle w:val="BodyText"/>
        <w:spacing w:before="7"/>
        <w:rPr>
          <w:b/>
        </w:rPr>
      </w:pPr>
    </w:p>
    <w:p>
      <w:pPr>
        <w:pStyle w:val="BodyText"/>
        <w:spacing w:line="360" w:lineRule="auto" w:before="1"/>
        <w:ind w:left="116" w:right="119"/>
        <w:jc w:val="both"/>
      </w:pPr>
      <w:r>
        <w:rPr/>
        <w:t>La diabetes y la  obesidad  son  problemas  de  salud  pública  que  afectan  a gran  parte de la  población  mexicana. La  comorbilidad  de  la  diabetes  y  el  sobrepeso  o la obesidad, son de gran importancia para  el  estudio  de  las  ciencias  sociales,  debido a los problemas que traen consigo, para las personas que la padecen pero también para las</w:t>
      </w:r>
      <w:r>
        <w:rPr>
          <w:spacing w:val="64"/>
        </w:rPr>
        <w:t> </w:t>
      </w:r>
      <w:r>
        <w:rPr/>
        <w:t>familias.</w:t>
      </w:r>
    </w:p>
    <w:p>
      <w:pPr>
        <w:pStyle w:val="BodyText"/>
      </w:pPr>
    </w:p>
    <w:p>
      <w:pPr>
        <w:pStyle w:val="BodyText"/>
        <w:spacing w:line="360" w:lineRule="auto" w:before="139"/>
        <w:ind w:left="116" w:right="112"/>
        <w:jc w:val="both"/>
      </w:pPr>
      <w:r>
        <w:rPr/>
        <w:t>En la presente investigación las características de las variables sociodemográficas como  lo  es  la  edad,  coinciden  con  las  edades  mostradas  en  la   ENSANUT (2012), con la prevalencia  de  diabetes  y  obesidad,  e  incluso  </w:t>
      </w:r>
      <w:r>
        <w:rPr>
          <w:spacing w:val="-3"/>
        </w:rPr>
        <w:t>se  </w:t>
      </w:r>
      <w:r>
        <w:rPr/>
        <w:t>integraron  personas de menor edad. Lo que hace  pensar  que  esta  enfermedad  cada  día  afecta a personas </w:t>
      </w:r>
      <w:r>
        <w:rPr>
          <w:spacing w:val="-3"/>
        </w:rPr>
        <w:t>más </w:t>
      </w:r>
      <w:r>
        <w:rPr/>
        <w:t>jóvenes, convirtiéndose  en  un  problema  de  salud  mucho  </w:t>
      </w:r>
      <w:r>
        <w:rPr>
          <w:spacing w:val="-3"/>
        </w:rPr>
        <w:t>más </w:t>
      </w:r>
      <w:r>
        <w:rPr>
          <w:spacing w:val="-1"/>
        </w:rPr>
        <w:t> </w:t>
      </w:r>
      <w:r>
        <w:rPr/>
        <w:t>complejo.</w:t>
      </w:r>
    </w:p>
    <w:p>
      <w:pPr>
        <w:pStyle w:val="BodyText"/>
      </w:pPr>
    </w:p>
    <w:p>
      <w:pPr>
        <w:pStyle w:val="BodyText"/>
        <w:spacing w:line="360" w:lineRule="auto" w:before="139"/>
        <w:ind w:left="116" w:right="110"/>
        <w:jc w:val="both"/>
      </w:pPr>
      <w:r>
        <w:rPr/>
        <w:t>Respecto al sexo en este estudio se muestra la mayor prevalencia de diabetes, sobrepeso y obesidad en las  mujeres  lo  cual  se  asemeja  a  los  resultados  expuestos por la ENSANUT (2012). Sin embargo, los datos demuestran que los hombres no están exentos  de  este  problema,  ya  que  ellos  representaron  el  34% de  la  muestra  de</w:t>
      </w:r>
      <w:r>
        <w:rPr>
          <w:spacing w:val="62"/>
        </w:rPr>
        <w:t> </w:t>
      </w:r>
      <w:r>
        <w:rPr/>
        <w:t>estudio.</w:t>
      </w:r>
    </w:p>
    <w:p>
      <w:pPr>
        <w:pStyle w:val="BodyText"/>
      </w:pPr>
    </w:p>
    <w:p>
      <w:pPr>
        <w:pStyle w:val="BodyText"/>
        <w:spacing w:line="360" w:lineRule="auto" w:before="145"/>
        <w:ind w:left="116" w:right="110"/>
        <w:jc w:val="both"/>
      </w:pPr>
      <w:r>
        <w:rPr/>
        <w:t>En la revisión no se encontraron estudios  correlacionales  en  México  entre  los  hábitos de vida y la calidad de vida en pacientes con diabetes y que, agregado presentan  también  obesidad  o  sobrepeso.  Aspecto  que  resulta  relevante  y   justifica la pertinencia del estudio. Para este estudio y comprobado de manera estadística </w:t>
      </w:r>
      <w:r>
        <w:rPr>
          <w:spacing w:val="-3"/>
        </w:rPr>
        <w:t>se </w:t>
      </w:r>
      <w:r>
        <w:rPr/>
        <w:t>puede apreciar una correlación negativa y  baja  para  la  muestra  general, lo que permite cuestionar  lo  expuesto  por  Gutiérrez  (2000;  citado  por  Tuero y Márquez,  2013),  ya  que  para  esta  muestra  los  estilos  de  vida  y  la  calidad de vida no están estrechamente  vinculados,  esto  sustentado  en  el  coeficiente de correlación de r= -.206.  Ya  que  </w:t>
      </w:r>
      <w:r>
        <w:rPr>
          <w:spacing w:val="-3"/>
        </w:rPr>
        <w:t>si  </w:t>
      </w:r>
      <w:r>
        <w:rPr/>
        <w:t>bien  se  puede  señalar  que  a  mejor  estilo  de  vida  mayor  calidad  de  vida.  Tomando  en  cuenta  que  el    </w:t>
      </w:r>
      <w:r>
        <w:rPr>
          <w:spacing w:val="2"/>
        </w:rPr>
        <w:t> </w:t>
      </w:r>
      <w:r>
        <w:rPr/>
        <w:t>puntaje</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116" w:right="109"/>
        <w:jc w:val="both"/>
      </w:pPr>
      <w:r>
        <w:rPr/>
        <w:t>alto de calidad  de  vida  indica  un  decremento  de  la  calidad  de  vida.  Por  lo  que  se puede rechazar la hipótesis nula, pero con reservas ya que se trata de  un  coeficiente bajo. Lo que hace permite señalar que esto  se  está  presentando  en  pocos </w:t>
      </w:r>
      <w:r>
        <w:rPr>
          <w:spacing w:val="1"/>
        </w:rPr>
        <w:t> </w:t>
      </w:r>
      <w:r>
        <w:rPr/>
        <w:t>casos.</w:t>
      </w:r>
    </w:p>
    <w:p>
      <w:pPr>
        <w:pStyle w:val="BodyText"/>
      </w:pPr>
    </w:p>
    <w:p>
      <w:pPr>
        <w:pStyle w:val="BodyText"/>
        <w:spacing w:line="360" w:lineRule="auto" w:before="144"/>
        <w:ind w:left="116" w:right="107"/>
        <w:jc w:val="both"/>
      </w:pPr>
      <w:r>
        <w:rPr/>
        <w:t>Sin embargo al  analizar  la  relación  de  la  CV  con  los  HV  la  correlación  baja  puede  deberse  a  que  los  hombres  no  establecieron  correlación  entre  las  variables, pero las mujeres lo hicieron de  manera  moderada  y  negativa.  Lo  que  hace pensar que  mientras  que  los  hombres  pudieran  estar  percibiendo  la  CV  como algo aislado de los HV, las  mujeres  determinan  que  los  HV  positivos  aumentan su CV. Por lo que se vuelve pertinente  continuar  investigando  este  aspecto.</w:t>
      </w:r>
    </w:p>
    <w:p>
      <w:pPr>
        <w:pStyle w:val="BodyText"/>
      </w:pPr>
    </w:p>
    <w:p>
      <w:pPr>
        <w:pStyle w:val="BodyText"/>
        <w:spacing w:line="360" w:lineRule="auto" w:before="144"/>
        <w:ind w:left="116" w:right="109"/>
        <w:jc w:val="both"/>
      </w:pPr>
      <w:r>
        <w:rPr/>
        <w:t>Con respecto a las  correlaciones  por  factor  se  observó  que  para  la  muestra general el control </w:t>
      </w:r>
      <w:r>
        <w:rPr>
          <w:spacing w:val="-3"/>
        </w:rPr>
        <w:t>se </w:t>
      </w:r>
      <w:r>
        <w:rPr/>
        <w:t>relacionó  con  el  contenido  calórico  de  manera  negativa  y  baja, para las mujeres no existió relación y en  los  hombres  la  correlación  es  negativa  moderada.  Además  los  hombres  establecieron  relación  negativa  moderada entre el contenido calórico con la  energía  y  la  calidad  de  vida  lo  que  lleva a pensar que son los hombres quienes  encuentran  una  asociación  </w:t>
      </w:r>
      <w:r>
        <w:rPr>
          <w:spacing w:val="-3"/>
        </w:rPr>
        <w:t>más  </w:t>
      </w:r>
      <w:r>
        <w:rPr/>
        <w:t>estrecha  entre  el  control  de  la  enfermedad  y  el  consumo  de  calorías  a   diferencia  de  las  mujeres,  lo  cual  se  debe  de  considerar  para  realizar   un  análisis </w:t>
      </w:r>
      <w:r>
        <w:rPr>
          <w:spacing w:val="-3"/>
        </w:rPr>
        <w:t>más  </w:t>
      </w:r>
      <w:r>
        <w:rPr/>
        <w:t>profundo,  ya  que  dentro  de  la  teoría  se  encontró  que  el  consumo  de alimentos  grasos  y  de  alto  contenido  calórico  ha  incrementado  (López  y Ávalos,</w:t>
      </w:r>
      <w:r>
        <w:rPr>
          <w:spacing w:val="59"/>
        </w:rPr>
        <w:t> </w:t>
      </w:r>
      <w:r>
        <w:rPr/>
        <w:t>2013).</w:t>
      </w:r>
    </w:p>
    <w:p>
      <w:pPr>
        <w:pStyle w:val="BodyText"/>
      </w:pPr>
    </w:p>
    <w:p>
      <w:pPr>
        <w:pStyle w:val="BodyText"/>
        <w:spacing w:line="360" w:lineRule="auto" w:before="140"/>
        <w:ind w:left="116" w:right="110"/>
        <w:jc w:val="both"/>
      </w:pPr>
      <w:r>
        <w:rPr/>
        <w:t>Con respecto al factor de comer por bienestar psicológico la muestra  general  estableció  relación  positiva  moderada  con  el  factor  control,  y  relación  positiva  baja con ansiedad. Aspecto que se da de  la  </w:t>
      </w:r>
      <w:r>
        <w:rPr>
          <w:spacing w:val="-3"/>
        </w:rPr>
        <w:t>misma  </w:t>
      </w:r>
      <w:r>
        <w:rPr/>
        <w:t>forma  para  las  mujeres.  Mientras  que  los  hombres  solo  establecieron  relación  con  el  factor  control,   siendo positiva y moderada. Lo que da idea que dentro de la  muestra  algunos  hombres   son   quienes   comen   para   alcanzar   un   bienestar   psicológico   pues</w:t>
      </w:r>
      <w:r>
        <w:rPr>
          <w:spacing w:val="34"/>
        </w:rPr>
        <w:t> </w:t>
      </w:r>
      <w:r>
        <w:rPr/>
        <w:t>se</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12"/>
        <w:jc w:val="both"/>
      </w:pPr>
      <w:r>
        <w:rPr/>
        <w:t>sienten  angustiados  por  el  control  de  la  diabetes  (Sansgiry,  Naik,  Brown  &amp;   Latini,</w:t>
      </w:r>
      <w:r>
        <w:rPr>
          <w:spacing w:val="63"/>
        </w:rPr>
        <w:t> </w:t>
      </w:r>
      <w:r>
        <w:rPr/>
        <w:t>2013).</w:t>
      </w:r>
    </w:p>
    <w:p>
      <w:pPr>
        <w:pStyle w:val="BodyText"/>
        <w:spacing w:before="11"/>
        <w:rPr>
          <w:sz w:val="35"/>
        </w:rPr>
      </w:pPr>
    </w:p>
    <w:p>
      <w:pPr>
        <w:pStyle w:val="BodyText"/>
        <w:spacing w:line="360" w:lineRule="auto"/>
        <w:ind w:left="116" w:right="112"/>
        <w:jc w:val="both"/>
      </w:pPr>
      <w:r>
        <w:rPr/>
        <w:t>Con respecto al ejercicio físico se establece una relación con tres de los cinco factores de CV, con la calidad de vida correlacionó de manera positiva baja, al igual que con el factor carga. Y de manera negativa moderada con el control y la  energía, presentándose estas mismas relaciones para el grupo de mujeres, solo que la calidad de vida aumentó su relación a moderada. Los hombres solo obtuvieron relación negativa moderada con el control, pues como lo menciona la teoría, (NOM43 para el cuidado, tratamiento y prevención de las displemias), el ejercicio físico  está considerado  dentro  del  tratamiento  no  farmacológico  de  los  pacientes  con diabetes, la obesidad o sobrepeso, mostrando así que no todos los pacientes  </w:t>
      </w:r>
      <w:r>
        <w:rPr>
          <w:spacing w:val="-3"/>
        </w:rPr>
        <w:t>se  </w:t>
      </w:r>
      <w:r>
        <w:rPr/>
        <w:t>sienten  afectados  por  estos  factores  en  relación  con  el  ejercicio  físico  (De  la  Paz,  Proenza,  Gallardo,  Fernández  y  Mompié,</w:t>
      </w:r>
      <w:r>
        <w:rPr>
          <w:spacing w:val="39"/>
        </w:rPr>
        <w:t> </w:t>
      </w:r>
      <w:r>
        <w:rPr/>
        <w:t>2012).</w:t>
      </w:r>
    </w:p>
    <w:p>
      <w:pPr>
        <w:pStyle w:val="BodyText"/>
      </w:pPr>
    </w:p>
    <w:p>
      <w:pPr>
        <w:pStyle w:val="BodyText"/>
        <w:spacing w:line="360" w:lineRule="auto" w:before="139"/>
        <w:ind w:left="116" w:right="106"/>
        <w:jc w:val="both"/>
      </w:pPr>
      <w:r>
        <w:rPr/>
        <w:t>El factor alimentación saludable correlacionó con  control  y  calidad  de  vida  </w:t>
      </w:r>
      <w:r>
        <w:rPr>
          <w:spacing w:val="-4"/>
        </w:rPr>
        <w:t>de</w:t>
      </w:r>
      <w:r>
        <w:rPr>
          <w:spacing w:val="58"/>
        </w:rPr>
        <w:t> </w:t>
      </w:r>
      <w:r>
        <w:rPr/>
        <w:t>manera negativa y baja, y con la ansiedad fue negativa y  moderada. Sorprendentemente  este  factor  no  estableció  correlación  para  el  grupo  de  mujeres,  pero  </w:t>
      </w:r>
      <w:r>
        <w:rPr>
          <w:spacing w:val="-3"/>
        </w:rPr>
        <w:t>si  </w:t>
      </w:r>
      <w:r>
        <w:rPr/>
        <w:t>para  el  de  hombres  donde  energía,  control  y  CV  correlaciona  de manera moderada y ansiedad de manera alta, lo que  podría  significar  que  mientras las mujeres no encuentran  una  relación  entre  la  alimentación  saludable  con los factores, los hombres sí la presentan, pues para tener el control de </w:t>
      </w:r>
      <w:r>
        <w:rPr>
          <w:spacing w:val="4"/>
        </w:rPr>
        <w:t>la </w:t>
      </w:r>
      <w:r>
        <w:rPr/>
        <w:t>enfermedad se debe de tener una dieta saludable, (Sigal, Kenny, Wasserman y Castaneda, 2004), sin embargo habría que cuestionar </w:t>
      </w:r>
      <w:r>
        <w:rPr>
          <w:spacing w:val="-3"/>
        </w:rPr>
        <w:t>si </w:t>
      </w:r>
      <w:r>
        <w:rPr/>
        <w:t>esta  relación  se  da  realmente por tener el control  de  la  enfermedad  ya  que  la  relación  con  la  ansiedad  fue</w:t>
      </w:r>
      <w:r>
        <w:rPr>
          <w:spacing w:val="59"/>
        </w:rPr>
        <w:t> </w:t>
      </w:r>
      <w:r>
        <w:rPr/>
        <w:t>considerable.</w:t>
      </w:r>
    </w:p>
    <w:p>
      <w:pPr>
        <w:pStyle w:val="BodyText"/>
      </w:pPr>
    </w:p>
    <w:p>
      <w:pPr>
        <w:pStyle w:val="BodyText"/>
        <w:spacing w:line="360" w:lineRule="auto" w:before="144"/>
        <w:ind w:left="116" w:right="109"/>
        <w:jc w:val="both"/>
      </w:pPr>
      <w:r>
        <w:rPr/>
        <w:t>Los hábitos de vida  correlacionaron  de  manera  negativa  y  baja  con  la  CV,  además de los factores  control  y  energía.  Estos  mismos  aspectos  correlacionaron de manera negativa moderada en los  hombres.  Nuevamente  en  el  grupo  de  mujeres  no  se  establecieron  relaciones  entre  estas  variables  y  sus</w:t>
      </w:r>
      <w:r>
        <w:rPr>
          <w:spacing w:val="45"/>
        </w:rPr>
        <w:t> </w:t>
      </w:r>
      <w:r>
        <w:rPr/>
        <w:t>factores.</w:t>
      </w:r>
    </w:p>
    <w:p>
      <w:pPr>
        <w:spacing w:after="0" w:line="360" w:lineRule="auto"/>
        <w:jc w:val="both"/>
        <w:sectPr>
          <w:pgSz w:w="12240" w:h="15840"/>
          <w:pgMar w:header="729" w:footer="0" w:top="960" w:bottom="280" w:left="1300" w:right="1300"/>
        </w:sectPr>
      </w:pPr>
    </w:p>
    <w:p>
      <w:pPr>
        <w:pStyle w:val="BodyText"/>
        <w:rPr>
          <w:sz w:val="20"/>
        </w:rPr>
      </w:pPr>
    </w:p>
    <w:p>
      <w:pPr>
        <w:pStyle w:val="BodyText"/>
        <w:rPr>
          <w:sz w:val="20"/>
        </w:rPr>
      </w:pPr>
    </w:p>
    <w:p>
      <w:pPr>
        <w:pStyle w:val="BodyText"/>
        <w:spacing w:before="9"/>
        <w:rPr>
          <w:sz w:val="28"/>
        </w:rPr>
      </w:pPr>
    </w:p>
    <w:p>
      <w:pPr>
        <w:pStyle w:val="BodyText"/>
        <w:spacing w:line="360" w:lineRule="auto" w:before="70"/>
        <w:ind w:left="116" w:right="114"/>
        <w:jc w:val="both"/>
      </w:pPr>
      <w:r>
        <w:rPr/>
        <w:t>En cuanto a la calidad  de  vida  y  la  calidad  de  vida  percibida  los  resultados  difieren al estudio  de  Miranda,  Domínguez,  Arrollo,  Méndez,  González  (2012),  en  el cual los resultados  muestran  que  los  pacientes  disfrutan  de  una  buena  calidad de  vida  y  tienen  una  buena  autopercepción  de  </w:t>
      </w:r>
      <w:r>
        <w:rPr>
          <w:spacing w:val="-3"/>
        </w:rPr>
        <w:t>su  </w:t>
      </w:r>
      <w:r>
        <w:rPr/>
        <w:t>estado  de  salud  a  pesar  de  su enfermedad; sin embargo en ésta investigación se muestra una diferencia significativa  de  </w:t>
      </w:r>
      <w:r>
        <w:rPr>
          <w:i/>
        </w:rPr>
        <w:t>t</w:t>
      </w:r>
      <w:r>
        <w:rPr/>
        <w:t>=  10.198  (</w:t>
      </w:r>
      <w:r>
        <w:rPr>
          <w:i/>
        </w:rPr>
        <w:t>gl</w:t>
      </w:r>
      <w:r>
        <w:rPr/>
        <w:t>= 96; </w:t>
      </w:r>
      <w:r>
        <w:rPr>
          <w:i/>
        </w:rPr>
        <w:t>p</w:t>
      </w:r>
      <w:r>
        <w:rPr/>
        <w:t>= .000)  entre  la  calidad  de  vida  y  la  calidad  de  vida</w:t>
      </w:r>
      <w:r>
        <w:rPr>
          <w:spacing w:val="65"/>
        </w:rPr>
        <w:t> </w:t>
      </w:r>
      <w:r>
        <w:rPr/>
        <w:t>percibida.</w:t>
      </w:r>
    </w:p>
    <w:p>
      <w:pPr>
        <w:pStyle w:val="BodyText"/>
      </w:pPr>
    </w:p>
    <w:p>
      <w:pPr>
        <w:pStyle w:val="BodyText"/>
        <w:spacing w:line="360" w:lineRule="auto" w:before="144"/>
        <w:ind w:left="116" w:right="110"/>
        <w:jc w:val="both"/>
      </w:pPr>
      <w:r>
        <w:rPr/>
        <w:t>Además Pera (2011), señala que la diabetes puede afectar  la  percepción  de  la  calidad de vida  de  quienes  la  padecen,  a  comparación  con  esta  investigación  en la cual el  49.5%  de  la  muestra  indica  tener  una  máxima  calidad  de  vida  percibida, lo cual difiere de  lo  indicado  por  la  teoría,  pues  la  mayoría  de  los  sujetos perciben su calidad de vida como excelente, similar  a  lo  señalado  por  Bautista y Zambrano (2015) que reportan en su estudio que la mayoría  de  su  población  señala  tener  una  percepción  de  su  estado  de  salud  como</w:t>
      </w:r>
      <w:r>
        <w:rPr>
          <w:spacing w:val="48"/>
        </w:rPr>
        <w:t> </w:t>
      </w:r>
      <w:r>
        <w:rPr/>
        <w:t>buena.</w:t>
      </w:r>
    </w:p>
    <w:p>
      <w:pPr>
        <w:pStyle w:val="BodyText"/>
      </w:pPr>
    </w:p>
    <w:p>
      <w:pPr>
        <w:pStyle w:val="BodyText"/>
        <w:spacing w:line="360" w:lineRule="auto" w:before="144"/>
        <w:ind w:left="116" w:right="110"/>
        <w:jc w:val="both"/>
      </w:pPr>
      <w:r>
        <w:rPr/>
        <w:t>Los resultados de  esta  investigación  muestran  que  los  hábitos  de  vida  y  la  calidad de vida se encuentran  relacionados  sin  embargo,  la  calidad  de  vida  no  está  determinada  por  los  hábitos  de  vida.  </w:t>
      </w:r>
      <w:r>
        <w:rPr>
          <w:spacing w:val="-3"/>
        </w:rPr>
        <w:t>Además  </w:t>
      </w:r>
      <w:r>
        <w:rPr/>
        <w:t>que  la  calidad  de   vida  objetiva  es  diferente  a  la  calidad  de  vida</w:t>
      </w:r>
      <w:r>
        <w:rPr>
          <w:spacing w:val="43"/>
        </w:rPr>
        <w:t> </w:t>
      </w:r>
      <w:r>
        <w:rPr/>
        <w:t>percibida.</w:t>
      </w:r>
    </w:p>
    <w:p>
      <w:pPr>
        <w:pStyle w:val="BodyText"/>
      </w:pPr>
    </w:p>
    <w:p>
      <w:pPr>
        <w:pStyle w:val="BodyText"/>
        <w:spacing w:line="360" w:lineRule="auto" w:before="145"/>
        <w:ind w:left="116" w:right="110"/>
        <w:jc w:val="both"/>
      </w:pPr>
      <w:r>
        <w:rPr/>
        <w:t>Se debe de seguir  investigando  la  calidad  de  vida  y  los  hábitos  de  vida  integrando algunas  otras  variables  como  la  escolaridad,  la  ocupación,  estado civil, y el tiempo de diagnóstico de la diabetes, así como  con  las  variables  que  relacionaron </w:t>
      </w:r>
      <w:r>
        <w:rPr>
          <w:spacing w:val="-3"/>
        </w:rPr>
        <w:t>más </w:t>
      </w:r>
      <w:r>
        <w:rPr/>
        <w:t>en esta investigación </w:t>
      </w:r>
      <w:r>
        <w:rPr>
          <w:spacing w:val="-3"/>
        </w:rPr>
        <w:t>como </w:t>
      </w:r>
      <w:r>
        <w:rPr/>
        <w:t>los hábitos de vida y control de  la  diabetes que fueron variables que correlacionaron con diversos factores. Además realizar estudios descriptivos de las variables CV, CVP y la gravedad  de  la enfermedad,  por  </w:t>
      </w:r>
      <w:r>
        <w:rPr>
          <w:spacing w:val="-3"/>
        </w:rPr>
        <w:t>sexo  </w:t>
      </w:r>
      <w:r>
        <w:rPr/>
        <w:t>y  por </w:t>
      </w:r>
      <w:r>
        <w:rPr>
          <w:spacing w:val="9"/>
        </w:rPr>
        <w:t> </w:t>
      </w:r>
      <w:r>
        <w:rPr/>
        <w:t>edad.</w:t>
      </w:r>
    </w:p>
    <w:p>
      <w:pPr>
        <w:spacing w:after="0" w:line="360" w:lineRule="auto"/>
        <w:jc w:val="both"/>
        <w:sectPr>
          <w:pgSz w:w="12240" w:h="15840"/>
          <w:pgMar w:header="729" w:footer="0" w:top="960" w:bottom="280" w:left="1300" w:right="1300"/>
        </w:sectPr>
      </w:pPr>
    </w:p>
    <w:p>
      <w:pPr>
        <w:pStyle w:val="BodyText"/>
        <w:rPr>
          <w:sz w:val="20"/>
        </w:rPr>
      </w:pPr>
    </w:p>
    <w:p>
      <w:pPr>
        <w:pStyle w:val="Heading1"/>
        <w:spacing w:before="208"/>
        <w:ind w:left="390" w:right="392"/>
        <w:jc w:val="center"/>
      </w:pPr>
      <w:r>
        <w:rPr/>
        <w:t>CONCLUSIONES</w:t>
      </w:r>
    </w:p>
    <w:p>
      <w:pPr>
        <w:pStyle w:val="BodyText"/>
        <w:rPr>
          <w:b/>
        </w:rPr>
      </w:pPr>
    </w:p>
    <w:p>
      <w:pPr>
        <w:pStyle w:val="BodyText"/>
        <w:spacing w:before="7"/>
        <w:rPr>
          <w:b/>
        </w:rPr>
      </w:pPr>
    </w:p>
    <w:p>
      <w:pPr>
        <w:pStyle w:val="BodyText"/>
        <w:spacing w:line="360" w:lineRule="auto" w:before="1"/>
        <w:ind w:left="116" w:right="114"/>
        <w:jc w:val="both"/>
      </w:pPr>
      <w:r>
        <w:rPr/>
        <w:t>Los cambios que se encuentran dentro del  entorno  social  en  el  que  </w:t>
      </w:r>
      <w:r>
        <w:rPr>
          <w:spacing w:val="-3"/>
        </w:rPr>
        <w:t>se  </w:t>
      </w:r>
      <w:r>
        <w:rPr/>
        <w:t>desenvuelven los pacientes diabéticos, la cultura alimentaria, el desarrollo de la enfermedad, el costo del tratamiento, la falta de atención especializada en este problema,  son  algunas  barreras  con  las  que  se  encuentran   </w:t>
      </w:r>
      <w:r>
        <w:rPr>
          <w:spacing w:val="6"/>
        </w:rPr>
        <w:t>los  </w:t>
      </w:r>
      <w:r>
        <w:rPr/>
        <w:t>pacientes  para   el  cuidado  de  su</w:t>
      </w:r>
      <w:r>
        <w:rPr>
          <w:spacing w:val="59"/>
        </w:rPr>
        <w:t> </w:t>
      </w:r>
      <w:r>
        <w:rPr/>
        <w:t>salud.</w:t>
      </w:r>
    </w:p>
    <w:p>
      <w:pPr>
        <w:pStyle w:val="BodyText"/>
      </w:pPr>
    </w:p>
    <w:p>
      <w:pPr>
        <w:pStyle w:val="BodyText"/>
        <w:spacing w:line="360" w:lineRule="auto" w:before="139"/>
        <w:ind w:left="116" w:right="127"/>
        <w:jc w:val="both"/>
      </w:pPr>
      <w:r>
        <w:rPr/>
        <w:t>A manera de conclusión se puede decir entonces que, la calidad de vida de los pacientes diabéticos de la  Unidad  de  Atención  al  Diabético  (UAD),  de  la  comunidad de San Gaspar Tlahuelilpan en el municipio de Metepec,  Estado  de  México,  no  necesariamente  se  ven  determinados  por  los  hábitos  de  vida  que  ellos</w:t>
      </w:r>
      <w:r>
        <w:rPr>
          <w:spacing w:val="63"/>
        </w:rPr>
        <w:t> </w:t>
      </w:r>
      <w:r>
        <w:rPr/>
        <w:t>llevan.</w:t>
      </w:r>
    </w:p>
    <w:p>
      <w:pPr>
        <w:pStyle w:val="BodyText"/>
      </w:pPr>
    </w:p>
    <w:p>
      <w:pPr>
        <w:pStyle w:val="BodyText"/>
        <w:spacing w:line="360" w:lineRule="auto" w:before="144"/>
        <w:ind w:left="116" w:right="124"/>
        <w:jc w:val="both"/>
      </w:pPr>
      <w:r>
        <w:rPr/>
        <w:t>Para este estudio se hizo uso de  la  estadística  descriptiva  y  la  estadística inferencial.</w:t>
      </w:r>
    </w:p>
    <w:p>
      <w:pPr>
        <w:pStyle w:val="BodyText"/>
      </w:pPr>
    </w:p>
    <w:p>
      <w:pPr>
        <w:pStyle w:val="BodyText"/>
        <w:spacing w:line="360" w:lineRule="auto" w:before="144"/>
        <w:ind w:left="116" w:right="130"/>
        <w:jc w:val="both"/>
      </w:pPr>
      <w:r>
        <w:rPr/>
        <w:t>Con  respecto  a  las  edades,  éstas  se  encontraron  entre  los  25  a  los  85  años,   el  mayor  número  de  participantes  fueron  mujeres  con  una  frecuencia  de</w:t>
      </w:r>
      <w:r>
        <w:rPr>
          <w:spacing w:val="25"/>
        </w:rPr>
        <w:t> </w:t>
      </w:r>
      <w:r>
        <w:rPr/>
        <w:t>66.</w:t>
      </w:r>
    </w:p>
    <w:p>
      <w:pPr>
        <w:pStyle w:val="BodyText"/>
      </w:pPr>
    </w:p>
    <w:p>
      <w:pPr>
        <w:pStyle w:val="BodyText"/>
        <w:spacing w:line="360" w:lineRule="auto" w:before="139"/>
        <w:ind w:left="116" w:right="113"/>
        <w:jc w:val="both"/>
      </w:pPr>
      <w:r>
        <w:rPr/>
        <w:t>La prevalencia del sobrepeso en  los  pacientes  atendidos  en  la  UAD  es  de  un  65%, el  34%  presentó  obesidad  tipo  1  y,  el  1%  presentó  obesidad  tipo  2  esto  se  debe  de  considerar  de  mayor  importancia  para  el  tratamiento  no   farmacológico  que  deben  de  llevar  los  pacientes  con</w:t>
      </w:r>
      <w:r>
        <w:rPr>
          <w:spacing w:val="38"/>
        </w:rPr>
        <w:t> </w:t>
      </w:r>
      <w:r>
        <w:rPr/>
        <w:t>diabetes.</w:t>
      </w:r>
    </w:p>
    <w:p>
      <w:pPr>
        <w:pStyle w:val="BodyText"/>
      </w:pPr>
    </w:p>
    <w:p>
      <w:pPr>
        <w:pStyle w:val="BodyText"/>
        <w:spacing w:line="360" w:lineRule="auto" w:before="140"/>
        <w:ind w:left="116" w:right="128"/>
        <w:jc w:val="both"/>
      </w:pPr>
      <w:r>
        <w:rPr/>
        <w:t>Para la calidad de vida, el 61.9% de la muestra la encuentra poco afectada, simultáneamente el 49.5%  apuntan  tener  una  máxima  calidad  de  vida  percibida  y el  47.4%  la  consideran</w:t>
      </w:r>
      <w:r>
        <w:rPr>
          <w:spacing w:val="52"/>
        </w:rPr>
        <w:t> </w:t>
      </w:r>
      <w:r>
        <w:rPr/>
        <w:t>moderada.</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122"/>
        <w:jc w:val="both"/>
      </w:pPr>
      <w:r>
        <w:rPr/>
        <w:t>En relación a la gravedad de diabetes, 39 casos reportan que no existe ninguna gravedad,  mientras  que  48  la  consideran  moderadamente  grave  y  10  indican   que  es  extremadamente</w:t>
      </w:r>
      <w:r>
        <w:rPr>
          <w:spacing w:val="55"/>
        </w:rPr>
        <w:t> </w:t>
      </w:r>
      <w:r>
        <w:rPr/>
        <w:t>grave.</w:t>
      </w:r>
    </w:p>
    <w:p>
      <w:pPr>
        <w:pStyle w:val="BodyText"/>
        <w:spacing w:before="10"/>
        <w:rPr>
          <w:sz w:val="35"/>
        </w:rPr>
      </w:pPr>
    </w:p>
    <w:p>
      <w:pPr>
        <w:pStyle w:val="BodyText"/>
        <w:spacing w:line="362" w:lineRule="auto"/>
        <w:ind w:left="116" w:right="110"/>
        <w:jc w:val="both"/>
      </w:pPr>
      <w:r>
        <w:rPr/>
        <w:t>En tanto al análisis de correlación, se aplicó  la  correlación  de  Pearson  a  las  variables CV y HV y  se  consideraron  sus  factores  de  cada  variable  para  el  análisis.</w:t>
      </w:r>
    </w:p>
    <w:p>
      <w:pPr>
        <w:pStyle w:val="BodyText"/>
        <w:spacing w:before="10"/>
        <w:rPr>
          <w:sz w:val="35"/>
        </w:rPr>
      </w:pPr>
    </w:p>
    <w:p>
      <w:pPr>
        <w:pStyle w:val="BodyText"/>
        <w:spacing w:line="362" w:lineRule="auto"/>
        <w:ind w:left="116" w:right="118"/>
        <w:jc w:val="both"/>
      </w:pPr>
      <w:r>
        <w:rPr/>
        <w:t>Se obtuvo una correlación negativa baja entre las  variables  Calidad  de  Vida  y  Hábitos  de  Vida,  esto  para  el  total  de  la</w:t>
      </w:r>
      <w:r>
        <w:rPr>
          <w:spacing w:val="51"/>
        </w:rPr>
        <w:t> </w:t>
      </w:r>
      <w:r>
        <w:rPr/>
        <w:t>muestra.</w:t>
      </w:r>
    </w:p>
    <w:p>
      <w:pPr>
        <w:pStyle w:val="BodyText"/>
        <w:spacing w:before="11"/>
        <w:rPr>
          <w:sz w:val="35"/>
        </w:rPr>
      </w:pPr>
    </w:p>
    <w:p>
      <w:pPr>
        <w:pStyle w:val="BodyText"/>
        <w:spacing w:line="362" w:lineRule="auto"/>
        <w:ind w:left="116" w:right="128"/>
        <w:jc w:val="both"/>
      </w:pPr>
      <w:r>
        <w:rPr/>
        <w:t>Se  realizó  la  correlación  de  Pearson  por  </w:t>
      </w:r>
      <w:r>
        <w:rPr>
          <w:spacing w:val="-3"/>
        </w:rPr>
        <w:t>sexo  </w:t>
      </w:r>
      <w:r>
        <w:rPr/>
        <w:t>y  se  obtuvo  que  sólo existe relación entre las variables  en  el  caso  de  los  hombres,  siendo  ésta  una  correlación  negativa</w:t>
      </w:r>
      <w:r>
        <w:rPr>
          <w:spacing w:val="56"/>
        </w:rPr>
        <w:t> </w:t>
      </w:r>
      <w:r>
        <w:rPr/>
        <w:t>moderada.</w:t>
      </w:r>
    </w:p>
    <w:p>
      <w:pPr>
        <w:pStyle w:val="BodyText"/>
        <w:spacing w:before="10"/>
        <w:rPr>
          <w:sz w:val="35"/>
        </w:rPr>
      </w:pPr>
    </w:p>
    <w:p>
      <w:pPr>
        <w:pStyle w:val="BodyText"/>
        <w:spacing w:line="360" w:lineRule="auto"/>
        <w:ind w:left="116" w:right="110"/>
        <w:jc w:val="both"/>
      </w:pPr>
      <w:r>
        <w:rPr/>
        <w:t>Se  aplicó  t  de  Student  para  todos  los  sujetos,  sobre  las  variables  calidad de   vida percibida y calidad de vida, se  obtuvo,  que  existe  una  diferencia  entre  ellas  (</w:t>
      </w:r>
      <w:r>
        <w:rPr>
          <w:i/>
        </w:rPr>
        <w:t>gl</w:t>
      </w:r>
      <w:r>
        <w:rPr/>
        <w:t>= 96; </w:t>
      </w:r>
      <w:r>
        <w:rPr>
          <w:i/>
        </w:rPr>
        <w:t>t</w:t>
      </w:r>
      <w:r>
        <w:rPr/>
        <w:t>= 10.198, </w:t>
      </w:r>
      <w:r>
        <w:rPr>
          <w:i/>
        </w:rPr>
        <w:t>p</w:t>
      </w:r>
      <w:r>
        <w:rPr/>
        <w:t>= .000), mostrando que las personas pueden considerar  que  tienen una buena calidad de  vida  sin  que  realmente  suceda. Además  se  observó  un valor mayor en la media  de  la  variable  CVP  (X= 5.39  y  D.E=1.295)  con  respecto  a  la  CV  (X= 2.6500  y  D.E.=</w:t>
      </w:r>
      <w:r>
        <w:rPr>
          <w:spacing w:val="-9"/>
        </w:rPr>
        <w:t> </w:t>
      </w:r>
      <w:r>
        <w:rPr/>
        <w:t>1.84750).</w:t>
      </w:r>
    </w:p>
    <w:p>
      <w:pPr>
        <w:pStyle w:val="BodyText"/>
      </w:pPr>
    </w:p>
    <w:p>
      <w:pPr>
        <w:pStyle w:val="BodyText"/>
        <w:spacing w:line="360" w:lineRule="auto" w:before="145"/>
        <w:ind w:left="116" w:right="117"/>
        <w:jc w:val="both"/>
      </w:pPr>
      <w:r>
        <w:rPr/>
        <w:t>De acuerdo con  los  resultados  obtenidos  y  con  el objetivo  de  esta  investigación  se concluye en rechazar la ho. ya que existe una correlación estadísticamente significativa entre  las  variables  calidad  de  vida  y  hábitos  de  vida  en  personas  con  diabetes  y sobrepeso  y</w:t>
      </w:r>
      <w:r>
        <w:rPr>
          <w:spacing w:val="58"/>
        </w:rPr>
        <w:t> </w:t>
      </w:r>
      <w:r>
        <w:rPr/>
        <w:t>obesidad.</w:t>
      </w:r>
    </w:p>
    <w:p>
      <w:pPr>
        <w:spacing w:after="0" w:line="360" w:lineRule="auto"/>
        <w:jc w:val="both"/>
        <w:sectPr>
          <w:pgSz w:w="12240" w:h="15840"/>
          <w:pgMar w:header="729" w:footer="0" w:top="960" w:bottom="280" w:left="1300" w:right="1300"/>
        </w:sectPr>
      </w:pPr>
    </w:p>
    <w:p>
      <w:pPr>
        <w:pStyle w:val="BodyText"/>
        <w:rPr>
          <w:sz w:val="20"/>
        </w:rPr>
      </w:pPr>
    </w:p>
    <w:p>
      <w:pPr>
        <w:pStyle w:val="Heading1"/>
        <w:spacing w:before="208"/>
        <w:ind w:left="390" w:right="392"/>
        <w:jc w:val="center"/>
      </w:pPr>
      <w:r>
        <w:rPr/>
        <w:t>SUGERENCIAS</w:t>
      </w:r>
    </w:p>
    <w:p>
      <w:pPr>
        <w:pStyle w:val="BodyText"/>
        <w:rPr>
          <w:b/>
        </w:rPr>
      </w:pPr>
    </w:p>
    <w:p>
      <w:pPr>
        <w:pStyle w:val="BodyText"/>
        <w:spacing w:before="7"/>
        <w:rPr>
          <w:b/>
        </w:rPr>
      </w:pPr>
    </w:p>
    <w:p>
      <w:pPr>
        <w:pStyle w:val="BodyText"/>
        <w:spacing w:line="360" w:lineRule="auto" w:before="1"/>
        <w:ind w:left="116" w:right="114"/>
        <w:jc w:val="both"/>
      </w:pPr>
      <w:r>
        <w:rPr/>
        <w:t>La  comorbilidad  presente  en  estas  dos  enfermedades,  la  obesidad  y   el sobrepeso,  con  la  diabetes,  están  cada  vez  </w:t>
      </w:r>
      <w:r>
        <w:rPr>
          <w:spacing w:val="-3"/>
        </w:rPr>
        <w:t>más  </w:t>
      </w:r>
      <w:r>
        <w:rPr/>
        <w:t>presentes  en  la  actualidad  en  la población mexicana desarrollándose a edades  </w:t>
      </w:r>
      <w:r>
        <w:rPr>
          <w:spacing w:val="-3"/>
        </w:rPr>
        <w:t>más  </w:t>
      </w:r>
      <w:r>
        <w:rPr/>
        <w:t>tempranas,  siendo  un  problema  de  salud  pública  que  debe  de  ocupar  a  las   distintas   áreas profesionales  de  la  salud  para  su  tratamiento  y  sobretodo  en  la</w:t>
      </w:r>
      <w:r>
        <w:rPr>
          <w:spacing w:val="35"/>
        </w:rPr>
        <w:t> </w:t>
      </w:r>
      <w:r>
        <w:rPr/>
        <w:t>prevención.</w:t>
      </w:r>
    </w:p>
    <w:p>
      <w:pPr>
        <w:pStyle w:val="BodyText"/>
      </w:pPr>
    </w:p>
    <w:p>
      <w:pPr>
        <w:pStyle w:val="BodyText"/>
        <w:spacing w:line="360" w:lineRule="auto" w:before="139"/>
        <w:ind w:left="116" w:right="111"/>
        <w:jc w:val="both"/>
      </w:pPr>
      <w:r>
        <w:rPr/>
        <w:t>Dentro del tratamiento  no  farmacológico  </w:t>
      </w:r>
      <w:r>
        <w:rPr>
          <w:spacing w:val="-3"/>
        </w:rPr>
        <w:t>se  </w:t>
      </w:r>
      <w:r>
        <w:rPr/>
        <w:t>encuentran  los  hábitos  de  vida,  como la </w:t>
      </w:r>
      <w:r>
        <w:rPr>
          <w:spacing w:val="-3"/>
        </w:rPr>
        <w:t>forma </w:t>
      </w:r>
      <w:r>
        <w:rPr/>
        <w:t>en  la  que  cocinan  sus  alimentos  los  pacientes,  las  comidas  que  hacen  al  día,  y  la  frecuencia  con  que  realizan  ejercicio  físico.  Siendo  éstos determinantes para el cuidado  de  su  salud  y  el  seguimiento  del  tratamiento.  Esto se debe de considerar, para la realización de programas sociales y para  investigaciones</w:t>
      </w:r>
      <w:r>
        <w:rPr>
          <w:spacing w:val="58"/>
        </w:rPr>
        <w:t> </w:t>
      </w:r>
      <w:r>
        <w:rPr/>
        <w:t>futuras.</w:t>
      </w:r>
    </w:p>
    <w:p>
      <w:pPr>
        <w:pStyle w:val="BodyText"/>
      </w:pPr>
    </w:p>
    <w:p>
      <w:pPr>
        <w:pStyle w:val="BodyText"/>
        <w:spacing w:line="362" w:lineRule="auto" w:before="139"/>
        <w:ind w:left="116" w:right="118"/>
        <w:jc w:val="both"/>
      </w:pPr>
      <w:r>
        <w:rPr/>
        <w:t>Hay que indagar </w:t>
      </w:r>
      <w:r>
        <w:rPr>
          <w:spacing w:val="-3"/>
        </w:rPr>
        <w:t>más </w:t>
      </w:r>
      <w:r>
        <w:rPr/>
        <w:t>entorno a esta problemática de  salud,  realizando  investigaciones y análisis multivariados entre las variables que </w:t>
      </w:r>
      <w:r>
        <w:rPr>
          <w:spacing w:val="-3"/>
        </w:rPr>
        <w:t>más </w:t>
      </w:r>
      <w:r>
        <w:rPr/>
        <w:t>se relacionaron dentro  de  este</w:t>
      </w:r>
      <w:r>
        <w:rPr>
          <w:spacing w:val="58"/>
        </w:rPr>
        <w:t> </w:t>
      </w:r>
      <w:r>
        <w:rPr/>
        <w:t>estudio.</w:t>
      </w:r>
    </w:p>
    <w:p>
      <w:pPr>
        <w:pStyle w:val="BodyText"/>
        <w:spacing w:before="10"/>
        <w:rPr>
          <w:sz w:val="35"/>
        </w:rPr>
      </w:pPr>
    </w:p>
    <w:p>
      <w:pPr>
        <w:pStyle w:val="BodyText"/>
        <w:spacing w:line="362" w:lineRule="auto"/>
        <w:ind w:left="116" w:right="113"/>
        <w:jc w:val="both"/>
      </w:pPr>
      <w:r>
        <w:rPr/>
        <w:t>Se deben  seguir  realizando  estudios  en  pacientes  que  presentan  diabetes  tipo  2  y la  relación  que  tiene  con  el  sobrepeso  y  </w:t>
      </w:r>
      <w:r>
        <w:rPr>
          <w:spacing w:val="5"/>
        </w:rPr>
        <w:t>la  </w:t>
      </w:r>
      <w:r>
        <w:rPr/>
        <w:t>obesidad,  ya  que  son  enfermedades  que  van  en  aumento  dentro  de  la  población</w:t>
      </w:r>
      <w:r>
        <w:rPr>
          <w:spacing w:val="35"/>
        </w:rPr>
        <w:t> </w:t>
      </w:r>
      <w:r>
        <w:rPr/>
        <w:t>Mexicana.</w:t>
      </w:r>
    </w:p>
    <w:p>
      <w:pPr>
        <w:pStyle w:val="BodyText"/>
        <w:spacing w:before="10"/>
        <w:rPr>
          <w:sz w:val="35"/>
        </w:rPr>
      </w:pPr>
    </w:p>
    <w:p>
      <w:pPr>
        <w:pStyle w:val="BodyText"/>
        <w:spacing w:line="360" w:lineRule="auto"/>
        <w:ind w:left="116" w:right="118"/>
        <w:jc w:val="both"/>
      </w:pPr>
      <w:r>
        <w:rPr/>
        <w:t>Para investigaciones futuras, habría que incluir otras variables que pudieran proporcionar </w:t>
      </w:r>
      <w:r>
        <w:rPr>
          <w:spacing w:val="-3"/>
        </w:rPr>
        <w:t>más </w:t>
      </w:r>
      <w:r>
        <w:rPr/>
        <w:t>información,  </w:t>
      </w:r>
      <w:r>
        <w:rPr>
          <w:spacing w:val="-4"/>
        </w:rPr>
        <w:t>como </w:t>
      </w:r>
      <w:r>
        <w:rPr/>
        <w:t>el ingreso  de  las  personas,  su  escolaridad  y  su ocupación, así tendría </w:t>
      </w:r>
      <w:r>
        <w:rPr>
          <w:spacing w:val="-3"/>
        </w:rPr>
        <w:t>más </w:t>
      </w:r>
      <w:r>
        <w:rPr/>
        <w:t>información para realizar otro tipo de  análisis estadísticos.</w:t>
      </w:r>
    </w:p>
    <w:p>
      <w:pPr>
        <w:pStyle w:val="BodyText"/>
      </w:pPr>
    </w:p>
    <w:p>
      <w:pPr>
        <w:pStyle w:val="BodyText"/>
        <w:spacing w:line="360" w:lineRule="auto" w:before="140"/>
        <w:ind w:left="116" w:right="118"/>
        <w:jc w:val="both"/>
      </w:pPr>
      <w:r>
        <w:rPr/>
        <w:t>Como trabajadores sociales se deben considerar las investigaciones previas  para  poder   desarrollar  programas   sociales  e  intervenir  en  las  problemáticas   </w:t>
      </w:r>
      <w:r>
        <w:rPr>
          <w:spacing w:val="18"/>
        </w:rPr>
        <w:t> </w:t>
      </w:r>
      <w:r>
        <w:rPr/>
        <w:t>sociales;</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116" w:right="366"/>
      </w:pPr>
      <w:r>
        <w:rPr/>
        <w:t>en torno a  la  salud,  se  debe  de  abordar  la  parte  de  la  prevención con  base  a  los  estudios  realizados  y  a  las  necesidades  de  la</w:t>
      </w:r>
      <w:r>
        <w:rPr>
          <w:spacing w:val="41"/>
        </w:rPr>
        <w:t> </w:t>
      </w:r>
      <w:r>
        <w:rPr/>
        <w:t>población.</w:t>
      </w:r>
    </w:p>
    <w:p>
      <w:pPr>
        <w:pStyle w:val="BodyText"/>
        <w:spacing w:before="11"/>
        <w:rPr>
          <w:sz w:val="35"/>
        </w:rPr>
      </w:pPr>
    </w:p>
    <w:p>
      <w:pPr>
        <w:pStyle w:val="BodyText"/>
        <w:spacing w:line="360" w:lineRule="auto"/>
        <w:ind w:left="116" w:right="212"/>
      </w:pPr>
      <w:r>
        <w:rPr/>
        <w:t>La  relación  entre  la  investigación  y  la  práctica  es  fundamental  ya  que la  teoría  es  la  base  para  poder  desarrollar  los  diversos</w:t>
      </w:r>
      <w:r>
        <w:rPr>
          <w:spacing w:val="48"/>
        </w:rPr>
        <w:t> </w:t>
      </w:r>
      <w:r>
        <w:rPr/>
        <w:t>proyectos.</w:t>
      </w:r>
    </w:p>
    <w:p>
      <w:pPr>
        <w:spacing w:after="0" w:line="360" w:lineRule="auto"/>
        <w:sectPr>
          <w:pgSz w:w="12240" w:h="15840"/>
          <w:pgMar w:header="729" w:footer="0" w:top="960" w:bottom="280" w:left="1300" w:right="1300"/>
        </w:sectPr>
      </w:pPr>
    </w:p>
    <w:p>
      <w:pPr>
        <w:pStyle w:val="BodyText"/>
        <w:rPr>
          <w:sz w:val="20"/>
        </w:rPr>
      </w:pPr>
    </w:p>
    <w:p>
      <w:pPr>
        <w:pStyle w:val="Heading1"/>
        <w:spacing w:before="208"/>
        <w:ind w:left="2892" w:right="212"/>
        <w:jc w:val="left"/>
      </w:pPr>
      <w:r>
        <w:rPr/>
        <w:t>REFERENCIAS BIBLIOGRAFICAS</w:t>
      </w:r>
    </w:p>
    <w:p>
      <w:pPr>
        <w:pStyle w:val="BodyText"/>
        <w:rPr>
          <w:b/>
        </w:rPr>
      </w:pPr>
    </w:p>
    <w:p>
      <w:pPr>
        <w:pStyle w:val="BodyText"/>
        <w:spacing w:before="7"/>
        <w:rPr>
          <w:b/>
        </w:rPr>
      </w:pPr>
    </w:p>
    <w:p>
      <w:pPr>
        <w:pStyle w:val="BodyText"/>
        <w:spacing w:line="360" w:lineRule="auto" w:before="1"/>
        <w:ind w:left="889" w:right="119" w:hanging="774"/>
        <w:jc w:val="both"/>
      </w:pPr>
      <w:r>
        <w:rPr/>
        <w:t>Abbey, A., y Andrews, F.M. (1986). Modeling the psychological determinants of life quality. </w:t>
      </w:r>
      <w:r>
        <w:rPr>
          <w:i/>
        </w:rPr>
        <w:t>Social Indicators Research</w:t>
      </w:r>
      <w:r>
        <w:rPr/>
        <w:t>, 16, 1-34. Doi: 10.1007/BF00317657</w:t>
      </w:r>
    </w:p>
    <w:p>
      <w:pPr>
        <w:pStyle w:val="BodyText"/>
      </w:pPr>
    </w:p>
    <w:p>
      <w:pPr>
        <w:pStyle w:val="BodyText"/>
        <w:spacing w:line="360" w:lineRule="auto" w:before="144"/>
        <w:ind w:left="827" w:right="114" w:hanging="711"/>
        <w:jc w:val="both"/>
      </w:pPr>
      <w:r>
        <w:rPr/>
        <w:t>Alonso, F. M., y Redondo, d R. M. P. (2002). El cuerpo humano: técnicas de estudio de la composición corporal. En Mijan, A. (Ed.), Técnicas y métodos de la investigación en nutrición humana (pp. 135-164) Recuperado de https://books.google.com.mx/books?isbn=8474291240</w:t>
      </w:r>
    </w:p>
    <w:p>
      <w:pPr>
        <w:pStyle w:val="BodyText"/>
      </w:pPr>
    </w:p>
    <w:p>
      <w:pPr>
        <w:pStyle w:val="BodyText"/>
        <w:spacing w:line="360" w:lineRule="auto" w:before="145"/>
        <w:ind w:left="889" w:right="126" w:hanging="774"/>
        <w:jc w:val="both"/>
      </w:pPr>
      <w:r>
        <w:rPr/>
        <w:t>Álvarez y Guadarrama (inédito). Validación de un cuestionario para la valoración y cuantificación de los hábitos de vida en personas con obesidad.</w:t>
      </w:r>
    </w:p>
    <w:p>
      <w:pPr>
        <w:pStyle w:val="BodyText"/>
      </w:pPr>
    </w:p>
    <w:p>
      <w:pPr>
        <w:tabs>
          <w:tab w:pos="2027" w:val="left" w:leader="none"/>
          <w:tab w:pos="4068" w:val="left" w:leader="none"/>
          <w:tab w:pos="5268" w:val="left" w:leader="none"/>
          <w:tab w:pos="7083" w:val="left" w:leader="none"/>
          <w:tab w:pos="9256" w:val="left" w:leader="none"/>
        </w:tabs>
        <w:spacing w:line="360" w:lineRule="auto" w:before="144"/>
        <w:ind w:left="889" w:right="118" w:hanging="774"/>
        <w:jc w:val="both"/>
        <w:rPr>
          <w:sz w:val="24"/>
        </w:rPr>
      </w:pPr>
      <w:r>
        <w:rPr>
          <w:sz w:val="24"/>
        </w:rPr>
        <w:t>Ardila, R. (2003). Calidad de vida: una definición integradora. </w:t>
      </w:r>
      <w:r>
        <w:rPr>
          <w:i/>
          <w:sz w:val="24"/>
        </w:rPr>
        <w:t>Revista Latinoamericana </w:t>
      </w:r>
      <w:r>
        <w:rPr>
          <w:i/>
          <w:sz w:val="24"/>
        </w:rPr>
        <w:t>de</w:t>
        <w:tab/>
        <w:t>Psicología</w:t>
      </w:r>
      <w:r>
        <w:rPr>
          <w:sz w:val="24"/>
        </w:rPr>
        <w:t>,</w:t>
        <w:tab/>
        <w:t>35,</w:t>
        <w:tab/>
        <w:t>161-164.</w:t>
        <w:tab/>
        <w:t>Recuperado</w:t>
        <w:tab/>
      </w:r>
      <w:r>
        <w:rPr>
          <w:spacing w:val="-1"/>
          <w:sz w:val="24"/>
        </w:rPr>
        <w:t>de</w:t>
      </w:r>
      <w:hyperlink r:id="rId10">
        <w:r>
          <w:rPr>
            <w:w w:val="99"/>
            <w:sz w:val="24"/>
          </w:rPr>
          <w:t> </w:t>
        </w:r>
        <w:r>
          <w:rPr>
            <w:sz w:val="24"/>
          </w:rPr>
          <w:t>http://www.redalyc.org/pdf/805/80535203.pdf</w:t>
        </w:r>
      </w:hyperlink>
    </w:p>
    <w:p>
      <w:pPr>
        <w:pStyle w:val="BodyText"/>
      </w:pPr>
    </w:p>
    <w:p>
      <w:pPr>
        <w:pStyle w:val="BodyText"/>
        <w:spacing w:line="360" w:lineRule="auto" w:before="144"/>
        <w:ind w:left="827" w:right="124" w:hanging="711"/>
        <w:jc w:val="both"/>
      </w:pPr>
      <w:r>
        <w:rPr/>
        <w:t>Arredondo, A., y De Icaza, E. (2011). The cost of diabetes in Latin America: evidence from Mexico. Value in health, 14, 85-88. Doi: 10.1016/j.jval.2011.05.022</w:t>
      </w:r>
    </w:p>
    <w:p>
      <w:pPr>
        <w:pStyle w:val="BodyText"/>
      </w:pPr>
    </w:p>
    <w:p>
      <w:pPr>
        <w:pStyle w:val="BodyText"/>
        <w:tabs>
          <w:tab w:pos="9252" w:val="left" w:leader="none"/>
        </w:tabs>
        <w:spacing w:line="364" w:lineRule="auto" w:before="139"/>
        <w:ind w:left="827" w:right="117" w:hanging="711"/>
        <w:jc w:val="both"/>
      </w:pPr>
      <w:r>
        <w:rPr/>
        <w:t>Asociación Americana de Diabetes. (2012). Standards of Medical Care in Diabetes. Recuperado</w:t>
        <w:tab/>
        <w:t>de</w:t>
      </w:r>
    </w:p>
    <w:p>
      <w:pPr>
        <w:pStyle w:val="BodyText"/>
        <w:spacing w:line="273" w:lineRule="exact"/>
        <w:ind w:left="827" w:right="212"/>
      </w:pPr>
      <w:hyperlink r:id="rId11">
        <w:r>
          <w:rPr/>
          <w:t>http://care.diabetesjournals.org/content/35/Supplement_1/S11.full</w:t>
        </w:r>
      </w:hyperlink>
    </w:p>
    <w:p>
      <w:pPr>
        <w:pStyle w:val="BodyText"/>
      </w:pPr>
    </w:p>
    <w:p>
      <w:pPr>
        <w:pStyle w:val="BodyText"/>
        <w:spacing w:before="9"/>
        <w:rPr>
          <w:sz w:val="23"/>
        </w:rPr>
      </w:pPr>
    </w:p>
    <w:p>
      <w:pPr>
        <w:pStyle w:val="BodyText"/>
        <w:tabs>
          <w:tab w:pos="3487" w:val="left" w:leader="none"/>
        </w:tabs>
        <w:spacing w:line="360" w:lineRule="auto"/>
        <w:ind w:left="889" w:right="117" w:hanging="774"/>
        <w:jc w:val="both"/>
      </w:pPr>
      <w:r>
        <w:rPr/>
        <w:t>Balderas, R. D., y Balderas, R. I. (2015). Control clínico integral del sobrepeso y la obesidad. En Balderas, R. I. (Ed.), Diabetes, obesidad y síndrome Metabólico: Un     </w:t>
      </w:r>
      <w:r>
        <w:rPr>
          <w:spacing w:val="46"/>
        </w:rPr>
        <w:t> </w:t>
      </w:r>
      <w:r>
        <w:rPr/>
        <w:t>abordaje</w:t>
        <w:tab/>
        <w:t>multidisciplinario       (pp.       347)     </w:t>
      </w:r>
      <w:r>
        <w:rPr>
          <w:spacing w:val="4"/>
        </w:rPr>
        <w:t> </w:t>
      </w:r>
      <w:r>
        <w:rPr/>
        <w:t>Recuperado     </w:t>
      </w:r>
      <w:r>
        <w:rPr>
          <w:spacing w:val="45"/>
        </w:rPr>
        <w:t> </w:t>
      </w:r>
      <w:r>
        <w:rPr/>
        <w:t>de</w:t>
      </w:r>
      <w:r>
        <w:rPr>
          <w:w w:val="99"/>
        </w:rPr>
        <w:t> </w:t>
      </w:r>
      <w:r>
        <w:rPr/>
        <w:t>https://books.google.com.mx/books?isbn=607448483X</w:t>
      </w:r>
    </w:p>
    <w:p>
      <w:pPr>
        <w:pStyle w:val="BodyText"/>
      </w:pPr>
    </w:p>
    <w:p>
      <w:pPr>
        <w:pStyle w:val="BodyText"/>
        <w:spacing w:line="362" w:lineRule="auto" w:before="140"/>
        <w:ind w:left="827" w:right="116" w:hanging="711"/>
        <w:jc w:val="both"/>
      </w:pPr>
      <w:r>
        <w:rPr/>
        <w:t>Barquera, S., Campos, N. I., Hernández, B. L., Villalpando, S., Rodríguez, G. C., Durazo, A. R., y Aguilar, S. C. A. (2010). Hypertension in Mexican adults: </w:t>
      </w:r>
      <w:r>
        <w:rPr>
          <w:spacing w:val="66"/>
        </w:rPr>
        <w:t> </w:t>
      </w:r>
      <w:r>
        <w:rPr/>
        <w:t>results</w:t>
      </w:r>
    </w:p>
    <w:p>
      <w:pPr>
        <w:spacing w:after="0" w:line="362"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827" w:right="212"/>
      </w:pPr>
      <w:r>
        <w:rPr/>
        <w:t>from the National Health and Nutrition Survey 2006. </w:t>
      </w:r>
      <w:r>
        <w:rPr>
          <w:i/>
        </w:rPr>
        <w:t>Salud Publica Mex. </w:t>
      </w:r>
      <w:r>
        <w:rPr/>
        <w:t>52, 63- 71.  Doi: 10.1590/S0036-36342010000700010</w:t>
      </w:r>
    </w:p>
    <w:p>
      <w:pPr>
        <w:pStyle w:val="BodyText"/>
        <w:spacing w:before="11"/>
        <w:rPr>
          <w:sz w:val="35"/>
        </w:rPr>
      </w:pPr>
    </w:p>
    <w:p>
      <w:pPr>
        <w:pStyle w:val="BodyText"/>
        <w:spacing w:line="360" w:lineRule="auto"/>
        <w:ind w:left="889" w:right="114" w:hanging="774"/>
        <w:jc w:val="both"/>
      </w:pPr>
      <w:r>
        <w:rPr/>
        <w:t>Bersh, S. (2006). La obesidad: aspectos psicológicos y conductuales. </w:t>
      </w:r>
      <w:r>
        <w:rPr>
          <w:i/>
        </w:rPr>
        <w:t>Revista </w:t>
      </w:r>
      <w:r>
        <w:rPr>
          <w:i/>
        </w:rPr>
        <w:t>Colombiana de Psiquiatría</w:t>
      </w:r>
      <w:r>
        <w:rPr/>
        <w:t>, XXXV, 537-546. Recuperado de </w:t>
      </w:r>
      <w:hyperlink r:id="rId12">
        <w:r>
          <w:rPr/>
          <w:t>http://www.redalyc.org/articulo.oa?id=80635407</w:t>
        </w:r>
      </w:hyperlink>
    </w:p>
    <w:p>
      <w:pPr>
        <w:pStyle w:val="BodyText"/>
      </w:pPr>
    </w:p>
    <w:p>
      <w:pPr>
        <w:pStyle w:val="BodyText"/>
        <w:tabs>
          <w:tab w:pos="2012" w:val="left" w:leader="none"/>
          <w:tab w:pos="3919" w:val="left" w:leader="none"/>
          <w:tab w:pos="5172" w:val="left" w:leader="none"/>
          <w:tab w:pos="7036" w:val="left" w:leader="none"/>
          <w:tab w:pos="9262" w:val="left" w:leader="none"/>
        </w:tabs>
        <w:spacing w:line="360" w:lineRule="auto" w:before="140"/>
        <w:ind w:left="827" w:right="111" w:hanging="711"/>
        <w:jc w:val="both"/>
      </w:pPr>
      <w:r>
        <w:rPr/>
        <w:t>Blázquez, M. M. S. L., Torres F. I. A., Pavón, L. P., Gogeascochea, T. M. d C., y Blázquez, D. C. R. (2010). Estilos de vida en embarazadas adolescentes. </w:t>
      </w:r>
      <w:r>
        <w:rPr>
          <w:i/>
        </w:rPr>
        <w:t>Salud </w:t>
      </w:r>
      <w:r>
        <w:rPr>
          <w:i/>
        </w:rPr>
        <w:t>en</w:t>
        <w:tab/>
        <w:t>Tabasco</w:t>
      </w:r>
      <w:r>
        <w:rPr/>
        <w:t>,</w:t>
        <w:tab/>
        <w:t>16,</w:t>
        <w:tab/>
        <w:t>883-890.</w:t>
        <w:tab/>
        <w:t>Recuperado</w:t>
        <w:tab/>
      </w:r>
      <w:r>
        <w:rPr>
          <w:spacing w:val="-1"/>
        </w:rPr>
        <w:t>de </w:t>
      </w:r>
      <w:hyperlink r:id="rId13">
        <w:r>
          <w:rPr/>
          <w:t>http://www.redalyc.org/articulo.oa?id=48719442005</w:t>
        </w:r>
      </w:hyperlink>
    </w:p>
    <w:p>
      <w:pPr>
        <w:pStyle w:val="BodyText"/>
      </w:pPr>
    </w:p>
    <w:p>
      <w:pPr>
        <w:spacing w:line="362" w:lineRule="auto" w:before="139"/>
        <w:ind w:left="827" w:right="110" w:hanging="711"/>
        <w:jc w:val="both"/>
        <w:rPr>
          <w:sz w:val="24"/>
        </w:rPr>
      </w:pPr>
      <w:r>
        <w:rPr>
          <w:sz w:val="24"/>
        </w:rPr>
        <w:t>Bouchard, C. (1991). Genetic influences on body composition and regional fat distribution. </w:t>
      </w:r>
      <w:r>
        <w:rPr>
          <w:i/>
          <w:sz w:val="24"/>
        </w:rPr>
        <w:t>Boletín de la Asociación Médica de Puerto Rico</w:t>
      </w:r>
      <w:r>
        <w:rPr>
          <w:sz w:val="24"/>
        </w:rPr>
        <w:t>, 1991, 83, 354-6. Recuperado de </w:t>
      </w:r>
      <w:hyperlink r:id="rId14">
        <w:r>
          <w:rPr>
            <w:sz w:val="24"/>
          </w:rPr>
          <w:t>http://www.ncbi.nlm.nih.gov/pubmed/1816790</w:t>
        </w:r>
      </w:hyperlink>
    </w:p>
    <w:p>
      <w:pPr>
        <w:pStyle w:val="BodyText"/>
        <w:spacing w:before="10"/>
        <w:rPr>
          <w:sz w:val="35"/>
        </w:rPr>
      </w:pPr>
    </w:p>
    <w:p>
      <w:pPr>
        <w:pStyle w:val="BodyText"/>
        <w:spacing w:line="362" w:lineRule="auto"/>
        <w:ind w:left="827" w:right="110" w:hanging="711"/>
        <w:jc w:val="both"/>
      </w:pPr>
      <w:r>
        <w:rPr/>
        <w:t>Boyer, J. G., &amp; Earp J. A. (1997). The development of an instrument for assessing the quality of life of people with diabetes; Diabetes-39. </w:t>
      </w:r>
      <w:r>
        <w:rPr>
          <w:i/>
        </w:rPr>
        <w:t>Med Care</w:t>
      </w:r>
      <w:r>
        <w:rPr/>
        <w:t>, 35, 440- 453. Recuperado de </w:t>
      </w:r>
      <w:hyperlink r:id="rId15">
        <w:r>
          <w:rPr/>
          <w:t>http://www.ncbi.nlm.nih.gov/pubmed/9140334</w:t>
        </w:r>
      </w:hyperlink>
    </w:p>
    <w:p>
      <w:pPr>
        <w:pStyle w:val="BodyText"/>
        <w:spacing w:before="10"/>
        <w:rPr>
          <w:sz w:val="35"/>
        </w:rPr>
      </w:pPr>
    </w:p>
    <w:p>
      <w:pPr>
        <w:pStyle w:val="BodyText"/>
        <w:spacing w:line="364" w:lineRule="auto"/>
        <w:ind w:left="827" w:right="111" w:hanging="711"/>
        <w:jc w:val="both"/>
      </w:pPr>
      <w:r>
        <w:rPr/>
        <w:t>Campos, C. (2009). Los estilos de vida y los valores interpersonales según la personalidad en jóvenes del departamento de Huánuco. </w:t>
      </w:r>
      <w:r>
        <w:rPr>
          <w:i/>
        </w:rPr>
        <w:t>Revista IIPSI</w:t>
      </w:r>
      <w:r>
        <w:rPr/>
        <w:t>, 12, 89-</w:t>
      </w:r>
    </w:p>
    <w:p>
      <w:pPr>
        <w:pStyle w:val="BodyText"/>
        <w:tabs>
          <w:tab w:pos="4624" w:val="left" w:leader="none"/>
          <w:tab w:pos="9256" w:val="left" w:leader="none"/>
        </w:tabs>
        <w:spacing w:line="360" w:lineRule="auto"/>
        <w:ind w:left="116" w:right="113" w:firstLine="710"/>
        <w:jc w:val="right"/>
      </w:pPr>
      <w:r>
        <w:rPr/>
        <w:t>100.</w:t>
        <w:tab/>
        <w:t>Recuperado</w:t>
        <w:tab/>
      </w:r>
      <w:r>
        <w:rPr>
          <w:w w:val="95"/>
        </w:rPr>
        <w:t>de </w:t>
      </w:r>
      <w:hyperlink r:id="rId16">
        <w:r>
          <w:rPr>
            <w:spacing w:val="-1"/>
          </w:rPr>
          <w:t>http://revistasinvestigacion.unmsm.edu.pe/index.php/psico/article/view/3757/3018</w:t>
        </w:r>
      </w:hyperlink>
    </w:p>
    <w:p>
      <w:pPr>
        <w:pStyle w:val="BodyText"/>
      </w:pPr>
    </w:p>
    <w:p>
      <w:pPr>
        <w:pStyle w:val="BodyText"/>
        <w:spacing w:line="360" w:lineRule="auto" w:before="140"/>
        <w:ind w:left="827" w:right="106" w:hanging="711"/>
        <w:jc w:val="both"/>
      </w:pPr>
      <w:r>
        <w:rPr/>
        <w:t>Cantón, E. (2000). Ocupación del tiempo libre, ocio. Valencia: Universidad de Valencia (Master Universitario de Psicología y gestión Familiar, Módulo 5). isbn: 84-699- 3208-X. L</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827" w:right="114" w:hanging="711"/>
        <w:jc w:val="both"/>
      </w:pPr>
      <w:r>
        <w:rPr/>
        <w:t>Cardona, A. D., y Agudelo, G. H. B. (2005). Construcción cultural del concepto calidad de vida. </w:t>
      </w:r>
      <w:r>
        <w:rPr>
          <w:i/>
        </w:rPr>
        <w:t>Revista Facultad Nacional de Salud Pública</w:t>
      </w:r>
      <w:r>
        <w:rPr/>
        <w:t>, 23, 79-90. Recuperado de </w:t>
      </w:r>
      <w:hyperlink r:id="rId17">
        <w:r>
          <w:rPr/>
          <w:t>http://www.redalyc.org/articulo.oa?id=12023108</w:t>
        </w:r>
      </w:hyperlink>
    </w:p>
    <w:p>
      <w:pPr>
        <w:pStyle w:val="BodyText"/>
        <w:spacing w:before="10"/>
        <w:rPr>
          <w:sz w:val="35"/>
        </w:rPr>
      </w:pPr>
    </w:p>
    <w:p>
      <w:pPr>
        <w:spacing w:line="362" w:lineRule="auto" w:before="0"/>
        <w:ind w:left="827" w:right="111" w:hanging="711"/>
        <w:jc w:val="both"/>
        <w:rPr>
          <w:sz w:val="24"/>
        </w:rPr>
      </w:pPr>
      <w:r>
        <w:rPr>
          <w:sz w:val="24"/>
        </w:rPr>
        <w:t>Coutinho, </w:t>
      </w:r>
      <w:r>
        <w:rPr>
          <w:spacing w:val="4"/>
          <w:sz w:val="24"/>
        </w:rPr>
        <w:t>W. </w:t>
      </w:r>
      <w:r>
        <w:rPr>
          <w:sz w:val="24"/>
        </w:rPr>
        <w:t>(1999). Consenso Latino-Americano de Obesidade. </w:t>
      </w:r>
      <w:r>
        <w:rPr>
          <w:i/>
          <w:sz w:val="24"/>
        </w:rPr>
        <w:t>Arquivos Brasileiros </w:t>
      </w:r>
      <w:r>
        <w:rPr>
          <w:i/>
          <w:sz w:val="24"/>
        </w:rPr>
        <w:t>de Endocrinologia &amp; Metabologia</w:t>
      </w:r>
      <w:r>
        <w:rPr>
          <w:sz w:val="24"/>
        </w:rPr>
        <w:t>, 43, 21-67. Doi: 10.1590/S0004- 27301999000100003</w:t>
      </w:r>
    </w:p>
    <w:p>
      <w:pPr>
        <w:pStyle w:val="BodyText"/>
        <w:spacing w:before="10"/>
        <w:rPr>
          <w:sz w:val="35"/>
        </w:rPr>
      </w:pPr>
    </w:p>
    <w:p>
      <w:pPr>
        <w:pStyle w:val="BodyText"/>
        <w:spacing w:line="362" w:lineRule="auto"/>
        <w:ind w:left="827" w:right="112" w:hanging="711"/>
        <w:jc w:val="both"/>
      </w:pPr>
      <w:r>
        <w:rPr/>
        <w:t>De Domingo Bartolomé, M; López Guzmán, J. (2014). La estigmatización social de la obesidad. </w:t>
      </w:r>
      <w:r>
        <w:rPr>
          <w:i/>
        </w:rPr>
        <w:t>Cuadernos de Bioética</w:t>
      </w:r>
      <w:r>
        <w:rPr/>
        <w:t>, XXV, 273-284. Recuperado de </w:t>
      </w:r>
      <w:hyperlink r:id="rId18">
        <w:r>
          <w:rPr/>
          <w:t>http://www.redalyc.org/articulo.oa?id=87532349006</w:t>
        </w:r>
      </w:hyperlink>
    </w:p>
    <w:p>
      <w:pPr>
        <w:pStyle w:val="BodyText"/>
        <w:spacing w:before="10"/>
        <w:rPr>
          <w:sz w:val="35"/>
        </w:rPr>
      </w:pPr>
    </w:p>
    <w:p>
      <w:pPr>
        <w:pStyle w:val="BodyText"/>
        <w:tabs>
          <w:tab w:pos="4864" w:val="left" w:leader="none"/>
          <w:tab w:pos="9261" w:val="left" w:leader="none"/>
        </w:tabs>
        <w:spacing w:line="360" w:lineRule="auto"/>
        <w:ind w:left="827" w:right="113" w:hanging="711"/>
        <w:jc w:val="both"/>
      </w:pPr>
      <w:r>
        <w:rPr/>
        <w:t>De la Paz, K.L., Proenza, L., Gallardo, Y., Fernández, S., y Mompié, L. A. (2012). Factores de riesgo en adultos mayores con diabetes mellitus. </w:t>
      </w:r>
      <w:r>
        <w:rPr>
          <w:i/>
        </w:rPr>
        <w:t>MEDISAN, </w:t>
      </w:r>
      <w:r>
        <w:rPr/>
        <w:t>16, 489-497.</w:t>
        <w:tab/>
        <w:t>Recuperado</w:t>
        <w:tab/>
      </w:r>
      <w:r>
        <w:rPr>
          <w:spacing w:val="-1"/>
        </w:rPr>
        <w:t>de</w:t>
      </w:r>
      <w:hyperlink r:id="rId19">
        <w:r>
          <w:rPr>
            <w:w w:val="99"/>
          </w:rPr>
          <w:t> </w:t>
        </w:r>
        <w:r>
          <w:rPr/>
          <w:t>http://scielo.sld.cu/scielo.php?script=sci_arttext&amp;pid=S1029-30192012000400001</w:t>
        </w:r>
      </w:hyperlink>
    </w:p>
    <w:p>
      <w:pPr>
        <w:pStyle w:val="BodyText"/>
      </w:pPr>
    </w:p>
    <w:p>
      <w:pPr>
        <w:pStyle w:val="BodyText"/>
        <w:spacing w:line="360" w:lineRule="auto" w:before="144"/>
        <w:ind w:left="827" w:right="126" w:hanging="711"/>
        <w:jc w:val="both"/>
      </w:pPr>
      <w:r>
        <w:rPr/>
        <w:t>Diario Oficial de la Federación. (2000). Tomo DLIX No.8 México Recuperado de http://dof.gob.mx/nota_detalle.php?codigo=2054773&amp;fecha=31/12/1969</w:t>
      </w:r>
    </w:p>
    <w:p>
      <w:pPr>
        <w:pStyle w:val="BodyText"/>
      </w:pPr>
    </w:p>
    <w:p>
      <w:pPr>
        <w:pStyle w:val="BodyText"/>
        <w:spacing w:line="362" w:lineRule="auto" w:before="139"/>
        <w:ind w:left="827" w:right="122" w:hanging="711"/>
        <w:jc w:val="both"/>
      </w:pPr>
      <w:r>
        <w:rPr/>
        <w:t>Di Iorgi, N., Napoli, F., Allegri, A. E. M., Oliveri, I., Bertelli, E., Gallizia, A., Rossi, A., Maghnie, M. (2012). Diabetes insipidus-Diagnosis and Management. Hormone Research in Pediatrics, 77, 69-84. Doi: 10.1159/000336333</w:t>
      </w:r>
    </w:p>
    <w:p>
      <w:pPr>
        <w:pStyle w:val="BodyText"/>
        <w:spacing w:before="10"/>
        <w:rPr>
          <w:sz w:val="35"/>
        </w:rPr>
      </w:pPr>
    </w:p>
    <w:p>
      <w:pPr>
        <w:pStyle w:val="BodyText"/>
        <w:tabs>
          <w:tab w:pos="2381" w:val="left" w:leader="none"/>
          <w:tab w:pos="4025" w:val="left" w:leader="none"/>
          <w:tab w:pos="5239" w:val="left" w:leader="none"/>
          <w:tab w:pos="7068" w:val="left" w:leader="none"/>
          <w:tab w:pos="9256" w:val="left" w:leader="none"/>
        </w:tabs>
        <w:spacing w:line="360" w:lineRule="auto" w:before="1"/>
        <w:ind w:left="827" w:right="112" w:hanging="711"/>
        <w:jc w:val="both"/>
      </w:pPr>
      <w:r>
        <w:rPr/>
        <w:t>Di Pietro, L., Anda, R. F., Williamson, D. F., y Stunkard, A. J. (1992). Depressive symptoms and weight change in a national cohort of adults. </w:t>
      </w:r>
      <w:r>
        <w:rPr>
          <w:i/>
        </w:rPr>
        <w:t>Int J Obes Relat </w:t>
      </w:r>
      <w:r>
        <w:rPr>
          <w:i/>
        </w:rPr>
        <w:t>Metab</w:t>
        <w:tab/>
        <w:t>Disord</w:t>
      </w:r>
      <w:r>
        <w:rPr/>
        <w:t>,</w:t>
        <w:tab/>
        <w:t>16,</w:t>
        <w:tab/>
        <w:t>745-753.</w:t>
        <w:tab/>
        <w:t>Recuperado</w:t>
        <w:tab/>
        <w:t>de </w:t>
      </w:r>
      <w:hyperlink r:id="rId20">
        <w:r>
          <w:rPr/>
          <w:t>http://www.ncbi.nlm.nih.gov/pubmed/1330954</w:t>
        </w:r>
      </w:hyperlink>
    </w:p>
    <w:p>
      <w:pPr>
        <w:pStyle w:val="BodyText"/>
      </w:pPr>
    </w:p>
    <w:p>
      <w:pPr>
        <w:pStyle w:val="BodyText"/>
        <w:spacing w:before="140"/>
        <w:ind w:left="116" w:right="109"/>
      </w:pPr>
      <w:r>
        <w:rPr/>
        <w:t>Feal,  C.  P.  (1998).  Diabetes  Mellitus:  un  reto  para  la  atención  primaria  de  salud.</w:t>
      </w:r>
    </w:p>
    <w:p>
      <w:pPr>
        <w:pStyle w:val="BodyText"/>
        <w:spacing w:before="141"/>
        <w:ind w:left="827" w:right="212"/>
      </w:pPr>
      <w:r>
        <w:rPr>
          <w:i/>
        </w:rPr>
        <w:t>RESUMED</w:t>
      </w:r>
      <w:r>
        <w:rPr/>
        <w:t>, 11, 3-5.  Recuperado de </w:t>
      </w:r>
      <w:hyperlink r:id="rId21">
        <w:r>
          <w:rPr/>
          <w:t>http://www.bvs.sld.cu/revistas/res/</w:t>
        </w:r>
      </w:hyperlink>
    </w:p>
    <w:p>
      <w:pPr>
        <w:spacing w:after="0"/>
        <w:sectPr>
          <w:pgSz w:w="12240" w:h="15840"/>
          <w:pgMar w:header="729" w:footer="0" w:top="960" w:bottom="280" w:left="1300" w:right="1300"/>
        </w:sectPr>
      </w:pPr>
    </w:p>
    <w:p>
      <w:pPr>
        <w:pStyle w:val="BodyText"/>
        <w:rPr>
          <w:sz w:val="20"/>
        </w:rPr>
      </w:pPr>
    </w:p>
    <w:p>
      <w:pPr>
        <w:pStyle w:val="BodyText"/>
        <w:rPr>
          <w:sz w:val="20"/>
        </w:rPr>
      </w:pPr>
    </w:p>
    <w:p>
      <w:pPr>
        <w:pStyle w:val="BodyText"/>
        <w:spacing w:before="9"/>
        <w:rPr>
          <w:sz w:val="28"/>
        </w:rPr>
      </w:pPr>
    </w:p>
    <w:p>
      <w:pPr>
        <w:pStyle w:val="BodyText"/>
        <w:tabs>
          <w:tab w:pos="1607" w:val="left" w:leader="none"/>
          <w:tab w:pos="3270" w:val="left" w:leader="none"/>
          <w:tab w:pos="3821" w:val="left" w:leader="none"/>
          <w:tab w:pos="4296" w:val="left" w:leader="none"/>
          <w:tab w:pos="5595" w:val="left" w:leader="none"/>
          <w:tab w:pos="6645" w:val="left" w:leader="none"/>
          <w:tab w:pos="7470" w:val="left" w:leader="none"/>
          <w:tab w:pos="8021" w:val="left" w:leader="none"/>
          <w:tab w:pos="8496" w:val="left" w:leader="none"/>
        </w:tabs>
        <w:spacing w:before="70"/>
        <w:ind w:left="116"/>
      </w:pPr>
      <w:r>
        <w:rPr/>
        <w:t>Federación</w:t>
        <w:tab/>
        <w:t>Internacional</w:t>
        <w:tab/>
        <w:t>de</w:t>
        <w:tab/>
        <w:t>la</w:t>
        <w:tab/>
        <w:t>Diabetes.</w:t>
        <w:tab/>
        <w:t>(2013).</w:t>
        <w:tab/>
        <w:t>Atlas</w:t>
        <w:tab/>
        <w:t>de</w:t>
        <w:tab/>
        <w:t>la</w:t>
        <w:tab/>
        <w:t>Diabetes.</w:t>
      </w:r>
    </w:p>
    <w:p>
      <w:pPr>
        <w:pStyle w:val="BodyText"/>
        <w:spacing w:before="137"/>
        <w:ind w:left="827" w:right="212"/>
      </w:pPr>
      <w:r>
        <w:rPr/>
        <w:t>Recuperado  de </w:t>
      </w:r>
      <w:hyperlink r:id="rId22">
        <w:r>
          <w:rPr/>
          <w:t>www.idf.org/diabetesatlas</w:t>
        </w:r>
      </w:hyperlink>
    </w:p>
    <w:p>
      <w:pPr>
        <w:pStyle w:val="BodyText"/>
      </w:pPr>
    </w:p>
    <w:p>
      <w:pPr>
        <w:pStyle w:val="BodyText"/>
        <w:spacing w:before="9"/>
        <w:rPr>
          <w:sz w:val="23"/>
        </w:rPr>
      </w:pPr>
    </w:p>
    <w:p>
      <w:pPr>
        <w:pStyle w:val="BodyText"/>
        <w:spacing w:line="362" w:lineRule="auto"/>
        <w:ind w:left="827" w:right="119" w:hanging="711"/>
        <w:jc w:val="both"/>
      </w:pPr>
      <w:r>
        <w:rPr/>
        <w:t>Fondo de Población de las Naciones Unidas - Ministerio de la Protección Social Colombia, OPS Y OMS: Manual de procedimiento para la prestación de servicios de atención al adolescente. 2002. Bogotá, 156.</w:t>
      </w:r>
    </w:p>
    <w:p>
      <w:pPr>
        <w:spacing w:line="360" w:lineRule="auto" w:before="0"/>
        <w:ind w:left="889" w:right="113" w:hanging="774"/>
        <w:jc w:val="both"/>
        <w:rPr>
          <w:sz w:val="22"/>
        </w:rPr>
      </w:pPr>
      <w:r>
        <w:rPr>
          <w:sz w:val="24"/>
        </w:rPr>
        <w:t>Gallegos, E., Ovalle, B. F., y Gómez, M. M.V. (2006). Metabolic control of adults with type 2 diabetes mellitus through education and counseling. </w:t>
      </w:r>
      <w:r>
        <w:rPr>
          <w:i/>
          <w:sz w:val="24"/>
        </w:rPr>
        <w:t>Journal of Nursing </w:t>
      </w:r>
      <w:r>
        <w:rPr>
          <w:i/>
          <w:sz w:val="24"/>
        </w:rPr>
        <w:t>Scholarship</w:t>
      </w:r>
      <w:r>
        <w:rPr>
          <w:sz w:val="24"/>
        </w:rPr>
        <w:t>, 38, 344-351. </w:t>
      </w:r>
      <w:r>
        <w:rPr>
          <w:sz w:val="22"/>
        </w:rPr>
        <w:t>Doi: 10.1111/j.1547-5069.2006.00125.x</w:t>
      </w:r>
    </w:p>
    <w:p>
      <w:pPr>
        <w:pStyle w:val="BodyText"/>
      </w:pPr>
    </w:p>
    <w:p>
      <w:pPr>
        <w:pStyle w:val="BodyText"/>
        <w:spacing w:line="362" w:lineRule="auto" w:before="140"/>
        <w:ind w:left="827" w:right="114" w:hanging="711"/>
        <w:jc w:val="both"/>
      </w:pPr>
      <w:r>
        <w:rPr/>
        <w:t>Generelo, E. (1998). Educación física y calidad de vida. En Martínez, d C. J. (Ed.), Deporte y calidad de vida (pp. 309-331). Recuperado de https://books.google.com.mx/books?isbn=848597770X</w:t>
      </w:r>
    </w:p>
    <w:p>
      <w:pPr>
        <w:pStyle w:val="BodyText"/>
        <w:spacing w:before="10"/>
        <w:rPr>
          <w:sz w:val="35"/>
        </w:rPr>
      </w:pPr>
    </w:p>
    <w:p>
      <w:pPr>
        <w:pStyle w:val="BodyText"/>
        <w:spacing w:line="360" w:lineRule="auto"/>
        <w:ind w:left="827" w:right="110" w:hanging="711"/>
        <w:jc w:val="both"/>
      </w:pPr>
      <w:r>
        <w:rPr/>
        <w:t>Gerken, T., Girard, C. A., Tung, Y.-C. L., Webby, C. J., Saudek, V., Hewitson, K. S., … Schofield, C. J. (2007). The Obesity-Associated FTO Gene Encodes a 2- Oxoglutarate–Dependent Nucleic Acid. Demethylase. Science, 318, 1469–1472. Doi 10.1126/science.1151710</w:t>
      </w:r>
    </w:p>
    <w:p>
      <w:pPr>
        <w:pStyle w:val="BodyText"/>
      </w:pPr>
    </w:p>
    <w:p>
      <w:pPr>
        <w:pStyle w:val="BodyText"/>
        <w:spacing w:line="364" w:lineRule="auto" w:before="139"/>
        <w:ind w:left="827" w:right="116" w:hanging="711"/>
        <w:jc w:val="both"/>
      </w:pPr>
      <w:r>
        <w:rPr/>
        <w:t>Grimaldo, M. P. (2010). Calidad de vida y estilo de vida saludable en un grupo de estudiantes de posgrado de la ciudad de Lima.  </w:t>
      </w:r>
      <w:r>
        <w:rPr>
          <w:i/>
        </w:rPr>
        <w:t>Pensamiento Psicológico</w:t>
      </w:r>
      <w:r>
        <w:rPr/>
        <w:t>, 8,   17-</w:t>
      </w:r>
    </w:p>
    <w:p>
      <w:pPr>
        <w:pStyle w:val="BodyText"/>
        <w:spacing w:line="273" w:lineRule="exact"/>
        <w:ind w:left="827" w:right="212"/>
      </w:pPr>
      <w:r>
        <w:rPr/>
        <w:t>38. Recuperado de </w:t>
      </w:r>
      <w:hyperlink r:id="rId23">
        <w:r>
          <w:rPr/>
          <w:t>http://www.redalyc.org/articulo.oa?id=80115648003</w:t>
        </w:r>
      </w:hyperlink>
    </w:p>
    <w:p>
      <w:pPr>
        <w:pStyle w:val="BodyText"/>
      </w:pPr>
    </w:p>
    <w:p>
      <w:pPr>
        <w:pStyle w:val="BodyText"/>
        <w:spacing w:before="9"/>
        <w:rPr>
          <w:sz w:val="23"/>
        </w:rPr>
      </w:pPr>
    </w:p>
    <w:p>
      <w:pPr>
        <w:pStyle w:val="BodyText"/>
        <w:spacing w:line="360" w:lineRule="auto"/>
        <w:ind w:left="827" w:right="212" w:hanging="711"/>
      </w:pPr>
      <w:r>
        <w:rPr/>
        <w:t>Gutiérrez, J. P. (2013). Brechas en cobertura efectiva por nivel socioeconómico y condición de pobreza. </w:t>
      </w:r>
      <w:r>
        <w:rPr>
          <w:i/>
        </w:rPr>
        <w:t>Salud Pública de México</w:t>
      </w:r>
      <w:r>
        <w:rPr/>
        <w:t>, 55, 106-111. Recuperado de </w:t>
      </w:r>
      <w:hyperlink r:id="rId24">
        <w:r>
          <w:rPr/>
          <w:t>http://www.scielo.org.mx/scielo.php?script=sci_arttext&amp;pid=S0036-</w:t>
        </w:r>
      </w:hyperlink>
      <w:r>
        <w:rPr/>
        <w:t> 36342013000800006&amp;lng=es&amp;tlng=es.</w:t>
      </w:r>
    </w:p>
    <w:p>
      <w:pPr>
        <w:pStyle w:val="BodyText"/>
      </w:pPr>
    </w:p>
    <w:p>
      <w:pPr>
        <w:pStyle w:val="BodyText"/>
        <w:spacing w:line="362" w:lineRule="auto" w:before="140"/>
        <w:ind w:left="827" w:right="118" w:hanging="711"/>
        <w:jc w:val="both"/>
      </w:pPr>
      <w:r>
        <w:rPr/>
        <w:t>Guzmán, M. R., Castillo, A., y García M. (2010). Factores psicosociales asociados al paciente   con   obesidad.   En   Morales,   J.   A.   (Ed.),   Obesidad   un  enfoque</w:t>
      </w:r>
    </w:p>
    <w:p>
      <w:pPr>
        <w:spacing w:after="0" w:line="362" w:lineRule="auto"/>
        <w:jc w:val="both"/>
        <w:sectPr>
          <w:pgSz w:w="12240" w:h="15840"/>
          <w:pgMar w:header="729" w:footer="0" w:top="960" w:bottom="280" w:left="1300" w:right="1300"/>
        </w:sectPr>
      </w:pPr>
    </w:p>
    <w:p>
      <w:pPr>
        <w:pStyle w:val="BodyText"/>
        <w:rPr>
          <w:sz w:val="20"/>
        </w:rPr>
      </w:pPr>
    </w:p>
    <w:p>
      <w:pPr>
        <w:pStyle w:val="BodyText"/>
        <w:tabs>
          <w:tab w:pos="3585" w:val="left" w:leader="none"/>
          <w:tab w:pos="4996" w:val="left" w:leader="none"/>
          <w:tab w:pos="6958" w:val="left" w:leader="none"/>
          <w:tab w:pos="9261" w:val="left" w:leader="none"/>
        </w:tabs>
        <w:spacing w:line="362" w:lineRule="auto" w:before="213"/>
        <w:ind w:left="827" w:right="113"/>
      </w:pPr>
      <w:r>
        <w:rPr/>
        <w:t>multidisciplinario</w:t>
        <w:tab/>
        <w:t>(pp.</w:t>
        <w:tab/>
        <w:t>201-218)</w:t>
        <w:tab/>
        <w:t>Recuperado</w:t>
        <w:tab/>
      </w:r>
      <w:r>
        <w:rPr>
          <w:spacing w:val="-1"/>
        </w:rPr>
        <w:t>de</w:t>
      </w:r>
      <w:hyperlink r:id="rId25">
        <w:r>
          <w:rPr>
            <w:w w:val="99"/>
          </w:rPr>
          <w:t> </w:t>
        </w:r>
        <w:r>
          <w:rPr/>
          <w:t>http://www.uaeh.edu.mx/investigacion/productos/4823/libro_de_obesidad.pdf</w:t>
        </w:r>
      </w:hyperlink>
    </w:p>
    <w:p>
      <w:pPr>
        <w:pStyle w:val="BodyText"/>
        <w:spacing w:before="11"/>
        <w:rPr>
          <w:sz w:val="35"/>
        </w:rPr>
      </w:pPr>
    </w:p>
    <w:p>
      <w:pPr>
        <w:pStyle w:val="BodyText"/>
        <w:spacing w:line="360" w:lineRule="auto"/>
        <w:ind w:left="827" w:right="118" w:hanging="711"/>
        <w:jc w:val="both"/>
      </w:pPr>
      <w:r>
        <w:rPr/>
        <w:t>Han, T. S., Van Leer, E. M., Seidell, J. C., &amp; Lean, M. E. (1995). Waist circumference action levels in the identification of cardiovascular risk factors: prevalence study in a random sample. </w:t>
      </w:r>
      <w:r>
        <w:rPr>
          <w:i/>
        </w:rPr>
        <w:t>British Medical Journal</w:t>
      </w:r>
      <w:r>
        <w:rPr/>
        <w:t>, 311, 1401–1405.</w:t>
      </w:r>
    </w:p>
    <w:p>
      <w:pPr>
        <w:pStyle w:val="BodyText"/>
      </w:pPr>
    </w:p>
    <w:p>
      <w:pPr>
        <w:pStyle w:val="BodyText"/>
        <w:spacing w:line="360" w:lineRule="auto" w:before="140"/>
        <w:ind w:left="827" w:right="212" w:hanging="711"/>
      </w:pPr>
      <w:r>
        <w:rPr/>
        <w:t>Hernández, M., Gutiérrez, J. P., y Reynoso, N. (2013). Diabetes mellitus en México. El estado de la epidemia. </w:t>
      </w:r>
      <w:r>
        <w:rPr>
          <w:i/>
        </w:rPr>
        <w:t>Salud Pública de México</w:t>
      </w:r>
      <w:r>
        <w:rPr/>
        <w:t>, 55, 129-136. Recuperado de </w:t>
      </w:r>
      <w:hyperlink r:id="rId24">
        <w:r>
          <w:rPr/>
          <w:t>http://www.scielo.org.mx/scielo.php?script=sci_arttext&amp;pid=S0036-</w:t>
        </w:r>
      </w:hyperlink>
      <w:r>
        <w:rPr/>
        <w:t> 36342013000800009&amp;lng=es&amp;tlng=es.</w:t>
      </w:r>
    </w:p>
    <w:p>
      <w:pPr>
        <w:pStyle w:val="BodyText"/>
      </w:pPr>
    </w:p>
    <w:p>
      <w:pPr>
        <w:pStyle w:val="BodyText"/>
        <w:spacing w:line="362" w:lineRule="auto" w:before="139"/>
        <w:ind w:left="827" w:right="124" w:hanging="711"/>
        <w:jc w:val="both"/>
      </w:pPr>
      <w:r>
        <w:rPr/>
        <w:t>Instituto Nacional de Estadística y Geografía. (2014). Esperanza de vida. Recuperado de</w:t>
      </w:r>
      <w:r>
        <w:rPr>
          <w:spacing w:val="-28"/>
        </w:rPr>
        <w:t> </w:t>
      </w:r>
      <w:hyperlink r:id="rId26">
        <w:r>
          <w:rPr/>
          <w:t>http://cuentame.inegi.org.mx/poblacion/esperanza.aspx?tema=P</w:t>
        </w:r>
      </w:hyperlink>
    </w:p>
    <w:p>
      <w:pPr>
        <w:pStyle w:val="BodyText"/>
        <w:spacing w:before="10"/>
        <w:rPr>
          <w:sz w:val="35"/>
        </w:rPr>
      </w:pPr>
    </w:p>
    <w:p>
      <w:pPr>
        <w:pStyle w:val="BodyText"/>
        <w:tabs>
          <w:tab w:pos="3601" w:val="left" w:leader="none"/>
          <w:tab w:pos="6379" w:val="left" w:leader="none"/>
          <w:tab w:pos="9258" w:val="left" w:leader="none"/>
        </w:tabs>
        <w:spacing w:line="362" w:lineRule="auto"/>
        <w:ind w:left="827" w:right="116" w:hanging="711"/>
        <w:jc w:val="both"/>
      </w:pPr>
      <w:r>
        <w:rPr/>
        <w:t>Instituto Nacional de Salud. (2012). Encuesta Nacional de Salud y Nutrición 2012. Resultados</w:t>
        <w:tab/>
        <w:t>nacionales.</w:t>
        <w:tab/>
        <w:t>Recuperado</w:t>
        <w:tab/>
      </w:r>
      <w:r>
        <w:rPr>
          <w:spacing w:val="-1"/>
        </w:rPr>
        <w:t>de</w:t>
      </w:r>
      <w:hyperlink r:id="rId27">
        <w:r>
          <w:rPr>
            <w:w w:val="99"/>
          </w:rPr>
          <w:t> </w:t>
        </w:r>
        <w:r>
          <w:rPr/>
          <w:t>http://ensanut.insp.mx/informes/ENSANUT2012ResultadosNacionales.pdf</w:t>
        </w:r>
      </w:hyperlink>
    </w:p>
    <w:p>
      <w:pPr>
        <w:pStyle w:val="BodyText"/>
        <w:spacing w:before="10"/>
        <w:rPr>
          <w:sz w:val="35"/>
        </w:rPr>
      </w:pPr>
    </w:p>
    <w:p>
      <w:pPr>
        <w:pStyle w:val="BodyText"/>
        <w:tabs>
          <w:tab w:pos="1468" w:val="left" w:leader="none"/>
          <w:tab w:pos="2882" w:val="left" w:leader="none"/>
          <w:tab w:pos="3875" w:val="left" w:leader="none"/>
          <w:tab w:pos="4340" w:val="left" w:leader="none"/>
          <w:tab w:pos="4729" w:val="left" w:leader="none"/>
          <w:tab w:pos="6076" w:val="left" w:leader="none"/>
          <w:tab w:pos="7246" w:val="left" w:leader="none"/>
          <w:tab w:pos="8066" w:val="left" w:leader="none"/>
        </w:tabs>
        <w:ind w:left="116"/>
      </w:pPr>
      <w:r>
        <w:rPr/>
        <w:t>Kielhofner,</w:t>
        <w:tab/>
        <w:t>G. </w:t>
      </w:r>
      <w:r>
        <w:rPr>
          <w:spacing w:val="62"/>
        </w:rPr>
        <w:t> </w:t>
      </w:r>
      <w:r>
        <w:rPr/>
        <w:t>(2004).</w:t>
        <w:tab/>
        <w:t>Modelo</w:t>
        <w:tab/>
        <w:t>de</w:t>
        <w:tab/>
        <w:t>la</w:t>
        <w:tab/>
        <w:t>Ocupación</w:t>
        <w:tab/>
        <w:t>Humana:</w:t>
        <w:tab/>
        <w:t>teoría</w:t>
        <w:tab/>
        <w:t>y </w:t>
      </w:r>
      <w:r>
        <w:rPr>
          <w:spacing w:val="60"/>
        </w:rPr>
        <w:t> </w:t>
      </w:r>
      <w:r>
        <w:rPr/>
        <w:t>aplicación.</w:t>
      </w:r>
    </w:p>
    <w:p>
      <w:pPr>
        <w:pStyle w:val="BodyText"/>
        <w:spacing w:before="137"/>
        <w:ind w:left="827" w:right="212"/>
      </w:pPr>
      <w:r>
        <w:rPr/>
        <w:t>Recuperado de https://books.google.com.mx/books?id=hBQfhHCs-XIC</w:t>
      </w:r>
    </w:p>
    <w:p>
      <w:pPr>
        <w:pStyle w:val="BodyText"/>
      </w:pPr>
    </w:p>
    <w:p>
      <w:pPr>
        <w:pStyle w:val="BodyText"/>
        <w:spacing w:before="3"/>
      </w:pPr>
    </w:p>
    <w:p>
      <w:pPr>
        <w:pStyle w:val="BodyText"/>
        <w:tabs>
          <w:tab w:pos="3213" w:val="left" w:leader="none"/>
          <w:tab w:pos="5833" w:val="left" w:leader="none"/>
          <w:tab w:pos="9255" w:val="left" w:leader="none"/>
        </w:tabs>
        <w:spacing w:line="360" w:lineRule="auto"/>
        <w:ind w:left="827" w:right="114" w:hanging="711"/>
        <w:jc w:val="both"/>
      </w:pPr>
      <w:r>
        <w:rPr/>
        <w:t>Levy, L., y Anderson, L. (1980). La tensión psicosocial. Población, ambiente y calidad  de</w:t>
        <w:tab/>
        <w:t>vida.</w:t>
        <w:tab/>
        <w:t>Recuperado</w:t>
        <w:tab/>
        <w:t>de https://books.google.com/books/about/La_Tensión_psicosocial.html</w:t>
      </w:r>
    </w:p>
    <w:p>
      <w:pPr>
        <w:pStyle w:val="BodyText"/>
      </w:pPr>
    </w:p>
    <w:p>
      <w:pPr>
        <w:pStyle w:val="BodyText"/>
        <w:tabs>
          <w:tab w:pos="3577" w:val="left" w:leader="none"/>
          <w:tab w:pos="6021" w:val="left" w:leader="none"/>
          <w:tab w:pos="9251" w:val="left" w:leader="none"/>
        </w:tabs>
        <w:spacing w:line="360" w:lineRule="auto" w:before="144"/>
        <w:ind w:left="827" w:right="120" w:hanging="711"/>
        <w:jc w:val="both"/>
      </w:pPr>
      <w:r>
        <w:rPr/>
        <w:t>Lifshitz, A. (Mayo, 2008). Diabetes Mellitus. Trabajo presentado en el seminario sobre el ejercicio actual de la medicina de la Faculta de Medicina de la UNAM. Ciudad de México.</w:t>
        <w:tab/>
        <w:t>Méx.</w:t>
        <w:tab/>
        <w:t>Recuperado</w:t>
        <w:tab/>
        <w:t>de </w:t>
      </w:r>
      <w:hyperlink r:id="rId28">
        <w:r>
          <w:rPr/>
          <w:t>http://www.facmed.unam.mx/sms/seam2k1/2008/may_01_ponencia.html</w:t>
        </w:r>
      </w:hyperlink>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827" w:right="113" w:hanging="711"/>
        <w:jc w:val="both"/>
      </w:pPr>
      <w:r>
        <w:rPr/>
        <w:t>López, C., y Ávalos, M. A. (2013). Diabetes mellitus hacia una perspectiva social. </w:t>
      </w:r>
      <w:r>
        <w:rPr>
          <w:i/>
        </w:rPr>
        <w:t>Revista Cubana de Salud Pública</w:t>
      </w:r>
      <w:r>
        <w:rPr/>
        <w:t>, 39, 331-345. Recuperado de </w:t>
      </w:r>
      <w:hyperlink r:id="rId29">
        <w:r>
          <w:rPr/>
          <w:t>http://www.redalyc.org/articulo.oa?id=21430556013</w:t>
        </w:r>
      </w:hyperlink>
    </w:p>
    <w:p>
      <w:pPr>
        <w:pStyle w:val="BodyText"/>
        <w:spacing w:before="10"/>
        <w:rPr>
          <w:sz w:val="35"/>
        </w:rPr>
      </w:pPr>
    </w:p>
    <w:p>
      <w:pPr>
        <w:pStyle w:val="BodyText"/>
        <w:tabs>
          <w:tab w:pos="5407" w:val="left" w:leader="none"/>
        </w:tabs>
        <w:spacing w:line="360" w:lineRule="auto"/>
        <w:ind w:left="827" w:right="113" w:hanging="711"/>
        <w:jc w:val="both"/>
      </w:pPr>
      <w:r>
        <w:rPr/>
        <w:t>López, J. M. y Rodríguez, R. (2006). Adaptación y validación del instrumento de calidad de vida Diabetes 39 en pacientes mexicanos con diabetes mellitus tipo 2. </w:t>
      </w:r>
      <w:r>
        <w:rPr>
          <w:i/>
        </w:rPr>
        <w:t>Revista </w:t>
      </w:r>
      <w:r>
        <w:rPr>
          <w:i/>
        </w:rPr>
        <w:t>Salud      Pública     </w:t>
      </w:r>
      <w:r>
        <w:rPr>
          <w:i/>
          <w:spacing w:val="29"/>
        </w:rPr>
        <w:t> </w:t>
      </w:r>
      <w:r>
        <w:rPr>
          <w:i/>
        </w:rPr>
        <w:t>de     </w:t>
      </w:r>
      <w:r>
        <w:rPr>
          <w:i/>
          <w:spacing w:val="14"/>
        </w:rPr>
        <w:t> </w:t>
      </w:r>
      <w:r>
        <w:rPr>
          <w:i/>
        </w:rPr>
        <w:t>México</w:t>
      </w:r>
      <w:r>
        <w:rPr/>
        <w:t>,</w:t>
        <w:tab/>
        <w:t>48,      200-208.     </w:t>
      </w:r>
      <w:r>
        <w:rPr>
          <w:spacing w:val="32"/>
        </w:rPr>
        <w:t> </w:t>
      </w:r>
      <w:r>
        <w:rPr/>
        <w:t>Recuperado     </w:t>
      </w:r>
      <w:r>
        <w:rPr>
          <w:spacing w:val="17"/>
        </w:rPr>
        <w:t> </w:t>
      </w:r>
      <w:r>
        <w:rPr/>
        <w:t>de</w:t>
      </w:r>
      <w:hyperlink r:id="rId30">
        <w:r>
          <w:rPr>
            <w:w w:val="99"/>
          </w:rPr>
          <w:t> </w:t>
        </w:r>
        <w:r>
          <w:rPr/>
          <w:t>http://www.scielosp.org/pdf/spm/v48n3/29735.pdf</w:t>
        </w:r>
      </w:hyperlink>
    </w:p>
    <w:p>
      <w:pPr>
        <w:pStyle w:val="BodyText"/>
      </w:pPr>
    </w:p>
    <w:p>
      <w:pPr>
        <w:pStyle w:val="BodyText"/>
        <w:spacing w:line="360" w:lineRule="auto" w:before="144"/>
        <w:ind w:left="827" w:right="111" w:hanging="711"/>
        <w:jc w:val="both"/>
      </w:pPr>
      <w:r>
        <w:rPr/>
        <w:t>Mainous, A. G., Diaz, V. A., y Everett, C. J. (2007). Assessing Risk for Development of Diabetes in Young Adults. </w:t>
      </w:r>
      <w:r>
        <w:rPr>
          <w:i/>
        </w:rPr>
        <w:t>Annals of Family Medicine</w:t>
      </w:r>
      <w:r>
        <w:rPr/>
        <w:t>, 5, 425–429. Doi: 10.1370/afm.705</w:t>
      </w:r>
    </w:p>
    <w:p>
      <w:pPr>
        <w:pStyle w:val="BodyText"/>
        <w:spacing w:before="6"/>
        <w:rPr>
          <w:sz w:val="33"/>
        </w:rPr>
      </w:pPr>
    </w:p>
    <w:p>
      <w:pPr>
        <w:spacing w:before="0"/>
        <w:ind w:left="116" w:right="109" w:firstLine="0"/>
        <w:jc w:val="left"/>
        <w:rPr>
          <w:sz w:val="24"/>
        </w:rPr>
      </w:pPr>
      <w:r>
        <w:rPr>
          <w:sz w:val="24"/>
        </w:rPr>
        <w:t>Marriner A, Raile M. (2003). </w:t>
      </w:r>
      <w:r>
        <w:rPr>
          <w:i/>
          <w:sz w:val="24"/>
        </w:rPr>
        <w:t>Modelos y Teorías en Enfermería</w:t>
      </w:r>
      <w:r>
        <w:rPr>
          <w:sz w:val="24"/>
        </w:rPr>
        <w:t>. 5</w:t>
      </w:r>
      <w:r>
        <w:rPr>
          <w:position w:val="11"/>
          <w:sz w:val="16"/>
        </w:rPr>
        <w:t>a </w:t>
      </w:r>
      <w:r>
        <w:rPr>
          <w:sz w:val="24"/>
        </w:rPr>
        <w:t>Ed. Barcelona: Mosly.</w:t>
      </w:r>
    </w:p>
    <w:p>
      <w:pPr>
        <w:pStyle w:val="BodyText"/>
        <w:rPr>
          <w:sz w:val="28"/>
        </w:rPr>
      </w:pPr>
    </w:p>
    <w:p>
      <w:pPr>
        <w:pStyle w:val="BodyText"/>
        <w:spacing w:line="360" w:lineRule="auto" w:before="227"/>
        <w:ind w:left="827" w:right="118" w:hanging="711"/>
        <w:jc w:val="both"/>
      </w:pPr>
      <w:r>
        <w:rPr/>
        <w:t>Mata, B., y Camacho, M. d R. (2015). Sinopsis de la diabetes. En Balderas, R. I. (Ed.), Diabetes, obesidad y síndrome Metabólico: Un abordaje   multidisciplinario    (pp.</w:t>
      </w:r>
    </w:p>
    <w:p>
      <w:pPr>
        <w:pStyle w:val="BodyText"/>
        <w:spacing w:before="8"/>
        <w:ind w:left="827" w:right="212"/>
      </w:pPr>
      <w:r>
        <w:rPr/>
        <w:t>347) Recuperado de https://books.google.com.mx/books?isbn=607448483X</w:t>
      </w:r>
    </w:p>
    <w:p>
      <w:pPr>
        <w:pStyle w:val="BodyText"/>
      </w:pPr>
    </w:p>
    <w:p>
      <w:pPr>
        <w:pStyle w:val="BodyText"/>
        <w:spacing w:before="9"/>
        <w:rPr>
          <w:sz w:val="23"/>
        </w:rPr>
      </w:pPr>
    </w:p>
    <w:p>
      <w:pPr>
        <w:pStyle w:val="BodyText"/>
        <w:spacing w:line="362" w:lineRule="auto"/>
        <w:ind w:left="827" w:right="112" w:hanging="711"/>
        <w:jc w:val="both"/>
      </w:pPr>
      <w:r>
        <w:rPr/>
        <w:t>Mejía, B. F. (2010). Lo educativo en torno a la obesidad y el sobrepeso en México. Revista Latinoamericana de Estudios Educativos (México), XL, 5-8 Recuperado de </w:t>
      </w:r>
      <w:hyperlink r:id="rId31">
        <w:r>
          <w:rPr/>
          <w:t>http://www.redalyc.org/articulo.oa?id=27018884001</w:t>
        </w:r>
      </w:hyperlink>
    </w:p>
    <w:p>
      <w:pPr>
        <w:pStyle w:val="BodyText"/>
        <w:spacing w:before="10"/>
        <w:rPr>
          <w:sz w:val="35"/>
        </w:rPr>
      </w:pPr>
    </w:p>
    <w:p>
      <w:pPr>
        <w:pStyle w:val="BodyText"/>
        <w:spacing w:line="360" w:lineRule="auto"/>
        <w:ind w:left="827" w:right="114" w:hanging="711"/>
        <w:jc w:val="both"/>
      </w:pPr>
      <w:r>
        <w:rPr/>
        <w:t>Mendoza, R., Sagrera, M. R., y Batista, J. M. (1994). Conductas de los escolares españoles relacionados con la salud (1986-1990). Recuperado de https://books.google.com.mx/books?isbn=8400073916</w:t>
      </w:r>
    </w:p>
    <w:p>
      <w:pPr>
        <w:pStyle w:val="BodyText"/>
      </w:pPr>
    </w:p>
    <w:p>
      <w:pPr>
        <w:pStyle w:val="BodyText"/>
        <w:spacing w:line="360" w:lineRule="auto" w:before="144"/>
        <w:ind w:left="827" w:right="116" w:hanging="711"/>
        <w:jc w:val="both"/>
      </w:pPr>
      <w:r>
        <w:rPr/>
        <w:t>Miranda, M. J., Domínguez, E., Arrollo, F. J., Méndez, P., y González, J. (2012). Calidad de vida relacionada con la salud en la diabetes mellitus tipo 1. Anales de Pediatría, 77, 329-333. Doi: 10.1016/j.anpedi.2012.03.005</w:t>
      </w:r>
    </w:p>
    <w:p>
      <w:pPr>
        <w:spacing w:after="0" w:line="360" w:lineRule="auto"/>
        <w:jc w:val="both"/>
        <w:sectPr>
          <w:pgSz w:w="12240" w:h="15840"/>
          <w:pgMar w:header="729" w:footer="0" w:top="960" w:bottom="280" w:left="1300" w:right="1300"/>
        </w:sectPr>
      </w:pPr>
    </w:p>
    <w:p>
      <w:pPr>
        <w:pStyle w:val="BodyText"/>
        <w:rPr>
          <w:sz w:val="20"/>
        </w:rPr>
      </w:pPr>
    </w:p>
    <w:p>
      <w:pPr>
        <w:pStyle w:val="BodyText"/>
        <w:spacing w:line="360" w:lineRule="auto" w:before="213"/>
        <w:ind w:left="827" w:right="111" w:hanging="711"/>
        <w:jc w:val="both"/>
      </w:pPr>
      <w:r>
        <w:rPr/>
        <w:t>Moreno, L., García, J. J., Soto, G., Capraro, S., y Limón, D. (2014). Epidemiología y determinantes sociales asociados a la obesidad y la diabetes tipo 2 en México. Revista médica del hospital general de México, 77, 86-95. Doi: 10.1016/j.hgmx.2014.07.002</w:t>
      </w:r>
    </w:p>
    <w:p>
      <w:pPr>
        <w:pStyle w:val="BodyText"/>
      </w:pPr>
    </w:p>
    <w:p>
      <w:pPr>
        <w:pStyle w:val="BodyText"/>
        <w:spacing w:line="360" w:lineRule="auto" w:before="144"/>
        <w:ind w:left="827" w:right="113" w:hanging="711"/>
        <w:jc w:val="both"/>
      </w:pPr>
      <w:r>
        <w:rPr/>
        <w:t>Moreno, L., Limón, D. (2009). Panorama general y factores asociados a la diabetes. Revista Facultad de Medicina UNAM, 52, 219-23. Recuperado de </w:t>
      </w:r>
      <w:hyperlink r:id="rId32">
        <w:r>
          <w:rPr/>
          <w:t>http://www.medigraphic.com/pdfs/facmed/un-2009/un095f.pdf</w:t>
        </w:r>
      </w:hyperlink>
    </w:p>
    <w:p>
      <w:pPr>
        <w:pStyle w:val="BodyText"/>
      </w:pPr>
    </w:p>
    <w:p>
      <w:pPr>
        <w:pStyle w:val="BodyText"/>
        <w:spacing w:line="360" w:lineRule="auto" w:before="144"/>
        <w:ind w:left="827" w:right="111" w:hanging="711"/>
        <w:jc w:val="both"/>
      </w:pPr>
      <w:r>
        <w:rPr/>
        <w:t>Muñoz, D., Gómez, O., y Ballesteros, L. C. (2014). Factores correlacionados con la calidad de vida en pacientes diabéticos de bajos ingresos en Bogotá. </w:t>
      </w:r>
      <w:r>
        <w:rPr>
          <w:i/>
        </w:rPr>
        <w:t>Revista de </w:t>
      </w:r>
      <w:r>
        <w:rPr>
          <w:i/>
        </w:rPr>
        <w:t>Salud Pública, </w:t>
      </w:r>
      <w:r>
        <w:rPr/>
        <w:t>16, 246-259. Doi: 10.15446/rsap.v16n2.38964</w:t>
      </w:r>
    </w:p>
    <w:p>
      <w:pPr>
        <w:pStyle w:val="BodyText"/>
      </w:pPr>
    </w:p>
    <w:p>
      <w:pPr>
        <w:pStyle w:val="BodyText"/>
        <w:spacing w:before="144"/>
        <w:ind w:left="116" w:right="212"/>
      </w:pPr>
      <w:r>
        <w:rPr/>
        <w:t>Orem D.(1991). Modelo de Orem, Conceptos de enfermería en la práctica. 4 a Ed.</w:t>
      </w:r>
    </w:p>
    <w:p>
      <w:pPr>
        <w:pStyle w:val="BodyText"/>
        <w:spacing w:before="137"/>
        <w:ind w:left="822" w:right="212"/>
      </w:pPr>
      <w:r>
        <w:rPr/>
        <w:t>Mosby-Year Book, Inc.</w:t>
      </w:r>
    </w:p>
    <w:p>
      <w:pPr>
        <w:pStyle w:val="BodyText"/>
      </w:pPr>
    </w:p>
    <w:p>
      <w:pPr>
        <w:pStyle w:val="BodyText"/>
        <w:spacing w:before="9"/>
        <w:rPr>
          <w:sz w:val="23"/>
        </w:rPr>
      </w:pPr>
    </w:p>
    <w:p>
      <w:pPr>
        <w:pStyle w:val="BodyText"/>
        <w:spacing w:line="362" w:lineRule="auto"/>
        <w:ind w:left="822" w:right="111" w:hanging="707"/>
        <w:jc w:val="both"/>
      </w:pPr>
      <w:r>
        <w:rPr/>
        <w:t>Orem D. (1993). Modelo de Orem, Conceptos de Enfermería en la práctica. Barcelona: Ediciones Científicas y Técnicas MassonSalvat.</w:t>
      </w:r>
    </w:p>
    <w:p>
      <w:pPr>
        <w:pStyle w:val="BodyText"/>
        <w:spacing w:before="10"/>
        <w:rPr>
          <w:sz w:val="35"/>
        </w:rPr>
      </w:pPr>
    </w:p>
    <w:p>
      <w:pPr>
        <w:pStyle w:val="BodyText"/>
        <w:ind w:left="116" w:right="212"/>
      </w:pPr>
      <w:r>
        <w:rPr/>
        <w:t>Orem D. (2001). Nursing: Concepts of practice. 6 Ed. United States of America: Mosby.</w:t>
      </w:r>
    </w:p>
    <w:p>
      <w:pPr>
        <w:pStyle w:val="BodyText"/>
      </w:pPr>
    </w:p>
    <w:p>
      <w:pPr>
        <w:pStyle w:val="BodyText"/>
        <w:spacing w:before="3"/>
      </w:pPr>
    </w:p>
    <w:p>
      <w:pPr>
        <w:pStyle w:val="BodyText"/>
        <w:ind w:left="116" w:right="212"/>
      </w:pPr>
      <w:r>
        <w:rPr/>
        <w:t>Organización Mundial de la Salud. (1994). Prevención de la diabetes Mellitus.</w:t>
      </w:r>
    </w:p>
    <w:p>
      <w:pPr>
        <w:pStyle w:val="BodyText"/>
        <w:spacing w:line="360" w:lineRule="auto" w:before="137"/>
        <w:ind w:left="918" w:right="1470" w:firstLine="4"/>
      </w:pPr>
      <w:r>
        <w:rPr/>
        <w:t>Recuperado de </w:t>
      </w:r>
      <w:hyperlink r:id="rId33">
        <w:r>
          <w:rPr/>
          <w:t>http://apps.who.int/iris/bitstream/10665/41935/1/9243208446_es.pdf</w:t>
        </w:r>
      </w:hyperlink>
    </w:p>
    <w:p>
      <w:pPr>
        <w:pStyle w:val="BodyText"/>
      </w:pPr>
    </w:p>
    <w:p>
      <w:pPr>
        <w:pStyle w:val="BodyText"/>
        <w:spacing w:line="362" w:lineRule="auto" w:before="140"/>
        <w:ind w:left="827" w:right="113" w:hanging="711"/>
        <w:jc w:val="both"/>
      </w:pPr>
      <w:r>
        <w:rPr/>
        <w:t>Organización Mundial de la Salud. (2014). ¿Qué es la diabetes?. Recuperado de </w:t>
      </w:r>
      <w:hyperlink r:id="rId34">
        <w:r>
          <w:rPr/>
          <w:t>http://www.who.int/diabetes/action_online/basics/es/</w:t>
        </w:r>
      </w:hyperlink>
    </w:p>
    <w:p>
      <w:pPr>
        <w:pStyle w:val="BodyText"/>
        <w:spacing w:before="11"/>
        <w:rPr>
          <w:sz w:val="35"/>
        </w:rPr>
      </w:pPr>
    </w:p>
    <w:p>
      <w:pPr>
        <w:pStyle w:val="BodyText"/>
        <w:tabs>
          <w:tab w:pos="1760" w:val="left" w:leader="none"/>
          <w:tab w:pos="2830" w:val="left" w:leader="none"/>
          <w:tab w:pos="3319" w:val="left" w:leader="none"/>
          <w:tab w:pos="3736" w:val="left" w:leader="none"/>
          <w:tab w:pos="4642" w:val="left" w:leader="none"/>
          <w:tab w:pos="5764" w:val="left" w:leader="none"/>
          <w:tab w:pos="7552" w:val="left" w:leader="none"/>
          <w:tab w:pos="8046" w:val="left" w:leader="none"/>
        </w:tabs>
        <w:ind w:left="116"/>
      </w:pPr>
      <w:r>
        <w:rPr/>
        <w:t>Organización</w:t>
        <w:tab/>
        <w:t>Mundial</w:t>
        <w:tab/>
        <w:t>de</w:t>
        <w:tab/>
        <w:t>la</w:t>
        <w:tab/>
        <w:t>Salud.</w:t>
        <w:tab/>
        <w:t>(2015a).</w:t>
        <w:tab/>
        <w:t>Enfermedades</w:t>
        <w:tab/>
        <w:t>no</w:t>
        <w:tab/>
        <w:t>transmisibles.</w:t>
      </w:r>
    </w:p>
    <w:p>
      <w:pPr>
        <w:pStyle w:val="BodyText"/>
        <w:spacing w:before="137"/>
        <w:ind w:left="889" w:right="212"/>
      </w:pPr>
      <w:r>
        <w:rPr/>
        <w:t>Recuperado de </w:t>
      </w:r>
      <w:hyperlink r:id="rId35">
        <w:r>
          <w:rPr/>
          <w:t>http://www.who.int/mediacentre/factsheets/fs355/es/</w:t>
        </w:r>
      </w:hyperlink>
    </w:p>
    <w:p>
      <w:pPr>
        <w:spacing w:after="0"/>
        <w:sectPr>
          <w:pgSz w:w="12240" w:h="15840"/>
          <w:pgMar w:header="729" w:footer="0" w:top="960" w:bottom="280" w:left="1300" w:right="1300"/>
        </w:sectPr>
      </w:pPr>
    </w:p>
    <w:p>
      <w:pPr>
        <w:pStyle w:val="BodyText"/>
        <w:rPr>
          <w:sz w:val="20"/>
        </w:rPr>
      </w:pPr>
    </w:p>
    <w:p>
      <w:pPr>
        <w:pStyle w:val="BodyText"/>
        <w:spacing w:line="362" w:lineRule="auto" w:before="213"/>
        <w:ind w:left="827" w:right="117" w:hanging="711"/>
        <w:jc w:val="both"/>
      </w:pPr>
      <w:r>
        <w:rPr/>
        <w:t>Organización Mundial de la Salud. (2015b). Diabetes. Nota descriptiva N°312 Recuperado  de </w:t>
      </w:r>
      <w:hyperlink r:id="rId36">
        <w:r>
          <w:rPr/>
          <w:t>http://www.who.int/topics/diabetes_mellitus/es/</w:t>
        </w:r>
      </w:hyperlink>
    </w:p>
    <w:p>
      <w:pPr>
        <w:pStyle w:val="BodyText"/>
        <w:spacing w:before="11"/>
        <w:rPr>
          <w:sz w:val="35"/>
        </w:rPr>
      </w:pPr>
    </w:p>
    <w:p>
      <w:pPr>
        <w:pStyle w:val="BodyText"/>
        <w:spacing w:line="360" w:lineRule="auto"/>
        <w:ind w:left="889" w:right="126" w:hanging="774"/>
        <w:jc w:val="both"/>
      </w:pPr>
      <w:r>
        <w:rPr/>
        <w:t>Organización Mundial de la Salud. (2015c). Sobrepeso y Obesidad. Recuperado de </w:t>
      </w:r>
      <w:hyperlink r:id="rId37">
        <w:r>
          <w:rPr/>
          <w:t>http://www.who.int/mediacentre/factsheets/fs311/es/</w:t>
        </w:r>
      </w:hyperlink>
    </w:p>
    <w:p>
      <w:pPr>
        <w:pStyle w:val="BodyText"/>
      </w:pPr>
    </w:p>
    <w:p>
      <w:pPr>
        <w:pStyle w:val="BodyText"/>
        <w:spacing w:line="360" w:lineRule="auto" w:before="144"/>
        <w:ind w:left="889" w:right="127" w:hanging="774"/>
        <w:jc w:val="both"/>
      </w:pPr>
      <w:r>
        <w:rPr/>
        <w:t>Organización Mundial de la Salud. (2016). Enfermedades crónicas. Recuperado de </w:t>
      </w:r>
      <w:hyperlink r:id="rId38">
        <w:r>
          <w:rPr/>
          <w:t>http://www.who.int/topics/chronic_diseases/es/</w:t>
        </w:r>
      </w:hyperlink>
    </w:p>
    <w:p>
      <w:pPr>
        <w:pStyle w:val="BodyText"/>
      </w:pPr>
    </w:p>
    <w:p>
      <w:pPr>
        <w:pStyle w:val="BodyText"/>
        <w:spacing w:line="360" w:lineRule="auto" w:before="144"/>
        <w:ind w:left="889" w:right="127" w:hanging="774"/>
        <w:jc w:val="both"/>
      </w:pPr>
      <w:r>
        <w:rPr/>
        <w:t>Organización para la Cooperación  y  el  Desarrollo  Económico.  (2012). Obesity Update 2012.  Recuperado de</w:t>
      </w:r>
      <w:r>
        <w:rPr>
          <w:spacing w:val="-16"/>
        </w:rPr>
        <w:t> </w:t>
      </w:r>
      <w:hyperlink r:id="rId39">
        <w:r>
          <w:rPr/>
          <w:t>http://www.oecd.org/health/49716427.pdf</w:t>
        </w:r>
      </w:hyperlink>
    </w:p>
    <w:p>
      <w:pPr>
        <w:pStyle w:val="BodyText"/>
      </w:pPr>
    </w:p>
    <w:p>
      <w:pPr>
        <w:pStyle w:val="BodyText"/>
        <w:tabs>
          <w:tab w:pos="2488" w:val="left" w:leader="none"/>
          <w:tab w:pos="4369" w:val="left" w:leader="none"/>
          <w:tab w:pos="6614" w:val="left" w:leader="none"/>
          <w:tab w:pos="9253" w:val="left" w:leader="none"/>
        </w:tabs>
        <w:spacing w:line="362" w:lineRule="auto" w:before="139"/>
        <w:ind w:left="889" w:right="116" w:hanging="774"/>
        <w:jc w:val="both"/>
      </w:pPr>
      <w:r>
        <w:rPr/>
        <w:t>OMS y FAO. (2003). Dieta, nutrición y prevención de enfermedades Crónicas. (Informe N°</w:t>
        <w:tab/>
        <w:t>916).</w:t>
        <w:tab/>
        <w:t>Ginebra.</w:t>
        <w:tab/>
        <w:t>Recuperado</w:t>
        <w:tab/>
        <w:t>de </w:t>
      </w:r>
      <w:hyperlink r:id="rId40">
        <w:r>
          <w:rPr/>
          <w:t>http://www.who.int/nutrition/publications/obesity/WHO_TRS_916_spa.pdf</w:t>
        </w:r>
      </w:hyperlink>
    </w:p>
    <w:p>
      <w:pPr>
        <w:pStyle w:val="BodyText"/>
        <w:spacing w:before="10"/>
        <w:rPr>
          <w:sz w:val="35"/>
        </w:rPr>
      </w:pPr>
    </w:p>
    <w:p>
      <w:pPr>
        <w:pStyle w:val="BodyText"/>
        <w:spacing w:line="362" w:lineRule="auto"/>
        <w:ind w:left="889" w:right="127" w:hanging="774"/>
        <w:jc w:val="both"/>
      </w:pPr>
      <w:r>
        <w:rPr/>
        <w:t>Organización para la Cooperación y  el  Desarrollo  Económico.  (2014). Obesity Update. Recuperado de</w:t>
      </w:r>
      <w:r>
        <w:rPr>
          <w:spacing w:val="-23"/>
        </w:rPr>
        <w:t> </w:t>
      </w:r>
      <w:hyperlink r:id="rId41">
        <w:r>
          <w:rPr/>
          <w:t>http://www.oecd.org/health/Obesity-Update-2014.pdf</w:t>
        </w:r>
      </w:hyperlink>
    </w:p>
    <w:p>
      <w:pPr>
        <w:pStyle w:val="BodyText"/>
        <w:spacing w:before="10"/>
        <w:rPr>
          <w:sz w:val="35"/>
        </w:rPr>
      </w:pPr>
    </w:p>
    <w:p>
      <w:pPr>
        <w:pStyle w:val="BodyText"/>
        <w:spacing w:line="360" w:lineRule="auto"/>
        <w:ind w:left="889" w:right="126" w:hanging="774"/>
        <w:jc w:val="both"/>
      </w:pPr>
      <w:r>
        <w:rPr/>
        <w:t>Organización para la Cooperación y Desarrollo Económico. (2015). Salud. Recuperado de </w:t>
      </w:r>
      <w:hyperlink r:id="rId42">
        <w:r>
          <w:rPr/>
          <w:t>http://www.oecdbetterlifeindex.org/es/topics/health/</w:t>
        </w:r>
      </w:hyperlink>
    </w:p>
    <w:p>
      <w:pPr>
        <w:pStyle w:val="BodyText"/>
        <w:spacing w:before="3"/>
        <w:rPr>
          <w:sz w:val="28"/>
        </w:rPr>
      </w:pPr>
    </w:p>
    <w:p>
      <w:pPr>
        <w:pStyle w:val="BodyText"/>
        <w:spacing w:line="360" w:lineRule="auto"/>
        <w:ind w:left="889" w:right="113" w:hanging="774"/>
        <w:jc w:val="both"/>
      </w:pPr>
      <w:r>
        <w:rPr/>
        <w:t>Pando, A., Ruiz, M., Jódar, M., Garrido, J., De Rosendo, J. M., &amp; Usán, L.A. (2004). Desarrollo de un cuestionario para la valoración y cuantificación de los hábitos de vida relacionados con el sobrepeso y la obesidad. </w:t>
      </w:r>
      <w:r>
        <w:rPr>
          <w:i/>
        </w:rPr>
        <w:t>Nutrición Hospitalaria</w:t>
      </w:r>
      <w:r>
        <w:rPr/>
        <w:t>, XIX, 99-119. Recuperado de</w:t>
      </w:r>
      <w:r>
        <w:rPr>
          <w:spacing w:val="-24"/>
        </w:rPr>
        <w:t> </w:t>
      </w:r>
      <w:hyperlink r:id="rId43">
        <w:r>
          <w:rPr/>
          <w:t>www.nutricionhospitalaria.com/pdf/3463.pdf</w:t>
        </w:r>
      </w:hyperlink>
    </w:p>
    <w:p>
      <w:pPr>
        <w:pStyle w:val="BodyText"/>
      </w:pPr>
    </w:p>
    <w:p>
      <w:pPr>
        <w:pStyle w:val="BodyText"/>
        <w:spacing w:line="360" w:lineRule="auto" w:before="144"/>
        <w:ind w:left="889" w:right="117" w:hanging="774"/>
        <w:jc w:val="both"/>
      </w:pPr>
      <w:r>
        <w:rPr/>
        <w:t>Peña, P. B., Terán, T. M., Moreno, A. F., y Bazán, C. (2009). Autopercepción de la calidad de vida del adulto mayor en la Clínica de Medicina Familiar Oriente del ISSSTE. </w:t>
      </w:r>
      <w:r>
        <w:rPr>
          <w:i/>
        </w:rPr>
        <w:t>Revista de Especialidades Médico-Quirúrgicas</w:t>
      </w:r>
      <w:r>
        <w:rPr/>
        <w:t>, 14, 53-61. Recuperado de </w:t>
      </w:r>
      <w:hyperlink r:id="rId44">
        <w:r>
          <w:rPr/>
          <w:t>http://www.redalyc.org/articulo.oa?id=47312308002</w:t>
        </w:r>
      </w:hyperlink>
    </w:p>
    <w:p>
      <w:pPr>
        <w:spacing w:after="0" w:line="360" w:lineRule="auto"/>
        <w:jc w:val="both"/>
        <w:sectPr>
          <w:pgSz w:w="12240" w:h="15840"/>
          <w:pgMar w:header="729" w:footer="0" w:top="960" w:bottom="280" w:left="1300" w:right="1300"/>
        </w:sectPr>
      </w:pPr>
    </w:p>
    <w:p>
      <w:pPr>
        <w:pStyle w:val="BodyText"/>
        <w:rPr>
          <w:sz w:val="20"/>
        </w:rPr>
      </w:pPr>
    </w:p>
    <w:p>
      <w:pPr>
        <w:pStyle w:val="BodyText"/>
        <w:rPr>
          <w:sz w:val="20"/>
        </w:rPr>
      </w:pPr>
    </w:p>
    <w:p>
      <w:pPr>
        <w:pStyle w:val="BodyText"/>
        <w:spacing w:before="9"/>
        <w:rPr>
          <w:sz w:val="28"/>
        </w:rPr>
      </w:pPr>
    </w:p>
    <w:p>
      <w:pPr>
        <w:pStyle w:val="BodyText"/>
        <w:spacing w:line="360" w:lineRule="auto" w:before="70"/>
        <w:ind w:left="889" w:right="110" w:hanging="774"/>
        <w:jc w:val="both"/>
      </w:pPr>
      <w:r>
        <w:rPr/>
        <w:t>Pera, P. I. (2011). Living with diabetes: quality of care and quality of life. Patient Preference and Adherence, 5, 65–72. Doi: 10.2147/PPA.S16551</w:t>
      </w:r>
    </w:p>
    <w:p>
      <w:pPr>
        <w:pStyle w:val="BodyText"/>
      </w:pPr>
    </w:p>
    <w:p>
      <w:pPr>
        <w:pStyle w:val="BodyText"/>
        <w:tabs>
          <w:tab w:pos="2501" w:val="left" w:leader="none"/>
          <w:tab w:pos="4477" w:val="left" w:leader="none"/>
          <w:tab w:pos="5337" w:val="left" w:leader="none"/>
          <w:tab w:pos="7199" w:val="left" w:leader="none"/>
          <w:tab w:pos="9252" w:val="left" w:leader="none"/>
        </w:tabs>
        <w:spacing w:line="360" w:lineRule="auto" w:before="139"/>
        <w:ind w:left="889" w:right="114" w:hanging="774"/>
        <w:jc w:val="both"/>
      </w:pPr>
      <w:r>
        <w:rPr/>
        <w:t>Rodríguez, G. P. L. (2006). Educación física y salud en primaria: hacia una educación corporal</w:t>
        <w:tab/>
        <w:t>significativa</w:t>
        <w:tab/>
        <w:t>y</w:t>
        <w:tab/>
        <w:t>autónoma.</w:t>
        <w:tab/>
        <w:t>Recuperado</w:t>
        <w:tab/>
        <w:t>de https://books.google.com.mx/books?id=UcvJUQ_ifKEC&amp;hl=es&amp;source=gbs_navl inks_s</w:t>
      </w:r>
    </w:p>
    <w:p>
      <w:pPr>
        <w:pStyle w:val="BodyText"/>
      </w:pPr>
    </w:p>
    <w:p>
      <w:pPr>
        <w:pStyle w:val="BodyText"/>
        <w:spacing w:line="360" w:lineRule="auto" w:before="144"/>
        <w:ind w:left="889" w:right="121" w:hanging="774"/>
        <w:jc w:val="both"/>
      </w:pPr>
      <w:r>
        <w:rPr/>
        <w:t>Rodríguez, M. J. (1995). Promoción de la salud y prevención de la enfermedad: Estilos de vida y salud. En J. Rodríguez Marín (Ed.), Psicología social de la salud. (pp. 224) ISBN: 9788477382898</w:t>
      </w:r>
    </w:p>
    <w:p>
      <w:pPr>
        <w:pStyle w:val="BodyText"/>
      </w:pPr>
    </w:p>
    <w:p>
      <w:pPr>
        <w:pStyle w:val="BodyText"/>
        <w:spacing w:line="360" w:lineRule="auto" w:before="144"/>
        <w:ind w:left="889" w:right="114" w:hanging="774"/>
        <w:jc w:val="both"/>
      </w:pPr>
      <w:r>
        <w:rPr/>
        <w:t>Rodríguez, A., y González, V. B. (2009). El trasfondo económico de las intervenciones sanitarias en la prevención de la obesidad</w:t>
      </w:r>
      <w:r>
        <w:rPr>
          <w:i/>
        </w:rPr>
        <w:t>. Revista Española de Salud Pública</w:t>
      </w:r>
      <w:r>
        <w:rPr/>
        <w:t>, 83, 25-41. Recuperado de </w:t>
      </w:r>
      <w:hyperlink r:id="rId45">
        <w:r>
          <w:rPr/>
          <w:t>http://scielo.isciii.es/scielo.php?pid=s1135-</w:t>
        </w:r>
      </w:hyperlink>
      <w:r>
        <w:rPr/>
        <w:t> 57272009000100003&amp;script=sci_arttext</w:t>
      </w:r>
    </w:p>
    <w:p>
      <w:pPr>
        <w:pStyle w:val="BodyText"/>
      </w:pPr>
    </w:p>
    <w:p>
      <w:pPr>
        <w:pStyle w:val="BodyText"/>
        <w:tabs>
          <w:tab w:pos="3702" w:val="left" w:leader="none"/>
          <w:tab w:pos="5991" w:val="left" w:leader="none"/>
          <w:tab w:pos="7905" w:val="left" w:leader="none"/>
          <w:tab w:pos="9255" w:val="left" w:leader="none"/>
        </w:tabs>
        <w:spacing w:line="360" w:lineRule="auto" w:before="144"/>
        <w:ind w:left="889" w:right="114" w:hanging="774"/>
      </w:pPr>
      <w:r>
        <w:rPr/>
        <w:t>Rodíguez, S., González, C. T., Leroy, J. L., y González,</w:t>
      </w:r>
      <w:r>
        <w:rPr>
          <w:spacing w:val="-22"/>
        </w:rPr>
        <w:t> </w:t>
      </w:r>
      <w:r>
        <w:rPr/>
        <w:t>D.</w:t>
      </w:r>
      <w:r>
        <w:rPr>
          <w:spacing w:val="-1"/>
        </w:rPr>
        <w:t> </w:t>
      </w:r>
      <w:r>
        <w:rPr/>
        <w:t>(2006).</w:t>
        <w:tab/>
        <w:t>Dietary patterns and overweight and obesity prevalence in Mexican </w:t>
      </w:r>
      <w:r>
        <w:rPr>
          <w:spacing w:val="-3"/>
        </w:rPr>
        <w:t>women. </w:t>
      </w:r>
      <w:r>
        <w:rPr/>
        <w:t>The FASEB Journal,</w:t>
        <w:tab/>
        <w:t>20,</w:t>
        <w:tab/>
        <w:t>Recuperado</w:t>
        <w:tab/>
        <w:tab/>
        <w:t>de </w:t>
      </w:r>
      <w:hyperlink r:id="rId46">
        <w:r>
          <w:rPr/>
          <w:t>http://www.fasebj.org/cgi/content/meeting_abstract/20/5/A999</w:t>
        </w:r>
      </w:hyperlink>
    </w:p>
    <w:p>
      <w:pPr>
        <w:pStyle w:val="BodyText"/>
      </w:pPr>
    </w:p>
    <w:p>
      <w:pPr>
        <w:pStyle w:val="BodyText"/>
        <w:spacing w:line="360" w:lineRule="auto" w:before="139"/>
        <w:ind w:left="889" w:right="111" w:hanging="774"/>
        <w:jc w:val="both"/>
      </w:pPr>
      <w:r>
        <w:rPr/>
        <w:t>Rtveladze, K., Marsh, T., Barquera, S., Sánchez, L. M., Levy, D., Melendez, G., Webber, L., Kilpi, F., Mcpherson k., Brown, M. (2014). Obesity prevalence in Mexico: impact on health and economic burden. </w:t>
      </w:r>
      <w:r>
        <w:rPr>
          <w:i/>
        </w:rPr>
        <w:t>Public Health Nutrition</w:t>
      </w:r>
      <w:r>
        <w:rPr/>
        <w:t>, 17, 233-239. Doi: 10.1017/S1368980013000086</w:t>
      </w:r>
    </w:p>
    <w:p>
      <w:pPr>
        <w:pStyle w:val="BodyText"/>
      </w:pPr>
    </w:p>
    <w:p>
      <w:pPr>
        <w:pStyle w:val="BodyText"/>
        <w:spacing w:line="360" w:lineRule="auto" w:before="140"/>
        <w:ind w:left="889" w:right="113" w:hanging="774"/>
        <w:jc w:val="both"/>
      </w:pPr>
      <w:r>
        <w:rPr/>
        <w:t>Sánchez, C., Pichardo, E., López, P. (2004). Epidemiología de la obesidad. Gaceta Médica de México, 140, 3-20. Recuperado de </w:t>
      </w:r>
      <w:hyperlink r:id="rId47">
        <w:r>
          <w:rPr/>
          <w:t>http://www.anmm.org.mx/bgmm/1864_2007/2004-140-SUP2-3-20.pdf</w:t>
        </w:r>
      </w:hyperlink>
    </w:p>
    <w:p>
      <w:pPr>
        <w:spacing w:after="0" w:line="360" w:lineRule="auto"/>
        <w:jc w:val="both"/>
        <w:sectPr>
          <w:pgSz w:w="12240" w:h="15840"/>
          <w:pgMar w:header="729" w:footer="0" w:top="960" w:bottom="280" w:left="1300" w:right="1300"/>
        </w:sectPr>
      </w:pPr>
    </w:p>
    <w:p>
      <w:pPr>
        <w:pStyle w:val="BodyText"/>
        <w:rPr>
          <w:sz w:val="20"/>
        </w:rPr>
      </w:pPr>
    </w:p>
    <w:p>
      <w:pPr>
        <w:pStyle w:val="BodyText"/>
        <w:rPr>
          <w:sz w:val="20"/>
        </w:rPr>
      </w:pPr>
    </w:p>
    <w:p>
      <w:pPr>
        <w:pStyle w:val="BodyText"/>
        <w:spacing w:before="9"/>
        <w:rPr>
          <w:sz w:val="28"/>
        </w:rPr>
      </w:pPr>
    </w:p>
    <w:p>
      <w:pPr>
        <w:pStyle w:val="BodyText"/>
        <w:spacing w:line="360" w:lineRule="auto" w:before="70"/>
        <w:ind w:left="889" w:right="112" w:hanging="774"/>
        <w:jc w:val="both"/>
      </w:pPr>
      <w:r>
        <w:rPr/>
        <w:t>Sansgiry, S., Naik, A. D., Brown, A. C., &amp; Latini, D. M. (2013). Quality of life among diabetes patients. Value in a healt, 16, 196. Recuperado de https:/</w:t>
      </w:r>
      <w:hyperlink r:id="rId48">
        <w:r>
          <w:rPr/>
          <w:t>/www.r</w:t>
        </w:r>
      </w:hyperlink>
      <w:r>
        <w:rPr/>
        <w:t>e</w:t>
      </w:r>
      <w:hyperlink r:id="rId48">
        <w:r>
          <w:rPr/>
          <w:t>searchgate.net/publication/236927843_PHS64_Quality_of_life_am</w:t>
        </w:r>
      </w:hyperlink>
      <w:r>
        <w:rPr/>
        <w:t> ong_diabetes_patients</w:t>
      </w:r>
    </w:p>
    <w:p>
      <w:pPr>
        <w:pStyle w:val="BodyText"/>
      </w:pPr>
    </w:p>
    <w:p>
      <w:pPr>
        <w:pStyle w:val="BodyText"/>
        <w:spacing w:line="360" w:lineRule="auto" w:before="144"/>
        <w:ind w:left="889" w:right="114" w:hanging="774"/>
        <w:jc w:val="both"/>
      </w:pPr>
      <w:r>
        <w:rPr/>
        <w:t>Secretaría de la Salud. Norma Oficial Mexicana NOM-015-SSA2-1994 para la prevención, tratamiento y control de la diabetes. Recuperado de </w:t>
      </w:r>
      <w:hyperlink r:id="rId49">
        <w:r>
          <w:rPr/>
          <w:t>http://www.salud.gob.mx/unidades/cdi/nom/015ssa24.html</w:t>
        </w:r>
      </w:hyperlink>
    </w:p>
    <w:p>
      <w:pPr>
        <w:pStyle w:val="BodyText"/>
      </w:pPr>
    </w:p>
    <w:p>
      <w:pPr>
        <w:pStyle w:val="BodyText"/>
        <w:tabs>
          <w:tab w:pos="2635" w:val="left" w:leader="none"/>
          <w:tab w:pos="3855" w:val="left" w:leader="none"/>
          <w:tab w:pos="4997" w:val="left" w:leader="none"/>
          <w:tab w:pos="6993" w:val="left" w:leader="none"/>
          <w:tab w:pos="9253" w:val="left" w:leader="none"/>
        </w:tabs>
        <w:spacing w:line="360" w:lineRule="auto" w:before="145"/>
        <w:ind w:left="889" w:right="117" w:hanging="774"/>
        <w:jc w:val="both"/>
      </w:pPr>
      <w:r>
        <w:rPr/>
        <w:t>Secretaría de Salud. </w:t>
      </w:r>
      <w:r>
        <w:rPr>
          <w:spacing w:val="-3"/>
        </w:rPr>
        <w:t>Norma </w:t>
      </w:r>
      <w:r>
        <w:rPr/>
        <w:t>oficial mexicana NOM-174-SSA1-1998, Para el manejo integral</w:t>
        <w:tab/>
        <w:t>de</w:t>
        <w:tab/>
        <w:t>la</w:t>
        <w:tab/>
        <w:t>obesidad.</w:t>
        <w:tab/>
        <w:t>Recuperado</w:t>
        <w:tab/>
        <w:t>de </w:t>
      </w:r>
      <w:hyperlink r:id="rId50">
        <w:r>
          <w:rPr/>
          <w:t>http://www.salud.gob.mx/unidades/cdi/nom/174ssa18.html</w:t>
        </w:r>
      </w:hyperlink>
    </w:p>
    <w:p>
      <w:pPr>
        <w:pStyle w:val="BodyText"/>
      </w:pPr>
    </w:p>
    <w:p>
      <w:pPr>
        <w:pStyle w:val="BodyText"/>
        <w:spacing w:line="360" w:lineRule="auto" w:before="144"/>
        <w:ind w:left="889" w:right="116" w:hanging="774"/>
        <w:jc w:val="both"/>
      </w:pPr>
      <w:r>
        <w:rPr/>
        <w:t>Secretaría de la Salud. NORMA Oficial Mexicana NOM-008-SSA3-2010, Para el tratamiento integral del sobrepeso y la obesidad. Recuperado de http://www.dof.gob.mx/nota_detalle.php?codigo=5154226&amp;fecha=04/08/2010</w:t>
      </w:r>
    </w:p>
    <w:p>
      <w:pPr>
        <w:pStyle w:val="BodyText"/>
      </w:pPr>
    </w:p>
    <w:p>
      <w:pPr>
        <w:pStyle w:val="BodyText"/>
        <w:spacing w:line="360" w:lineRule="auto" w:before="144"/>
        <w:ind w:left="889" w:right="118" w:hanging="774"/>
        <w:jc w:val="both"/>
      </w:pPr>
      <w:r>
        <w:rPr/>
        <w:t>Secretaría de Salud. (2010). Epidemiología. ISNN: 1405-2636 Recuperado de </w:t>
      </w:r>
      <w:hyperlink r:id="rId51">
        <w:r>
          <w:rPr/>
          <w:t>http://www.epidemiologia.salud.gob.mx/doctos/boletin/2010/sem43.pdf</w:t>
        </w:r>
      </w:hyperlink>
    </w:p>
    <w:p>
      <w:pPr>
        <w:pStyle w:val="BodyText"/>
      </w:pPr>
    </w:p>
    <w:p>
      <w:pPr>
        <w:pStyle w:val="BodyText"/>
        <w:spacing w:line="360" w:lineRule="auto" w:before="145"/>
        <w:ind w:left="889" w:right="122" w:hanging="774"/>
        <w:jc w:val="both"/>
      </w:pPr>
      <w:r>
        <w:rPr/>
        <w:t>Secretaría de Salud. (2013). Estrategia nacional para la prevención y el control del sobrepeso, la obesidad y la diabetes. Recuperado de </w:t>
      </w:r>
      <w:hyperlink r:id="rId52">
        <w:r>
          <w:rPr/>
          <w:t>http://promocion.salud.gob.mx/dgps/descargas1/estrategia/Estrategia_con_porta</w:t>
        </w:r>
      </w:hyperlink>
      <w:r>
        <w:rPr/>
        <w:t> da.pdf</w:t>
      </w:r>
    </w:p>
    <w:p>
      <w:pPr>
        <w:pStyle w:val="BodyText"/>
      </w:pPr>
    </w:p>
    <w:p>
      <w:pPr>
        <w:pStyle w:val="BodyText"/>
        <w:tabs>
          <w:tab w:pos="2411" w:val="left" w:leader="none"/>
          <w:tab w:pos="3481" w:val="left" w:leader="none"/>
          <w:tab w:pos="4594" w:val="left" w:leader="none"/>
          <w:tab w:pos="5131" w:val="left" w:leader="none"/>
          <w:tab w:pos="7074" w:val="left" w:leader="none"/>
          <w:tab w:pos="7678" w:val="left" w:leader="none"/>
          <w:tab w:pos="9256" w:val="left" w:leader="none"/>
        </w:tabs>
        <w:spacing w:line="360" w:lineRule="auto" w:before="144"/>
        <w:ind w:left="889" w:right="114" w:hanging="774"/>
      </w:pPr>
      <w:r>
        <w:rPr/>
        <w:t>Seuc, A. H., Domínguez, E., y Díaz, D.O. (2003). Esperanza de vida ajustada por diabetes.</w:t>
        <w:tab/>
      </w:r>
      <w:r>
        <w:rPr>
          <w:i/>
        </w:rPr>
        <w:t>Revista</w:t>
        <w:tab/>
        <w:t>Cubana</w:t>
        <w:tab/>
        <w:t>de</w:t>
        <w:tab/>
        <w:t>Endocrinología</w:t>
      </w:r>
      <w:r>
        <w:rPr/>
        <w:t>,</w:t>
        <w:tab/>
        <w:t>14.</w:t>
        <w:tab/>
        <w:t>Recuperado</w:t>
        <w:tab/>
        <w:t>de </w:t>
      </w:r>
      <w:hyperlink r:id="rId53">
        <w:r>
          <w:rPr/>
          <w:t>http://scielo.sld.cu/scielo.php?script=sci_arttext&amp;pid=S1561-</w:t>
        </w:r>
      </w:hyperlink>
      <w:r>
        <w:rPr/>
        <w:t> 29532003000300005</w:t>
      </w:r>
    </w:p>
    <w:p>
      <w:pPr>
        <w:spacing w:after="0" w:line="360" w:lineRule="auto"/>
        <w:sectPr>
          <w:pgSz w:w="12240" w:h="15840"/>
          <w:pgMar w:header="729" w:footer="0" w:top="960" w:bottom="280" w:left="1300" w:right="1300"/>
        </w:sectPr>
      </w:pPr>
    </w:p>
    <w:p>
      <w:pPr>
        <w:pStyle w:val="BodyText"/>
        <w:rPr>
          <w:sz w:val="20"/>
        </w:rPr>
      </w:pPr>
    </w:p>
    <w:p>
      <w:pPr>
        <w:pStyle w:val="BodyText"/>
        <w:spacing w:line="362" w:lineRule="auto" w:before="213"/>
        <w:ind w:left="889" w:right="111" w:hanging="774"/>
        <w:jc w:val="both"/>
      </w:pPr>
      <w:r>
        <w:rPr/>
        <w:t>Schwartzmann, L. (2003). Calidad de vida relacionada con la salud: aspectos conceptuales. </w:t>
      </w:r>
      <w:r>
        <w:rPr>
          <w:i/>
        </w:rPr>
        <w:t>Ciencia Enfermería</w:t>
      </w:r>
      <w:r>
        <w:rPr/>
        <w:t>, 2, 9-21. Doi: 10.4067/S0717- 95532003000200002</w:t>
      </w:r>
    </w:p>
    <w:p>
      <w:pPr>
        <w:pStyle w:val="BodyText"/>
        <w:spacing w:before="10"/>
        <w:rPr>
          <w:sz w:val="35"/>
        </w:rPr>
      </w:pPr>
    </w:p>
    <w:p>
      <w:pPr>
        <w:pStyle w:val="BodyText"/>
        <w:spacing w:line="362" w:lineRule="auto"/>
        <w:ind w:left="889" w:right="111" w:hanging="774"/>
        <w:jc w:val="both"/>
      </w:pPr>
      <w:r>
        <w:rPr/>
        <w:t>Sigal, R.J., Kenny, G.P., Wasserman, D.H., y Castaneda, S. C. (2004). Physical Activity/Exercise and Type 2 Diabetes. </w:t>
      </w:r>
      <w:r>
        <w:rPr>
          <w:i/>
        </w:rPr>
        <w:t>Diabetes Care</w:t>
      </w:r>
      <w:r>
        <w:rPr/>
        <w:t>, 27, 2518-2539. Doi: 10.2337/diacare.27.10.2518</w:t>
      </w:r>
    </w:p>
    <w:p>
      <w:pPr>
        <w:pStyle w:val="BodyText"/>
        <w:spacing w:before="10"/>
        <w:rPr>
          <w:sz w:val="35"/>
        </w:rPr>
      </w:pPr>
    </w:p>
    <w:p>
      <w:pPr>
        <w:pStyle w:val="BodyText"/>
        <w:ind w:left="116" w:right="212"/>
      </w:pPr>
      <w:r>
        <w:rPr/>
        <w:t>Sindel, J. C. (2000). Obesity, insulin resistance and diabetes – a worldwide epidemic.</w:t>
      </w:r>
    </w:p>
    <w:p>
      <w:pPr>
        <w:spacing w:before="141"/>
        <w:ind w:left="889" w:right="212" w:firstLine="0"/>
        <w:jc w:val="left"/>
        <w:rPr>
          <w:sz w:val="24"/>
        </w:rPr>
      </w:pPr>
      <w:r>
        <w:rPr>
          <w:i/>
          <w:sz w:val="24"/>
        </w:rPr>
        <w:t>British Journal of Nutrition</w:t>
      </w:r>
      <w:r>
        <w:rPr>
          <w:sz w:val="24"/>
        </w:rPr>
        <w:t>, 83, 5-8. Doi: 10.1017/S000711450000088X</w:t>
      </w:r>
    </w:p>
    <w:p>
      <w:pPr>
        <w:pStyle w:val="BodyText"/>
      </w:pPr>
    </w:p>
    <w:p>
      <w:pPr>
        <w:pStyle w:val="BodyText"/>
        <w:spacing w:before="9"/>
        <w:rPr>
          <w:sz w:val="23"/>
        </w:rPr>
      </w:pPr>
    </w:p>
    <w:p>
      <w:pPr>
        <w:pStyle w:val="BodyText"/>
        <w:spacing w:line="360" w:lineRule="auto"/>
        <w:ind w:left="889" w:right="119" w:hanging="774"/>
        <w:jc w:val="both"/>
      </w:pPr>
      <w:r>
        <w:rPr/>
        <w:t>Tejada, L. M., Grimaldo, B. E., y Maldonado, O. (2006). Percepciones de enfermos diabéticos y familiares acerca del apoyo familiar y el padecimiento. México. </w:t>
      </w:r>
      <w:r>
        <w:rPr>
          <w:i/>
        </w:rPr>
        <w:t>Revista Salud Púbica y Nutrición</w:t>
      </w:r>
      <w:r>
        <w:rPr/>
        <w:t>, 7. Recuperado de </w:t>
      </w:r>
      <w:hyperlink r:id="rId54">
        <w:r>
          <w:rPr/>
          <w:t>http://www.respyn.uanl.mx/vii/1/index.html</w:t>
        </w:r>
      </w:hyperlink>
    </w:p>
    <w:p>
      <w:pPr>
        <w:pStyle w:val="BodyText"/>
      </w:pPr>
    </w:p>
    <w:p>
      <w:pPr>
        <w:pStyle w:val="BodyText"/>
        <w:spacing w:line="360" w:lineRule="auto" w:before="139"/>
        <w:ind w:left="889" w:right="114" w:hanging="774"/>
        <w:jc w:val="both"/>
      </w:pPr>
      <w:r>
        <w:rPr/>
        <w:t>Torres, L. T., Sandoval, D. M., y Pando, M. M. (2005). “Sangre y azúcar”: Representaciones sobre la diabetes en los enfermos crónicos del barrio de Guadalajara, México. </w:t>
      </w:r>
      <w:r>
        <w:rPr>
          <w:i/>
        </w:rPr>
        <w:t>Cad. Saúde Pública</w:t>
      </w:r>
      <w:r>
        <w:rPr/>
        <w:t>, 21, 101-110. Doi: 10.1590/S0102- 311X2005000100012</w:t>
      </w:r>
    </w:p>
    <w:p>
      <w:pPr>
        <w:pStyle w:val="BodyText"/>
      </w:pPr>
    </w:p>
    <w:p>
      <w:pPr>
        <w:pStyle w:val="BodyText"/>
        <w:spacing w:line="360" w:lineRule="auto" w:before="145"/>
        <w:ind w:left="889" w:right="114" w:hanging="774"/>
        <w:jc w:val="both"/>
      </w:pPr>
      <w:r>
        <w:rPr/>
        <w:t>Tuero, C., y Márquez, S. (2013). Estilos de vida y actividad física. En Márquez, S., y Garatachea, N. (Eds.), Actividad física y salud (pp. 35-50) Recuperado de https://books.google.com.mx/books?isbn=8499695167</w:t>
      </w:r>
    </w:p>
    <w:p>
      <w:pPr>
        <w:pStyle w:val="BodyText"/>
      </w:pPr>
    </w:p>
    <w:p>
      <w:pPr>
        <w:pStyle w:val="BodyText"/>
        <w:spacing w:line="360" w:lineRule="auto" w:before="140"/>
        <w:ind w:left="889" w:right="118" w:hanging="774"/>
        <w:jc w:val="both"/>
      </w:pPr>
      <w:r>
        <w:rPr/>
        <w:t>Veenhoven, R. (1998). Calidad de vida y felicidad: no es exactamente lo mismo. En Girolamo d G., y col. (Eds), Qualita' della vita e felicita. (pp. 67-95). Recuperado de </w:t>
      </w:r>
      <w:hyperlink r:id="rId55">
        <w:r>
          <w:rPr/>
          <w:t>http://www2.eur.nl/fsw/research/veenhoven/Pub2000s/2001e-fulls.pdf</w:t>
        </w:r>
      </w:hyperlink>
    </w:p>
    <w:p>
      <w:pPr>
        <w:pStyle w:val="BodyText"/>
      </w:pPr>
    </w:p>
    <w:p>
      <w:pPr>
        <w:pStyle w:val="BodyText"/>
        <w:spacing w:line="362" w:lineRule="auto" w:before="140"/>
        <w:ind w:left="889" w:right="113" w:hanging="774"/>
        <w:jc w:val="both"/>
      </w:pPr>
      <w:r>
        <w:rPr/>
        <w:t>Villalpando, S., Cruz, V. d l., Rojas, R., Shamah-Levy, T., Ávila, M A., Gaona, B., Rebollar,  R.,  y  Hernández,  L.  (2010).  Prevalence  and  distribution  of  type  2</w:t>
      </w:r>
    </w:p>
    <w:p>
      <w:pPr>
        <w:spacing w:after="0" w:line="362" w:lineRule="auto"/>
        <w:jc w:val="both"/>
        <w:sectPr>
          <w:pgSz w:w="12240" w:h="15840"/>
          <w:pgMar w:header="729" w:footer="0" w:top="960" w:bottom="280" w:left="1300" w:right="1300"/>
        </w:sectPr>
      </w:pPr>
    </w:p>
    <w:p>
      <w:pPr>
        <w:pStyle w:val="BodyText"/>
        <w:rPr>
          <w:sz w:val="20"/>
        </w:rPr>
      </w:pPr>
    </w:p>
    <w:p>
      <w:pPr>
        <w:pStyle w:val="BodyText"/>
        <w:spacing w:line="362" w:lineRule="auto" w:before="213"/>
        <w:ind w:left="889" w:right="212"/>
      </w:pPr>
      <w:r>
        <w:rPr/>
        <w:t>diabetes mellitus in Mexican adult population. A probabilistic survey. </w:t>
      </w:r>
      <w:r>
        <w:rPr>
          <w:i/>
        </w:rPr>
        <w:t>Salud </w:t>
      </w:r>
      <w:r>
        <w:rPr>
          <w:i/>
        </w:rPr>
        <w:t>Pública de México</w:t>
      </w:r>
      <w:r>
        <w:rPr/>
        <w:t>, 52, 19-26. Doi: 10617418005</w:t>
      </w:r>
    </w:p>
    <w:p>
      <w:pPr>
        <w:pStyle w:val="BodyText"/>
        <w:spacing w:before="11"/>
        <w:rPr>
          <w:sz w:val="35"/>
        </w:rPr>
      </w:pPr>
    </w:p>
    <w:p>
      <w:pPr>
        <w:pStyle w:val="BodyText"/>
        <w:spacing w:line="360" w:lineRule="auto"/>
        <w:ind w:left="827" w:right="111" w:hanging="711"/>
        <w:jc w:val="both"/>
      </w:pPr>
      <w:r>
        <w:rPr/>
        <w:t>Wang, Z. M., Heshka, S., Pierson, R.N., y Heymsfield, S. B. (1995). Systematic organization of body-composition methodology: an overview with emphasis on component-based methods. The American Journal of Clinical Nutrition. 61,  </w:t>
      </w:r>
      <w:r>
        <w:rPr>
          <w:spacing w:val="60"/>
        </w:rPr>
        <w:t> </w:t>
      </w:r>
      <w:r>
        <w:rPr>
          <w:spacing w:val="2"/>
        </w:rPr>
        <w:t>457-</w:t>
      </w:r>
    </w:p>
    <w:p>
      <w:pPr>
        <w:pStyle w:val="BodyText"/>
        <w:spacing w:before="3"/>
        <w:ind w:left="827" w:right="212"/>
      </w:pPr>
      <w:r>
        <w:rPr/>
        <w:t>465. Recuperado de </w:t>
      </w:r>
      <w:hyperlink r:id="rId56">
        <w:r>
          <w:rPr/>
          <w:t>http://ajcn.nutrition.org/content/61/3/457</w:t>
        </w:r>
      </w:hyperlink>
    </w:p>
    <w:p>
      <w:pPr>
        <w:pStyle w:val="BodyText"/>
      </w:pPr>
    </w:p>
    <w:p>
      <w:pPr>
        <w:pStyle w:val="BodyText"/>
        <w:spacing w:before="9"/>
        <w:rPr>
          <w:sz w:val="23"/>
        </w:rPr>
      </w:pPr>
    </w:p>
    <w:p>
      <w:pPr>
        <w:pStyle w:val="BodyText"/>
        <w:tabs>
          <w:tab w:pos="3111" w:val="left" w:leader="none"/>
          <w:tab w:pos="4628" w:val="left" w:leader="none"/>
          <w:tab w:pos="6761" w:val="left" w:leader="none"/>
          <w:tab w:pos="9255" w:val="left" w:leader="none"/>
        </w:tabs>
        <w:spacing w:line="362" w:lineRule="auto"/>
        <w:ind w:left="827" w:right="114" w:hanging="711"/>
        <w:jc w:val="both"/>
      </w:pPr>
      <w:r>
        <w:rPr/>
        <w:t>Ware, J.E. (1976). Scales for measuring general health perceptions. Health Services Research,</w:t>
        <w:tab/>
        <w:t>11,</w:t>
        <w:tab/>
        <w:t>396-415.</w:t>
        <w:tab/>
        <w:t>Recuperado</w:t>
        <w:tab/>
        <w:t>de </w:t>
      </w:r>
      <w:hyperlink r:id="rId57">
        <w:r>
          <w:rPr/>
          <w:t>http://www.ncbi.nlm.nih.gov/pmc/articles/PMC1071941/</w:t>
        </w:r>
      </w:hyperlink>
    </w:p>
    <w:p>
      <w:pPr>
        <w:pStyle w:val="BodyText"/>
        <w:spacing w:before="10"/>
        <w:rPr>
          <w:sz w:val="35"/>
        </w:rPr>
      </w:pPr>
    </w:p>
    <w:p>
      <w:pPr>
        <w:pStyle w:val="BodyText"/>
        <w:spacing w:line="362" w:lineRule="auto"/>
        <w:ind w:left="827" w:right="111" w:hanging="711"/>
        <w:jc w:val="both"/>
      </w:pPr>
      <w:r>
        <w:rPr/>
        <w:t>Wilkin, T. J. (2001). The accelerator hypothesis: Weight gain as the missing link  between type I and type II diabetes. </w:t>
      </w:r>
      <w:r>
        <w:rPr>
          <w:i/>
        </w:rPr>
        <w:t>Diabetologia</w:t>
      </w:r>
      <w:r>
        <w:rPr/>
        <w:t>, 44, 914-922. Doi: 10.1007/s001250100548</w:t>
      </w:r>
    </w:p>
    <w:p>
      <w:pPr>
        <w:spacing w:after="0" w:line="362" w:lineRule="auto"/>
        <w:jc w:val="both"/>
        <w:sectPr>
          <w:pgSz w:w="12240" w:h="15840"/>
          <w:pgMar w:header="729" w:footer="0" w:top="960" w:bottom="280" w:left="1300" w:right="1300"/>
        </w:sectPr>
      </w:pPr>
    </w:p>
    <w:p>
      <w:pPr>
        <w:pStyle w:val="BodyText"/>
        <w:rPr>
          <w:sz w:val="20"/>
        </w:rPr>
      </w:pPr>
    </w:p>
    <w:p>
      <w:pPr>
        <w:pStyle w:val="Heading1"/>
        <w:spacing w:before="208"/>
        <w:ind w:left="390" w:right="395"/>
        <w:jc w:val="center"/>
      </w:pPr>
      <w:r>
        <w:rPr/>
        <w:t>APÉNDICE</w:t>
      </w:r>
    </w:p>
    <w:p>
      <w:pPr>
        <w:pStyle w:val="BodyText"/>
        <w:rPr>
          <w:b/>
        </w:rPr>
      </w:pPr>
    </w:p>
    <w:p>
      <w:pPr>
        <w:pStyle w:val="BodyText"/>
        <w:spacing w:before="7"/>
        <w:rPr>
          <w:b/>
        </w:rPr>
      </w:pPr>
    </w:p>
    <w:p>
      <w:pPr>
        <w:pStyle w:val="BodyText"/>
        <w:spacing w:before="1"/>
        <w:ind w:left="116" w:right="212"/>
      </w:pPr>
      <w:r>
        <w:rPr/>
        <w:t>Se anexan los cuestionarios que se aplicaron para realizar la investigación:</w:t>
      </w:r>
    </w:p>
    <w:p>
      <w:pPr>
        <w:spacing w:before="136"/>
        <w:ind w:left="116" w:right="212" w:firstLine="0"/>
        <w:jc w:val="left"/>
        <w:rPr>
          <w:sz w:val="22"/>
        </w:rPr>
      </w:pPr>
      <w:r>
        <w:rPr>
          <w:sz w:val="22"/>
        </w:rPr>
        <w:t>Anexo 1</w:t>
      </w:r>
    </w:p>
    <w:p>
      <w:pPr>
        <w:pStyle w:val="BodyText"/>
        <w:spacing w:before="1"/>
        <w:rPr>
          <w:sz w:val="20"/>
        </w:rPr>
      </w:pPr>
    </w:p>
    <w:p>
      <w:pPr>
        <w:spacing w:line="278" w:lineRule="auto" w:before="1"/>
        <w:ind w:left="390" w:right="398" w:firstLine="0"/>
        <w:jc w:val="center"/>
        <w:rPr>
          <w:b/>
          <w:sz w:val="22"/>
        </w:rPr>
      </w:pPr>
      <w:r>
        <w:rPr>
          <w:b/>
          <w:sz w:val="22"/>
        </w:rPr>
        <w:t>Cuestionario para la valoración y cuantificación de hábitos de vida relacionados con sobrepeso y obesidad</w:t>
      </w:r>
    </w:p>
    <w:p>
      <w:pPr>
        <w:spacing w:before="197"/>
        <w:ind w:left="390" w:right="394" w:firstLine="0"/>
        <w:jc w:val="center"/>
        <w:rPr>
          <w:b/>
          <w:sz w:val="22"/>
        </w:rPr>
      </w:pPr>
      <w:r>
        <w:rPr>
          <w:b/>
          <w:sz w:val="22"/>
        </w:rPr>
        <w:t>Álvarez  y  Guadarrama (inédito)</w:t>
      </w:r>
    </w:p>
    <w:p>
      <w:pPr>
        <w:pStyle w:val="BodyText"/>
        <w:rPr>
          <w:b/>
          <w:sz w:val="20"/>
        </w:rPr>
      </w:pPr>
    </w:p>
    <w:p>
      <w:pPr>
        <w:pStyle w:val="BodyText"/>
        <w:rPr>
          <w:b/>
          <w:sz w:val="20"/>
        </w:rPr>
      </w:pPr>
    </w:p>
    <w:p>
      <w:pPr>
        <w:pStyle w:val="BodyText"/>
        <w:spacing w:before="7"/>
        <w:rPr>
          <w:b/>
          <w:sz w:val="17"/>
        </w:rPr>
      </w:pPr>
    </w:p>
    <w:p>
      <w:pPr>
        <w:spacing w:after="0"/>
        <w:rPr>
          <w:sz w:val="17"/>
        </w:rPr>
        <w:sectPr>
          <w:pgSz w:w="12240" w:h="15840"/>
          <w:pgMar w:header="729" w:footer="0" w:top="960" w:bottom="280" w:left="1300" w:right="1300"/>
        </w:sectPr>
      </w:pPr>
    </w:p>
    <w:p>
      <w:pPr>
        <w:tabs>
          <w:tab w:pos="2780" w:val="left" w:leader="none"/>
        </w:tabs>
        <w:spacing w:before="73"/>
        <w:ind w:left="1355" w:right="0" w:firstLine="0"/>
        <w:jc w:val="left"/>
        <w:rPr>
          <w:sz w:val="22"/>
        </w:rPr>
      </w:pPr>
      <w:r>
        <w:rPr>
          <w:sz w:val="22"/>
        </w:rPr>
        <w:t>Edad:</w:t>
      </w:r>
      <w:r>
        <w:rPr>
          <w:spacing w:val="-3"/>
          <w:sz w:val="22"/>
        </w:rPr>
        <w:t> </w:t>
      </w:r>
      <w:r>
        <w:rPr>
          <w:w w:val="100"/>
          <w:sz w:val="22"/>
          <w:u w:val="single"/>
        </w:rPr>
        <w:t> </w:t>
      </w:r>
      <w:r>
        <w:rPr>
          <w:sz w:val="22"/>
          <w:u w:val="single"/>
        </w:rPr>
        <w:tab/>
      </w:r>
    </w:p>
    <w:p>
      <w:pPr>
        <w:tabs>
          <w:tab w:pos="1823" w:val="left" w:leader="none"/>
          <w:tab w:pos="3674" w:val="left" w:leader="none"/>
        </w:tabs>
        <w:spacing w:before="73"/>
        <w:ind w:left="212" w:right="0" w:firstLine="0"/>
        <w:jc w:val="left"/>
        <w:rPr>
          <w:sz w:val="22"/>
        </w:rPr>
      </w:pPr>
      <w:r>
        <w:rPr/>
        <w:br w:type="column"/>
      </w:r>
      <w:r>
        <w:rPr>
          <w:sz w:val="22"/>
        </w:rPr>
        <w:t>Sexo: F</w:t>
      </w:r>
      <w:r>
        <w:rPr>
          <w:spacing w:val="-3"/>
          <w:sz w:val="22"/>
        </w:rPr>
        <w:t> </w:t>
      </w:r>
      <w:r>
        <w:rPr>
          <w:sz w:val="22"/>
        </w:rPr>
        <w:t>/</w:t>
      </w:r>
      <w:r>
        <w:rPr>
          <w:spacing w:val="1"/>
          <w:sz w:val="22"/>
        </w:rPr>
        <w:t> </w:t>
      </w:r>
      <w:r>
        <w:rPr>
          <w:sz w:val="22"/>
        </w:rPr>
        <w:t>M</w:t>
        <w:tab/>
        <w:t>Estatura:</w:t>
      </w:r>
      <w:r>
        <w:rPr>
          <w:spacing w:val="-3"/>
          <w:sz w:val="22"/>
        </w:rPr>
        <w:t> </w:t>
      </w:r>
      <w:r>
        <w:rPr>
          <w:w w:val="100"/>
          <w:sz w:val="22"/>
          <w:u w:val="single"/>
        </w:rPr>
        <w:t> </w:t>
      </w:r>
      <w:r>
        <w:rPr>
          <w:sz w:val="22"/>
          <w:u w:val="single"/>
        </w:rPr>
        <w:tab/>
      </w:r>
    </w:p>
    <w:p>
      <w:pPr>
        <w:tabs>
          <w:tab w:pos="1498" w:val="left" w:leader="none"/>
        </w:tabs>
        <w:spacing w:before="73"/>
        <w:ind w:left="207" w:right="0" w:firstLine="0"/>
        <w:jc w:val="left"/>
        <w:rPr>
          <w:sz w:val="22"/>
        </w:rPr>
      </w:pPr>
      <w:r>
        <w:rPr/>
        <w:br w:type="column"/>
      </w:r>
      <w:r>
        <w:rPr>
          <w:sz w:val="22"/>
        </w:rPr>
        <w:t>Peso:</w:t>
      </w:r>
      <w:r>
        <w:rPr>
          <w:sz w:val="22"/>
          <w:u w:val="single"/>
        </w:rPr>
        <w:t> </w:t>
        <w:tab/>
      </w:r>
      <w:r>
        <w:rPr>
          <w:spacing w:val="-3"/>
          <w:sz w:val="22"/>
        </w:rPr>
        <w:t>kg</w:t>
      </w:r>
    </w:p>
    <w:p>
      <w:pPr>
        <w:spacing w:after="0"/>
        <w:jc w:val="left"/>
        <w:rPr>
          <w:sz w:val="22"/>
        </w:rPr>
        <w:sectPr>
          <w:type w:val="continuous"/>
          <w:pgSz w:w="12240" w:h="15840"/>
          <w:pgMar w:top="1420" w:bottom="280" w:left="1300" w:right="1300"/>
          <w:cols w:num="3" w:equalWidth="0">
            <w:col w:w="2781" w:space="40"/>
            <w:col w:w="3675" w:space="40"/>
            <w:col w:w="3104"/>
          </w:cols>
        </w:sectPr>
      </w:pPr>
    </w:p>
    <w:p>
      <w:pPr>
        <w:pStyle w:val="BodyText"/>
        <w:spacing w:before="3"/>
        <w:rPr>
          <w:sz w:val="14"/>
        </w:rPr>
      </w:pPr>
    </w:p>
    <w:p>
      <w:pPr>
        <w:tabs>
          <w:tab w:pos="2381" w:val="left" w:leader="none"/>
        </w:tabs>
        <w:spacing w:before="73"/>
        <w:ind w:left="822" w:right="212" w:firstLine="0"/>
        <w:jc w:val="left"/>
        <w:rPr>
          <w:sz w:val="22"/>
        </w:rPr>
      </w:pPr>
      <w:r>
        <w:rPr>
          <w:spacing w:val="-3"/>
          <w:sz w:val="22"/>
        </w:rPr>
        <w:t>IMC:</w:t>
      </w:r>
      <w:r>
        <w:rPr>
          <w:spacing w:val="2"/>
          <w:sz w:val="22"/>
        </w:rPr>
        <w:t> </w:t>
      </w:r>
      <w:r>
        <w:rPr>
          <w:w w:val="100"/>
          <w:sz w:val="22"/>
          <w:u w:val="single"/>
        </w:rPr>
        <w:t> </w:t>
      </w:r>
      <w:r>
        <w:rPr>
          <w:sz w:val="22"/>
          <w:u w:val="single"/>
        </w:rPr>
        <w:tab/>
      </w:r>
    </w:p>
    <w:p>
      <w:pPr>
        <w:pStyle w:val="BodyText"/>
        <w:rPr>
          <w:sz w:val="20"/>
        </w:rPr>
      </w:pPr>
    </w:p>
    <w:p>
      <w:pPr>
        <w:pStyle w:val="BodyText"/>
        <w:rPr>
          <w:sz w:val="20"/>
        </w:rPr>
      </w:pPr>
    </w:p>
    <w:p>
      <w:pPr>
        <w:pStyle w:val="BodyText"/>
        <w:spacing w:before="5"/>
        <w:rPr>
          <w:sz w:val="18"/>
        </w:rPr>
      </w:pPr>
    </w:p>
    <w:p>
      <w:pPr>
        <w:spacing w:line="278" w:lineRule="auto" w:before="73"/>
        <w:ind w:left="1878" w:right="212" w:hanging="1581"/>
        <w:jc w:val="left"/>
        <w:rPr>
          <w:sz w:val="22"/>
        </w:rPr>
      </w:pPr>
      <w:r>
        <w:rPr>
          <w:sz w:val="22"/>
        </w:rPr>
        <w:t>Instrucciones: Marca la casilla que más se asemeje a su respuesta. Los datos obtenidos son confidenciales y su uso será solo con fines de Investigación.</w:t>
      </w:r>
    </w:p>
    <w:p>
      <w:pPr>
        <w:pStyle w:val="BodyText"/>
        <w:rPr>
          <w:sz w:val="20"/>
        </w:rPr>
      </w:pPr>
    </w:p>
    <w:p>
      <w:pPr>
        <w:pStyle w:val="BodyText"/>
        <w:rPr>
          <w:sz w:val="20"/>
        </w:rPr>
      </w:pPr>
    </w:p>
    <w:p>
      <w:pPr>
        <w:pStyle w:val="BodyText"/>
        <w:spacing w:before="9" w:after="1"/>
        <w:rPr>
          <w:sz w:val="21"/>
        </w:rPr>
      </w:pPr>
    </w:p>
    <w:tbl>
      <w:tblPr>
        <w:tblW w:w="0" w:type="auto"/>
        <w:jc w:val="left"/>
        <w:tblInd w:w="7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994"/>
        <w:gridCol w:w="994"/>
        <w:gridCol w:w="1133"/>
        <w:gridCol w:w="1133"/>
        <w:gridCol w:w="994"/>
      </w:tblGrid>
      <w:tr>
        <w:trPr>
          <w:trHeight w:val="773" w:hRule="exact"/>
        </w:trPr>
        <w:tc>
          <w:tcPr>
            <w:tcW w:w="2977" w:type="dxa"/>
            <w:tcBorders>
              <w:bottom w:val="single" w:sz="4" w:space="0" w:color="000000"/>
            </w:tcBorders>
          </w:tcPr>
          <w:p>
            <w:pPr/>
          </w:p>
        </w:tc>
        <w:tc>
          <w:tcPr>
            <w:tcW w:w="994" w:type="dxa"/>
            <w:tcBorders>
              <w:bottom w:val="single" w:sz="4" w:space="0" w:color="000000"/>
            </w:tcBorders>
          </w:tcPr>
          <w:p>
            <w:pPr>
              <w:pStyle w:val="TableParagraph"/>
              <w:ind w:left="105"/>
              <w:rPr>
                <w:rFonts w:ascii="Calibri"/>
                <w:b/>
                <w:sz w:val="22"/>
              </w:rPr>
            </w:pPr>
            <w:r>
              <w:rPr>
                <w:rFonts w:ascii="Calibri"/>
                <w:b/>
                <w:sz w:val="22"/>
              </w:rPr>
              <w:t>Nunca</w:t>
            </w:r>
          </w:p>
        </w:tc>
        <w:tc>
          <w:tcPr>
            <w:tcW w:w="994" w:type="dxa"/>
            <w:tcBorders>
              <w:bottom w:val="single" w:sz="4" w:space="0" w:color="000000"/>
            </w:tcBorders>
          </w:tcPr>
          <w:p>
            <w:pPr>
              <w:pStyle w:val="TableParagraph"/>
              <w:spacing w:line="240" w:lineRule="auto"/>
              <w:ind w:left="105" w:right="304"/>
              <w:rPr>
                <w:rFonts w:ascii="Calibri"/>
                <w:b/>
                <w:sz w:val="22"/>
              </w:rPr>
            </w:pPr>
            <w:r>
              <w:rPr>
                <w:rFonts w:ascii="Calibri"/>
                <w:b/>
                <w:sz w:val="22"/>
              </w:rPr>
              <w:t>Casi nunca</w:t>
            </w:r>
          </w:p>
        </w:tc>
        <w:tc>
          <w:tcPr>
            <w:tcW w:w="1133" w:type="dxa"/>
            <w:tcBorders>
              <w:bottom w:val="single" w:sz="4" w:space="0" w:color="000000"/>
            </w:tcBorders>
          </w:tcPr>
          <w:p>
            <w:pPr>
              <w:pStyle w:val="TableParagraph"/>
              <w:spacing w:line="240" w:lineRule="auto"/>
              <w:ind w:left="105" w:right="274"/>
              <w:rPr>
                <w:rFonts w:ascii="Calibri"/>
                <w:b/>
                <w:sz w:val="22"/>
              </w:rPr>
            </w:pPr>
            <w:r>
              <w:rPr>
                <w:rFonts w:ascii="Calibri"/>
                <w:b/>
                <w:sz w:val="22"/>
              </w:rPr>
              <w:t>Algunas veces</w:t>
            </w:r>
          </w:p>
        </w:tc>
        <w:tc>
          <w:tcPr>
            <w:tcW w:w="1133" w:type="dxa"/>
            <w:tcBorders>
              <w:bottom w:val="single" w:sz="4" w:space="0" w:color="000000"/>
            </w:tcBorders>
          </w:tcPr>
          <w:p>
            <w:pPr>
              <w:pStyle w:val="TableParagraph"/>
              <w:spacing w:line="240" w:lineRule="auto"/>
              <w:ind w:left="105"/>
              <w:rPr>
                <w:rFonts w:ascii="Calibri"/>
                <w:b/>
                <w:sz w:val="22"/>
              </w:rPr>
            </w:pPr>
            <w:r>
              <w:rPr>
                <w:rFonts w:ascii="Calibri"/>
                <w:b/>
                <w:sz w:val="22"/>
              </w:rPr>
              <w:t>Casi siempre</w:t>
            </w:r>
          </w:p>
        </w:tc>
        <w:tc>
          <w:tcPr>
            <w:tcW w:w="994" w:type="dxa"/>
            <w:tcBorders>
              <w:bottom w:val="single" w:sz="4" w:space="0" w:color="000000"/>
            </w:tcBorders>
          </w:tcPr>
          <w:p>
            <w:pPr>
              <w:pStyle w:val="TableParagraph"/>
              <w:ind w:left="105"/>
              <w:rPr>
                <w:rFonts w:ascii="Calibri"/>
                <w:b/>
                <w:sz w:val="22"/>
              </w:rPr>
            </w:pPr>
            <w:r>
              <w:rPr>
                <w:rFonts w:ascii="Calibri"/>
                <w:b/>
                <w:sz w:val="22"/>
              </w:rPr>
              <w:t>Siempre</w:t>
            </w:r>
          </w:p>
        </w:tc>
      </w:tr>
      <w:tr>
        <w:trPr>
          <w:trHeight w:val="1080" w:hRule="exact"/>
        </w:trPr>
        <w:tc>
          <w:tcPr>
            <w:tcW w:w="2977" w:type="dxa"/>
            <w:tcBorders>
              <w:top w:val="single" w:sz="4" w:space="0" w:color="000000"/>
            </w:tcBorders>
          </w:tcPr>
          <w:p>
            <w:pPr>
              <w:pStyle w:val="TableParagraph"/>
              <w:spacing w:line="240" w:lineRule="auto"/>
              <w:ind w:left="105" w:right="145"/>
              <w:rPr>
                <w:rFonts w:ascii="Calibri" w:hAnsi="Calibri"/>
                <w:sz w:val="22"/>
              </w:rPr>
            </w:pPr>
            <w:r>
              <w:rPr>
                <w:rFonts w:ascii="Calibri" w:hAnsi="Calibri"/>
                <w:sz w:val="22"/>
              </w:rPr>
              <w:t>1. Al cocinar uso (o digo que usen) en la sartén la cantidad mínima de aceite.</w:t>
            </w:r>
          </w:p>
        </w:tc>
        <w:tc>
          <w:tcPr>
            <w:tcW w:w="994" w:type="dxa"/>
            <w:tcBorders>
              <w:top w:val="single" w:sz="4" w:space="0" w:color="000000"/>
            </w:tcBorders>
          </w:tcPr>
          <w:p>
            <w:pPr/>
          </w:p>
        </w:tc>
        <w:tc>
          <w:tcPr>
            <w:tcW w:w="994" w:type="dxa"/>
            <w:tcBorders>
              <w:top w:val="single" w:sz="4" w:space="0" w:color="000000"/>
            </w:tcBorders>
          </w:tcPr>
          <w:p>
            <w:pPr/>
          </w:p>
        </w:tc>
        <w:tc>
          <w:tcPr>
            <w:tcW w:w="1133" w:type="dxa"/>
            <w:tcBorders>
              <w:top w:val="single" w:sz="4" w:space="0" w:color="000000"/>
            </w:tcBorders>
          </w:tcPr>
          <w:p>
            <w:pPr/>
          </w:p>
        </w:tc>
        <w:tc>
          <w:tcPr>
            <w:tcW w:w="1133" w:type="dxa"/>
            <w:tcBorders>
              <w:top w:val="single" w:sz="4" w:space="0" w:color="000000"/>
            </w:tcBorders>
          </w:tcPr>
          <w:p>
            <w:pPr/>
          </w:p>
        </w:tc>
        <w:tc>
          <w:tcPr>
            <w:tcW w:w="994" w:type="dxa"/>
            <w:tcBorders>
              <w:top w:val="single" w:sz="4" w:space="0" w:color="000000"/>
            </w:tcBorders>
          </w:tcPr>
          <w:p>
            <w:pPr/>
          </w:p>
        </w:tc>
      </w:tr>
      <w:tr>
        <w:trPr>
          <w:trHeight w:val="975" w:hRule="exact"/>
        </w:trPr>
        <w:tc>
          <w:tcPr>
            <w:tcW w:w="2977" w:type="dxa"/>
          </w:tcPr>
          <w:p>
            <w:pPr>
              <w:pStyle w:val="TableParagraph"/>
              <w:spacing w:line="240" w:lineRule="auto"/>
              <w:ind w:left="105" w:right="145"/>
              <w:rPr>
                <w:rFonts w:ascii="Calibri" w:hAnsi="Calibri"/>
                <w:sz w:val="22"/>
              </w:rPr>
            </w:pPr>
            <w:r>
              <w:rPr>
                <w:rFonts w:ascii="Calibri" w:hAnsi="Calibri"/>
                <w:sz w:val="22"/>
              </w:rPr>
              <w:t>2. Soy consciente de las calorías que consumo a lo largo del día.</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1085" w:hRule="exact"/>
        </w:trPr>
        <w:tc>
          <w:tcPr>
            <w:tcW w:w="2977" w:type="dxa"/>
          </w:tcPr>
          <w:p>
            <w:pPr>
              <w:pStyle w:val="TableParagraph"/>
              <w:spacing w:line="240" w:lineRule="auto"/>
              <w:ind w:left="105" w:right="506"/>
              <w:jc w:val="both"/>
              <w:rPr>
                <w:rFonts w:ascii="Calibri" w:hAnsi="Calibri"/>
                <w:sz w:val="22"/>
              </w:rPr>
            </w:pPr>
            <w:r>
              <w:rPr>
                <w:rFonts w:ascii="Calibri" w:hAnsi="Calibri"/>
                <w:sz w:val="22"/>
              </w:rPr>
              <w:t>3. Si como entre comidas, ingiero alimentos bajos en calorías (fruta, un vaso de agua, etc.)</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696" w:hRule="exact"/>
        </w:trPr>
        <w:tc>
          <w:tcPr>
            <w:tcW w:w="2977" w:type="dxa"/>
          </w:tcPr>
          <w:p>
            <w:pPr>
              <w:pStyle w:val="TableParagraph"/>
              <w:spacing w:line="240" w:lineRule="auto"/>
              <w:ind w:left="105" w:right="145"/>
              <w:rPr>
                <w:rFonts w:ascii="Calibri" w:hAnsi="Calibri"/>
                <w:sz w:val="22"/>
              </w:rPr>
            </w:pPr>
            <w:r>
              <w:rPr>
                <w:rFonts w:ascii="Calibri" w:hAnsi="Calibri"/>
                <w:sz w:val="22"/>
              </w:rPr>
              <w:t>4. Como verdura todos los días.</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706" w:hRule="exact"/>
        </w:trPr>
        <w:tc>
          <w:tcPr>
            <w:tcW w:w="2977" w:type="dxa"/>
          </w:tcPr>
          <w:p>
            <w:pPr>
              <w:pStyle w:val="TableParagraph"/>
              <w:spacing w:line="240" w:lineRule="auto"/>
              <w:ind w:left="105" w:right="145"/>
              <w:rPr>
                <w:rFonts w:ascii="Calibri" w:hAnsi="Calibri"/>
                <w:sz w:val="22"/>
              </w:rPr>
            </w:pPr>
            <w:r>
              <w:rPr>
                <w:rFonts w:ascii="Calibri" w:hAnsi="Calibri"/>
                <w:sz w:val="22"/>
              </w:rPr>
              <w:t>5. Los lácteos que tomo son bajos en grasa.</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817" w:hRule="exact"/>
        </w:trPr>
        <w:tc>
          <w:tcPr>
            <w:tcW w:w="2977" w:type="dxa"/>
          </w:tcPr>
          <w:p>
            <w:pPr>
              <w:pStyle w:val="TableParagraph"/>
              <w:spacing w:line="240" w:lineRule="auto"/>
              <w:ind w:left="105" w:right="215"/>
              <w:jc w:val="both"/>
              <w:rPr>
                <w:rFonts w:ascii="Calibri"/>
                <w:sz w:val="22"/>
              </w:rPr>
            </w:pPr>
            <w:r>
              <w:rPr>
                <w:rFonts w:ascii="Calibri"/>
                <w:sz w:val="22"/>
              </w:rPr>
              <w:t>6. Como la carne y el pescado a la plancha o al horno en vez de frito.</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547" w:hRule="exact"/>
        </w:trPr>
        <w:tc>
          <w:tcPr>
            <w:tcW w:w="2977" w:type="dxa"/>
          </w:tcPr>
          <w:p>
            <w:pPr>
              <w:pStyle w:val="TableParagraph"/>
              <w:spacing w:line="240" w:lineRule="auto"/>
              <w:ind w:left="105" w:right="219"/>
              <w:rPr>
                <w:rFonts w:ascii="Calibri"/>
                <w:sz w:val="22"/>
              </w:rPr>
            </w:pPr>
            <w:r>
              <w:rPr>
                <w:rFonts w:ascii="Calibri"/>
                <w:sz w:val="22"/>
              </w:rPr>
              <w:t>7. Tomo alimentos frescos en vez de platos precocinados.</w:t>
            </w:r>
          </w:p>
        </w:tc>
        <w:tc>
          <w:tcPr>
            <w:tcW w:w="994" w:type="dxa"/>
          </w:tcPr>
          <w:p>
            <w:pPr/>
          </w:p>
        </w:tc>
        <w:tc>
          <w:tcPr>
            <w:tcW w:w="994" w:type="dxa"/>
          </w:tcPr>
          <w:p>
            <w:pPr/>
          </w:p>
        </w:tc>
        <w:tc>
          <w:tcPr>
            <w:tcW w:w="1133" w:type="dxa"/>
          </w:tcPr>
          <w:p>
            <w:pPr/>
          </w:p>
        </w:tc>
        <w:tc>
          <w:tcPr>
            <w:tcW w:w="1133" w:type="dxa"/>
          </w:tcPr>
          <w:p>
            <w:pPr/>
          </w:p>
        </w:tc>
        <w:tc>
          <w:tcPr>
            <w:tcW w:w="994" w:type="dxa"/>
          </w:tcPr>
          <w:p>
            <w:pPr/>
          </w:p>
        </w:tc>
      </w:tr>
    </w:tbl>
    <w:p>
      <w:pPr>
        <w:spacing w:after="0"/>
        <w:sectPr>
          <w:type w:val="continuous"/>
          <w:pgSz w:w="12240" w:h="15840"/>
          <w:pgMar w:top="1420" w:bottom="280" w:left="1300" w:right="1300"/>
        </w:sectPr>
      </w:pPr>
    </w:p>
    <w:p>
      <w:pPr>
        <w:pStyle w:val="BodyText"/>
        <w:rPr>
          <w:rFonts w:ascii="Times New Roman"/>
          <w:sz w:val="20"/>
        </w:rPr>
      </w:pPr>
    </w:p>
    <w:p>
      <w:pPr>
        <w:pStyle w:val="BodyText"/>
        <w:spacing w:before="10"/>
        <w:rPr>
          <w:rFonts w:ascii="Times New Roman"/>
          <w:sz w:val="18"/>
        </w:rPr>
      </w:pPr>
    </w:p>
    <w:tbl>
      <w:tblPr>
        <w:tblW w:w="0" w:type="auto"/>
        <w:jc w:val="left"/>
        <w:tblInd w:w="2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994"/>
        <w:gridCol w:w="994"/>
        <w:gridCol w:w="1133"/>
        <w:gridCol w:w="1133"/>
        <w:gridCol w:w="994"/>
      </w:tblGrid>
      <w:tr>
        <w:trPr>
          <w:trHeight w:val="787" w:hRule="exact"/>
        </w:trPr>
        <w:tc>
          <w:tcPr>
            <w:tcW w:w="2977" w:type="dxa"/>
          </w:tcPr>
          <w:p>
            <w:pPr>
              <w:pStyle w:val="TableParagraph"/>
              <w:spacing w:line="240" w:lineRule="auto"/>
              <w:ind w:left="105" w:right="1047"/>
              <w:rPr>
                <w:rFonts w:ascii="Calibri" w:hAnsi="Calibri"/>
                <w:sz w:val="22"/>
              </w:rPr>
            </w:pPr>
            <w:r>
              <w:rPr>
                <w:rFonts w:ascii="Calibri" w:hAnsi="Calibri"/>
                <w:sz w:val="22"/>
              </w:rPr>
              <w:t>8. Me sirvo raciones pequeñas.</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706" w:hRule="exact"/>
        </w:trPr>
        <w:tc>
          <w:tcPr>
            <w:tcW w:w="2977" w:type="dxa"/>
          </w:tcPr>
          <w:p>
            <w:pPr>
              <w:pStyle w:val="TableParagraph"/>
              <w:spacing w:line="240" w:lineRule="auto"/>
              <w:ind w:left="105" w:right="506"/>
              <w:rPr>
                <w:rFonts w:ascii="Calibri" w:hAnsi="Calibri"/>
                <w:sz w:val="22"/>
              </w:rPr>
            </w:pPr>
            <w:r>
              <w:rPr>
                <w:rFonts w:ascii="Calibri" w:hAnsi="Calibri"/>
                <w:sz w:val="22"/>
              </w:rPr>
              <w:t>9. Realizo un programa de ejercicio físico.</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816" w:hRule="exact"/>
        </w:trPr>
        <w:tc>
          <w:tcPr>
            <w:tcW w:w="2977" w:type="dxa"/>
          </w:tcPr>
          <w:p>
            <w:pPr>
              <w:pStyle w:val="TableParagraph"/>
              <w:spacing w:line="237" w:lineRule="auto" w:before="4"/>
              <w:ind w:left="105" w:right="112"/>
              <w:rPr>
                <w:rFonts w:ascii="Calibri" w:hAnsi="Calibri"/>
                <w:sz w:val="22"/>
              </w:rPr>
            </w:pPr>
            <w:r>
              <w:rPr>
                <w:rFonts w:ascii="Calibri" w:hAnsi="Calibri"/>
                <w:sz w:val="22"/>
              </w:rPr>
              <w:t>10. Cuando tengo hambre entre horas ingiero tentempiés con pocas</w:t>
            </w:r>
            <w:r>
              <w:rPr>
                <w:rFonts w:ascii="Calibri" w:hAnsi="Calibri"/>
                <w:spacing w:val="-12"/>
                <w:sz w:val="22"/>
              </w:rPr>
              <w:t> </w:t>
            </w:r>
            <w:r>
              <w:rPr>
                <w:rFonts w:ascii="Calibri" w:hAnsi="Calibri"/>
                <w:sz w:val="22"/>
              </w:rPr>
              <w:t>calorías.</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754" w:hRule="exact"/>
        </w:trPr>
        <w:tc>
          <w:tcPr>
            <w:tcW w:w="2977" w:type="dxa"/>
          </w:tcPr>
          <w:p>
            <w:pPr/>
          </w:p>
        </w:tc>
        <w:tc>
          <w:tcPr>
            <w:tcW w:w="994" w:type="dxa"/>
          </w:tcPr>
          <w:p>
            <w:pPr>
              <w:pStyle w:val="TableParagraph"/>
              <w:spacing w:line="266" w:lineRule="exact"/>
              <w:ind w:left="105"/>
              <w:rPr>
                <w:rFonts w:ascii="Calibri"/>
                <w:b/>
                <w:sz w:val="22"/>
              </w:rPr>
            </w:pPr>
            <w:r>
              <w:rPr>
                <w:rFonts w:ascii="Calibri"/>
                <w:b/>
                <w:sz w:val="22"/>
              </w:rPr>
              <w:t>Nunca</w:t>
            </w:r>
          </w:p>
        </w:tc>
        <w:tc>
          <w:tcPr>
            <w:tcW w:w="994" w:type="dxa"/>
          </w:tcPr>
          <w:p>
            <w:pPr>
              <w:pStyle w:val="TableParagraph"/>
              <w:spacing w:line="240" w:lineRule="auto"/>
              <w:ind w:left="105" w:right="304"/>
              <w:rPr>
                <w:rFonts w:ascii="Calibri"/>
                <w:b/>
                <w:sz w:val="22"/>
              </w:rPr>
            </w:pPr>
            <w:r>
              <w:rPr>
                <w:rFonts w:ascii="Calibri"/>
                <w:b/>
                <w:sz w:val="22"/>
              </w:rPr>
              <w:t>Casi nunca</w:t>
            </w:r>
          </w:p>
        </w:tc>
        <w:tc>
          <w:tcPr>
            <w:tcW w:w="1133" w:type="dxa"/>
          </w:tcPr>
          <w:p>
            <w:pPr>
              <w:pStyle w:val="TableParagraph"/>
              <w:spacing w:line="240" w:lineRule="auto"/>
              <w:ind w:left="105" w:right="274"/>
              <w:rPr>
                <w:rFonts w:ascii="Calibri"/>
                <w:b/>
                <w:sz w:val="22"/>
              </w:rPr>
            </w:pPr>
            <w:r>
              <w:rPr>
                <w:rFonts w:ascii="Calibri"/>
                <w:b/>
                <w:sz w:val="22"/>
              </w:rPr>
              <w:t>Algunas veces</w:t>
            </w:r>
          </w:p>
        </w:tc>
        <w:tc>
          <w:tcPr>
            <w:tcW w:w="1133" w:type="dxa"/>
          </w:tcPr>
          <w:p>
            <w:pPr>
              <w:pStyle w:val="TableParagraph"/>
              <w:spacing w:line="240" w:lineRule="auto"/>
              <w:ind w:left="105"/>
              <w:rPr>
                <w:rFonts w:ascii="Calibri"/>
                <w:b/>
                <w:sz w:val="22"/>
              </w:rPr>
            </w:pPr>
            <w:r>
              <w:rPr>
                <w:rFonts w:ascii="Calibri"/>
                <w:b/>
                <w:sz w:val="22"/>
              </w:rPr>
              <w:t>Casi siempre</w:t>
            </w:r>
          </w:p>
        </w:tc>
        <w:tc>
          <w:tcPr>
            <w:tcW w:w="994" w:type="dxa"/>
          </w:tcPr>
          <w:p>
            <w:pPr>
              <w:pStyle w:val="TableParagraph"/>
              <w:spacing w:line="266" w:lineRule="exact"/>
              <w:ind w:left="105"/>
              <w:rPr>
                <w:rFonts w:ascii="Calibri"/>
                <w:b/>
                <w:sz w:val="22"/>
              </w:rPr>
            </w:pPr>
            <w:r>
              <w:rPr>
                <w:rFonts w:ascii="Calibri"/>
                <w:b/>
                <w:sz w:val="22"/>
              </w:rPr>
              <w:t>Siempre</w:t>
            </w:r>
          </w:p>
        </w:tc>
      </w:tr>
      <w:tr>
        <w:trPr>
          <w:trHeight w:val="749" w:hRule="exact"/>
        </w:trPr>
        <w:tc>
          <w:tcPr>
            <w:tcW w:w="2977" w:type="dxa"/>
          </w:tcPr>
          <w:p>
            <w:pPr>
              <w:pStyle w:val="TableParagraph"/>
              <w:spacing w:line="240" w:lineRule="auto"/>
              <w:ind w:left="105" w:right="476"/>
              <w:rPr>
                <w:rFonts w:ascii="Calibri" w:hAnsi="Calibri"/>
                <w:sz w:val="22"/>
              </w:rPr>
            </w:pPr>
            <w:r>
              <w:rPr>
                <w:rFonts w:ascii="Calibri" w:hAnsi="Calibri"/>
                <w:sz w:val="22"/>
              </w:rPr>
              <w:t>11. Como entre comidas si estoy bajo/a de ánimo</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682" w:hRule="exact"/>
        </w:trPr>
        <w:tc>
          <w:tcPr>
            <w:tcW w:w="2977" w:type="dxa"/>
          </w:tcPr>
          <w:p>
            <w:pPr>
              <w:pStyle w:val="TableParagraph"/>
              <w:spacing w:line="266" w:lineRule="exact"/>
              <w:ind w:left="105" w:right="145"/>
              <w:rPr>
                <w:rFonts w:ascii="Calibri"/>
                <w:sz w:val="22"/>
              </w:rPr>
            </w:pPr>
            <w:r>
              <w:rPr>
                <w:rFonts w:ascii="Calibri"/>
                <w:sz w:val="22"/>
              </w:rPr>
              <w:t>12. Como carnes grasas.</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701" w:hRule="exact"/>
        </w:trPr>
        <w:tc>
          <w:tcPr>
            <w:tcW w:w="2977" w:type="dxa"/>
          </w:tcPr>
          <w:p>
            <w:pPr>
              <w:pStyle w:val="TableParagraph"/>
              <w:spacing w:line="240" w:lineRule="auto"/>
              <w:ind w:left="105" w:right="738"/>
              <w:rPr>
                <w:rFonts w:ascii="Calibri" w:hAnsi="Calibri"/>
                <w:sz w:val="22"/>
              </w:rPr>
            </w:pPr>
            <w:r>
              <w:rPr>
                <w:rFonts w:ascii="Calibri" w:hAnsi="Calibri"/>
                <w:sz w:val="22"/>
              </w:rPr>
              <w:t>13. Hago ejercicio físico regularmente.</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816" w:hRule="exact"/>
        </w:trPr>
        <w:tc>
          <w:tcPr>
            <w:tcW w:w="2977" w:type="dxa"/>
          </w:tcPr>
          <w:p>
            <w:pPr>
              <w:pStyle w:val="TableParagraph"/>
              <w:spacing w:line="237" w:lineRule="auto" w:before="4"/>
              <w:ind w:left="105" w:right="87"/>
              <w:rPr>
                <w:rFonts w:ascii="Calibri"/>
                <w:sz w:val="22"/>
              </w:rPr>
            </w:pPr>
            <w:r>
              <w:rPr>
                <w:rFonts w:ascii="Calibri"/>
                <w:sz w:val="22"/>
              </w:rPr>
              <w:t>14. Cuando me apetece comer algo espero unos minutos antes de tomarlo.</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754" w:hRule="exact"/>
        </w:trPr>
        <w:tc>
          <w:tcPr>
            <w:tcW w:w="2977" w:type="dxa"/>
          </w:tcPr>
          <w:p>
            <w:pPr>
              <w:pStyle w:val="TableParagraph"/>
              <w:spacing w:line="240" w:lineRule="auto"/>
              <w:ind w:left="105" w:right="145"/>
              <w:rPr>
                <w:rFonts w:ascii="Calibri"/>
                <w:sz w:val="22"/>
              </w:rPr>
            </w:pPr>
            <w:r>
              <w:rPr>
                <w:rFonts w:ascii="Calibri"/>
                <w:sz w:val="22"/>
              </w:rPr>
              <w:t>15 Como entre comidas si tengo ansiedad.</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816" w:hRule="exact"/>
        </w:trPr>
        <w:tc>
          <w:tcPr>
            <w:tcW w:w="2977" w:type="dxa"/>
          </w:tcPr>
          <w:p>
            <w:pPr>
              <w:pStyle w:val="TableParagraph"/>
              <w:spacing w:line="240" w:lineRule="auto" w:before="1"/>
              <w:ind w:left="0"/>
              <w:rPr>
                <w:rFonts w:ascii="Times New Roman"/>
                <w:sz w:val="23"/>
              </w:rPr>
            </w:pPr>
          </w:p>
          <w:p>
            <w:pPr>
              <w:pStyle w:val="TableParagraph"/>
              <w:spacing w:line="240" w:lineRule="auto"/>
              <w:ind w:left="105" w:right="413"/>
              <w:rPr>
                <w:rFonts w:ascii="Calibri" w:hAnsi="Calibri"/>
                <w:sz w:val="22"/>
              </w:rPr>
            </w:pPr>
            <w:r>
              <w:rPr>
                <w:rFonts w:ascii="Calibri" w:hAnsi="Calibri"/>
                <w:sz w:val="22"/>
              </w:rPr>
              <w:t>16. Dedico tiempo cada día para hacer ejercicio.</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792" w:hRule="exact"/>
        </w:trPr>
        <w:tc>
          <w:tcPr>
            <w:tcW w:w="2977" w:type="dxa"/>
          </w:tcPr>
          <w:p>
            <w:pPr>
              <w:pStyle w:val="TableParagraph"/>
              <w:spacing w:line="240" w:lineRule="auto"/>
              <w:ind w:left="105" w:right="282"/>
              <w:rPr>
                <w:rFonts w:ascii="Calibri"/>
                <w:sz w:val="22"/>
              </w:rPr>
            </w:pPr>
            <w:r>
              <w:rPr>
                <w:rFonts w:ascii="Calibri"/>
                <w:sz w:val="22"/>
              </w:rPr>
              <w:t>17. Cuando estoy aburrido/a me da hambre.</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817" w:hRule="exact"/>
        </w:trPr>
        <w:tc>
          <w:tcPr>
            <w:tcW w:w="2977" w:type="dxa"/>
          </w:tcPr>
          <w:p>
            <w:pPr>
              <w:pStyle w:val="TableParagraph"/>
              <w:spacing w:line="240" w:lineRule="auto"/>
              <w:ind w:left="105" w:right="145"/>
              <w:rPr>
                <w:rFonts w:ascii="Calibri" w:hAnsi="Calibri"/>
                <w:sz w:val="22"/>
              </w:rPr>
            </w:pPr>
            <w:r>
              <w:rPr>
                <w:rFonts w:ascii="Calibri" w:hAnsi="Calibri"/>
                <w:sz w:val="22"/>
              </w:rPr>
              <w:t>18. Tomo bebidas de alta graduación alcohólica (licores, tequila, ron, whisky, etc.)</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816" w:hRule="exact"/>
        </w:trPr>
        <w:tc>
          <w:tcPr>
            <w:tcW w:w="2977" w:type="dxa"/>
          </w:tcPr>
          <w:p>
            <w:pPr>
              <w:pStyle w:val="TableParagraph"/>
              <w:spacing w:line="240" w:lineRule="auto"/>
              <w:ind w:left="105" w:right="145"/>
              <w:rPr>
                <w:rFonts w:ascii="Calibri" w:hAnsi="Calibri"/>
                <w:sz w:val="22"/>
              </w:rPr>
            </w:pPr>
            <w:r>
              <w:rPr>
                <w:rFonts w:ascii="Calibri" w:hAnsi="Calibri"/>
                <w:sz w:val="22"/>
              </w:rPr>
              <w:t>19. Cuando como en un restaurante tengo en cuenta las calorías de los alimentos.</w:t>
            </w:r>
          </w:p>
        </w:tc>
        <w:tc>
          <w:tcPr>
            <w:tcW w:w="994" w:type="dxa"/>
          </w:tcPr>
          <w:p>
            <w:pPr/>
          </w:p>
        </w:tc>
        <w:tc>
          <w:tcPr>
            <w:tcW w:w="994" w:type="dxa"/>
          </w:tcPr>
          <w:p>
            <w:pPr/>
          </w:p>
        </w:tc>
        <w:tc>
          <w:tcPr>
            <w:tcW w:w="1133" w:type="dxa"/>
          </w:tcPr>
          <w:p>
            <w:pPr/>
          </w:p>
        </w:tc>
        <w:tc>
          <w:tcPr>
            <w:tcW w:w="1133" w:type="dxa"/>
          </w:tcPr>
          <w:p>
            <w:pPr/>
          </w:p>
        </w:tc>
        <w:tc>
          <w:tcPr>
            <w:tcW w:w="994" w:type="dxa"/>
          </w:tcPr>
          <w:p>
            <w:pPr/>
          </w:p>
        </w:tc>
      </w:tr>
      <w:tr>
        <w:trPr>
          <w:trHeight w:val="912" w:hRule="exact"/>
        </w:trPr>
        <w:tc>
          <w:tcPr>
            <w:tcW w:w="2977" w:type="dxa"/>
          </w:tcPr>
          <w:p>
            <w:pPr>
              <w:pStyle w:val="TableParagraph"/>
              <w:spacing w:line="240" w:lineRule="auto"/>
              <w:ind w:left="105" w:right="175"/>
              <w:rPr>
                <w:rFonts w:ascii="Calibri" w:hAnsi="Calibri"/>
                <w:sz w:val="22"/>
              </w:rPr>
            </w:pPr>
            <w:r>
              <w:rPr>
                <w:rFonts w:ascii="Calibri" w:hAnsi="Calibri"/>
                <w:sz w:val="22"/>
              </w:rPr>
              <w:t>20. Reviso las etiquetas de los alimentos para conocer las calorías que contienen.</w:t>
            </w:r>
          </w:p>
        </w:tc>
        <w:tc>
          <w:tcPr>
            <w:tcW w:w="994" w:type="dxa"/>
          </w:tcPr>
          <w:p>
            <w:pPr/>
          </w:p>
        </w:tc>
        <w:tc>
          <w:tcPr>
            <w:tcW w:w="994" w:type="dxa"/>
          </w:tcPr>
          <w:p>
            <w:pPr/>
          </w:p>
        </w:tc>
        <w:tc>
          <w:tcPr>
            <w:tcW w:w="1133" w:type="dxa"/>
          </w:tcPr>
          <w:p>
            <w:pPr/>
          </w:p>
        </w:tc>
        <w:tc>
          <w:tcPr>
            <w:tcW w:w="1133" w:type="dxa"/>
          </w:tcPr>
          <w:p>
            <w:pPr/>
          </w:p>
        </w:tc>
        <w:tc>
          <w:tcPr>
            <w:tcW w:w="994" w:type="dxa"/>
          </w:tcPr>
          <w:p>
            <w:pPr/>
          </w:p>
        </w:tc>
      </w:tr>
    </w:tbl>
    <w:p>
      <w:pPr>
        <w:spacing w:after="0"/>
        <w:sectPr>
          <w:pgSz w:w="12240" w:h="15840"/>
          <w:pgMar w:header="729" w:footer="0" w:top="960" w:bottom="280" w:left="1720" w:right="1300"/>
        </w:sectPr>
      </w:pPr>
    </w:p>
    <w:p>
      <w:pPr>
        <w:pStyle w:val="BodyText"/>
        <w:rPr>
          <w:rFonts w:ascii="Times New Roman"/>
          <w:sz w:val="20"/>
        </w:rPr>
      </w:pPr>
    </w:p>
    <w:p>
      <w:pPr>
        <w:pStyle w:val="BodyText"/>
        <w:spacing w:before="5"/>
        <w:rPr>
          <w:rFonts w:ascii="Times New Roman"/>
          <w:sz w:val="18"/>
        </w:rPr>
      </w:pPr>
    </w:p>
    <w:p>
      <w:pPr>
        <w:spacing w:before="1"/>
        <w:ind w:left="116" w:right="212" w:firstLine="0"/>
        <w:jc w:val="left"/>
        <w:rPr>
          <w:sz w:val="22"/>
        </w:rPr>
      </w:pPr>
      <w:r>
        <w:rPr>
          <w:sz w:val="22"/>
        </w:rPr>
        <w:t>Anexo 2</w:t>
      </w:r>
    </w:p>
    <w:p>
      <w:pPr>
        <w:pStyle w:val="BodyText"/>
        <w:spacing w:before="7"/>
        <w:rPr>
          <w:sz w:val="16"/>
        </w:rPr>
      </w:pPr>
    </w:p>
    <w:p>
      <w:pPr>
        <w:spacing w:before="57"/>
        <w:ind w:left="390" w:right="396" w:firstLine="0"/>
        <w:jc w:val="center"/>
        <w:rPr>
          <w:rFonts w:ascii="Calibri"/>
          <w:b/>
          <w:sz w:val="22"/>
        </w:rPr>
      </w:pPr>
      <w:r>
        <w:rPr>
          <w:rFonts w:ascii="Calibri"/>
          <w:b/>
          <w:sz w:val="22"/>
        </w:rPr>
        <w:t>CUESTIONARIO SOBRE CALIDAD DE VIDA DIABETES 39</w:t>
      </w:r>
    </w:p>
    <w:p>
      <w:pPr>
        <w:pStyle w:val="BodyText"/>
        <w:spacing w:before="9"/>
        <w:rPr>
          <w:rFonts w:ascii="Calibri"/>
          <w:b/>
          <w:sz w:val="17"/>
        </w:rPr>
      </w:pPr>
    </w:p>
    <w:p>
      <w:pPr>
        <w:spacing w:before="0"/>
        <w:ind w:left="390" w:right="394" w:firstLine="0"/>
        <w:jc w:val="center"/>
        <w:rPr>
          <w:rFonts w:ascii="Calibri" w:hAnsi="Calibri"/>
          <w:b/>
          <w:sz w:val="14"/>
        </w:rPr>
      </w:pPr>
      <w:r>
        <w:rPr>
          <w:rFonts w:ascii="Calibri" w:hAnsi="Calibri"/>
          <w:b/>
          <w:sz w:val="22"/>
        </w:rPr>
        <w:t>Juan Manuel López-Carmona, MIC</w:t>
      </w:r>
      <w:r>
        <w:rPr>
          <w:rFonts w:ascii="Calibri" w:hAnsi="Calibri"/>
          <w:b/>
          <w:position w:val="10"/>
          <w:sz w:val="14"/>
        </w:rPr>
        <w:t>1 </w:t>
      </w:r>
      <w:r>
        <w:rPr>
          <w:rFonts w:ascii="Calibri" w:hAnsi="Calibri"/>
          <w:b/>
          <w:sz w:val="22"/>
        </w:rPr>
        <w:t>Raymundo Rodríguez-Moctezuma, MIC</w:t>
      </w:r>
      <w:r>
        <w:rPr>
          <w:rFonts w:ascii="Calibri" w:hAnsi="Calibri"/>
          <w:b/>
          <w:position w:val="10"/>
          <w:sz w:val="14"/>
        </w:rPr>
        <w:t>2</w:t>
      </w:r>
    </w:p>
    <w:p>
      <w:pPr>
        <w:pStyle w:val="BodyText"/>
        <w:spacing w:before="8"/>
        <w:rPr>
          <w:rFonts w:ascii="Calibri"/>
          <w:b/>
          <w:sz w:val="19"/>
        </w:rPr>
      </w:pPr>
    </w:p>
    <w:p>
      <w:pPr>
        <w:spacing w:line="276" w:lineRule="auto" w:before="0"/>
        <w:ind w:left="116" w:right="132" w:firstLine="0"/>
        <w:jc w:val="left"/>
        <w:rPr>
          <w:rFonts w:ascii="Calibri" w:hAnsi="Calibri"/>
          <w:sz w:val="22"/>
        </w:rPr>
      </w:pPr>
      <w:r>
        <w:rPr>
          <w:rFonts w:ascii="Calibri" w:hAnsi="Calibri"/>
          <w:sz w:val="22"/>
        </w:rPr>
        <w:t>Las siguientes preguntas se refieren </w:t>
      </w:r>
      <w:r>
        <w:rPr>
          <w:rFonts w:ascii="Calibri" w:hAnsi="Calibri"/>
          <w:spacing w:val="-3"/>
          <w:sz w:val="22"/>
        </w:rPr>
        <w:t>al </w:t>
      </w:r>
      <w:r>
        <w:rPr>
          <w:rFonts w:ascii="Calibri" w:hAnsi="Calibri"/>
          <w:sz w:val="22"/>
        </w:rPr>
        <w:t>grado de afectación que la diabetes puede haber ocasionado en su calidad de vida </w:t>
      </w:r>
      <w:r>
        <w:rPr>
          <w:rFonts w:ascii="Calibri" w:hAnsi="Calibri"/>
          <w:i/>
          <w:sz w:val="22"/>
        </w:rPr>
        <w:t>durante el último mes</w:t>
      </w:r>
      <w:r>
        <w:rPr>
          <w:rFonts w:ascii="Calibri" w:hAnsi="Calibri"/>
          <w:sz w:val="22"/>
        </w:rPr>
        <w:t>. Por favor para cada una de las siguientes oraciones marque una cruz (X) en el número que refleje mejor que tan afectada ha sido su vida. El numero 1 indica falta de afectación y  el  7  afectación extrema.  Si tiene alguna duda, con gusto se le prestará</w:t>
      </w:r>
      <w:r>
        <w:rPr>
          <w:rFonts w:ascii="Calibri" w:hAnsi="Calibri"/>
          <w:spacing w:val="-32"/>
          <w:sz w:val="22"/>
        </w:rPr>
        <w:t> </w:t>
      </w:r>
      <w:r>
        <w:rPr>
          <w:rFonts w:ascii="Calibri" w:hAnsi="Calibri"/>
          <w:sz w:val="22"/>
        </w:rPr>
        <w:t>ayuda.</w:t>
      </w:r>
    </w:p>
    <w:p>
      <w:pPr>
        <w:pStyle w:val="BodyText"/>
        <w:spacing w:before="4"/>
        <w:rPr>
          <w:rFonts w:ascii="Calibri"/>
          <w:sz w:val="16"/>
        </w:rPr>
      </w:pPr>
    </w:p>
    <w:p>
      <w:pPr>
        <w:spacing w:before="0"/>
        <w:ind w:left="116" w:right="212" w:firstLine="0"/>
        <w:jc w:val="left"/>
        <w:rPr>
          <w:rFonts w:ascii="Calibri"/>
          <w:sz w:val="22"/>
        </w:rPr>
      </w:pPr>
      <w:r>
        <w:rPr>
          <w:rFonts w:ascii="Calibri"/>
          <w:sz w:val="22"/>
        </w:rPr>
        <w:t>Se le suplica responder todas las preguntas.</w:t>
      </w:r>
    </w:p>
    <w:p>
      <w:pPr>
        <w:pStyle w:val="BodyText"/>
        <w:spacing w:before="8"/>
        <w:rPr>
          <w:rFonts w:ascii="Calibri"/>
          <w:sz w:val="19"/>
        </w:rPr>
      </w:pPr>
    </w:p>
    <w:p>
      <w:pPr>
        <w:spacing w:before="0"/>
        <w:ind w:left="116" w:right="212" w:firstLine="0"/>
        <w:jc w:val="left"/>
        <w:rPr>
          <w:rFonts w:ascii="Calibri" w:hAnsi="Calibri"/>
          <w:i/>
          <w:sz w:val="22"/>
        </w:rPr>
      </w:pPr>
      <w:r>
        <w:rPr>
          <w:rFonts w:ascii="Calibri" w:hAnsi="Calibri"/>
          <w:i/>
          <w:sz w:val="22"/>
        </w:rPr>
        <w:t>Durante el último mes ¿en qué medida se vio afectada la calidad de su vida por las siguientes causas?</w:t>
      </w:r>
    </w:p>
    <w:p>
      <w:pPr>
        <w:pStyle w:val="BodyText"/>
        <w:spacing w:before="8"/>
        <w:rPr>
          <w:rFonts w:ascii="Calibri"/>
          <w:i/>
          <w:sz w:val="19"/>
        </w:rPr>
      </w:pPr>
    </w:p>
    <w:p>
      <w:pPr>
        <w:spacing w:before="1"/>
        <w:ind w:left="116" w:right="212" w:firstLine="0"/>
        <w:jc w:val="left"/>
        <w:rPr>
          <w:rFonts w:ascii="Calibri"/>
          <w:sz w:val="22"/>
        </w:rPr>
      </w:pPr>
      <w:r>
        <w:rPr>
          <w:rFonts w:ascii="Calibri"/>
          <w:sz w:val="22"/>
        </w:rPr>
        <w:t>1.- El horario de los medicamentos para su diabetes.</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94pt;width:166.4pt;height:15.15pt;mso-position-horizontal-relative:page;mso-position-vertical-relative:paragraph;z-index:112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2"/>
          <w:sz w:val="18"/>
        </w:rPr>
        <w:t> </w:t>
      </w:r>
      <w:r>
        <w:rPr>
          <w:sz w:val="18"/>
        </w:rPr>
        <w:t>Siempre</w:t>
        <w:tab/>
        <w:t>afectada</w:t>
      </w:r>
    </w:p>
    <w:p>
      <w:pPr>
        <w:pStyle w:val="BodyText"/>
        <w:spacing w:before="7"/>
        <w:rPr>
          <w:sz w:val="20"/>
        </w:rPr>
      </w:pPr>
    </w:p>
    <w:p>
      <w:pPr>
        <w:spacing w:before="0"/>
        <w:ind w:left="116" w:right="212" w:firstLine="0"/>
        <w:jc w:val="left"/>
        <w:rPr>
          <w:rFonts w:ascii="Calibri" w:hAnsi="Calibri"/>
          <w:sz w:val="22"/>
        </w:rPr>
      </w:pPr>
      <w:r>
        <w:rPr>
          <w:rFonts w:ascii="Calibri" w:hAnsi="Calibri"/>
          <w:sz w:val="22"/>
        </w:rPr>
        <w:t>2.- Preocupaciones por  problemas económicos.</w:t>
      </w:r>
    </w:p>
    <w:p>
      <w:pPr>
        <w:pStyle w:val="BodyText"/>
        <w:spacing w:before="1"/>
        <w:rPr>
          <w:rFonts w:ascii="Calibri"/>
          <w:sz w:val="19"/>
        </w:rPr>
      </w:pPr>
    </w:p>
    <w:p>
      <w:pPr>
        <w:tabs>
          <w:tab w:pos="6623" w:val="left" w:leader="none"/>
        </w:tabs>
        <w:spacing w:before="0"/>
        <w:ind w:left="164" w:right="212" w:firstLine="0"/>
        <w:jc w:val="left"/>
        <w:rPr>
          <w:sz w:val="18"/>
        </w:rPr>
      </w:pPr>
      <w:r>
        <w:rPr/>
        <w:pict>
          <v:shape style="position:absolute;margin-left:223.059998pt;margin-top:5.561876pt;width:166.4pt;height:15.4pt;mso-position-horizontal-relative:page;mso-position-vertical-relative:paragraph;z-index:11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hAnsi="Calibri"/>
          <w:sz w:val="22"/>
        </w:rPr>
      </w:pPr>
      <w:r>
        <w:rPr>
          <w:rFonts w:ascii="Calibri" w:hAnsi="Calibri"/>
          <w:sz w:val="22"/>
        </w:rPr>
        <w:t>3.- Limitación en su nivel de energía.</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77pt;width:166.4pt;height:15.4pt;mso-position-horizontal-relative:page;mso-position-vertical-relative:paragraph;z-index:116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21"/>
        </w:rPr>
      </w:pPr>
    </w:p>
    <w:p>
      <w:pPr>
        <w:spacing w:before="0"/>
        <w:ind w:left="116" w:right="212" w:firstLine="0"/>
        <w:jc w:val="left"/>
        <w:rPr>
          <w:rFonts w:ascii="Calibri" w:hAnsi="Calibri"/>
          <w:sz w:val="22"/>
        </w:rPr>
      </w:pPr>
      <w:r>
        <w:rPr>
          <w:rFonts w:ascii="Calibri" w:hAnsi="Calibri"/>
          <w:sz w:val="22"/>
        </w:rPr>
        <w:t>4.- Seguir el plan indicado por su médico para el tratamiento de la diabetes.</w:t>
      </w:r>
    </w:p>
    <w:p>
      <w:pPr>
        <w:pStyle w:val="BodyText"/>
        <w:spacing w:before="1"/>
        <w:rPr>
          <w:rFonts w:ascii="Calibri"/>
          <w:sz w:val="19"/>
        </w:rPr>
      </w:pPr>
    </w:p>
    <w:p>
      <w:pPr>
        <w:tabs>
          <w:tab w:pos="6623" w:val="left" w:leader="none"/>
        </w:tabs>
        <w:spacing w:before="0"/>
        <w:ind w:left="169" w:right="212" w:firstLine="0"/>
        <w:jc w:val="left"/>
        <w:rPr>
          <w:sz w:val="18"/>
        </w:rPr>
      </w:pPr>
      <w:r>
        <w:rPr/>
        <w:pict>
          <v:shape style="position:absolute;margin-left:223.059998pt;margin-top:5.561929pt;width:166.4pt;height:15.15pt;mso-position-horizontal-relative:page;mso-position-vertical-relative:paragraph;z-index:11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sz w:val="22"/>
        </w:rPr>
      </w:pPr>
      <w:r>
        <w:rPr>
          <w:rFonts w:ascii="Calibri"/>
          <w:sz w:val="22"/>
        </w:rPr>
        <w:t>5.- No comer ciertos alimentos para poder controlar su diabetes.</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7pt;width:166.4pt;height:15.15pt;mso-position-horizontal-relative:page;mso-position-vertical-relative:paragraph;z-index:121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1"/>
        <w:ind w:left="116" w:right="212" w:firstLine="0"/>
        <w:jc w:val="left"/>
        <w:rPr>
          <w:rFonts w:ascii="Calibri"/>
          <w:sz w:val="22"/>
        </w:rPr>
      </w:pPr>
      <w:r>
        <w:rPr>
          <w:rFonts w:ascii="Calibri"/>
          <w:sz w:val="22"/>
        </w:rPr>
        <w:t>6.- Estar preocupado (a) por su futuro.</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57pt;width:166.4pt;height:15.4pt;mso-position-horizontal-relative:page;mso-position-vertical-relative:paragraph;z-index:124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sz w:val="22"/>
        </w:rPr>
      </w:pPr>
      <w:r>
        <w:rPr>
          <w:rFonts w:ascii="Calibri"/>
          <w:sz w:val="22"/>
        </w:rPr>
        <w:t>7.-  Otros problemas de salud aparte de la diabetes.</w:t>
      </w:r>
    </w:p>
    <w:p>
      <w:pPr>
        <w:pStyle w:val="BodyText"/>
        <w:spacing w:before="1"/>
        <w:rPr>
          <w:rFonts w:ascii="Calibri"/>
          <w:sz w:val="19"/>
        </w:rPr>
      </w:pPr>
    </w:p>
    <w:p>
      <w:pPr>
        <w:tabs>
          <w:tab w:pos="6623" w:val="left" w:leader="none"/>
        </w:tabs>
        <w:spacing w:before="0"/>
        <w:ind w:left="169" w:right="212" w:firstLine="0"/>
        <w:jc w:val="left"/>
        <w:rPr>
          <w:sz w:val="18"/>
        </w:rPr>
      </w:pPr>
      <w:r>
        <w:rPr/>
        <w:pict>
          <v:shape style="position:absolute;margin-left:223.059998pt;margin-top:5.561914pt;width:166.4pt;height:15.4pt;mso-position-horizontal-relative:page;mso-position-vertical-relative:paragraph;z-index:126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spacing w:line="240" w:lineRule="auto" w:before="1"/>
                          <w:ind w:left="105"/>
                          <w:rPr>
                            <w:rFonts w:ascii="Calibri"/>
                            <w:sz w:val="22"/>
                          </w:rPr>
                        </w:pPr>
                        <w:r>
                          <w:rPr>
                            <w:rFonts w:ascii="Calibri"/>
                            <w:w w:val="100"/>
                            <w:sz w:val="22"/>
                          </w:rPr>
                          <w:t>1</w:t>
                        </w:r>
                      </w:p>
                    </w:tc>
                    <w:tc>
                      <w:tcPr>
                        <w:tcW w:w="476" w:type="dxa"/>
                      </w:tcPr>
                      <w:p>
                        <w:pPr>
                          <w:pStyle w:val="TableParagraph"/>
                          <w:spacing w:line="240" w:lineRule="auto" w:before="1"/>
                          <w:rPr>
                            <w:rFonts w:ascii="Calibri"/>
                            <w:sz w:val="22"/>
                          </w:rPr>
                        </w:pPr>
                        <w:r>
                          <w:rPr>
                            <w:rFonts w:ascii="Calibri"/>
                            <w:w w:val="100"/>
                            <w:sz w:val="22"/>
                          </w:rPr>
                          <w:t>2</w:t>
                        </w:r>
                      </w:p>
                    </w:tc>
                    <w:tc>
                      <w:tcPr>
                        <w:tcW w:w="470" w:type="dxa"/>
                      </w:tcPr>
                      <w:p>
                        <w:pPr>
                          <w:pStyle w:val="TableParagraph"/>
                          <w:spacing w:line="240" w:lineRule="auto" w:before="1"/>
                          <w:rPr>
                            <w:rFonts w:ascii="Calibri"/>
                            <w:sz w:val="22"/>
                          </w:rPr>
                        </w:pPr>
                        <w:r>
                          <w:rPr>
                            <w:rFonts w:ascii="Calibri"/>
                            <w:w w:val="100"/>
                            <w:sz w:val="22"/>
                          </w:rPr>
                          <w:t>3</w:t>
                        </w:r>
                      </w:p>
                    </w:tc>
                    <w:tc>
                      <w:tcPr>
                        <w:tcW w:w="475" w:type="dxa"/>
                      </w:tcPr>
                      <w:p>
                        <w:pPr>
                          <w:pStyle w:val="TableParagraph"/>
                          <w:spacing w:line="240" w:lineRule="auto" w:before="1"/>
                          <w:rPr>
                            <w:rFonts w:ascii="Calibri"/>
                            <w:sz w:val="22"/>
                          </w:rPr>
                        </w:pPr>
                        <w:r>
                          <w:rPr>
                            <w:rFonts w:ascii="Calibri"/>
                            <w:w w:val="100"/>
                            <w:sz w:val="22"/>
                          </w:rPr>
                          <w:t>4</w:t>
                        </w:r>
                      </w:p>
                    </w:tc>
                    <w:tc>
                      <w:tcPr>
                        <w:tcW w:w="471" w:type="dxa"/>
                      </w:tcPr>
                      <w:p>
                        <w:pPr>
                          <w:pStyle w:val="TableParagraph"/>
                          <w:spacing w:line="240" w:lineRule="auto" w:before="1"/>
                          <w:rPr>
                            <w:rFonts w:ascii="Calibri"/>
                            <w:sz w:val="22"/>
                          </w:rPr>
                        </w:pPr>
                        <w:r>
                          <w:rPr>
                            <w:rFonts w:ascii="Calibri"/>
                            <w:w w:val="100"/>
                            <w:sz w:val="22"/>
                          </w:rPr>
                          <w:t>5</w:t>
                        </w:r>
                      </w:p>
                    </w:tc>
                    <w:tc>
                      <w:tcPr>
                        <w:tcW w:w="475" w:type="dxa"/>
                      </w:tcPr>
                      <w:p>
                        <w:pPr>
                          <w:pStyle w:val="TableParagraph"/>
                          <w:spacing w:line="240" w:lineRule="auto" w:before="1"/>
                          <w:rPr>
                            <w:rFonts w:ascii="Calibri"/>
                            <w:sz w:val="22"/>
                          </w:rPr>
                        </w:pPr>
                        <w:r>
                          <w:rPr>
                            <w:rFonts w:ascii="Calibri"/>
                            <w:w w:val="100"/>
                            <w:sz w:val="22"/>
                          </w:rPr>
                          <w:t>6</w:t>
                        </w:r>
                      </w:p>
                    </w:tc>
                    <w:tc>
                      <w:tcPr>
                        <w:tcW w:w="471" w:type="dxa"/>
                      </w:tcPr>
                      <w:p>
                        <w:pPr>
                          <w:pStyle w:val="TableParagraph"/>
                          <w:spacing w:line="240" w:lineRule="auto" w:before="1"/>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21"/>
        </w:rPr>
      </w:pPr>
    </w:p>
    <w:p>
      <w:pPr>
        <w:spacing w:before="0"/>
        <w:ind w:left="116" w:right="212" w:firstLine="0"/>
        <w:jc w:val="left"/>
        <w:rPr>
          <w:rFonts w:ascii="Calibri"/>
          <w:sz w:val="22"/>
        </w:rPr>
      </w:pPr>
      <w:r>
        <w:rPr>
          <w:rFonts w:ascii="Calibri"/>
          <w:sz w:val="22"/>
        </w:rPr>
        <w:t>8.- tensiones o presiones en su vida.</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91pt;width:166.4pt;height:15.15pt;mso-position-horizontal-relative:page;mso-position-vertical-relative:paragraph;z-index:128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20"/>
        </w:rPr>
      </w:pPr>
    </w:p>
    <w:p>
      <w:pPr>
        <w:pStyle w:val="BodyText"/>
        <w:rPr>
          <w:sz w:val="20"/>
        </w:rPr>
      </w:pPr>
    </w:p>
    <w:p>
      <w:pPr>
        <w:pStyle w:val="BodyText"/>
        <w:rPr>
          <w:sz w:val="20"/>
        </w:rPr>
      </w:pPr>
    </w:p>
    <w:p>
      <w:pPr>
        <w:pStyle w:val="BodyText"/>
        <w:spacing w:before="8"/>
        <w:rPr>
          <w:sz w:val="14"/>
        </w:rPr>
      </w:pPr>
      <w:r>
        <w:rPr/>
        <w:pict>
          <v:line style="position:absolute;mso-position-horizontal-relative:page;mso-position-vertical-relative:paragraph;z-index:1096;mso-wrap-distance-left:0;mso-wrap-distance-right:0" from="70.823997pt,10.785714pt" to="214.893997pt,10.785714pt" stroked="true" strokeweight=".71997pt" strokecolor="#000000">
            <w10:wrap type="topAndBottom"/>
          </v:line>
        </w:pict>
      </w:r>
    </w:p>
    <w:p>
      <w:pPr>
        <w:spacing w:line="225" w:lineRule="auto" w:before="50"/>
        <w:ind w:left="116" w:right="759" w:firstLine="0"/>
        <w:jc w:val="both"/>
        <w:rPr>
          <w:rFonts w:ascii="Calibri" w:hAnsi="Calibri"/>
          <w:sz w:val="18"/>
        </w:rPr>
      </w:pPr>
      <w:r>
        <w:rPr>
          <w:rFonts w:ascii="Calibri" w:hAnsi="Calibri"/>
          <w:position w:val="10"/>
          <w:sz w:val="13"/>
        </w:rPr>
        <w:t>1  </w:t>
      </w:r>
      <w:r>
        <w:rPr>
          <w:rFonts w:ascii="Calibri" w:hAnsi="Calibri"/>
          <w:sz w:val="18"/>
        </w:rPr>
        <w:t>Unidad de Medicina Familiar No. 91, Instituto Mexicano del </w:t>
      </w:r>
      <w:r>
        <w:rPr>
          <w:rFonts w:ascii="Calibri" w:hAnsi="Calibri"/>
          <w:spacing w:val="-3"/>
          <w:sz w:val="18"/>
        </w:rPr>
        <w:t>Seguro </w:t>
      </w:r>
      <w:r>
        <w:rPr>
          <w:rFonts w:ascii="Calibri" w:hAnsi="Calibri"/>
          <w:sz w:val="18"/>
        </w:rPr>
        <w:t>Social (IMSS), Coacalco, Estado de México, México. </w:t>
      </w:r>
      <w:r>
        <w:rPr>
          <w:rFonts w:ascii="Calibri" w:hAnsi="Calibri"/>
          <w:position w:val="9"/>
          <w:sz w:val="12"/>
        </w:rPr>
        <w:t>2 </w:t>
      </w:r>
      <w:r>
        <w:rPr>
          <w:rFonts w:ascii="Calibri" w:hAnsi="Calibri"/>
          <w:sz w:val="18"/>
        </w:rPr>
        <w:t>Maestro en Investigación Clínica, Módulo de Investigación, Hospital General, Regional 72 Lic. Vicente Santos Guajardo, Delegación Estado de México Oriente, Instituto Mexicano del </w:t>
      </w:r>
      <w:r>
        <w:rPr>
          <w:rFonts w:ascii="Calibri" w:hAnsi="Calibri"/>
          <w:spacing w:val="-3"/>
          <w:sz w:val="18"/>
        </w:rPr>
        <w:t>Seguro </w:t>
      </w:r>
      <w:r>
        <w:rPr>
          <w:rFonts w:ascii="Calibri" w:hAnsi="Calibri"/>
          <w:sz w:val="18"/>
        </w:rPr>
        <w:t>Social.</w:t>
      </w:r>
    </w:p>
    <w:p>
      <w:pPr>
        <w:spacing w:after="0" w:line="225" w:lineRule="auto"/>
        <w:jc w:val="both"/>
        <w:rPr>
          <w:rFonts w:ascii="Calibri" w:hAnsi="Calibri"/>
          <w:sz w:val="18"/>
        </w:rPr>
        <w:sectPr>
          <w:pgSz w:w="12240" w:h="15840"/>
          <w:pgMar w:header="729" w:footer="0" w:top="960" w:bottom="280" w:left="1300" w:right="1300"/>
        </w:sectPr>
      </w:pPr>
    </w:p>
    <w:p>
      <w:pPr>
        <w:pStyle w:val="BodyText"/>
        <w:rPr>
          <w:rFonts w:ascii="Calibri"/>
          <w:sz w:val="20"/>
        </w:rPr>
      </w:pPr>
    </w:p>
    <w:p>
      <w:pPr>
        <w:pStyle w:val="BodyText"/>
        <w:spacing w:before="9"/>
        <w:rPr>
          <w:rFonts w:ascii="Calibri"/>
          <w:sz w:val="16"/>
        </w:rPr>
      </w:pPr>
    </w:p>
    <w:p>
      <w:pPr>
        <w:spacing w:before="0"/>
        <w:ind w:left="116" w:right="212" w:firstLine="0"/>
        <w:jc w:val="left"/>
        <w:rPr>
          <w:rFonts w:ascii="Calibri" w:hAnsi="Calibri"/>
          <w:sz w:val="22"/>
        </w:rPr>
      </w:pPr>
      <w:r>
        <w:rPr>
          <w:rFonts w:ascii="Calibri" w:hAnsi="Calibri"/>
          <w:sz w:val="22"/>
        </w:rPr>
        <w:t>9.- Sensación de debilidad.</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851912pt;width:166.4pt;height:15.15pt;mso-position-horizontal-relative:page;mso-position-vertical-relative:paragraph;z-index:131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1"/>
        <w:rPr>
          <w:sz w:val="21"/>
        </w:rPr>
      </w:pPr>
    </w:p>
    <w:p>
      <w:pPr>
        <w:spacing w:before="0"/>
        <w:ind w:left="116" w:right="212" w:firstLine="0"/>
        <w:jc w:val="left"/>
        <w:rPr>
          <w:rFonts w:ascii="Calibri"/>
          <w:sz w:val="22"/>
        </w:rPr>
      </w:pPr>
      <w:r>
        <w:rPr>
          <w:rFonts w:ascii="Calibri"/>
          <w:sz w:val="22"/>
        </w:rPr>
        <w:t>10.-Restricciones sobre la distancia que puede caminar.</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914pt;width:166.4pt;height:15.15pt;mso-position-horizontal-relative:page;mso-position-vertical-relative:paragraph;z-index:133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sz w:val="22"/>
        </w:rPr>
      </w:pPr>
      <w:r>
        <w:rPr>
          <w:rFonts w:ascii="Calibri"/>
          <w:sz w:val="22"/>
        </w:rPr>
        <w:t>11.- Los ejercicios diarios que ha de hacer por su diabetes.</w:t>
      </w:r>
    </w:p>
    <w:p>
      <w:pPr>
        <w:pStyle w:val="BodyText"/>
        <w:spacing w:before="1"/>
        <w:rPr>
          <w:rFonts w:ascii="Calibri"/>
          <w:sz w:val="19"/>
        </w:rPr>
      </w:pPr>
    </w:p>
    <w:p>
      <w:pPr>
        <w:tabs>
          <w:tab w:pos="6623" w:val="left" w:leader="none"/>
        </w:tabs>
        <w:spacing w:before="0"/>
        <w:ind w:left="169" w:right="212" w:firstLine="0"/>
        <w:jc w:val="left"/>
        <w:rPr>
          <w:sz w:val="18"/>
        </w:rPr>
      </w:pPr>
      <w:r>
        <w:rPr/>
        <w:pict>
          <v:shape style="position:absolute;margin-left:223.059998pt;margin-top:5.561865pt;width:166.4pt;height:15.4pt;mso-position-horizontal-relative:page;mso-position-vertical-relative:paragraph;z-index:136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hAnsi="Calibri"/>
          <w:sz w:val="22"/>
        </w:rPr>
      </w:pPr>
      <w:r>
        <w:rPr>
          <w:rFonts w:ascii="Calibri" w:hAnsi="Calibri"/>
          <w:sz w:val="22"/>
        </w:rPr>
        <w:t>12.- Visión borrosa o pérdida de la visión.</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97pt;width:166.4pt;height:15.4pt;mso-position-horizontal-relative:page;mso-position-vertical-relative:paragraph;z-index:13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1"/>
        <w:ind w:left="116" w:right="212" w:firstLine="0"/>
        <w:jc w:val="left"/>
        <w:rPr>
          <w:rFonts w:ascii="Calibri"/>
          <w:sz w:val="22"/>
        </w:rPr>
      </w:pPr>
      <w:r>
        <w:rPr>
          <w:rFonts w:ascii="Calibri"/>
          <w:sz w:val="22"/>
        </w:rPr>
        <w:t>13.- No poder hacer lo que quisiera.</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851899pt;width:166.4pt;height:15.15pt;mso-position-horizontal-relative:page;mso-position-vertical-relative:paragraph;z-index:140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21"/>
        </w:rPr>
      </w:pPr>
    </w:p>
    <w:p>
      <w:pPr>
        <w:spacing w:before="0"/>
        <w:ind w:left="116" w:right="212" w:firstLine="0"/>
        <w:jc w:val="left"/>
        <w:rPr>
          <w:rFonts w:ascii="Calibri"/>
          <w:sz w:val="22"/>
        </w:rPr>
      </w:pPr>
      <w:r>
        <w:rPr>
          <w:rFonts w:ascii="Calibri"/>
          <w:sz w:val="22"/>
        </w:rPr>
        <w:t>14.- Tener diabetes.</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8pt;width:166.4pt;height:15.15pt;mso-position-horizontal-relative:page;mso-position-vertical-relative:paragraph;z-index:143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spacing w:line="266" w:lineRule="exact"/>
                          <w:ind w:left="105"/>
                          <w:rPr>
                            <w:rFonts w:ascii="Calibri"/>
                            <w:sz w:val="22"/>
                          </w:rPr>
                        </w:pPr>
                        <w:r>
                          <w:rPr>
                            <w:rFonts w:ascii="Calibri"/>
                            <w:w w:val="100"/>
                            <w:sz w:val="22"/>
                          </w:rPr>
                          <w:t>1</w:t>
                        </w:r>
                      </w:p>
                    </w:tc>
                    <w:tc>
                      <w:tcPr>
                        <w:tcW w:w="476" w:type="dxa"/>
                      </w:tcPr>
                      <w:p>
                        <w:pPr>
                          <w:pStyle w:val="TableParagraph"/>
                          <w:spacing w:line="266" w:lineRule="exact"/>
                          <w:rPr>
                            <w:rFonts w:ascii="Calibri"/>
                            <w:sz w:val="22"/>
                          </w:rPr>
                        </w:pPr>
                        <w:r>
                          <w:rPr>
                            <w:rFonts w:ascii="Calibri"/>
                            <w:w w:val="100"/>
                            <w:sz w:val="22"/>
                          </w:rPr>
                          <w:t>2</w:t>
                        </w:r>
                      </w:p>
                    </w:tc>
                    <w:tc>
                      <w:tcPr>
                        <w:tcW w:w="470" w:type="dxa"/>
                      </w:tcPr>
                      <w:p>
                        <w:pPr>
                          <w:pStyle w:val="TableParagraph"/>
                          <w:spacing w:line="266" w:lineRule="exact"/>
                          <w:rPr>
                            <w:rFonts w:ascii="Calibri"/>
                            <w:sz w:val="22"/>
                          </w:rPr>
                        </w:pPr>
                        <w:r>
                          <w:rPr>
                            <w:rFonts w:ascii="Calibri"/>
                            <w:w w:val="100"/>
                            <w:sz w:val="22"/>
                          </w:rPr>
                          <w:t>3</w:t>
                        </w:r>
                      </w:p>
                    </w:tc>
                    <w:tc>
                      <w:tcPr>
                        <w:tcW w:w="475" w:type="dxa"/>
                      </w:tcPr>
                      <w:p>
                        <w:pPr>
                          <w:pStyle w:val="TableParagraph"/>
                          <w:spacing w:line="266" w:lineRule="exact"/>
                          <w:rPr>
                            <w:rFonts w:ascii="Calibri"/>
                            <w:sz w:val="22"/>
                          </w:rPr>
                        </w:pPr>
                        <w:r>
                          <w:rPr>
                            <w:rFonts w:ascii="Calibri"/>
                            <w:w w:val="100"/>
                            <w:sz w:val="22"/>
                          </w:rPr>
                          <w:t>4</w:t>
                        </w:r>
                      </w:p>
                    </w:tc>
                    <w:tc>
                      <w:tcPr>
                        <w:tcW w:w="471" w:type="dxa"/>
                      </w:tcPr>
                      <w:p>
                        <w:pPr>
                          <w:pStyle w:val="TableParagraph"/>
                          <w:spacing w:line="266" w:lineRule="exact"/>
                          <w:rPr>
                            <w:rFonts w:ascii="Calibri"/>
                            <w:sz w:val="22"/>
                          </w:rPr>
                        </w:pPr>
                        <w:r>
                          <w:rPr>
                            <w:rFonts w:ascii="Calibri"/>
                            <w:w w:val="100"/>
                            <w:sz w:val="22"/>
                          </w:rPr>
                          <w:t>5</w:t>
                        </w:r>
                      </w:p>
                    </w:tc>
                    <w:tc>
                      <w:tcPr>
                        <w:tcW w:w="475" w:type="dxa"/>
                      </w:tcPr>
                      <w:p>
                        <w:pPr>
                          <w:pStyle w:val="TableParagraph"/>
                          <w:spacing w:line="266" w:lineRule="exact"/>
                          <w:rPr>
                            <w:rFonts w:ascii="Calibri"/>
                            <w:sz w:val="22"/>
                          </w:rPr>
                        </w:pPr>
                        <w:r>
                          <w:rPr>
                            <w:rFonts w:ascii="Calibri"/>
                            <w:w w:val="100"/>
                            <w:sz w:val="22"/>
                          </w:rPr>
                          <w:t>6</w:t>
                        </w:r>
                      </w:p>
                    </w:tc>
                    <w:tc>
                      <w:tcPr>
                        <w:tcW w:w="471" w:type="dxa"/>
                      </w:tcPr>
                      <w:p>
                        <w:pPr>
                          <w:pStyle w:val="TableParagraph"/>
                          <w:spacing w:line="266" w:lineRule="exact"/>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hAnsi="Calibri"/>
          <w:sz w:val="22"/>
        </w:rPr>
      </w:pPr>
      <w:r>
        <w:rPr>
          <w:rFonts w:ascii="Calibri" w:hAnsi="Calibri"/>
          <w:sz w:val="22"/>
        </w:rPr>
        <w:t>15.-El descontrol de azúcar en la sangre.</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922pt;width:166.4pt;height:15.4pt;mso-position-horizontal-relative:page;mso-position-vertical-relative:paragraph;z-index:145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sz w:val="22"/>
        </w:rPr>
      </w:pPr>
      <w:r>
        <w:rPr>
          <w:rFonts w:ascii="Calibri"/>
          <w:sz w:val="22"/>
        </w:rPr>
        <w:t>16.- Otras enfermedades aparte de la diabetes.</w:t>
      </w:r>
    </w:p>
    <w:p>
      <w:pPr>
        <w:pStyle w:val="BodyText"/>
        <w:spacing w:before="1"/>
        <w:rPr>
          <w:rFonts w:ascii="Calibri"/>
          <w:sz w:val="19"/>
        </w:rPr>
      </w:pPr>
    </w:p>
    <w:p>
      <w:pPr>
        <w:tabs>
          <w:tab w:pos="6623" w:val="left" w:leader="none"/>
        </w:tabs>
        <w:spacing w:before="0"/>
        <w:ind w:left="169" w:right="212" w:firstLine="0"/>
        <w:jc w:val="left"/>
        <w:rPr>
          <w:sz w:val="18"/>
        </w:rPr>
      </w:pPr>
      <w:r>
        <w:rPr/>
        <w:pict>
          <v:shape style="position:absolute;margin-left:223.059998pt;margin-top:5.561873pt;width:166.4pt;height:15.4pt;mso-position-horizontal-relative:page;mso-position-vertical-relative:paragraph;z-index:148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21"/>
        </w:rPr>
      </w:pPr>
    </w:p>
    <w:p>
      <w:pPr>
        <w:spacing w:before="0"/>
        <w:ind w:left="116" w:right="212" w:firstLine="0"/>
        <w:jc w:val="left"/>
        <w:rPr>
          <w:rFonts w:ascii="Calibri" w:hAnsi="Calibri"/>
          <w:sz w:val="22"/>
        </w:rPr>
      </w:pPr>
      <w:r>
        <w:rPr>
          <w:rFonts w:ascii="Calibri" w:hAnsi="Calibri"/>
          <w:sz w:val="22"/>
        </w:rPr>
        <w:t>17.- Hacerse análisis para comprobar sus niveles de azúcar en la sangre.</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85pt;width:166.4pt;height:15.15pt;mso-position-horizontal-relative:page;mso-position-vertical-relative:paragraph;z-index:150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1"/>
        <w:ind w:left="116" w:right="212" w:firstLine="0"/>
        <w:jc w:val="left"/>
        <w:rPr>
          <w:rFonts w:ascii="Calibri"/>
          <w:sz w:val="22"/>
        </w:rPr>
      </w:pPr>
      <w:r>
        <w:rPr>
          <w:rFonts w:ascii="Calibri"/>
          <w:sz w:val="22"/>
        </w:rPr>
        <w:t>18.- El tiempo requerido para controlar su diabetes.</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57pt;width:166.4pt;height:15.15pt;mso-position-horizontal-relative:page;mso-position-vertical-relative:paragraph;z-index:152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sz w:val="22"/>
        </w:rPr>
      </w:pPr>
      <w:r>
        <w:rPr>
          <w:rFonts w:ascii="Calibri"/>
          <w:sz w:val="22"/>
        </w:rPr>
        <w:t>19.-Las restricciones que su diabetes  impone a su familia y amigos.</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918pt;width:166.4pt;height:15.4pt;mso-position-horizontal-relative:page;mso-position-vertical-relative:paragraph;z-index:155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spacing w:line="266" w:lineRule="exact"/>
                          <w:ind w:left="105"/>
                          <w:rPr>
                            <w:rFonts w:ascii="Calibri"/>
                            <w:sz w:val="22"/>
                          </w:rPr>
                        </w:pPr>
                        <w:r>
                          <w:rPr>
                            <w:rFonts w:ascii="Calibri"/>
                            <w:w w:val="100"/>
                            <w:sz w:val="22"/>
                          </w:rPr>
                          <w:t>1</w:t>
                        </w:r>
                      </w:p>
                    </w:tc>
                    <w:tc>
                      <w:tcPr>
                        <w:tcW w:w="476" w:type="dxa"/>
                      </w:tcPr>
                      <w:p>
                        <w:pPr>
                          <w:pStyle w:val="TableParagraph"/>
                          <w:spacing w:line="266" w:lineRule="exact"/>
                          <w:rPr>
                            <w:rFonts w:ascii="Calibri"/>
                            <w:sz w:val="22"/>
                          </w:rPr>
                        </w:pPr>
                        <w:r>
                          <w:rPr>
                            <w:rFonts w:ascii="Calibri"/>
                            <w:w w:val="100"/>
                            <w:sz w:val="22"/>
                          </w:rPr>
                          <w:t>2</w:t>
                        </w:r>
                      </w:p>
                    </w:tc>
                    <w:tc>
                      <w:tcPr>
                        <w:tcW w:w="470" w:type="dxa"/>
                      </w:tcPr>
                      <w:p>
                        <w:pPr>
                          <w:pStyle w:val="TableParagraph"/>
                          <w:spacing w:line="266" w:lineRule="exact"/>
                          <w:rPr>
                            <w:rFonts w:ascii="Calibri"/>
                            <w:sz w:val="22"/>
                          </w:rPr>
                        </w:pPr>
                        <w:r>
                          <w:rPr>
                            <w:rFonts w:ascii="Calibri"/>
                            <w:w w:val="100"/>
                            <w:sz w:val="22"/>
                          </w:rPr>
                          <w:t>3</w:t>
                        </w:r>
                      </w:p>
                    </w:tc>
                    <w:tc>
                      <w:tcPr>
                        <w:tcW w:w="475" w:type="dxa"/>
                      </w:tcPr>
                      <w:p>
                        <w:pPr>
                          <w:pStyle w:val="TableParagraph"/>
                          <w:spacing w:line="266" w:lineRule="exact"/>
                          <w:rPr>
                            <w:rFonts w:ascii="Calibri"/>
                            <w:sz w:val="22"/>
                          </w:rPr>
                        </w:pPr>
                        <w:r>
                          <w:rPr>
                            <w:rFonts w:ascii="Calibri"/>
                            <w:w w:val="100"/>
                            <w:sz w:val="22"/>
                          </w:rPr>
                          <w:t>4</w:t>
                        </w:r>
                      </w:p>
                    </w:tc>
                    <w:tc>
                      <w:tcPr>
                        <w:tcW w:w="471" w:type="dxa"/>
                      </w:tcPr>
                      <w:p>
                        <w:pPr>
                          <w:pStyle w:val="TableParagraph"/>
                          <w:spacing w:line="266" w:lineRule="exact"/>
                          <w:rPr>
                            <w:rFonts w:ascii="Calibri"/>
                            <w:sz w:val="22"/>
                          </w:rPr>
                        </w:pPr>
                        <w:r>
                          <w:rPr>
                            <w:rFonts w:ascii="Calibri"/>
                            <w:w w:val="100"/>
                            <w:sz w:val="22"/>
                          </w:rPr>
                          <w:t>5</w:t>
                        </w:r>
                      </w:p>
                    </w:tc>
                    <w:tc>
                      <w:tcPr>
                        <w:tcW w:w="475" w:type="dxa"/>
                      </w:tcPr>
                      <w:p>
                        <w:pPr>
                          <w:pStyle w:val="TableParagraph"/>
                          <w:spacing w:line="266" w:lineRule="exact"/>
                          <w:rPr>
                            <w:rFonts w:ascii="Calibri"/>
                            <w:sz w:val="22"/>
                          </w:rPr>
                        </w:pPr>
                        <w:r>
                          <w:rPr>
                            <w:rFonts w:ascii="Calibri"/>
                            <w:w w:val="100"/>
                            <w:sz w:val="22"/>
                          </w:rPr>
                          <w:t>6</w:t>
                        </w:r>
                      </w:p>
                    </w:tc>
                    <w:tc>
                      <w:tcPr>
                        <w:tcW w:w="471" w:type="dxa"/>
                      </w:tcPr>
                      <w:p>
                        <w:pPr>
                          <w:pStyle w:val="TableParagraph"/>
                          <w:spacing w:line="266" w:lineRule="exact"/>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hAnsi="Calibri"/>
          <w:sz w:val="22"/>
        </w:rPr>
      </w:pPr>
      <w:r>
        <w:rPr>
          <w:rFonts w:ascii="Calibri" w:hAnsi="Calibri"/>
          <w:sz w:val="22"/>
        </w:rPr>
        <w:t>20.- La vergüenza por tener diabetes.</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915pt;width:166.4pt;height:15.4pt;mso-position-horizontal-relative:page;mso-position-vertical-relative:paragraph;z-index:157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spacing w:line="240" w:lineRule="auto" w:before="1"/>
                          <w:ind w:left="105"/>
                          <w:rPr>
                            <w:rFonts w:ascii="Calibri"/>
                            <w:sz w:val="22"/>
                          </w:rPr>
                        </w:pPr>
                        <w:r>
                          <w:rPr>
                            <w:rFonts w:ascii="Calibri"/>
                            <w:w w:val="100"/>
                            <w:sz w:val="22"/>
                          </w:rPr>
                          <w:t>1</w:t>
                        </w:r>
                      </w:p>
                    </w:tc>
                    <w:tc>
                      <w:tcPr>
                        <w:tcW w:w="476" w:type="dxa"/>
                      </w:tcPr>
                      <w:p>
                        <w:pPr>
                          <w:pStyle w:val="TableParagraph"/>
                          <w:spacing w:line="240" w:lineRule="auto" w:before="1"/>
                          <w:rPr>
                            <w:rFonts w:ascii="Calibri"/>
                            <w:sz w:val="22"/>
                          </w:rPr>
                        </w:pPr>
                        <w:r>
                          <w:rPr>
                            <w:rFonts w:ascii="Calibri"/>
                            <w:w w:val="100"/>
                            <w:sz w:val="22"/>
                          </w:rPr>
                          <w:t>2</w:t>
                        </w:r>
                      </w:p>
                    </w:tc>
                    <w:tc>
                      <w:tcPr>
                        <w:tcW w:w="470" w:type="dxa"/>
                      </w:tcPr>
                      <w:p>
                        <w:pPr>
                          <w:pStyle w:val="TableParagraph"/>
                          <w:spacing w:line="240" w:lineRule="auto" w:before="1"/>
                          <w:rPr>
                            <w:rFonts w:ascii="Calibri"/>
                            <w:sz w:val="22"/>
                          </w:rPr>
                        </w:pPr>
                        <w:r>
                          <w:rPr>
                            <w:rFonts w:ascii="Calibri"/>
                            <w:w w:val="100"/>
                            <w:sz w:val="22"/>
                          </w:rPr>
                          <w:t>3</w:t>
                        </w:r>
                      </w:p>
                    </w:tc>
                    <w:tc>
                      <w:tcPr>
                        <w:tcW w:w="475" w:type="dxa"/>
                      </w:tcPr>
                      <w:p>
                        <w:pPr>
                          <w:pStyle w:val="TableParagraph"/>
                          <w:spacing w:line="240" w:lineRule="auto" w:before="1"/>
                          <w:rPr>
                            <w:rFonts w:ascii="Calibri"/>
                            <w:sz w:val="22"/>
                          </w:rPr>
                        </w:pPr>
                        <w:r>
                          <w:rPr>
                            <w:rFonts w:ascii="Calibri"/>
                            <w:w w:val="100"/>
                            <w:sz w:val="22"/>
                          </w:rPr>
                          <w:t>4</w:t>
                        </w:r>
                      </w:p>
                    </w:tc>
                    <w:tc>
                      <w:tcPr>
                        <w:tcW w:w="471" w:type="dxa"/>
                      </w:tcPr>
                      <w:p>
                        <w:pPr>
                          <w:pStyle w:val="TableParagraph"/>
                          <w:spacing w:line="240" w:lineRule="auto" w:before="1"/>
                          <w:rPr>
                            <w:rFonts w:ascii="Calibri"/>
                            <w:sz w:val="22"/>
                          </w:rPr>
                        </w:pPr>
                        <w:r>
                          <w:rPr>
                            <w:rFonts w:ascii="Calibri"/>
                            <w:w w:val="100"/>
                            <w:sz w:val="22"/>
                          </w:rPr>
                          <w:t>5</w:t>
                        </w:r>
                      </w:p>
                    </w:tc>
                    <w:tc>
                      <w:tcPr>
                        <w:tcW w:w="475" w:type="dxa"/>
                      </w:tcPr>
                      <w:p>
                        <w:pPr>
                          <w:pStyle w:val="TableParagraph"/>
                          <w:spacing w:line="240" w:lineRule="auto" w:before="1"/>
                          <w:rPr>
                            <w:rFonts w:ascii="Calibri"/>
                            <w:sz w:val="22"/>
                          </w:rPr>
                        </w:pPr>
                        <w:r>
                          <w:rPr>
                            <w:rFonts w:ascii="Calibri"/>
                            <w:w w:val="100"/>
                            <w:sz w:val="22"/>
                          </w:rPr>
                          <w:t>6</w:t>
                        </w:r>
                      </w:p>
                    </w:tc>
                    <w:tc>
                      <w:tcPr>
                        <w:tcW w:w="471" w:type="dxa"/>
                      </w:tcPr>
                      <w:p>
                        <w:pPr>
                          <w:pStyle w:val="TableParagraph"/>
                          <w:spacing w:line="240" w:lineRule="auto" w:before="1"/>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21"/>
        </w:rPr>
      </w:pPr>
    </w:p>
    <w:p>
      <w:pPr>
        <w:spacing w:before="0"/>
        <w:ind w:left="116" w:right="212" w:firstLine="0"/>
        <w:jc w:val="left"/>
        <w:rPr>
          <w:rFonts w:ascii="Calibri"/>
          <w:sz w:val="22"/>
        </w:rPr>
      </w:pPr>
      <w:r>
        <w:rPr>
          <w:rFonts w:ascii="Calibri"/>
          <w:sz w:val="22"/>
        </w:rPr>
        <w:t>21.- La interferencia de su diabetes en su vida sexual.</w:t>
      </w:r>
    </w:p>
    <w:p>
      <w:pPr>
        <w:pStyle w:val="BodyText"/>
        <w:spacing w:before="1"/>
        <w:rPr>
          <w:rFonts w:ascii="Calibri"/>
          <w:sz w:val="19"/>
        </w:rPr>
      </w:pPr>
    </w:p>
    <w:p>
      <w:pPr>
        <w:tabs>
          <w:tab w:pos="6623" w:val="left" w:leader="none"/>
        </w:tabs>
        <w:spacing w:before="0"/>
        <w:ind w:left="169" w:right="212" w:firstLine="0"/>
        <w:jc w:val="left"/>
        <w:rPr>
          <w:sz w:val="18"/>
        </w:rPr>
      </w:pPr>
      <w:r>
        <w:rPr/>
        <w:pict>
          <v:shape style="position:absolute;margin-left:223.059998pt;margin-top:5.561912pt;width:166.4pt;height:15.15pt;mso-position-horizontal-relative:page;mso-position-vertical-relative:paragraph;z-index:160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sz w:val="22"/>
        </w:rPr>
      </w:pPr>
      <w:r>
        <w:rPr>
          <w:rFonts w:ascii="Calibri"/>
          <w:sz w:val="22"/>
        </w:rPr>
        <w:t>22.- Sentirse triste o deprimido.</w:t>
      </w:r>
    </w:p>
    <w:p>
      <w:pPr>
        <w:spacing w:after="0"/>
        <w:jc w:val="left"/>
        <w:rPr>
          <w:rFonts w:ascii="Calibri"/>
          <w:sz w:val="22"/>
        </w:rPr>
        <w:sectPr>
          <w:pgSz w:w="12240" w:h="15840"/>
          <w:pgMar w:header="729" w:footer="0" w:top="960" w:bottom="280" w:left="1300" w:right="1300"/>
        </w:sectPr>
      </w:pPr>
    </w:p>
    <w:p>
      <w:pPr>
        <w:pStyle w:val="BodyText"/>
        <w:spacing w:before="8"/>
        <w:rPr>
          <w:rFonts w:ascii="Calibri"/>
          <w:sz w:val="29"/>
        </w:rPr>
      </w:pPr>
    </w:p>
    <w:p>
      <w:pPr>
        <w:tabs>
          <w:tab w:pos="6623" w:val="left" w:leader="none"/>
        </w:tabs>
        <w:spacing w:before="80"/>
        <w:ind w:left="169" w:right="212" w:firstLine="0"/>
        <w:jc w:val="left"/>
        <w:rPr>
          <w:sz w:val="18"/>
        </w:rPr>
      </w:pPr>
      <w:r>
        <w:rPr/>
        <w:pict>
          <v:shape style="position:absolute;margin-left:223.059998pt;margin-top:9.561914pt;width:166.4pt;height:15.4pt;mso-position-horizontal-relative:page;mso-position-vertical-relative:paragraph;z-index:162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spacing w:line="240" w:lineRule="auto" w:before="1"/>
                          <w:ind w:left="105"/>
                          <w:rPr>
                            <w:rFonts w:ascii="Calibri"/>
                            <w:sz w:val="22"/>
                          </w:rPr>
                        </w:pPr>
                        <w:r>
                          <w:rPr>
                            <w:rFonts w:ascii="Calibri"/>
                            <w:w w:val="100"/>
                            <w:sz w:val="22"/>
                          </w:rPr>
                          <w:t>1</w:t>
                        </w:r>
                      </w:p>
                    </w:tc>
                    <w:tc>
                      <w:tcPr>
                        <w:tcW w:w="476" w:type="dxa"/>
                      </w:tcPr>
                      <w:p>
                        <w:pPr>
                          <w:pStyle w:val="TableParagraph"/>
                          <w:spacing w:line="240" w:lineRule="auto" w:before="1"/>
                          <w:rPr>
                            <w:rFonts w:ascii="Calibri"/>
                            <w:sz w:val="22"/>
                          </w:rPr>
                        </w:pPr>
                        <w:r>
                          <w:rPr>
                            <w:rFonts w:ascii="Calibri"/>
                            <w:w w:val="100"/>
                            <w:sz w:val="22"/>
                          </w:rPr>
                          <w:t>2</w:t>
                        </w:r>
                      </w:p>
                    </w:tc>
                    <w:tc>
                      <w:tcPr>
                        <w:tcW w:w="470" w:type="dxa"/>
                      </w:tcPr>
                      <w:p>
                        <w:pPr>
                          <w:pStyle w:val="TableParagraph"/>
                          <w:spacing w:line="240" w:lineRule="auto" w:before="1"/>
                          <w:rPr>
                            <w:rFonts w:ascii="Calibri"/>
                            <w:sz w:val="22"/>
                          </w:rPr>
                        </w:pPr>
                        <w:r>
                          <w:rPr>
                            <w:rFonts w:ascii="Calibri"/>
                            <w:w w:val="100"/>
                            <w:sz w:val="22"/>
                          </w:rPr>
                          <w:t>3</w:t>
                        </w:r>
                      </w:p>
                    </w:tc>
                    <w:tc>
                      <w:tcPr>
                        <w:tcW w:w="475" w:type="dxa"/>
                      </w:tcPr>
                      <w:p>
                        <w:pPr>
                          <w:pStyle w:val="TableParagraph"/>
                          <w:spacing w:line="240" w:lineRule="auto" w:before="1"/>
                          <w:rPr>
                            <w:rFonts w:ascii="Calibri"/>
                            <w:sz w:val="22"/>
                          </w:rPr>
                        </w:pPr>
                        <w:r>
                          <w:rPr>
                            <w:rFonts w:ascii="Calibri"/>
                            <w:w w:val="100"/>
                            <w:sz w:val="22"/>
                          </w:rPr>
                          <w:t>4</w:t>
                        </w:r>
                      </w:p>
                    </w:tc>
                    <w:tc>
                      <w:tcPr>
                        <w:tcW w:w="471" w:type="dxa"/>
                      </w:tcPr>
                      <w:p>
                        <w:pPr>
                          <w:pStyle w:val="TableParagraph"/>
                          <w:spacing w:line="240" w:lineRule="auto" w:before="1"/>
                          <w:rPr>
                            <w:rFonts w:ascii="Calibri"/>
                            <w:sz w:val="22"/>
                          </w:rPr>
                        </w:pPr>
                        <w:r>
                          <w:rPr>
                            <w:rFonts w:ascii="Calibri"/>
                            <w:w w:val="100"/>
                            <w:sz w:val="22"/>
                          </w:rPr>
                          <w:t>5</w:t>
                        </w:r>
                      </w:p>
                    </w:tc>
                    <w:tc>
                      <w:tcPr>
                        <w:tcW w:w="475" w:type="dxa"/>
                      </w:tcPr>
                      <w:p>
                        <w:pPr>
                          <w:pStyle w:val="TableParagraph"/>
                          <w:spacing w:line="240" w:lineRule="auto" w:before="1"/>
                          <w:rPr>
                            <w:rFonts w:ascii="Calibri"/>
                            <w:sz w:val="22"/>
                          </w:rPr>
                        </w:pPr>
                        <w:r>
                          <w:rPr>
                            <w:rFonts w:ascii="Calibri"/>
                            <w:w w:val="100"/>
                            <w:sz w:val="22"/>
                          </w:rPr>
                          <w:t>6</w:t>
                        </w:r>
                      </w:p>
                    </w:tc>
                    <w:tc>
                      <w:tcPr>
                        <w:tcW w:w="471" w:type="dxa"/>
                      </w:tcPr>
                      <w:p>
                        <w:pPr>
                          <w:pStyle w:val="TableParagraph"/>
                          <w:spacing w:line="240" w:lineRule="auto" w:before="1"/>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18"/>
        </w:rPr>
      </w:pPr>
    </w:p>
    <w:p>
      <w:pPr>
        <w:pStyle w:val="BodyText"/>
        <w:rPr>
          <w:sz w:val="18"/>
        </w:rPr>
      </w:pPr>
    </w:p>
    <w:p>
      <w:pPr>
        <w:pStyle w:val="BodyText"/>
        <w:rPr>
          <w:sz w:val="18"/>
        </w:rPr>
      </w:pPr>
    </w:p>
    <w:p>
      <w:pPr>
        <w:spacing w:before="130"/>
        <w:ind w:left="116" w:right="212" w:firstLine="0"/>
        <w:jc w:val="left"/>
        <w:rPr>
          <w:rFonts w:ascii="Calibri"/>
          <w:sz w:val="22"/>
        </w:rPr>
      </w:pPr>
      <w:r>
        <w:rPr>
          <w:rFonts w:ascii="Calibri"/>
          <w:sz w:val="22"/>
        </w:rPr>
        <w:t>23.- Problemas con respecto a su capacidad sexual.</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914pt;width:166.4pt;height:15.15pt;mso-position-horizontal-relative:page;mso-position-vertical-relative:paragraph;z-index:164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sz w:val="22"/>
        </w:rPr>
      </w:pPr>
      <w:r>
        <w:rPr>
          <w:rFonts w:ascii="Calibri"/>
          <w:sz w:val="22"/>
        </w:rPr>
        <w:t>24.- Tener bien controlada su diabetes.</w:t>
      </w:r>
    </w:p>
    <w:p>
      <w:pPr>
        <w:pStyle w:val="BodyText"/>
        <w:spacing w:before="1"/>
        <w:rPr>
          <w:rFonts w:ascii="Calibri"/>
          <w:sz w:val="19"/>
        </w:rPr>
      </w:pPr>
    </w:p>
    <w:p>
      <w:pPr>
        <w:tabs>
          <w:tab w:pos="6623" w:val="left" w:leader="none"/>
        </w:tabs>
        <w:spacing w:before="0"/>
        <w:ind w:left="169" w:right="212" w:firstLine="0"/>
        <w:jc w:val="left"/>
        <w:rPr>
          <w:sz w:val="18"/>
        </w:rPr>
      </w:pPr>
      <w:r>
        <w:rPr/>
        <w:pict>
          <v:shape style="position:absolute;margin-left:223.059998pt;margin-top:5.561865pt;width:166.4pt;height:15.4pt;mso-position-horizontal-relative:page;mso-position-vertical-relative:paragraph;z-index:167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sz w:val="22"/>
        </w:rPr>
      </w:pPr>
      <w:r>
        <w:rPr>
          <w:rFonts w:ascii="Calibri"/>
          <w:sz w:val="22"/>
        </w:rPr>
        <w:t>25.- Complicaciones debidas a su diabetes.</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97pt;width:166.4pt;height:15.4pt;mso-position-horizontal-relative:page;mso-position-vertical-relative:paragraph;z-index:169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1"/>
        <w:ind w:left="116" w:right="212" w:firstLine="0"/>
        <w:jc w:val="left"/>
        <w:rPr>
          <w:rFonts w:ascii="Calibri"/>
          <w:sz w:val="22"/>
        </w:rPr>
      </w:pPr>
      <w:r>
        <w:rPr>
          <w:rFonts w:ascii="Calibri"/>
          <w:sz w:val="22"/>
        </w:rPr>
        <w:t>26.- Hacer cosas que su familia y amigos no hace.</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851899pt;width:166.4pt;height:15.15pt;mso-position-horizontal-relative:page;mso-position-vertical-relative:paragraph;z-index:172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21"/>
        </w:rPr>
      </w:pPr>
    </w:p>
    <w:p>
      <w:pPr>
        <w:spacing w:before="0"/>
        <w:ind w:left="116" w:right="212" w:firstLine="0"/>
        <w:jc w:val="left"/>
        <w:rPr>
          <w:rFonts w:ascii="Calibri" w:hAnsi="Calibri"/>
          <w:sz w:val="22"/>
        </w:rPr>
      </w:pPr>
      <w:r>
        <w:rPr>
          <w:rFonts w:ascii="Calibri" w:hAnsi="Calibri"/>
          <w:sz w:val="22"/>
        </w:rPr>
        <w:t>27.- Tener que anotar los niveles de azúcar en la sangre.</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8pt;width:166.4pt;height:15.15pt;mso-position-horizontal-relative:page;mso-position-vertical-relative:paragraph;z-index:17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spacing w:line="266" w:lineRule="exact"/>
                          <w:ind w:left="105"/>
                          <w:rPr>
                            <w:rFonts w:ascii="Calibri"/>
                            <w:sz w:val="22"/>
                          </w:rPr>
                        </w:pPr>
                        <w:r>
                          <w:rPr>
                            <w:rFonts w:ascii="Calibri"/>
                            <w:w w:val="100"/>
                            <w:sz w:val="22"/>
                          </w:rPr>
                          <w:t>1</w:t>
                        </w:r>
                      </w:p>
                    </w:tc>
                    <w:tc>
                      <w:tcPr>
                        <w:tcW w:w="476" w:type="dxa"/>
                      </w:tcPr>
                      <w:p>
                        <w:pPr>
                          <w:pStyle w:val="TableParagraph"/>
                          <w:spacing w:line="266" w:lineRule="exact"/>
                          <w:rPr>
                            <w:rFonts w:ascii="Calibri"/>
                            <w:sz w:val="22"/>
                          </w:rPr>
                        </w:pPr>
                        <w:r>
                          <w:rPr>
                            <w:rFonts w:ascii="Calibri"/>
                            <w:w w:val="100"/>
                            <w:sz w:val="22"/>
                          </w:rPr>
                          <w:t>2</w:t>
                        </w:r>
                      </w:p>
                    </w:tc>
                    <w:tc>
                      <w:tcPr>
                        <w:tcW w:w="470" w:type="dxa"/>
                      </w:tcPr>
                      <w:p>
                        <w:pPr>
                          <w:pStyle w:val="TableParagraph"/>
                          <w:spacing w:line="266" w:lineRule="exact"/>
                          <w:rPr>
                            <w:rFonts w:ascii="Calibri"/>
                            <w:sz w:val="22"/>
                          </w:rPr>
                        </w:pPr>
                        <w:r>
                          <w:rPr>
                            <w:rFonts w:ascii="Calibri"/>
                            <w:w w:val="100"/>
                            <w:sz w:val="22"/>
                          </w:rPr>
                          <w:t>3</w:t>
                        </w:r>
                      </w:p>
                    </w:tc>
                    <w:tc>
                      <w:tcPr>
                        <w:tcW w:w="475" w:type="dxa"/>
                      </w:tcPr>
                      <w:p>
                        <w:pPr>
                          <w:pStyle w:val="TableParagraph"/>
                          <w:spacing w:line="266" w:lineRule="exact"/>
                          <w:rPr>
                            <w:rFonts w:ascii="Calibri"/>
                            <w:sz w:val="22"/>
                          </w:rPr>
                        </w:pPr>
                        <w:r>
                          <w:rPr>
                            <w:rFonts w:ascii="Calibri"/>
                            <w:w w:val="100"/>
                            <w:sz w:val="22"/>
                          </w:rPr>
                          <w:t>4</w:t>
                        </w:r>
                      </w:p>
                    </w:tc>
                    <w:tc>
                      <w:tcPr>
                        <w:tcW w:w="471" w:type="dxa"/>
                      </w:tcPr>
                      <w:p>
                        <w:pPr>
                          <w:pStyle w:val="TableParagraph"/>
                          <w:spacing w:line="266" w:lineRule="exact"/>
                          <w:rPr>
                            <w:rFonts w:ascii="Calibri"/>
                            <w:sz w:val="22"/>
                          </w:rPr>
                        </w:pPr>
                        <w:r>
                          <w:rPr>
                            <w:rFonts w:ascii="Calibri"/>
                            <w:w w:val="100"/>
                            <w:sz w:val="22"/>
                          </w:rPr>
                          <w:t>5</w:t>
                        </w:r>
                      </w:p>
                    </w:tc>
                    <w:tc>
                      <w:tcPr>
                        <w:tcW w:w="475" w:type="dxa"/>
                      </w:tcPr>
                      <w:p>
                        <w:pPr>
                          <w:pStyle w:val="TableParagraph"/>
                          <w:spacing w:line="266" w:lineRule="exact"/>
                          <w:rPr>
                            <w:rFonts w:ascii="Calibri"/>
                            <w:sz w:val="22"/>
                          </w:rPr>
                        </w:pPr>
                        <w:r>
                          <w:rPr>
                            <w:rFonts w:ascii="Calibri"/>
                            <w:w w:val="100"/>
                            <w:sz w:val="22"/>
                          </w:rPr>
                          <w:t>6</w:t>
                        </w:r>
                      </w:p>
                    </w:tc>
                    <w:tc>
                      <w:tcPr>
                        <w:tcW w:w="471" w:type="dxa"/>
                      </w:tcPr>
                      <w:p>
                        <w:pPr>
                          <w:pStyle w:val="TableParagraph"/>
                          <w:spacing w:line="266" w:lineRule="exact"/>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sz w:val="22"/>
        </w:rPr>
      </w:pPr>
      <w:r>
        <w:rPr>
          <w:rFonts w:ascii="Calibri"/>
          <w:sz w:val="22"/>
        </w:rPr>
        <w:t>28.- La necesidad de tener que comer en intervalos regulares.</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922pt;width:166.4pt;height:15.4pt;mso-position-horizontal-relative:page;mso-position-vertical-relative:paragraph;z-index:176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hAnsi="Calibri"/>
          <w:sz w:val="22"/>
        </w:rPr>
      </w:pPr>
      <w:r>
        <w:rPr>
          <w:rFonts w:ascii="Calibri" w:hAnsi="Calibri"/>
          <w:sz w:val="22"/>
        </w:rPr>
        <w:t>29.- No poder realizar labores domésticas u otros trabajos relacionados con la casa.</w:t>
      </w:r>
    </w:p>
    <w:p>
      <w:pPr>
        <w:pStyle w:val="BodyText"/>
        <w:spacing w:before="1"/>
        <w:rPr>
          <w:rFonts w:ascii="Calibri"/>
          <w:sz w:val="19"/>
        </w:rPr>
      </w:pPr>
    </w:p>
    <w:p>
      <w:pPr>
        <w:tabs>
          <w:tab w:pos="6623" w:val="left" w:leader="none"/>
        </w:tabs>
        <w:spacing w:before="0"/>
        <w:ind w:left="169" w:right="212" w:firstLine="0"/>
        <w:jc w:val="left"/>
        <w:rPr>
          <w:sz w:val="18"/>
        </w:rPr>
      </w:pPr>
      <w:r>
        <w:rPr/>
        <w:pict>
          <v:shape style="position:absolute;margin-left:223.059998pt;margin-top:5.561873pt;width:166.4pt;height:15.4pt;mso-position-horizontal-relative:page;mso-position-vertical-relative:paragraph;z-index:17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21"/>
        </w:rPr>
      </w:pPr>
    </w:p>
    <w:p>
      <w:pPr>
        <w:spacing w:before="0"/>
        <w:ind w:left="116" w:right="212" w:firstLine="0"/>
        <w:jc w:val="left"/>
        <w:rPr>
          <w:rFonts w:ascii="Calibri" w:hAnsi="Calibri"/>
          <w:sz w:val="22"/>
        </w:rPr>
      </w:pPr>
      <w:r>
        <w:rPr>
          <w:rFonts w:ascii="Calibri" w:hAnsi="Calibri"/>
          <w:sz w:val="22"/>
        </w:rPr>
        <w:t>30.-  Menor interés en su vida sexual.</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85pt;width:166.4pt;height:15.15pt;mso-position-horizontal-relative:page;mso-position-vertical-relative:paragraph;z-index:181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1"/>
        <w:ind w:left="116" w:right="212" w:firstLine="0"/>
        <w:jc w:val="left"/>
        <w:rPr>
          <w:rFonts w:ascii="Calibri"/>
          <w:sz w:val="22"/>
        </w:rPr>
      </w:pPr>
      <w:r>
        <w:rPr>
          <w:rFonts w:ascii="Calibri"/>
          <w:sz w:val="22"/>
        </w:rPr>
        <w:t>31.- Tener que organizar su vida cotidiana alrededor de la diabetes.</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57pt;width:166.4pt;height:15.15pt;mso-position-horizontal-relative:page;mso-position-vertical-relative:paragraph;z-index:184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sz w:val="22"/>
        </w:rPr>
      </w:pPr>
      <w:r>
        <w:rPr>
          <w:rFonts w:ascii="Calibri"/>
          <w:sz w:val="22"/>
        </w:rPr>
        <w:t>32.- Tener que descansar a menudo.</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918pt;width:166.4pt;height:15.4pt;mso-position-horizontal-relative:page;mso-position-vertical-relative:paragraph;z-index:186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spacing w:line="266" w:lineRule="exact"/>
                          <w:ind w:left="105"/>
                          <w:rPr>
                            <w:rFonts w:ascii="Calibri"/>
                            <w:sz w:val="22"/>
                          </w:rPr>
                        </w:pPr>
                        <w:r>
                          <w:rPr>
                            <w:rFonts w:ascii="Calibri"/>
                            <w:w w:val="100"/>
                            <w:sz w:val="22"/>
                          </w:rPr>
                          <w:t>1</w:t>
                        </w:r>
                      </w:p>
                    </w:tc>
                    <w:tc>
                      <w:tcPr>
                        <w:tcW w:w="476" w:type="dxa"/>
                      </w:tcPr>
                      <w:p>
                        <w:pPr>
                          <w:pStyle w:val="TableParagraph"/>
                          <w:spacing w:line="266" w:lineRule="exact"/>
                          <w:rPr>
                            <w:rFonts w:ascii="Calibri"/>
                            <w:sz w:val="22"/>
                          </w:rPr>
                        </w:pPr>
                        <w:r>
                          <w:rPr>
                            <w:rFonts w:ascii="Calibri"/>
                            <w:w w:val="100"/>
                            <w:sz w:val="22"/>
                          </w:rPr>
                          <w:t>2</w:t>
                        </w:r>
                      </w:p>
                    </w:tc>
                    <w:tc>
                      <w:tcPr>
                        <w:tcW w:w="470" w:type="dxa"/>
                      </w:tcPr>
                      <w:p>
                        <w:pPr>
                          <w:pStyle w:val="TableParagraph"/>
                          <w:spacing w:line="266" w:lineRule="exact"/>
                          <w:rPr>
                            <w:rFonts w:ascii="Calibri"/>
                            <w:sz w:val="22"/>
                          </w:rPr>
                        </w:pPr>
                        <w:r>
                          <w:rPr>
                            <w:rFonts w:ascii="Calibri"/>
                            <w:w w:val="100"/>
                            <w:sz w:val="22"/>
                          </w:rPr>
                          <w:t>3</w:t>
                        </w:r>
                      </w:p>
                    </w:tc>
                    <w:tc>
                      <w:tcPr>
                        <w:tcW w:w="475" w:type="dxa"/>
                      </w:tcPr>
                      <w:p>
                        <w:pPr>
                          <w:pStyle w:val="TableParagraph"/>
                          <w:spacing w:line="266" w:lineRule="exact"/>
                          <w:rPr>
                            <w:rFonts w:ascii="Calibri"/>
                            <w:sz w:val="22"/>
                          </w:rPr>
                        </w:pPr>
                        <w:r>
                          <w:rPr>
                            <w:rFonts w:ascii="Calibri"/>
                            <w:w w:val="100"/>
                            <w:sz w:val="22"/>
                          </w:rPr>
                          <w:t>4</w:t>
                        </w:r>
                      </w:p>
                    </w:tc>
                    <w:tc>
                      <w:tcPr>
                        <w:tcW w:w="471" w:type="dxa"/>
                      </w:tcPr>
                      <w:p>
                        <w:pPr>
                          <w:pStyle w:val="TableParagraph"/>
                          <w:spacing w:line="266" w:lineRule="exact"/>
                          <w:rPr>
                            <w:rFonts w:ascii="Calibri"/>
                            <w:sz w:val="22"/>
                          </w:rPr>
                        </w:pPr>
                        <w:r>
                          <w:rPr>
                            <w:rFonts w:ascii="Calibri"/>
                            <w:w w:val="100"/>
                            <w:sz w:val="22"/>
                          </w:rPr>
                          <w:t>5</w:t>
                        </w:r>
                      </w:p>
                    </w:tc>
                    <w:tc>
                      <w:tcPr>
                        <w:tcW w:w="475" w:type="dxa"/>
                      </w:tcPr>
                      <w:p>
                        <w:pPr>
                          <w:pStyle w:val="TableParagraph"/>
                          <w:spacing w:line="266" w:lineRule="exact"/>
                          <w:rPr>
                            <w:rFonts w:ascii="Calibri"/>
                            <w:sz w:val="22"/>
                          </w:rPr>
                        </w:pPr>
                        <w:r>
                          <w:rPr>
                            <w:rFonts w:ascii="Calibri"/>
                            <w:w w:val="100"/>
                            <w:sz w:val="22"/>
                          </w:rPr>
                          <w:t>6</w:t>
                        </w:r>
                      </w:p>
                    </w:tc>
                    <w:tc>
                      <w:tcPr>
                        <w:tcW w:w="471" w:type="dxa"/>
                      </w:tcPr>
                      <w:p>
                        <w:pPr>
                          <w:pStyle w:val="TableParagraph"/>
                          <w:spacing w:line="266" w:lineRule="exact"/>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sz w:val="22"/>
        </w:rPr>
      </w:pPr>
      <w:r>
        <w:rPr>
          <w:rFonts w:ascii="Calibri"/>
          <w:sz w:val="22"/>
        </w:rPr>
        <w:t>33.- Problemas al subir las escaleras.</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915pt;width:166.4pt;height:15.4pt;mso-position-horizontal-relative:page;mso-position-vertical-relative:paragraph;z-index:188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spacing w:line="240" w:lineRule="auto" w:before="1"/>
                          <w:ind w:left="105"/>
                          <w:rPr>
                            <w:rFonts w:ascii="Calibri"/>
                            <w:sz w:val="22"/>
                          </w:rPr>
                        </w:pPr>
                        <w:r>
                          <w:rPr>
                            <w:rFonts w:ascii="Calibri"/>
                            <w:w w:val="100"/>
                            <w:sz w:val="22"/>
                          </w:rPr>
                          <w:t>1</w:t>
                        </w:r>
                      </w:p>
                    </w:tc>
                    <w:tc>
                      <w:tcPr>
                        <w:tcW w:w="476" w:type="dxa"/>
                      </w:tcPr>
                      <w:p>
                        <w:pPr>
                          <w:pStyle w:val="TableParagraph"/>
                          <w:spacing w:line="240" w:lineRule="auto" w:before="1"/>
                          <w:rPr>
                            <w:rFonts w:ascii="Calibri"/>
                            <w:sz w:val="22"/>
                          </w:rPr>
                        </w:pPr>
                        <w:r>
                          <w:rPr>
                            <w:rFonts w:ascii="Calibri"/>
                            <w:w w:val="100"/>
                            <w:sz w:val="22"/>
                          </w:rPr>
                          <w:t>2</w:t>
                        </w:r>
                      </w:p>
                    </w:tc>
                    <w:tc>
                      <w:tcPr>
                        <w:tcW w:w="470" w:type="dxa"/>
                      </w:tcPr>
                      <w:p>
                        <w:pPr>
                          <w:pStyle w:val="TableParagraph"/>
                          <w:spacing w:line="240" w:lineRule="auto" w:before="1"/>
                          <w:rPr>
                            <w:rFonts w:ascii="Calibri"/>
                            <w:sz w:val="22"/>
                          </w:rPr>
                        </w:pPr>
                        <w:r>
                          <w:rPr>
                            <w:rFonts w:ascii="Calibri"/>
                            <w:w w:val="100"/>
                            <w:sz w:val="22"/>
                          </w:rPr>
                          <w:t>3</w:t>
                        </w:r>
                      </w:p>
                    </w:tc>
                    <w:tc>
                      <w:tcPr>
                        <w:tcW w:w="475" w:type="dxa"/>
                      </w:tcPr>
                      <w:p>
                        <w:pPr>
                          <w:pStyle w:val="TableParagraph"/>
                          <w:spacing w:line="240" w:lineRule="auto" w:before="1"/>
                          <w:rPr>
                            <w:rFonts w:ascii="Calibri"/>
                            <w:sz w:val="22"/>
                          </w:rPr>
                        </w:pPr>
                        <w:r>
                          <w:rPr>
                            <w:rFonts w:ascii="Calibri"/>
                            <w:w w:val="100"/>
                            <w:sz w:val="22"/>
                          </w:rPr>
                          <w:t>4</w:t>
                        </w:r>
                      </w:p>
                    </w:tc>
                    <w:tc>
                      <w:tcPr>
                        <w:tcW w:w="471" w:type="dxa"/>
                      </w:tcPr>
                      <w:p>
                        <w:pPr>
                          <w:pStyle w:val="TableParagraph"/>
                          <w:spacing w:line="240" w:lineRule="auto" w:before="1"/>
                          <w:rPr>
                            <w:rFonts w:ascii="Calibri"/>
                            <w:sz w:val="22"/>
                          </w:rPr>
                        </w:pPr>
                        <w:r>
                          <w:rPr>
                            <w:rFonts w:ascii="Calibri"/>
                            <w:w w:val="100"/>
                            <w:sz w:val="22"/>
                          </w:rPr>
                          <w:t>5</w:t>
                        </w:r>
                      </w:p>
                    </w:tc>
                    <w:tc>
                      <w:tcPr>
                        <w:tcW w:w="475" w:type="dxa"/>
                      </w:tcPr>
                      <w:p>
                        <w:pPr>
                          <w:pStyle w:val="TableParagraph"/>
                          <w:spacing w:line="240" w:lineRule="auto" w:before="1"/>
                          <w:rPr>
                            <w:rFonts w:ascii="Calibri"/>
                            <w:sz w:val="22"/>
                          </w:rPr>
                        </w:pPr>
                        <w:r>
                          <w:rPr>
                            <w:rFonts w:ascii="Calibri"/>
                            <w:w w:val="100"/>
                            <w:sz w:val="22"/>
                          </w:rPr>
                          <w:t>6</w:t>
                        </w:r>
                      </w:p>
                    </w:tc>
                    <w:tc>
                      <w:tcPr>
                        <w:tcW w:w="471" w:type="dxa"/>
                      </w:tcPr>
                      <w:p>
                        <w:pPr>
                          <w:pStyle w:val="TableParagraph"/>
                          <w:spacing w:line="240" w:lineRule="auto" w:before="1"/>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21"/>
        </w:rPr>
      </w:pPr>
    </w:p>
    <w:p>
      <w:pPr>
        <w:spacing w:before="0"/>
        <w:ind w:left="116" w:right="212" w:firstLine="0"/>
        <w:jc w:val="left"/>
        <w:rPr>
          <w:rFonts w:ascii="Calibri" w:hAnsi="Calibri"/>
          <w:sz w:val="22"/>
        </w:rPr>
      </w:pPr>
      <w:r>
        <w:rPr>
          <w:rFonts w:ascii="Calibri" w:hAnsi="Calibri"/>
          <w:sz w:val="22"/>
        </w:rPr>
        <w:t>34.- Dificultades para sus cuidados personales (bañarse, vestirse o usar el sanitario)</w:t>
      </w:r>
    </w:p>
    <w:p>
      <w:pPr>
        <w:pStyle w:val="BodyText"/>
        <w:spacing w:before="1"/>
        <w:rPr>
          <w:rFonts w:ascii="Calibri"/>
          <w:sz w:val="19"/>
        </w:rPr>
      </w:pPr>
    </w:p>
    <w:p>
      <w:pPr>
        <w:tabs>
          <w:tab w:pos="6623" w:val="left" w:leader="none"/>
        </w:tabs>
        <w:spacing w:before="0"/>
        <w:ind w:left="169" w:right="212" w:firstLine="0"/>
        <w:jc w:val="left"/>
        <w:rPr>
          <w:sz w:val="18"/>
        </w:rPr>
      </w:pPr>
      <w:r>
        <w:rPr/>
        <w:pict>
          <v:shape style="position:absolute;margin-left:223.059998pt;margin-top:5.561912pt;width:166.4pt;height:15.15pt;mso-position-horizontal-relative:page;mso-position-vertical-relative:paragraph;z-index:191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hAnsi="Calibri"/>
          <w:sz w:val="22"/>
        </w:rPr>
      </w:pPr>
      <w:r>
        <w:rPr>
          <w:rFonts w:ascii="Calibri" w:hAnsi="Calibri"/>
          <w:sz w:val="22"/>
        </w:rPr>
        <w:t>35.- Tener el sueño intranquilo.</w:t>
      </w:r>
    </w:p>
    <w:p>
      <w:pPr>
        <w:spacing w:after="0"/>
        <w:jc w:val="left"/>
        <w:rPr>
          <w:rFonts w:ascii="Calibri" w:hAnsi="Calibri"/>
          <w:sz w:val="22"/>
        </w:rPr>
        <w:sectPr>
          <w:pgSz w:w="12240" w:h="15840"/>
          <w:pgMar w:header="729" w:footer="0" w:top="960" w:bottom="280" w:left="1300" w:right="1300"/>
        </w:sectPr>
      </w:pPr>
    </w:p>
    <w:p>
      <w:pPr>
        <w:pStyle w:val="BodyText"/>
        <w:spacing w:before="8"/>
        <w:rPr>
          <w:rFonts w:ascii="Calibri"/>
          <w:sz w:val="29"/>
        </w:rPr>
      </w:pPr>
    </w:p>
    <w:p>
      <w:pPr>
        <w:tabs>
          <w:tab w:pos="6623" w:val="left" w:leader="none"/>
        </w:tabs>
        <w:spacing w:before="80"/>
        <w:ind w:left="169" w:right="212" w:firstLine="0"/>
        <w:jc w:val="left"/>
        <w:rPr>
          <w:sz w:val="18"/>
        </w:rPr>
      </w:pPr>
      <w:r>
        <w:rPr/>
        <w:pict>
          <v:shape style="position:absolute;margin-left:223.059998pt;margin-top:9.561914pt;width:166.4pt;height:15.4pt;mso-position-horizontal-relative:page;mso-position-vertical-relative:paragraph;z-index:193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spacing w:line="240" w:lineRule="auto" w:before="1"/>
                          <w:ind w:left="105"/>
                          <w:rPr>
                            <w:rFonts w:ascii="Calibri"/>
                            <w:sz w:val="22"/>
                          </w:rPr>
                        </w:pPr>
                        <w:r>
                          <w:rPr>
                            <w:rFonts w:ascii="Calibri"/>
                            <w:w w:val="100"/>
                            <w:sz w:val="22"/>
                          </w:rPr>
                          <w:t>1</w:t>
                        </w:r>
                      </w:p>
                    </w:tc>
                    <w:tc>
                      <w:tcPr>
                        <w:tcW w:w="476" w:type="dxa"/>
                      </w:tcPr>
                      <w:p>
                        <w:pPr>
                          <w:pStyle w:val="TableParagraph"/>
                          <w:spacing w:line="240" w:lineRule="auto" w:before="1"/>
                          <w:rPr>
                            <w:rFonts w:ascii="Calibri"/>
                            <w:sz w:val="22"/>
                          </w:rPr>
                        </w:pPr>
                        <w:r>
                          <w:rPr>
                            <w:rFonts w:ascii="Calibri"/>
                            <w:w w:val="100"/>
                            <w:sz w:val="22"/>
                          </w:rPr>
                          <w:t>2</w:t>
                        </w:r>
                      </w:p>
                    </w:tc>
                    <w:tc>
                      <w:tcPr>
                        <w:tcW w:w="470" w:type="dxa"/>
                      </w:tcPr>
                      <w:p>
                        <w:pPr>
                          <w:pStyle w:val="TableParagraph"/>
                          <w:spacing w:line="240" w:lineRule="auto" w:before="1"/>
                          <w:rPr>
                            <w:rFonts w:ascii="Calibri"/>
                            <w:sz w:val="22"/>
                          </w:rPr>
                        </w:pPr>
                        <w:r>
                          <w:rPr>
                            <w:rFonts w:ascii="Calibri"/>
                            <w:w w:val="100"/>
                            <w:sz w:val="22"/>
                          </w:rPr>
                          <w:t>3</w:t>
                        </w:r>
                      </w:p>
                    </w:tc>
                    <w:tc>
                      <w:tcPr>
                        <w:tcW w:w="475" w:type="dxa"/>
                      </w:tcPr>
                      <w:p>
                        <w:pPr>
                          <w:pStyle w:val="TableParagraph"/>
                          <w:spacing w:line="240" w:lineRule="auto" w:before="1"/>
                          <w:rPr>
                            <w:rFonts w:ascii="Calibri"/>
                            <w:sz w:val="22"/>
                          </w:rPr>
                        </w:pPr>
                        <w:r>
                          <w:rPr>
                            <w:rFonts w:ascii="Calibri"/>
                            <w:w w:val="100"/>
                            <w:sz w:val="22"/>
                          </w:rPr>
                          <w:t>4</w:t>
                        </w:r>
                      </w:p>
                    </w:tc>
                    <w:tc>
                      <w:tcPr>
                        <w:tcW w:w="471" w:type="dxa"/>
                      </w:tcPr>
                      <w:p>
                        <w:pPr>
                          <w:pStyle w:val="TableParagraph"/>
                          <w:spacing w:line="240" w:lineRule="auto" w:before="1"/>
                          <w:rPr>
                            <w:rFonts w:ascii="Calibri"/>
                            <w:sz w:val="22"/>
                          </w:rPr>
                        </w:pPr>
                        <w:r>
                          <w:rPr>
                            <w:rFonts w:ascii="Calibri"/>
                            <w:w w:val="100"/>
                            <w:sz w:val="22"/>
                          </w:rPr>
                          <w:t>5</w:t>
                        </w:r>
                      </w:p>
                    </w:tc>
                    <w:tc>
                      <w:tcPr>
                        <w:tcW w:w="475" w:type="dxa"/>
                      </w:tcPr>
                      <w:p>
                        <w:pPr>
                          <w:pStyle w:val="TableParagraph"/>
                          <w:spacing w:line="240" w:lineRule="auto" w:before="1"/>
                          <w:rPr>
                            <w:rFonts w:ascii="Calibri"/>
                            <w:sz w:val="22"/>
                          </w:rPr>
                        </w:pPr>
                        <w:r>
                          <w:rPr>
                            <w:rFonts w:ascii="Calibri"/>
                            <w:w w:val="100"/>
                            <w:sz w:val="22"/>
                          </w:rPr>
                          <w:t>6</w:t>
                        </w:r>
                      </w:p>
                    </w:tc>
                    <w:tc>
                      <w:tcPr>
                        <w:tcW w:w="471" w:type="dxa"/>
                      </w:tcPr>
                      <w:p>
                        <w:pPr>
                          <w:pStyle w:val="TableParagraph"/>
                          <w:spacing w:line="240" w:lineRule="auto" w:before="1"/>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21"/>
        </w:rPr>
      </w:pPr>
    </w:p>
    <w:p>
      <w:pPr>
        <w:spacing w:before="0"/>
        <w:ind w:left="116" w:right="212" w:firstLine="0"/>
        <w:jc w:val="left"/>
        <w:rPr>
          <w:rFonts w:ascii="Calibri" w:hAnsi="Calibri"/>
          <w:sz w:val="22"/>
        </w:rPr>
      </w:pPr>
      <w:r>
        <w:rPr>
          <w:rFonts w:ascii="Calibri" w:hAnsi="Calibri"/>
          <w:sz w:val="22"/>
        </w:rPr>
        <w:t>36.- Andar más despacio que otras personas.</w:t>
      </w:r>
    </w:p>
    <w:p>
      <w:pPr>
        <w:pStyle w:val="BodyText"/>
        <w:spacing w:before="1"/>
        <w:rPr>
          <w:rFonts w:ascii="Calibri"/>
          <w:sz w:val="19"/>
        </w:rPr>
      </w:pPr>
    </w:p>
    <w:p>
      <w:pPr>
        <w:tabs>
          <w:tab w:pos="6623" w:val="left" w:leader="none"/>
        </w:tabs>
        <w:spacing w:before="0"/>
        <w:ind w:left="169" w:right="212" w:firstLine="0"/>
        <w:jc w:val="left"/>
        <w:rPr>
          <w:sz w:val="18"/>
        </w:rPr>
      </w:pPr>
      <w:r>
        <w:rPr/>
        <w:pict>
          <v:shape style="position:absolute;margin-left:223.059998pt;margin-top:5.561865pt;width:166.4pt;height:15.15pt;mso-position-horizontal-relative:page;mso-position-vertical-relative:paragraph;z-index:196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18"/>
        </w:rPr>
      </w:pPr>
    </w:p>
    <w:p>
      <w:pPr>
        <w:pStyle w:val="BodyText"/>
        <w:rPr>
          <w:sz w:val="18"/>
        </w:rPr>
      </w:pPr>
    </w:p>
    <w:p>
      <w:pPr>
        <w:pStyle w:val="BodyText"/>
        <w:rPr>
          <w:sz w:val="18"/>
        </w:rPr>
      </w:pPr>
    </w:p>
    <w:p>
      <w:pPr>
        <w:spacing w:before="125"/>
        <w:ind w:left="116" w:right="212" w:firstLine="0"/>
        <w:jc w:val="left"/>
        <w:rPr>
          <w:rFonts w:ascii="Calibri" w:hAnsi="Calibri"/>
          <w:sz w:val="22"/>
        </w:rPr>
      </w:pPr>
      <w:r>
        <w:rPr>
          <w:rFonts w:ascii="Calibri" w:hAnsi="Calibri"/>
          <w:sz w:val="22"/>
        </w:rPr>
        <w:t>37.- Ser identificado como diabético.</w:t>
      </w:r>
    </w:p>
    <w:p>
      <w:pPr>
        <w:pStyle w:val="BodyText"/>
        <w:spacing w:before="1"/>
        <w:rPr>
          <w:rFonts w:ascii="Calibri"/>
          <w:sz w:val="19"/>
        </w:rPr>
      </w:pPr>
    </w:p>
    <w:p>
      <w:pPr>
        <w:tabs>
          <w:tab w:pos="6623" w:val="left" w:leader="none"/>
        </w:tabs>
        <w:spacing w:before="0"/>
        <w:ind w:left="169" w:right="212" w:firstLine="0"/>
        <w:jc w:val="left"/>
        <w:rPr>
          <w:sz w:val="18"/>
        </w:rPr>
      </w:pPr>
      <w:r>
        <w:rPr/>
        <w:pict>
          <v:shape style="position:absolute;margin-left:223.059998pt;margin-top:5.561865pt;width:166.4pt;height:15.4pt;mso-position-horizontal-relative:page;mso-position-vertical-relative:paragraph;z-index:19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0"/>
        <w:ind w:left="116" w:right="212" w:firstLine="0"/>
        <w:jc w:val="left"/>
        <w:rPr>
          <w:rFonts w:ascii="Calibri"/>
          <w:sz w:val="22"/>
        </w:rPr>
      </w:pPr>
      <w:r>
        <w:rPr>
          <w:rFonts w:ascii="Calibri"/>
          <w:sz w:val="22"/>
        </w:rPr>
        <w:t>38.- Interferencia de la diabetes con su vida familiar.</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611897pt;width:166.4pt;height:15.4pt;mso-position-horizontal-relative:page;mso-position-vertical-relative:paragraph;z-index:200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8"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spacing w:before="7"/>
        <w:rPr>
          <w:sz w:val="20"/>
        </w:rPr>
      </w:pPr>
    </w:p>
    <w:p>
      <w:pPr>
        <w:spacing w:before="1"/>
        <w:ind w:left="116" w:right="212" w:firstLine="0"/>
        <w:jc w:val="left"/>
        <w:rPr>
          <w:rFonts w:ascii="Calibri"/>
          <w:sz w:val="22"/>
        </w:rPr>
      </w:pPr>
      <w:r>
        <w:rPr>
          <w:rFonts w:ascii="Calibri"/>
          <w:sz w:val="22"/>
        </w:rPr>
        <w:t>39.-La diabetes en general.</w:t>
      </w:r>
    </w:p>
    <w:p>
      <w:pPr>
        <w:pStyle w:val="BodyText"/>
        <w:rPr>
          <w:rFonts w:ascii="Calibri"/>
          <w:sz w:val="19"/>
        </w:rPr>
      </w:pPr>
    </w:p>
    <w:p>
      <w:pPr>
        <w:tabs>
          <w:tab w:pos="6623" w:val="left" w:leader="none"/>
        </w:tabs>
        <w:spacing w:before="1"/>
        <w:ind w:left="169" w:right="212" w:firstLine="0"/>
        <w:jc w:val="left"/>
        <w:rPr>
          <w:sz w:val="18"/>
        </w:rPr>
      </w:pPr>
      <w:r>
        <w:rPr/>
        <w:pict>
          <v:shape style="position:absolute;margin-left:223.059998pt;margin-top:5.851899pt;width:166.4pt;height:15.15pt;mso-position-horizontal-relative:page;mso-position-vertical-relative:paragraph;z-index:203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rPr>
                            <w:rFonts w:ascii="Calibri"/>
                            <w:sz w:val="22"/>
                          </w:rPr>
                        </w:pPr>
                        <w:r>
                          <w:rPr>
                            <w:rFonts w:ascii="Calibri"/>
                            <w:w w:val="100"/>
                            <w:sz w:val="22"/>
                          </w:rPr>
                          <w:t>4</w:t>
                        </w:r>
                      </w:p>
                    </w:tc>
                    <w:tc>
                      <w:tcPr>
                        <w:tcW w:w="471" w:type="dxa"/>
                      </w:tcPr>
                      <w:p>
                        <w:pPr>
                          <w:pStyle w:val="TableParagraph"/>
                          <w:rPr>
                            <w:rFonts w:ascii="Calibri"/>
                            <w:sz w:val="22"/>
                          </w:rPr>
                        </w:pPr>
                        <w:r>
                          <w:rPr>
                            <w:rFonts w:ascii="Calibri"/>
                            <w:w w:val="100"/>
                            <w:sz w:val="22"/>
                          </w:rPr>
                          <w:t>5</w:t>
                        </w:r>
                      </w:p>
                    </w:tc>
                    <w:tc>
                      <w:tcPr>
                        <w:tcW w:w="475" w:type="dxa"/>
                      </w:tcPr>
                      <w:p>
                        <w:pPr>
                          <w:pStyle w:val="TableParagraph"/>
                          <w:rPr>
                            <w:rFonts w:ascii="Calibri"/>
                            <w:sz w:val="22"/>
                          </w:rPr>
                        </w:pPr>
                        <w:r>
                          <w:rPr>
                            <w:rFonts w:ascii="Calibri"/>
                            <w:w w:val="100"/>
                            <w:sz w:val="22"/>
                          </w:rPr>
                          <w:t>6</w:t>
                        </w:r>
                      </w:p>
                    </w:tc>
                    <w:tc>
                      <w:tcPr>
                        <w:tcW w:w="471" w:type="dxa"/>
                      </w:tcPr>
                      <w:p>
                        <w:pPr>
                          <w:pStyle w:val="TableParagraph"/>
                          <w:rPr>
                            <w:rFonts w:ascii="Calibri"/>
                            <w:sz w:val="22"/>
                          </w:rPr>
                        </w:pPr>
                        <w:r>
                          <w:rPr>
                            <w:rFonts w:ascii="Calibri"/>
                            <w:w w:val="100"/>
                            <w:sz w:val="22"/>
                          </w:rPr>
                          <w:t>7</w:t>
                        </w:r>
                      </w:p>
                    </w:tc>
                  </w:tr>
                </w:tbl>
                <w:p>
                  <w:pPr>
                    <w:pStyle w:val="BodyText"/>
                  </w:pPr>
                </w:p>
              </w:txbxContent>
            </v:textbox>
            <w10:wrap type="none"/>
          </v:shape>
        </w:pict>
      </w:r>
      <w:r>
        <w:rPr>
          <w:sz w:val="18"/>
        </w:rPr>
        <w:t>Nunca afecta </w:t>
      </w:r>
      <w:r>
        <w:rPr>
          <w:spacing w:val="-3"/>
          <w:sz w:val="18"/>
        </w:rPr>
        <w:t>en</w:t>
      </w:r>
      <w:r>
        <w:rPr>
          <w:spacing w:val="-2"/>
          <w:sz w:val="18"/>
        </w:rPr>
        <w:t> </w:t>
      </w:r>
      <w:r>
        <w:rPr>
          <w:sz w:val="18"/>
        </w:rPr>
        <w:t>absoluto</w:t>
      </w:r>
      <w:r>
        <w:rPr>
          <w:spacing w:val="-4"/>
          <w:sz w:val="18"/>
        </w:rPr>
        <w:t> </w:t>
      </w:r>
      <w:r>
        <w:rPr>
          <w:sz w:val="18"/>
        </w:rPr>
        <w:t>Siempre</w:t>
        <w:tab/>
        <w:t>afectada</w:t>
      </w:r>
    </w:p>
    <w:p>
      <w:pPr>
        <w:pStyle w:val="BodyText"/>
        <w:rPr>
          <w:sz w:val="21"/>
        </w:rPr>
      </w:pPr>
    </w:p>
    <w:p>
      <w:pPr>
        <w:spacing w:before="0"/>
        <w:ind w:left="116" w:right="212" w:firstLine="0"/>
        <w:jc w:val="left"/>
        <w:rPr>
          <w:rFonts w:ascii="Calibri" w:hAnsi="Calibri"/>
          <w:i/>
          <w:sz w:val="22"/>
        </w:rPr>
      </w:pPr>
      <w:r>
        <w:rPr>
          <w:rFonts w:ascii="Calibri" w:hAnsi="Calibri"/>
          <w:i/>
          <w:sz w:val="22"/>
        </w:rPr>
        <w:t>Calificación global</w:t>
      </w:r>
    </w:p>
    <w:p>
      <w:pPr>
        <w:pStyle w:val="BodyText"/>
        <w:spacing w:before="8"/>
        <w:rPr>
          <w:rFonts w:ascii="Calibri"/>
          <w:i/>
          <w:sz w:val="19"/>
        </w:rPr>
      </w:pPr>
    </w:p>
    <w:p>
      <w:pPr>
        <w:spacing w:before="0"/>
        <w:ind w:left="116" w:right="212" w:firstLine="0"/>
        <w:jc w:val="left"/>
        <w:rPr>
          <w:rFonts w:ascii="Calibri" w:hAnsi="Calibri"/>
          <w:sz w:val="22"/>
        </w:rPr>
      </w:pPr>
      <w:r>
        <w:rPr>
          <w:rFonts w:ascii="Calibri" w:hAnsi="Calibri"/>
          <w:sz w:val="22"/>
        </w:rPr>
        <w:t>1.- Por favor marque con una cruz (X) el cuadro que indique la calificación de su calidad de vida.</w:t>
      </w:r>
    </w:p>
    <w:p>
      <w:pPr>
        <w:pStyle w:val="BodyText"/>
        <w:spacing w:before="1"/>
        <w:rPr>
          <w:rFonts w:ascii="Calibri"/>
          <w:sz w:val="19"/>
        </w:rPr>
      </w:pPr>
    </w:p>
    <w:p>
      <w:pPr>
        <w:tabs>
          <w:tab w:pos="5528" w:val="left" w:leader="none"/>
        </w:tabs>
        <w:spacing w:before="0"/>
        <w:ind w:left="169" w:right="212" w:firstLine="0"/>
        <w:jc w:val="left"/>
        <w:rPr>
          <w:sz w:val="18"/>
        </w:rPr>
      </w:pPr>
      <w:r>
        <w:rPr/>
        <w:pict>
          <v:shape style="position:absolute;margin-left:168.070007pt;margin-top:2.441888pt;width:166.4pt;height:15.15pt;mso-position-horizontal-relative:page;mso-position-vertical-relative:paragraph;z-index:205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5"/>
                    <w:gridCol w:w="471"/>
                    <w:gridCol w:w="475"/>
                    <w:gridCol w:w="471"/>
                  </w:tblGrid>
                  <w:tr>
                    <w:trPr>
                      <w:trHeight w:val="293" w:hRule="exact"/>
                    </w:trPr>
                    <w:tc>
                      <w:tcPr>
                        <w:tcW w:w="475" w:type="dxa"/>
                      </w:tcPr>
                      <w:p>
                        <w:pPr>
                          <w:pStyle w:val="TableParagraph"/>
                          <w:ind w:left="105"/>
                          <w:rPr>
                            <w:rFonts w:ascii="Calibri"/>
                            <w:sz w:val="22"/>
                          </w:rPr>
                        </w:pPr>
                        <w:r>
                          <w:rPr>
                            <w:rFonts w:ascii="Calibri"/>
                            <w:w w:val="100"/>
                            <w:sz w:val="22"/>
                          </w:rPr>
                          <w:t>1</w:t>
                        </w:r>
                      </w:p>
                    </w:tc>
                    <w:tc>
                      <w:tcPr>
                        <w:tcW w:w="476" w:type="dxa"/>
                      </w:tcPr>
                      <w:p>
                        <w:pPr>
                          <w:pStyle w:val="TableParagraph"/>
                          <w:ind w:left="105"/>
                          <w:rPr>
                            <w:rFonts w:ascii="Calibri"/>
                            <w:sz w:val="22"/>
                          </w:rPr>
                        </w:pPr>
                        <w:r>
                          <w:rPr>
                            <w:rFonts w:ascii="Calibri"/>
                            <w:w w:val="100"/>
                            <w:sz w:val="22"/>
                          </w:rPr>
                          <w:t>2</w:t>
                        </w:r>
                      </w:p>
                    </w:tc>
                    <w:tc>
                      <w:tcPr>
                        <w:tcW w:w="470" w:type="dxa"/>
                      </w:tcPr>
                      <w:p>
                        <w:pPr>
                          <w:pStyle w:val="TableParagraph"/>
                          <w:rPr>
                            <w:rFonts w:ascii="Calibri"/>
                            <w:sz w:val="22"/>
                          </w:rPr>
                        </w:pPr>
                        <w:r>
                          <w:rPr>
                            <w:rFonts w:ascii="Calibri"/>
                            <w:w w:val="100"/>
                            <w:sz w:val="22"/>
                          </w:rPr>
                          <w:t>3</w:t>
                        </w:r>
                      </w:p>
                    </w:tc>
                    <w:tc>
                      <w:tcPr>
                        <w:tcW w:w="475" w:type="dxa"/>
                      </w:tcPr>
                      <w:p>
                        <w:pPr>
                          <w:pStyle w:val="TableParagraph"/>
                          <w:ind w:left="105"/>
                          <w:rPr>
                            <w:rFonts w:ascii="Calibri"/>
                            <w:sz w:val="22"/>
                          </w:rPr>
                        </w:pPr>
                        <w:r>
                          <w:rPr>
                            <w:rFonts w:ascii="Calibri"/>
                            <w:w w:val="100"/>
                            <w:sz w:val="22"/>
                          </w:rPr>
                          <w:t>4</w:t>
                        </w:r>
                      </w:p>
                    </w:tc>
                    <w:tc>
                      <w:tcPr>
                        <w:tcW w:w="471" w:type="dxa"/>
                      </w:tcPr>
                      <w:p>
                        <w:pPr>
                          <w:pStyle w:val="TableParagraph"/>
                          <w:ind w:left="105"/>
                          <w:rPr>
                            <w:rFonts w:ascii="Calibri"/>
                            <w:sz w:val="22"/>
                          </w:rPr>
                        </w:pPr>
                        <w:r>
                          <w:rPr>
                            <w:rFonts w:ascii="Calibri"/>
                            <w:w w:val="100"/>
                            <w:sz w:val="22"/>
                          </w:rPr>
                          <w:t>5</w:t>
                        </w:r>
                      </w:p>
                    </w:tc>
                    <w:tc>
                      <w:tcPr>
                        <w:tcW w:w="475" w:type="dxa"/>
                      </w:tcPr>
                      <w:p>
                        <w:pPr>
                          <w:pStyle w:val="TableParagraph"/>
                          <w:ind w:left="105"/>
                          <w:rPr>
                            <w:rFonts w:ascii="Calibri"/>
                            <w:sz w:val="22"/>
                          </w:rPr>
                        </w:pPr>
                        <w:r>
                          <w:rPr>
                            <w:rFonts w:ascii="Calibri"/>
                            <w:w w:val="100"/>
                            <w:sz w:val="22"/>
                          </w:rPr>
                          <w:t>6</w:t>
                        </w:r>
                      </w:p>
                    </w:tc>
                    <w:tc>
                      <w:tcPr>
                        <w:tcW w:w="471" w:type="dxa"/>
                      </w:tcPr>
                      <w:p>
                        <w:pPr>
                          <w:pStyle w:val="TableParagraph"/>
                          <w:ind w:left="105"/>
                          <w:rPr>
                            <w:rFonts w:ascii="Calibri"/>
                            <w:sz w:val="22"/>
                          </w:rPr>
                        </w:pPr>
                        <w:r>
                          <w:rPr>
                            <w:rFonts w:ascii="Calibri"/>
                            <w:w w:val="100"/>
                            <w:sz w:val="22"/>
                          </w:rPr>
                          <w:t>7</w:t>
                        </w:r>
                      </w:p>
                    </w:tc>
                  </w:tr>
                </w:tbl>
                <w:p>
                  <w:pPr>
                    <w:pStyle w:val="BodyText"/>
                  </w:pPr>
                </w:p>
              </w:txbxContent>
            </v:textbox>
            <w10:wrap type="none"/>
          </v:shape>
        </w:pict>
      </w:r>
      <w:r>
        <w:rPr>
          <w:sz w:val="18"/>
        </w:rPr>
        <w:t>Mínima</w:t>
      </w:r>
      <w:r>
        <w:rPr>
          <w:spacing w:val="-3"/>
          <w:sz w:val="18"/>
        </w:rPr>
        <w:t> </w:t>
      </w:r>
      <w:r>
        <w:rPr>
          <w:sz w:val="18"/>
        </w:rPr>
        <w:t>calidad</w:t>
        <w:tab/>
        <w:t>Máxima</w:t>
      </w:r>
      <w:r>
        <w:rPr>
          <w:spacing w:val="-2"/>
          <w:sz w:val="18"/>
        </w:rPr>
        <w:t> </w:t>
      </w:r>
      <w:r>
        <w:rPr>
          <w:sz w:val="18"/>
        </w:rPr>
        <w:t>calidad</w:t>
      </w:r>
    </w:p>
    <w:p>
      <w:pPr>
        <w:pStyle w:val="BodyText"/>
        <w:spacing w:before="7"/>
        <w:rPr>
          <w:sz w:val="20"/>
        </w:rPr>
      </w:pPr>
    </w:p>
    <w:p>
      <w:pPr>
        <w:spacing w:line="273" w:lineRule="auto" w:before="0"/>
        <w:ind w:left="116" w:right="212" w:firstLine="0"/>
        <w:jc w:val="left"/>
        <w:rPr>
          <w:rFonts w:ascii="Calibri"/>
          <w:sz w:val="22"/>
        </w:rPr>
      </w:pPr>
      <w:r>
        <w:rPr>
          <w:rFonts w:ascii="Calibri"/>
          <w:sz w:val="22"/>
        </w:rPr>
        <w:t>2.- Por favor marque con una cruz (X) el cuadro que indique lo que usted piensa de la gravedad de su diabetes.</w:t>
      </w:r>
    </w:p>
    <w:p>
      <w:pPr>
        <w:tabs>
          <w:tab w:pos="5619" w:val="left" w:leader="none"/>
        </w:tabs>
        <w:spacing w:before="195"/>
        <w:ind w:left="169" w:right="212" w:firstLine="0"/>
        <w:jc w:val="left"/>
        <w:rPr>
          <w:sz w:val="18"/>
        </w:rPr>
      </w:pPr>
      <w:r>
        <w:rPr/>
        <w:pict>
          <v:shape style="position:absolute;margin-left:172.869995pt;margin-top:10.011885pt;width:166.4pt;height:15.15pt;mso-position-horizontal-relative:page;mso-position-vertical-relative:paragraph;z-index:208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476"/>
                    <w:gridCol w:w="470"/>
                    <w:gridCol w:w="476"/>
                    <w:gridCol w:w="470"/>
                    <w:gridCol w:w="475"/>
                    <w:gridCol w:w="471"/>
                  </w:tblGrid>
                  <w:tr>
                    <w:trPr>
                      <w:trHeight w:val="293" w:hRule="exact"/>
                    </w:trPr>
                    <w:tc>
                      <w:tcPr>
                        <w:tcW w:w="475" w:type="dxa"/>
                      </w:tcPr>
                      <w:p>
                        <w:pPr>
                          <w:pStyle w:val="TableParagraph"/>
                          <w:spacing w:line="266" w:lineRule="exact"/>
                          <w:ind w:left="105"/>
                          <w:rPr>
                            <w:rFonts w:ascii="Calibri"/>
                            <w:sz w:val="22"/>
                          </w:rPr>
                        </w:pPr>
                        <w:r>
                          <w:rPr>
                            <w:rFonts w:ascii="Calibri"/>
                            <w:w w:val="100"/>
                            <w:sz w:val="22"/>
                          </w:rPr>
                          <w:t>1</w:t>
                        </w:r>
                      </w:p>
                    </w:tc>
                    <w:tc>
                      <w:tcPr>
                        <w:tcW w:w="476" w:type="dxa"/>
                      </w:tcPr>
                      <w:p>
                        <w:pPr>
                          <w:pStyle w:val="TableParagraph"/>
                          <w:spacing w:line="266" w:lineRule="exact"/>
                          <w:rPr>
                            <w:rFonts w:ascii="Calibri"/>
                            <w:sz w:val="22"/>
                          </w:rPr>
                        </w:pPr>
                        <w:r>
                          <w:rPr>
                            <w:rFonts w:ascii="Calibri"/>
                            <w:w w:val="100"/>
                            <w:sz w:val="22"/>
                          </w:rPr>
                          <w:t>2</w:t>
                        </w:r>
                      </w:p>
                    </w:tc>
                    <w:tc>
                      <w:tcPr>
                        <w:tcW w:w="470" w:type="dxa"/>
                      </w:tcPr>
                      <w:p>
                        <w:pPr>
                          <w:pStyle w:val="TableParagraph"/>
                          <w:spacing w:line="266" w:lineRule="exact"/>
                          <w:rPr>
                            <w:rFonts w:ascii="Calibri"/>
                            <w:sz w:val="22"/>
                          </w:rPr>
                        </w:pPr>
                        <w:r>
                          <w:rPr>
                            <w:rFonts w:ascii="Calibri"/>
                            <w:w w:val="100"/>
                            <w:sz w:val="22"/>
                          </w:rPr>
                          <w:t>3</w:t>
                        </w:r>
                      </w:p>
                    </w:tc>
                    <w:tc>
                      <w:tcPr>
                        <w:tcW w:w="476" w:type="dxa"/>
                      </w:tcPr>
                      <w:p>
                        <w:pPr>
                          <w:pStyle w:val="TableParagraph"/>
                          <w:spacing w:line="266" w:lineRule="exact"/>
                          <w:rPr>
                            <w:rFonts w:ascii="Calibri"/>
                            <w:sz w:val="22"/>
                          </w:rPr>
                        </w:pPr>
                        <w:r>
                          <w:rPr>
                            <w:rFonts w:ascii="Calibri"/>
                            <w:w w:val="100"/>
                            <w:sz w:val="22"/>
                          </w:rPr>
                          <w:t>4</w:t>
                        </w:r>
                      </w:p>
                    </w:tc>
                    <w:tc>
                      <w:tcPr>
                        <w:tcW w:w="470" w:type="dxa"/>
                      </w:tcPr>
                      <w:p>
                        <w:pPr>
                          <w:pStyle w:val="TableParagraph"/>
                          <w:spacing w:line="266" w:lineRule="exact"/>
                          <w:rPr>
                            <w:rFonts w:ascii="Calibri"/>
                            <w:sz w:val="22"/>
                          </w:rPr>
                        </w:pPr>
                        <w:r>
                          <w:rPr>
                            <w:rFonts w:ascii="Calibri"/>
                            <w:w w:val="100"/>
                            <w:sz w:val="22"/>
                          </w:rPr>
                          <w:t>5</w:t>
                        </w:r>
                      </w:p>
                    </w:tc>
                    <w:tc>
                      <w:tcPr>
                        <w:tcW w:w="475" w:type="dxa"/>
                      </w:tcPr>
                      <w:p>
                        <w:pPr>
                          <w:pStyle w:val="TableParagraph"/>
                          <w:spacing w:line="266" w:lineRule="exact"/>
                          <w:rPr>
                            <w:rFonts w:ascii="Calibri"/>
                            <w:sz w:val="22"/>
                          </w:rPr>
                        </w:pPr>
                        <w:r>
                          <w:rPr>
                            <w:rFonts w:ascii="Calibri"/>
                            <w:w w:val="100"/>
                            <w:sz w:val="22"/>
                          </w:rPr>
                          <w:t>6</w:t>
                        </w:r>
                      </w:p>
                    </w:tc>
                    <w:tc>
                      <w:tcPr>
                        <w:tcW w:w="471" w:type="dxa"/>
                      </w:tcPr>
                      <w:p>
                        <w:pPr>
                          <w:pStyle w:val="TableParagraph"/>
                          <w:spacing w:line="266" w:lineRule="exact"/>
                          <w:rPr>
                            <w:rFonts w:ascii="Calibri"/>
                            <w:sz w:val="22"/>
                          </w:rPr>
                        </w:pPr>
                        <w:r>
                          <w:rPr>
                            <w:rFonts w:ascii="Calibri"/>
                            <w:w w:val="100"/>
                            <w:sz w:val="22"/>
                          </w:rPr>
                          <w:t>7</w:t>
                        </w:r>
                      </w:p>
                    </w:tc>
                  </w:tr>
                </w:tbl>
                <w:p>
                  <w:pPr>
                    <w:pStyle w:val="BodyText"/>
                  </w:pPr>
                </w:p>
              </w:txbxContent>
            </v:textbox>
            <w10:wrap type="none"/>
          </v:shape>
        </w:pict>
      </w:r>
      <w:r>
        <w:rPr>
          <w:sz w:val="18"/>
        </w:rPr>
        <w:t>Ninguna</w:t>
      </w:r>
      <w:r>
        <w:rPr>
          <w:spacing w:val="-5"/>
          <w:sz w:val="18"/>
        </w:rPr>
        <w:t> </w:t>
      </w:r>
      <w:r>
        <w:rPr>
          <w:sz w:val="18"/>
        </w:rPr>
        <w:t>gravedad</w:t>
        <w:tab/>
        <w:t>Extremadamente</w:t>
      </w:r>
      <w:r>
        <w:rPr>
          <w:spacing w:val="-3"/>
          <w:sz w:val="18"/>
        </w:rPr>
        <w:t> </w:t>
      </w:r>
      <w:r>
        <w:rPr>
          <w:sz w:val="18"/>
        </w:rPr>
        <w:t>grave</w:t>
      </w:r>
    </w:p>
    <w:sectPr>
      <w:pgSz w:w="12240" w:h="15840"/>
      <w:pgMar w:header="729" w:footer="0" w:top="96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35.443916pt;width:16pt;height:14pt;mso-position-horizontal-relative:page;mso-position-vertical-relative:page;z-index:-8996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3"/>
      <w:numFmt w:val="decimal"/>
      <w:lvlText w:val="%1"/>
      <w:lvlJc w:val="left"/>
      <w:pPr>
        <w:ind w:left="515" w:hanging="399"/>
        <w:jc w:val="left"/>
      </w:pPr>
      <w:rPr>
        <w:rFonts w:hint="default"/>
      </w:rPr>
    </w:lvl>
    <w:lvl w:ilvl="1">
      <w:start w:val="1"/>
      <w:numFmt w:val="decimal"/>
      <w:lvlText w:val="%1.%2"/>
      <w:lvlJc w:val="left"/>
      <w:pPr>
        <w:ind w:left="515" w:hanging="399"/>
        <w:jc w:val="left"/>
      </w:pPr>
      <w:rPr>
        <w:rFonts w:hint="default" w:ascii="Arial" w:hAnsi="Arial" w:eastAsia="Arial" w:cs="Arial"/>
        <w:b/>
        <w:bCs/>
        <w:w w:val="99"/>
        <w:sz w:val="24"/>
        <w:szCs w:val="24"/>
      </w:rPr>
    </w:lvl>
    <w:lvl w:ilvl="2">
      <w:start w:val="1"/>
      <w:numFmt w:val="bullet"/>
      <w:lvlText w:val="•"/>
      <w:lvlJc w:val="left"/>
      <w:pPr>
        <w:ind w:left="2344" w:hanging="399"/>
      </w:pPr>
      <w:rPr>
        <w:rFonts w:hint="default"/>
      </w:rPr>
    </w:lvl>
    <w:lvl w:ilvl="3">
      <w:start w:val="1"/>
      <w:numFmt w:val="bullet"/>
      <w:lvlText w:val="•"/>
      <w:lvlJc w:val="left"/>
      <w:pPr>
        <w:ind w:left="3256" w:hanging="399"/>
      </w:pPr>
      <w:rPr>
        <w:rFonts w:hint="default"/>
      </w:rPr>
    </w:lvl>
    <w:lvl w:ilvl="4">
      <w:start w:val="1"/>
      <w:numFmt w:val="bullet"/>
      <w:lvlText w:val="•"/>
      <w:lvlJc w:val="left"/>
      <w:pPr>
        <w:ind w:left="4168" w:hanging="399"/>
      </w:pPr>
      <w:rPr>
        <w:rFonts w:hint="default"/>
      </w:rPr>
    </w:lvl>
    <w:lvl w:ilvl="5">
      <w:start w:val="1"/>
      <w:numFmt w:val="bullet"/>
      <w:lvlText w:val="•"/>
      <w:lvlJc w:val="left"/>
      <w:pPr>
        <w:ind w:left="5080" w:hanging="399"/>
      </w:pPr>
      <w:rPr>
        <w:rFonts w:hint="default"/>
      </w:rPr>
    </w:lvl>
    <w:lvl w:ilvl="6">
      <w:start w:val="1"/>
      <w:numFmt w:val="bullet"/>
      <w:lvlText w:val="•"/>
      <w:lvlJc w:val="left"/>
      <w:pPr>
        <w:ind w:left="5992" w:hanging="399"/>
      </w:pPr>
      <w:rPr>
        <w:rFonts w:hint="default"/>
      </w:rPr>
    </w:lvl>
    <w:lvl w:ilvl="7">
      <w:start w:val="1"/>
      <w:numFmt w:val="bullet"/>
      <w:lvlText w:val="•"/>
      <w:lvlJc w:val="left"/>
      <w:pPr>
        <w:ind w:left="6904" w:hanging="399"/>
      </w:pPr>
      <w:rPr>
        <w:rFonts w:hint="default"/>
      </w:rPr>
    </w:lvl>
    <w:lvl w:ilvl="8">
      <w:start w:val="1"/>
      <w:numFmt w:val="bullet"/>
      <w:lvlText w:val="•"/>
      <w:lvlJc w:val="left"/>
      <w:pPr>
        <w:ind w:left="7816" w:hanging="399"/>
      </w:pPr>
      <w:rPr>
        <w:rFonts w:hint="default"/>
      </w:rPr>
    </w:lvl>
  </w:abstractNum>
  <w:abstractNum w:abstractNumId="8">
    <w:multiLevelType w:val="hybridMultilevel"/>
    <w:lvl w:ilvl="0">
      <w:start w:val="2"/>
      <w:numFmt w:val="decimal"/>
      <w:lvlText w:val="%1"/>
      <w:lvlJc w:val="left"/>
      <w:pPr>
        <w:ind w:left="789" w:hanging="673"/>
        <w:jc w:val="left"/>
      </w:pPr>
      <w:rPr>
        <w:rFonts w:hint="default"/>
      </w:rPr>
    </w:lvl>
    <w:lvl w:ilvl="1">
      <w:start w:val="2"/>
      <w:numFmt w:val="decimal"/>
      <w:lvlText w:val="%1.%2"/>
      <w:lvlJc w:val="left"/>
      <w:pPr>
        <w:ind w:left="789" w:hanging="673"/>
        <w:jc w:val="left"/>
      </w:pPr>
      <w:rPr>
        <w:rFonts w:hint="default"/>
      </w:rPr>
    </w:lvl>
    <w:lvl w:ilvl="2">
      <w:start w:val="1"/>
      <w:numFmt w:val="decimal"/>
      <w:lvlText w:val="%1.%2.%3"/>
      <w:lvlJc w:val="left"/>
      <w:pPr>
        <w:ind w:left="789" w:hanging="673"/>
        <w:jc w:val="left"/>
      </w:pPr>
      <w:rPr>
        <w:rFonts w:hint="default" w:ascii="Arial" w:hAnsi="Arial" w:eastAsia="Arial" w:cs="Arial"/>
        <w:b/>
        <w:bCs/>
        <w:w w:val="99"/>
        <w:sz w:val="24"/>
        <w:szCs w:val="24"/>
      </w:rPr>
    </w:lvl>
    <w:lvl w:ilvl="3">
      <w:start w:val="1"/>
      <w:numFmt w:val="bullet"/>
      <w:lvlText w:val="•"/>
      <w:lvlJc w:val="left"/>
      <w:pPr>
        <w:ind w:left="2935" w:hanging="673"/>
      </w:pPr>
      <w:rPr>
        <w:rFonts w:hint="default"/>
      </w:rPr>
    </w:lvl>
    <w:lvl w:ilvl="4">
      <w:start w:val="1"/>
      <w:numFmt w:val="bullet"/>
      <w:lvlText w:val="•"/>
      <w:lvlJc w:val="left"/>
      <w:pPr>
        <w:ind w:left="3893" w:hanging="673"/>
      </w:pPr>
      <w:rPr>
        <w:rFonts w:hint="default"/>
      </w:rPr>
    </w:lvl>
    <w:lvl w:ilvl="5">
      <w:start w:val="1"/>
      <w:numFmt w:val="bullet"/>
      <w:lvlText w:val="•"/>
      <w:lvlJc w:val="left"/>
      <w:pPr>
        <w:ind w:left="4851" w:hanging="673"/>
      </w:pPr>
      <w:rPr>
        <w:rFonts w:hint="default"/>
      </w:rPr>
    </w:lvl>
    <w:lvl w:ilvl="6">
      <w:start w:val="1"/>
      <w:numFmt w:val="bullet"/>
      <w:lvlText w:val="•"/>
      <w:lvlJc w:val="left"/>
      <w:pPr>
        <w:ind w:left="5808" w:hanging="673"/>
      </w:pPr>
      <w:rPr>
        <w:rFonts w:hint="default"/>
      </w:rPr>
    </w:lvl>
    <w:lvl w:ilvl="7">
      <w:start w:val="1"/>
      <w:numFmt w:val="bullet"/>
      <w:lvlText w:val="•"/>
      <w:lvlJc w:val="left"/>
      <w:pPr>
        <w:ind w:left="6766" w:hanging="673"/>
      </w:pPr>
      <w:rPr>
        <w:rFonts w:hint="default"/>
      </w:rPr>
    </w:lvl>
    <w:lvl w:ilvl="8">
      <w:start w:val="1"/>
      <w:numFmt w:val="bullet"/>
      <w:lvlText w:val="•"/>
      <w:lvlJc w:val="left"/>
      <w:pPr>
        <w:ind w:left="7724" w:hanging="673"/>
      </w:pPr>
      <w:rPr>
        <w:rFonts w:hint="default"/>
      </w:rPr>
    </w:lvl>
  </w:abstractNum>
  <w:abstractNum w:abstractNumId="7">
    <w:multiLevelType w:val="hybridMultilevel"/>
    <w:lvl w:ilvl="0">
      <w:start w:val="2"/>
      <w:numFmt w:val="decimal"/>
      <w:lvlText w:val="%1"/>
      <w:lvlJc w:val="left"/>
      <w:pPr>
        <w:ind w:left="587" w:hanging="471"/>
        <w:jc w:val="left"/>
      </w:pPr>
      <w:rPr>
        <w:rFonts w:hint="default"/>
      </w:rPr>
    </w:lvl>
    <w:lvl w:ilvl="1">
      <w:start w:val="1"/>
      <w:numFmt w:val="decimal"/>
      <w:lvlText w:val="%1.%2"/>
      <w:lvlJc w:val="left"/>
      <w:pPr>
        <w:ind w:left="587" w:hanging="471"/>
        <w:jc w:val="left"/>
      </w:pPr>
      <w:rPr>
        <w:rFonts w:hint="default" w:ascii="Arial" w:hAnsi="Arial" w:eastAsia="Arial" w:cs="Arial"/>
        <w:b/>
        <w:bCs/>
        <w:w w:val="99"/>
        <w:sz w:val="24"/>
        <w:szCs w:val="24"/>
      </w:rPr>
    </w:lvl>
    <w:lvl w:ilvl="2">
      <w:start w:val="1"/>
      <w:numFmt w:val="lowerLetter"/>
      <w:lvlText w:val="%3)"/>
      <w:lvlJc w:val="left"/>
      <w:pPr>
        <w:ind w:left="837" w:hanging="361"/>
        <w:jc w:val="left"/>
      </w:pPr>
      <w:rPr>
        <w:rFonts w:hint="default" w:ascii="Arial" w:hAnsi="Arial" w:eastAsia="Arial" w:cs="Arial"/>
        <w:w w:val="99"/>
        <w:sz w:val="24"/>
        <w:szCs w:val="24"/>
      </w:rPr>
    </w:lvl>
    <w:lvl w:ilvl="3">
      <w:start w:val="1"/>
      <w:numFmt w:val="bullet"/>
      <w:lvlText w:val="•"/>
      <w:lvlJc w:val="left"/>
      <w:pPr>
        <w:ind w:left="2795" w:hanging="361"/>
      </w:pPr>
      <w:rPr>
        <w:rFonts w:hint="default"/>
      </w:rPr>
    </w:lvl>
    <w:lvl w:ilvl="4">
      <w:start w:val="1"/>
      <w:numFmt w:val="bullet"/>
      <w:lvlText w:val="•"/>
      <w:lvlJc w:val="left"/>
      <w:pPr>
        <w:ind w:left="3773" w:hanging="361"/>
      </w:pPr>
      <w:rPr>
        <w:rFonts w:hint="default"/>
      </w:rPr>
    </w:lvl>
    <w:lvl w:ilvl="5">
      <w:start w:val="1"/>
      <w:numFmt w:val="bullet"/>
      <w:lvlText w:val="•"/>
      <w:lvlJc w:val="left"/>
      <w:pPr>
        <w:ind w:left="4751" w:hanging="361"/>
      </w:pPr>
      <w:rPr>
        <w:rFonts w:hint="default"/>
      </w:rPr>
    </w:lvl>
    <w:lvl w:ilvl="6">
      <w:start w:val="1"/>
      <w:numFmt w:val="bullet"/>
      <w:lvlText w:val="•"/>
      <w:lvlJc w:val="left"/>
      <w:pPr>
        <w:ind w:left="5728" w:hanging="361"/>
      </w:pPr>
      <w:rPr>
        <w:rFonts w:hint="default"/>
      </w:rPr>
    </w:lvl>
    <w:lvl w:ilvl="7">
      <w:start w:val="1"/>
      <w:numFmt w:val="bullet"/>
      <w:lvlText w:val="•"/>
      <w:lvlJc w:val="left"/>
      <w:pPr>
        <w:ind w:left="6706" w:hanging="361"/>
      </w:pPr>
      <w:rPr>
        <w:rFonts w:hint="default"/>
      </w:rPr>
    </w:lvl>
    <w:lvl w:ilvl="8">
      <w:start w:val="1"/>
      <w:numFmt w:val="bullet"/>
      <w:lvlText w:val="•"/>
      <w:lvlJc w:val="left"/>
      <w:pPr>
        <w:ind w:left="7684" w:hanging="361"/>
      </w:pPr>
      <w:rPr>
        <w:rFonts w:hint="default"/>
      </w:rPr>
    </w:lvl>
  </w:abstractNum>
  <w:abstractNum w:abstractNumId="6">
    <w:multiLevelType w:val="hybridMultilevel"/>
    <w:lvl w:ilvl="0">
      <w:start w:val="1"/>
      <w:numFmt w:val="bullet"/>
      <w:lvlText w:val="•"/>
      <w:lvlJc w:val="left"/>
      <w:pPr>
        <w:ind w:left="269" w:hanging="153"/>
      </w:pPr>
      <w:rPr>
        <w:rFonts w:hint="default" w:ascii="Arial" w:hAnsi="Arial" w:eastAsia="Arial" w:cs="Arial"/>
        <w:w w:val="99"/>
        <w:sz w:val="24"/>
        <w:szCs w:val="24"/>
      </w:rPr>
    </w:lvl>
    <w:lvl w:ilvl="1">
      <w:start w:val="1"/>
      <w:numFmt w:val="bullet"/>
      <w:lvlText w:val="•"/>
      <w:lvlJc w:val="left"/>
      <w:pPr>
        <w:ind w:left="1198" w:hanging="153"/>
      </w:pPr>
      <w:rPr>
        <w:rFonts w:hint="default"/>
      </w:rPr>
    </w:lvl>
    <w:lvl w:ilvl="2">
      <w:start w:val="1"/>
      <w:numFmt w:val="bullet"/>
      <w:lvlText w:val="•"/>
      <w:lvlJc w:val="left"/>
      <w:pPr>
        <w:ind w:left="2136" w:hanging="153"/>
      </w:pPr>
      <w:rPr>
        <w:rFonts w:hint="default"/>
      </w:rPr>
    </w:lvl>
    <w:lvl w:ilvl="3">
      <w:start w:val="1"/>
      <w:numFmt w:val="bullet"/>
      <w:lvlText w:val="•"/>
      <w:lvlJc w:val="left"/>
      <w:pPr>
        <w:ind w:left="3074" w:hanging="153"/>
      </w:pPr>
      <w:rPr>
        <w:rFonts w:hint="default"/>
      </w:rPr>
    </w:lvl>
    <w:lvl w:ilvl="4">
      <w:start w:val="1"/>
      <w:numFmt w:val="bullet"/>
      <w:lvlText w:val="•"/>
      <w:lvlJc w:val="left"/>
      <w:pPr>
        <w:ind w:left="4012" w:hanging="153"/>
      </w:pPr>
      <w:rPr>
        <w:rFonts w:hint="default"/>
      </w:rPr>
    </w:lvl>
    <w:lvl w:ilvl="5">
      <w:start w:val="1"/>
      <w:numFmt w:val="bullet"/>
      <w:lvlText w:val="•"/>
      <w:lvlJc w:val="left"/>
      <w:pPr>
        <w:ind w:left="4950" w:hanging="153"/>
      </w:pPr>
      <w:rPr>
        <w:rFonts w:hint="default"/>
      </w:rPr>
    </w:lvl>
    <w:lvl w:ilvl="6">
      <w:start w:val="1"/>
      <w:numFmt w:val="bullet"/>
      <w:lvlText w:val="•"/>
      <w:lvlJc w:val="left"/>
      <w:pPr>
        <w:ind w:left="5888" w:hanging="153"/>
      </w:pPr>
      <w:rPr>
        <w:rFonts w:hint="default"/>
      </w:rPr>
    </w:lvl>
    <w:lvl w:ilvl="7">
      <w:start w:val="1"/>
      <w:numFmt w:val="bullet"/>
      <w:lvlText w:val="•"/>
      <w:lvlJc w:val="left"/>
      <w:pPr>
        <w:ind w:left="6826" w:hanging="153"/>
      </w:pPr>
      <w:rPr>
        <w:rFonts w:hint="default"/>
      </w:rPr>
    </w:lvl>
    <w:lvl w:ilvl="8">
      <w:start w:val="1"/>
      <w:numFmt w:val="bullet"/>
      <w:lvlText w:val="•"/>
      <w:lvlJc w:val="left"/>
      <w:pPr>
        <w:ind w:left="7764" w:hanging="153"/>
      </w:pPr>
      <w:rPr>
        <w:rFonts w:hint="default"/>
      </w:rPr>
    </w:lvl>
  </w:abstractNum>
  <w:abstractNum w:abstractNumId="5">
    <w:multiLevelType w:val="hybridMultilevel"/>
    <w:lvl w:ilvl="0">
      <w:start w:val="1"/>
      <w:numFmt w:val="bullet"/>
      <w:lvlText w:val=""/>
      <w:lvlJc w:val="left"/>
      <w:pPr>
        <w:ind w:left="837" w:hanging="361"/>
      </w:pPr>
      <w:rPr>
        <w:rFonts w:hint="default" w:ascii="Symbol" w:hAnsi="Symbol" w:eastAsia="Symbol" w:cs="Symbol"/>
        <w:w w:val="100"/>
        <w:sz w:val="24"/>
        <w:szCs w:val="24"/>
      </w:rPr>
    </w:lvl>
    <w:lvl w:ilvl="1">
      <w:start w:val="1"/>
      <w:numFmt w:val="bullet"/>
      <w:lvlText w:val="•"/>
      <w:lvlJc w:val="left"/>
      <w:pPr>
        <w:ind w:left="1720" w:hanging="361"/>
      </w:pPr>
      <w:rPr>
        <w:rFonts w:hint="default"/>
      </w:rPr>
    </w:lvl>
    <w:lvl w:ilvl="2">
      <w:start w:val="1"/>
      <w:numFmt w:val="bullet"/>
      <w:lvlText w:val="•"/>
      <w:lvlJc w:val="left"/>
      <w:pPr>
        <w:ind w:left="2600" w:hanging="361"/>
      </w:pPr>
      <w:rPr>
        <w:rFonts w:hint="default"/>
      </w:rPr>
    </w:lvl>
    <w:lvl w:ilvl="3">
      <w:start w:val="1"/>
      <w:numFmt w:val="bullet"/>
      <w:lvlText w:val="•"/>
      <w:lvlJc w:val="left"/>
      <w:pPr>
        <w:ind w:left="3480" w:hanging="361"/>
      </w:pPr>
      <w:rPr>
        <w:rFonts w:hint="default"/>
      </w:rPr>
    </w:lvl>
    <w:lvl w:ilvl="4">
      <w:start w:val="1"/>
      <w:numFmt w:val="bullet"/>
      <w:lvlText w:val="•"/>
      <w:lvlJc w:val="left"/>
      <w:pPr>
        <w:ind w:left="4360" w:hanging="361"/>
      </w:pPr>
      <w:rPr>
        <w:rFonts w:hint="default"/>
      </w:rPr>
    </w:lvl>
    <w:lvl w:ilvl="5">
      <w:start w:val="1"/>
      <w:numFmt w:val="bullet"/>
      <w:lvlText w:val="•"/>
      <w:lvlJc w:val="left"/>
      <w:pPr>
        <w:ind w:left="5240" w:hanging="361"/>
      </w:pPr>
      <w:rPr>
        <w:rFonts w:hint="default"/>
      </w:rPr>
    </w:lvl>
    <w:lvl w:ilvl="6">
      <w:start w:val="1"/>
      <w:numFmt w:val="bullet"/>
      <w:lvlText w:val="•"/>
      <w:lvlJc w:val="left"/>
      <w:pPr>
        <w:ind w:left="6120" w:hanging="361"/>
      </w:pPr>
      <w:rPr>
        <w:rFonts w:hint="default"/>
      </w:rPr>
    </w:lvl>
    <w:lvl w:ilvl="7">
      <w:start w:val="1"/>
      <w:numFmt w:val="bullet"/>
      <w:lvlText w:val="•"/>
      <w:lvlJc w:val="left"/>
      <w:pPr>
        <w:ind w:left="7000" w:hanging="361"/>
      </w:pPr>
      <w:rPr>
        <w:rFonts w:hint="default"/>
      </w:rPr>
    </w:lvl>
    <w:lvl w:ilvl="8">
      <w:start w:val="1"/>
      <w:numFmt w:val="bullet"/>
      <w:lvlText w:val="•"/>
      <w:lvlJc w:val="left"/>
      <w:pPr>
        <w:ind w:left="7880" w:hanging="361"/>
      </w:pPr>
      <w:rPr>
        <w:rFonts w:hint="default"/>
      </w:rPr>
    </w:lvl>
  </w:abstractNum>
  <w:abstractNum w:abstractNumId="4">
    <w:multiLevelType w:val="hybridMultilevel"/>
    <w:lvl w:ilvl="0">
      <w:start w:val="1"/>
      <w:numFmt w:val="decimal"/>
      <w:lvlText w:val="%1"/>
      <w:lvlJc w:val="left"/>
      <w:pPr>
        <w:ind w:left="904" w:hanging="788"/>
        <w:jc w:val="left"/>
      </w:pPr>
      <w:rPr>
        <w:rFonts w:hint="default"/>
      </w:rPr>
    </w:lvl>
    <w:lvl w:ilvl="1">
      <w:start w:val="2"/>
      <w:numFmt w:val="decimal"/>
      <w:lvlText w:val="%1.%2"/>
      <w:lvlJc w:val="left"/>
      <w:pPr>
        <w:ind w:left="904" w:hanging="788"/>
        <w:jc w:val="left"/>
      </w:pPr>
      <w:rPr>
        <w:rFonts w:hint="default"/>
      </w:rPr>
    </w:lvl>
    <w:lvl w:ilvl="2">
      <w:start w:val="1"/>
      <w:numFmt w:val="decimal"/>
      <w:lvlText w:val="%1.%2.%3"/>
      <w:lvlJc w:val="left"/>
      <w:pPr>
        <w:ind w:left="904" w:hanging="788"/>
        <w:jc w:val="left"/>
      </w:pPr>
      <w:rPr>
        <w:rFonts w:hint="default" w:ascii="Arial" w:hAnsi="Arial" w:eastAsia="Arial" w:cs="Arial"/>
        <w:b/>
        <w:bCs/>
        <w:w w:val="99"/>
        <w:sz w:val="24"/>
        <w:szCs w:val="24"/>
      </w:rPr>
    </w:lvl>
    <w:lvl w:ilvl="3">
      <w:start w:val="1"/>
      <w:numFmt w:val="bullet"/>
      <w:lvlText w:val="•"/>
      <w:lvlJc w:val="left"/>
      <w:pPr>
        <w:ind w:left="2062" w:hanging="788"/>
      </w:pPr>
      <w:rPr>
        <w:rFonts w:hint="default"/>
      </w:rPr>
    </w:lvl>
    <w:lvl w:ilvl="4">
      <w:start w:val="1"/>
      <w:numFmt w:val="bullet"/>
      <w:lvlText w:val="•"/>
      <w:lvlJc w:val="left"/>
      <w:pPr>
        <w:ind w:left="3145" w:hanging="788"/>
      </w:pPr>
      <w:rPr>
        <w:rFonts w:hint="default"/>
      </w:rPr>
    </w:lvl>
    <w:lvl w:ilvl="5">
      <w:start w:val="1"/>
      <w:numFmt w:val="bullet"/>
      <w:lvlText w:val="•"/>
      <w:lvlJc w:val="left"/>
      <w:pPr>
        <w:ind w:left="4227" w:hanging="788"/>
      </w:pPr>
      <w:rPr>
        <w:rFonts w:hint="default"/>
      </w:rPr>
    </w:lvl>
    <w:lvl w:ilvl="6">
      <w:start w:val="1"/>
      <w:numFmt w:val="bullet"/>
      <w:lvlText w:val="•"/>
      <w:lvlJc w:val="left"/>
      <w:pPr>
        <w:ind w:left="5310" w:hanging="788"/>
      </w:pPr>
      <w:rPr>
        <w:rFonts w:hint="default"/>
      </w:rPr>
    </w:lvl>
    <w:lvl w:ilvl="7">
      <w:start w:val="1"/>
      <w:numFmt w:val="bullet"/>
      <w:lvlText w:val="•"/>
      <w:lvlJc w:val="left"/>
      <w:pPr>
        <w:ind w:left="6392" w:hanging="788"/>
      </w:pPr>
      <w:rPr>
        <w:rFonts w:hint="default"/>
      </w:rPr>
    </w:lvl>
    <w:lvl w:ilvl="8">
      <w:start w:val="1"/>
      <w:numFmt w:val="bullet"/>
      <w:lvlText w:val="•"/>
      <w:lvlJc w:val="left"/>
      <w:pPr>
        <w:ind w:left="7475" w:hanging="788"/>
      </w:pPr>
      <w:rPr>
        <w:rFonts w:hint="default"/>
      </w:rPr>
    </w:lvl>
  </w:abstractNum>
  <w:abstractNum w:abstractNumId="3">
    <w:multiLevelType w:val="hybridMultilevel"/>
    <w:lvl w:ilvl="0">
      <w:start w:val="1"/>
      <w:numFmt w:val="decimal"/>
      <w:lvlText w:val="%1"/>
      <w:lvlJc w:val="left"/>
      <w:pPr>
        <w:ind w:left="518" w:hanging="403"/>
        <w:jc w:val="left"/>
      </w:pPr>
      <w:rPr>
        <w:rFonts w:hint="default"/>
      </w:rPr>
    </w:lvl>
    <w:lvl w:ilvl="1">
      <w:start w:val="1"/>
      <w:numFmt w:val="decimal"/>
      <w:lvlText w:val="%1.%2"/>
      <w:lvlJc w:val="left"/>
      <w:pPr>
        <w:ind w:left="518" w:hanging="403"/>
        <w:jc w:val="left"/>
      </w:pPr>
      <w:rPr>
        <w:rFonts w:hint="default" w:ascii="Arial" w:hAnsi="Arial" w:eastAsia="Arial" w:cs="Arial"/>
        <w:b/>
        <w:bCs/>
        <w:w w:val="99"/>
        <w:sz w:val="24"/>
        <w:szCs w:val="24"/>
      </w:rPr>
    </w:lvl>
    <w:lvl w:ilvl="2">
      <w:start w:val="1"/>
      <w:numFmt w:val="bullet"/>
      <w:lvlText w:val="•"/>
      <w:lvlJc w:val="left"/>
      <w:pPr>
        <w:ind w:left="1906" w:hanging="403"/>
      </w:pPr>
      <w:rPr>
        <w:rFonts w:hint="default"/>
      </w:rPr>
    </w:lvl>
    <w:lvl w:ilvl="3">
      <w:start w:val="1"/>
      <w:numFmt w:val="bullet"/>
      <w:lvlText w:val="•"/>
      <w:lvlJc w:val="left"/>
      <w:pPr>
        <w:ind w:left="2873" w:hanging="403"/>
      </w:pPr>
      <w:rPr>
        <w:rFonts w:hint="default"/>
      </w:rPr>
    </w:lvl>
    <w:lvl w:ilvl="4">
      <w:start w:val="1"/>
      <w:numFmt w:val="bullet"/>
      <w:lvlText w:val="•"/>
      <w:lvlJc w:val="left"/>
      <w:pPr>
        <w:ind w:left="3840" w:hanging="403"/>
      </w:pPr>
      <w:rPr>
        <w:rFonts w:hint="default"/>
      </w:rPr>
    </w:lvl>
    <w:lvl w:ilvl="5">
      <w:start w:val="1"/>
      <w:numFmt w:val="bullet"/>
      <w:lvlText w:val="•"/>
      <w:lvlJc w:val="left"/>
      <w:pPr>
        <w:ind w:left="4806" w:hanging="403"/>
      </w:pPr>
      <w:rPr>
        <w:rFonts w:hint="default"/>
      </w:rPr>
    </w:lvl>
    <w:lvl w:ilvl="6">
      <w:start w:val="1"/>
      <w:numFmt w:val="bullet"/>
      <w:lvlText w:val="•"/>
      <w:lvlJc w:val="left"/>
      <w:pPr>
        <w:ind w:left="5773" w:hanging="403"/>
      </w:pPr>
      <w:rPr>
        <w:rFonts w:hint="default"/>
      </w:rPr>
    </w:lvl>
    <w:lvl w:ilvl="7">
      <w:start w:val="1"/>
      <w:numFmt w:val="bullet"/>
      <w:lvlText w:val="•"/>
      <w:lvlJc w:val="left"/>
      <w:pPr>
        <w:ind w:left="6740" w:hanging="403"/>
      </w:pPr>
      <w:rPr>
        <w:rFonts w:hint="default"/>
      </w:rPr>
    </w:lvl>
    <w:lvl w:ilvl="8">
      <w:start w:val="1"/>
      <w:numFmt w:val="bullet"/>
      <w:lvlText w:val="•"/>
      <w:lvlJc w:val="left"/>
      <w:pPr>
        <w:ind w:left="7706" w:hanging="403"/>
      </w:pPr>
      <w:rPr>
        <w:rFonts w:hint="default"/>
      </w:rPr>
    </w:lvl>
  </w:abstractNum>
  <w:abstractNum w:abstractNumId="2">
    <w:multiLevelType w:val="hybridMultilevel"/>
    <w:lvl w:ilvl="0">
      <w:start w:val="3"/>
      <w:numFmt w:val="decimal"/>
      <w:lvlText w:val="%1"/>
      <w:lvlJc w:val="left"/>
      <w:pPr>
        <w:ind w:left="603" w:hanging="404"/>
        <w:jc w:val="left"/>
      </w:pPr>
      <w:rPr>
        <w:rFonts w:hint="default"/>
      </w:rPr>
    </w:lvl>
    <w:lvl w:ilvl="1">
      <w:start w:val="2"/>
      <w:numFmt w:val="decimal"/>
      <w:lvlText w:val="%1.%2"/>
      <w:lvlJc w:val="left"/>
      <w:pPr>
        <w:ind w:left="603" w:hanging="404"/>
        <w:jc w:val="left"/>
      </w:pPr>
      <w:rPr>
        <w:rFonts w:hint="default" w:ascii="Arial" w:hAnsi="Arial" w:eastAsia="Arial" w:cs="Arial"/>
        <w:w w:val="99"/>
        <w:sz w:val="24"/>
        <w:szCs w:val="24"/>
      </w:rPr>
    </w:lvl>
    <w:lvl w:ilvl="2">
      <w:start w:val="1"/>
      <w:numFmt w:val="bullet"/>
      <w:lvlText w:val="•"/>
      <w:lvlJc w:val="left"/>
      <w:pPr>
        <w:ind w:left="2047" w:hanging="404"/>
      </w:pPr>
      <w:rPr>
        <w:rFonts w:hint="default"/>
      </w:rPr>
    </w:lvl>
    <w:lvl w:ilvl="3">
      <w:start w:val="1"/>
      <w:numFmt w:val="bullet"/>
      <w:lvlText w:val="•"/>
      <w:lvlJc w:val="left"/>
      <w:pPr>
        <w:ind w:left="2771" w:hanging="404"/>
      </w:pPr>
      <w:rPr>
        <w:rFonts w:hint="default"/>
      </w:rPr>
    </w:lvl>
    <w:lvl w:ilvl="4">
      <w:start w:val="1"/>
      <w:numFmt w:val="bullet"/>
      <w:lvlText w:val="•"/>
      <w:lvlJc w:val="left"/>
      <w:pPr>
        <w:ind w:left="3495" w:hanging="404"/>
      </w:pPr>
      <w:rPr>
        <w:rFonts w:hint="default"/>
      </w:rPr>
    </w:lvl>
    <w:lvl w:ilvl="5">
      <w:start w:val="1"/>
      <w:numFmt w:val="bullet"/>
      <w:lvlText w:val="•"/>
      <w:lvlJc w:val="left"/>
      <w:pPr>
        <w:ind w:left="4219" w:hanging="404"/>
      </w:pPr>
      <w:rPr>
        <w:rFonts w:hint="default"/>
      </w:rPr>
    </w:lvl>
    <w:lvl w:ilvl="6">
      <w:start w:val="1"/>
      <w:numFmt w:val="bullet"/>
      <w:lvlText w:val="•"/>
      <w:lvlJc w:val="left"/>
      <w:pPr>
        <w:ind w:left="4943" w:hanging="404"/>
      </w:pPr>
      <w:rPr>
        <w:rFonts w:hint="default"/>
      </w:rPr>
    </w:lvl>
    <w:lvl w:ilvl="7">
      <w:start w:val="1"/>
      <w:numFmt w:val="bullet"/>
      <w:lvlText w:val="•"/>
      <w:lvlJc w:val="left"/>
      <w:pPr>
        <w:ind w:left="5666" w:hanging="404"/>
      </w:pPr>
      <w:rPr>
        <w:rFonts w:hint="default"/>
      </w:rPr>
    </w:lvl>
    <w:lvl w:ilvl="8">
      <w:start w:val="1"/>
      <w:numFmt w:val="bullet"/>
      <w:lvlText w:val="•"/>
      <w:lvlJc w:val="left"/>
      <w:pPr>
        <w:ind w:left="6390" w:hanging="404"/>
      </w:pPr>
      <w:rPr>
        <w:rFonts w:hint="default"/>
      </w:rPr>
    </w:lvl>
  </w:abstractNum>
  <w:abstractNum w:abstractNumId="1">
    <w:multiLevelType w:val="hybridMultilevel"/>
    <w:lvl w:ilvl="0">
      <w:start w:val="2"/>
      <w:numFmt w:val="decimal"/>
      <w:lvlText w:val="%1"/>
      <w:lvlJc w:val="left"/>
      <w:pPr>
        <w:ind w:left="602" w:hanging="403"/>
        <w:jc w:val="left"/>
      </w:pPr>
      <w:rPr>
        <w:rFonts w:hint="default"/>
      </w:rPr>
    </w:lvl>
    <w:lvl w:ilvl="1">
      <w:start w:val="1"/>
      <w:numFmt w:val="decimal"/>
      <w:lvlText w:val="%1.%2"/>
      <w:lvlJc w:val="left"/>
      <w:pPr>
        <w:ind w:left="766" w:hanging="403"/>
        <w:jc w:val="left"/>
      </w:pPr>
      <w:rPr>
        <w:rFonts w:hint="default" w:ascii="Arial" w:hAnsi="Arial" w:eastAsia="Arial" w:cs="Arial"/>
        <w:w w:val="99"/>
        <w:sz w:val="24"/>
        <w:szCs w:val="24"/>
      </w:rPr>
    </w:lvl>
    <w:lvl w:ilvl="2">
      <w:start w:val="1"/>
      <w:numFmt w:val="decimal"/>
      <w:lvlText w:val="%1.%2.%3"/>
      <w:lvlJc w:val="left"/>
      <w:pPr>
        <w:ind w:left="1509" w:hanging="604"/>
        <w:jc w:val="left"/>
      </w:pPr>
      <w:rPr>
        <w:rFonts w:hint="default" w:ascii="Arial" w:hAnsi="Arial" w:eastAsia="Arial" w:cs="Arial"/>
        <w:w w:val="99"/>
        <w:sz w:val="24"/>
        <w:szCs w:val="24"/>
      </w:rPr>
    </w:lvl>
    <w:lvl w:ilvl="3">
      <w:start w:val="1"/>
      <w:numFmt w:val="bullet"/>
      <w:lvlText w:val="•"/>
      <w:lvlJc w:val="left"/>
      <w:pPr>
        <w:ind w:left="2280" w:hanging="604"/>
      </w:pPr>
      <w:rPr>
        <w:rFonts w:hint="default"/>
      </w:rPr>
    </w:lvl>
    <w:lvl w:ilvl="4">
      <w:start w:val="1"/>
      <w:numFmt w:val="bullet"/>
      <w:lvlText w:val="•"/>
      <w:lvlJc w:val="left"/>
      <w:pPr>
        <w:ind w:left="3218" w:hanging="604"/>
      </w:pPr>
      <w:rPr>
        <w:rFonts w:hint="default"/>
      </w:rPr>
    </w:lvl>
    <w:lvl w:ilvl="5">
      <w:start w:val="1"/>
      <w:numFmt w:val="bullet"/>
      <w:lvlText w:val="•"/>
      <w:lvlJc w:val="left"/>
      <w:pPr>
        <w:ind w:left="4156" w:hanging="604"/>
      </w:pPr>
      <w:rPr>
        <w:rFonts w:hint="default"/>
      </w:rPr>
    </w:lvl>
    <w:lvl w:ilvl="6">
      <w:start w:val="1"/>
      <w:numFmt w:val="bullet"/>
      <w:lvlText w:val="•"/>
      <w:lvlJc w:val="left"/>
      <w:pPr>
        <w:ind w:left="5094" w:hanging="604"/>
      </w:pPr>
      <w:rPr>
        <w:rFonts w:hint="default"/>
      </w:rPr>
    </w:lvl>
    <w:lvl w:ilvl="7">
      <w:start w:val="1"/>
      <w:numFmt w:val="bullet"/>
      <w:lvlText w:val="•"/>
      <w:lvlJc w:val="left"/>
      <w:pPr>
        <w:ind w:left="6032" w:hanging="604"/>
      </w:pPr>
      <w:rPr>
        <w:rFonts w:hint="default"/>
      </w:rPr>
    </w:lvl>
    <w:lvl w:ilvl="8">
      <w:start w:val="1"/>
      <w:numFmt w:val="bullet"/>
      <w:lvlText w:val="•"/>
      <w:lvlJc w:val="left"/>
      <w:pPr>
        <w:ind w:left="6970" w:hanging="604"/>
      </w:pPr>
      <w:rPr>
        <w:rFonts w:hint="default"/>
      </w:rPr>
    </w:lvl>
  </w:abstractNum>
  <w:abstractNum w:abstractNumId="0">
    <w:multiLevelType w:val="hybridMultilevel"/>
    <w:lvl w:ilvl="0">
      <w:start w:val="1"/>
      <w:numFmt w:val="decimal"/>
      <w:lvlText w:val="%1"/>
      <w:lvlJc w:val="left"/>
      <w:pPr>
        <w:ind w:left="589" w:hanging="390"/>
        <w:jc w:val="left"/>
      </w:pPr>
      <w:rPr>
        <w:rFonts w:hint="default"/>
      </w:rPr>
    </w:lvl>
    <w:lvl w:ilvl="1">
      <w:start w:val="1"/>
      <w:numFmt w:val="decimal"/>
      <w:lvlText w:val="%1.%2"/>
      <w:lvlJc w:val="left"/>
      <w:pPr>
        <w:ind w:left="589" w:hanging="390"/>
        <w:jc w:val="left"/>
      </w:pPr>
      <w:rPr>
        <w:rFonts w:hint="default" w:ascii="Arial" w:hAnsi="Arial" w:eastAsia="Arial" w:cs="Arial"/>
        <w:w w:val="99"/>
        <w:sz w:val="24"/>
        <w:szCs w:val="24"/>
      </w:rPr>
    </w:lvl>
    <w:lvl w:ilvl="2">
      <w:start w:val="1"/>
      <w:numFmt w:val="decimal"/>
      <w:lvlText w:val="%1.%2.%3"/>
      <w:lvlJc w:val="left"/>
      <w:pPr>
        <w:ind w:left="1193" w:hanging="605"/>
        <w:jc w:val="left"/>
      </w:pPr>
      <w:rPr>
        <w:rFonts w:hint="default" w:ascii="Arial" w:hAnsi="Arial" w:eastAsia="Arial" w:cs="Arial"/>
        <w:w w:val="99"/>
        <w:sz w:val="24"/>
        <w:szCs w:val="24"/>
      </w:rPr>
    </w:lvl>
    <w:lvl w:ilvl="3">
      <w:start w:val="1"/>
      <w:numFmt w:val="bullet"/>
      <w:lvlText w:val="•"/>
      <w:lvlJc w:val="left"/>
      <w:pPr>
        <w:ind w:left="2340" w:hanging="605"/>
      </w:pPr>
      <w:rPr>
        <w:rFonts w:hint="default"/>
      </w:rPr>
    </w:lvl>
    <w:lvl w:ilvl="4">
      <w:start w:val="1"/>
      <w:numFmt w:val="bullet"/>
      <w:lvlText w:val="•"/>
      <w:lvlJc w:val="left"/>
      <w:pPr>
        <w:ind w:left="3269" w:hanging="605"/>
      </w:pPr>
      <w:rPr>
        <w:rFonts w:hint="default"/>
      </w:rPr>
    </w:lvl>
    <w:lvl w:ilvl="5">
      <w:start w:val="1"/>
      <w:numFmt w:val="bullet"/>
      <w:lvlText w:val="•"/>
      <w:lvlJc w:val="left"/>
      <w:pPr>
        <w:ind w:left="4199" w:hanging="605"/>
      </w:pPr>
      <w:rPr>
        <w:rFonts w:hint="default"/>
      </w:rPr>
    </w:lvl>
    <w:lvl w:ilvl="6">
      <w:start w:val="1"/>
      <w:numFmt w:val="bullet"/>
      <w:lvlText w:val="•"/>
      <w:lvlJc w:val="left"/>
      <w:pPr>
        <w:ind w:left="5128" w:hanging="605"/>
      </w:pPr>
      <w:rPr>
        <w:rFonts w:hint="default"/>
      </w:rPr>
    </w:lvl>
    <w:lvl w:ilvl="7">
      <w:start w:val="1"/>
      <w:numFmt w:val="bullet"/>
      <w:lvlText w:val="•"/>
      <w:lvlJc w:val="left"/>
      <w:pPr>
        <w:ind w:left="6058" w:hanging="605"/>
      </w:pPr>
      <w:rPr>
        <w:rFonts w:hint="default"/>
      </w:rPr>
    </w:lvl>
    <w:lvl w:ilvl="8">
      <w:start w:val="1"/>
      <w:numFmt w:val="bullet"/>
      <w:lvlText w:val="•"/>
      <w:lvlJc w:val="left"/>
      <w:pPr>
        <w:ind w:left="6987" w:hanging="605"/>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520"/>
      <w:jc w:val="both"/>
      <w:outlineLvl w:val="1"/>
    </w:pPr>
    <w:rPr>
      <w:rFonts w:ascii="Arial" w:hAnsi="Arial" w:eastAsia="Arial" w:cs="Arial"/>
      <w:b/>
      <w:bCs/>
      <w:sz w:val="24"/>
      <w:szCs w:val="24"/>
    </w:rPr>
  </w:style>
  <w:style w:styleId="ListParagraph" w:type="paragraph">
    <w:name w:val="List Paragraph"/>
    <w:basedOn w:val="Normal"/>
    <w:uiPriority w:val="1"/>
    <w:qFormat/>
    <w:pPr>
      <w:ind w:left="269" w:hanging="153"/>
      <w:jc w:val="both"/>
    </w:pPr>
    <w:rPr>
      <w:rFonts w:ascii="Arial" w:hAnsi="Arial" w:eastAsia="Arial" w:cs="Arial"/>
    </w:rPr>
  </w:style>
  <w:style w:styleId="TableParagraph" w:type="paragraph">
    <w:name w:val="Table Paragraph"/>
    <w:basedOn w:val="Normal"/>
    <w:uiPriority w:val="1"/>
    <w:qFormat/>
    <w:pPr>
      <w:spacing w:line="265" w:lineRule="exact"/>
      <w:ind w:left="10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header" Target="header1.xml"/><Relationship Id="rId9" Type="http://schemas.openxmlformats.org/officeDocument/2006/relationships/image" Target="media/image4.png"/><Relationship Id="rId10" Type="http://schemas.openxmlformats.org/officeDocument/2006/relationships/hyperlink" Target="http://www.redalyc.org/pdf/805/80535203.pdf" TargetMode="External"/><Relationship Id="rId11" Type="http://schemas.openxmlformats.org/officeDocument/2006/relationships/hyperlink" Target="http://care.diabetesjournals.org/content/35/Supplement_1/S11.full" TargetMode="External"/><Relationship Id="rId12" Type="http://schemas.openxmlformats.org/officeDocument/2006/relationships/hyperlink" Target="http://www.redalyc.org/articulo.oa?id=80635407" TargetMode="External"/><Relationship Id="rId13" Type="http://schemas.openxmlformats.org/officeDocument/2006/relationships/hyperlink" Target="http://www.redalyc.org/articulo.oa?id=48719442005" TargetMode="External"/><Relationship Id="rId14" Type="http://schemas.openxmlformats.org/officeDocument/2006/relationships/hyperlink" Target="http://www.ncbi.nlm.nih.gov/pubmed/1816790" TargetMode="External"/><Relationship Id="rId15" Type="http://schemas.openxmlformats.org/officeDocument/2006/relationships/hyperlink" Target="http://www.ncbi.nlm.nih.gov/pubmed/9140334" TargetMode="External"/><Relationship Id="rId16" Type="http://schemas.openxmlformats.org/officeDocument/2006/relationships/hyperlink" Target="http://revistasinvestigacion.unmsm.edu.pe/index.php/psico/article/view/3757/3018" TargetMode="External"/><Relationship Id="rId17" Type="http://schemas.openxmlformats.org/officeDocument/2006/relationships/hyperlink" Target="http://www.redalyc.org/articulo.oa?id=12023108" TargetMode="External"/><Relationship Id="rId18" Type="http://schemas.openxmlformats.org/officeDocument/2006/relationships/hyperlink" Target="http://www.redalyc.org/articulo.oa?id=87532349006" TargetMode="External"/><Relationship Id="rId19" Type="http://schemas.openxmlformats.org/officeDocument/2006/relationships/hyperlink" Target="http://scielo.sld.cu/scielo.php?script=sci_arttext&amp;amp;pid=S1029-30192012000400001" TargetMode="External"/><Relationship Id="rId20" Type="http://schemas.openxmlformats.org/officeDocument/2006/relationships/hyperlink" Target="http://www.ncbi.nlm.nih.gov/pubmed/1330954" TargetMode="External"/><Relationship Id="rId21" Type="http://schemas.openxmlformats.org/officeDocument/2006/relationships/hyperlink" Target="http://www.bvs.sld.cu/revistas/res/" TargetMode="External"/><Relationship Id="rId22" Type="http://schemas.openxmlformats.org/officeDocument/2006/relationships/hyperlink" Target="http://www.idf.org/diabetesatlas" TargetMode="External"/><Relationship Id="rId23" Type="http://schemas.openxmlformats.org/officeDocument/2006/relationships/hyperlink" Target="http://www.redalyc.org/articulo.oa?id=80115648003" TargetMode="External"/><Relationship Id="rId24" Type="http://schemas.openxmlformats.org/officeDocument/2006/relationships/hyperlink" Target="http://www.scielo.org.mx/scielo.php?script=sci_arttext&amp;amp;pid=S0036-" TargetMode="External"/><Relationship Id="rId25" Type="http://schemas.openxmlformats.org/officeDocument/2006/relationships/hyperlink" Target="http://www.uaeh.edu.mx/investigacion/productos/4823/libro_de_obesidad.pdf" TargetMode="External"/><Relationship Id="rId26" Type="http://schemas.openxmlformats.org/officeDocument/2006/relationships/hyperlink" Target="http://cuentame.inegi.org.mx/poblacion/esperanza.aspx?tema=P" TargetMode="External"/><Relationship Id="rId27" Type="http://schemas.openxmlformats.org/officeDocument/2006/relationships/hyperlink" Target="http://ensanut.insp.mx/informes/ENSANUT2012ResultadosNacionales.pdf" TargetMode="External"/><Relationship Id="rId28" Type="http://schemas.openxmlformats.org/officeDocument/2006/relationships/hyperlink" Target="http://www.facmed.unam.mx/sms/seam2k1/2008/may_01_ponencia.html" TargetMode="External"/><Relationship Id="rId29" Type="http://schemas.openxmlformats.org/officeDocument/2006/relationships/hyperlink" Target="http://www.redalyc.org/articulo.oa?id=21430556013" TargetMode="External"/><Relationship Id="rId30" Type="http://schemas.openxmlformats.org/officeDocument/2006/relationships/hyperlink" Target="http://www.scielosp.org/pdf/spm/v48n3/29735.pdf" TargetMode="External"/><Relationship Id="rId31" Type="http://schemas.openxmlformats.org/officeDocument/2006/relationships/hyperlink" Target="http://www.redalyc.org/articulo.oa?id=27018884001" TargetMode="External"/><Relationship Id="rId32" Type="http://schemas.openxmlformats.org/officeDocument/2006/relationships/hyperlink" Target="http://www.medigraphic.com/pdfs/facmed/un-2009/un095f.pdf" TargetMode="External"/><Relationship Id="rId33" Type="http://schemas.openxmlformats.org/officeDocument/2006/relationships/hyperlink" Target="http://apps.who.int/iris/bitstream/10665/41935/1/9243208446_es.pdf" TargetMode="External"/><Relationship Id="rId34" Type="http://schemas.openxmlformats.org/officeDocument/2006/relationships/hyperlink" Target="http://www.who.int/diabetes/action_online/basics/es/" TargetMode="External"/><Relationship Id="rId35" Type="http://schemas.openxmlformats.org/officeDocument/2006/relationships/hyperlink" Target="http://www.who.int/mediacentre/factsheets/fs355/es/" TargetMode="External"/><Relationship Id="rId36" Type="http://schemas.openxmlformats.org/officeDocument/2006/relationships/hyperlink" Target="http://www.who.int/topics/diabetes_mellitus/es/" TargetMode="External"/><Relationship Id="rId37" Type="http://schemas.openxmlformats.org/officeDocument/2006/relationships/hyperlink" Target="http://www.who.int/mediacentre/factsheets/fs311/es/" TargetMode="External"/><Relationship Id="rId38" Type="http://schemas.openxmlformats.org/officeDocument/2006/relationships/hyperlink" Target="http://www.who.int/topics/chronic_diseases/es/" TargetMode="External"/><Relationship Id="rId39" Type="http://schemas.openxmlformats.org/officeDocument/2006/relationships/hyperlink" Target="http://www.oecd.org/health/49716427.pdf" TargetMode="External"/><Relationship Id="rId40" Type="http://schemas.openxmlformats.org/officeDocument/2006/relationships/hyperlink" Target="http://www.who.int/nutrition/publications/obesity/WHO_TRS_916_spa.pdf" TargetMode="External"/><Relationship Id="rId41" Type="http://schemas.openxmlformats.org/officeDocument/2006/relationships/hyperlink" Target="http://www.oecd.org/health/Obesity-Update-2014.pdf" TargetMode="External"/><Relationship Id="rId42" Type="http://schemas.openxmlformats.org/officeDocument/2006/relationships/hyperlink" Target="http://www.oecdbetterlifeindex.org/es/topics/health/" TargetMode="External"/><Relationship Id="rId43" Type="http://schemas.openxmlformats.org/officeDocument/2006/relationships/hyperlink" Target="http://www.nutricionhospitalaria.com/pdf/3463.pdf" TargetMode="External"/><Relationship Id="rId44" Type="http://schemas.openxmlformats.org/officeDocument/2006/relationships/hyperlink" Target="http://www.redalyc.org/articulo.oa?id=47312308002" TargetMode="External"/><Relationship Id="rId45" Type="http://schemas.openxmlformats.org/officeDocument/2006/relationships/hyperlink" Target="http://scielo.isciii.es/scielo.php?pid=s1135-" TargetMode="External"/><Relationship Id="rId46" Type="http://schemas.openxmlformats.org/officeDocument/2006/relationships/hyperlink" Target="http://www.fasebj.org/cgi/content/meeting_abstract/20/5/A999" TargetMode="External"/><Relationship Id="rId47" Type="http://schemas.openxmlformats.org/officeDocument/2006/relationships/hyperlink" Target="http://www.anmm.org.mx/bgmm/1864_2007/2004-140-SUP2-3-20.pdf" TargetMode="External"/><Relationship Id="rId48" Type="http://schemas.openxmlformats.org/officeDocument/2006/relationships/hyperlink" Target="http://www.researchgate.net/publication/236927843_PHS64_Quality_of_life_am" TargetMode="External"/><Relationship Id="rId49" Type="http://schemas.openxmlformats.org/officeDocument/2006/relationships/hyperlink" Target="http://www.salud.gob.mx/unidades/cdi/nom/015ssa24.html" TargetMode="External"/><Relationship Id="rId50" Type="http://schemas.openxmlformats.org/officeDocument/2006/relationships/hyperlink" Target="http://www.salud.gob.mx/unidades/cdi/nom/174ssa18.html" TargetMode="External"/><Relationship Id="rId51" Type="http://schemas.openxmlformats.org/officeDocument/2006/relationships/hyperlink" Target="http://www.epidemiologia.salud.gob.mx/doctos/boletin/2010/sem43.pdf" TargetMode="External"/><Relationship Id="rId52" Type="http://schemas.openxmlformats.org/officeDocument/2006/relationships/hyperlink" Target="http://promocion.salud.gob.mx/dgps/descargas1/estrategia/Estrategia_con_porta" TargetMode="External"/><Relationship Id="rId53" Type="http://schemas.openxmlformats.org/officeDocument/2006/relationships/hyperlink" Target="http://scielo.sld.cu/scielo.php?script=sci_arttext&amp;amp;pid=S1561-" TargetMode="External"/><Relationship Id="rId54" Type="http://schemas.openxmlformats.org/officeDocument/2006/relationships/hyperlink" Target="http://www.respyn.uanl.mx/vii/1/index.html" TargetMode="External"/><Relationship Id="rId55" Type="http://schemas.openxmlformats.org/officeDocument/2006/relationships/hyperlink" Target="http://www2.eur.nl/fsw/research/veenhoven/Pub2000s/2001e-fulls.pdf" TargetMode="External"/><Relationship Id="rId56" Type="http://schemas.openxmlformats.org/officeDocument/2006/relationships/hyperlink" Target="http://ajcn.nutrition.org/content/61/3/457" TargetMode="External"/><Relationship Id="rId57" Type="http://schemas.openxmlformats.org/officeDocument/2006/relationships/hyperlink" Target="http://www.ncbi.nlm.nih.gov/pmc/articles/PMC1071941/" TargetMode="External"/><Relationship Id="rId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2017-06-21T19:17:52Z</dcterms:created>
  <dcterms:modified xsi:type="dcterms:W3CDTF">2017-06-21T19:17:52Z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2017-06-21T00:00:00Z</vt:filetime>
  </property>
</Properties>
</file>