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4"/>
        <w:ind w:left="173" w:right="173"/>
        <w:jc w:val="center"/>
      </w:pPr>
      <w:r>
        <w:rPr/>
        <w:t>UNIVERSIDAD AUTÓNOMA DEL ESTADO DE MÉXICO</w:t>
      </w:r>
    </w:p>
    <w:p>
      <w:pPr>
        <w:pStyle w:val="BodyText"/>
        <w:rPr>
          <w:b/>
        </w:rPr>
      </w:pPr>
    </w:p>
    <w:p>
      <w:pPr>
        <w:pStyle w:val="BodyText"/>
        <w:rPr>
          <w:b/>
        </w:rPr>
      </w:pPr>
    </w:p>
    <w:p>
      <w:pPr>
        <w:pStyle w:val="BodyText"/>
        <w:rPr>
          <w:b/>
        </w:rPr>
      </w:pPr>
    </w:p>
    <w:p>
      <w:pPr>
        <w:pStyle w:val="BodyText"/>
        <w:spacing w:before="2"/>
        <w:rPr>
          <w:b/>
          <w:sz w:val="28"/>
        </w:rPr>
      </w:pPr>
    </w:p>
    <w:p>
      <w:pPr>
        <w:spacing w:line="415" w:lineRule="auto" w:before="0"/>
        <w:ind w:left="173" w:right="172" w:firstLine="0"/>
        <w:jc w:val="center"/>
        <w:rPr>
          <w:b/>
          <w:sz w:val="24"/>
        </w:rPr>
      </w:pPr>
      <w:r>
        <w:rPr>
          <w:b/>
          <w:sz w:val="24"/>
        </w:rPr>
        <w:t>PROGRAMA DE MAESTRÍA Y DOCTORADO EN CIENCIAS AGROPECUARIAS Y RECURSOS NATURALES</w:t>
      </w:r>
    </w:p>
    <w:p>
      <w:pPr>
        <w:pStyle w:val="BodyText"/>
        <w:rPr>
          <w:b/>
        </w:rPr>
      </w:pPr>
    </w:p>
    <w:p>
      <w:pPr>
        <w:pStyle w:val="BodyText"/>
        <w:rPr>
          <w:b/>
        </w:rPr>
      </w:pPr>
    </w:p>
    <w:p>
      <w:pPr>
        <w:pStyle w:val="BodyText"/>
        <w:spacing w:before="1"/>
        <w:rPr>
          <w:b/>
          <w:sz w:val="35"/>
        </w:rPr>
      </w:pPr>
    </w:p>
    <w:p>
      <w:pPr>
        <w:spacing w:before="1"/>
        <w:ind w:left="173" w:right="171" w:firstLine="0"/>
        <w:jc w:val="center"/>
        <w:rPr>
          <w:b/>
          <w:sz w:val="24"/>
        </w:rPr>
      </w:pPr>
      <w:r>
        <w:rPr>
          <w:b/>
          <w:sz w:val="24"/>
        </w:rPr>
        <w:t>FERTILIZACIÓN FOLIAR EN BASE A</w:t>
      </w:r>
    </w:p>
    <w:p>
      <w:pPr>
        <w:spacing w:before="199"/>
        <w:ind w:left="173" w:right="173" w:firstLine="0"/>
        <w:jc w:val="center"/>
        <w:rPr>
          <w:b/>
          <w:sz w:val="24"/>
        </w:rPr>
      </w:pPr>
      <w:r>
        <w:rPr>
          <w:b/>
          <w:sz w:val="24"/>
        </w:rPr>
        <w:t>MAGNESIO Y ZINC PARA MEJORAR LA CALIDAD DE LILIES (</w:t>
      </w:r>
      <w:r>
        <w:rPr>
          <w:b/>
          <w:i/>
          <w:sz w:val="24"/>
        </w:rPr>
        <w:t>Lilium </w:t>
      </w:r>
      <w:r>
        <w:rPr>
          <w:b/>
          <w:sz w:val="24"/>
        </w:rPr>
        <w:t>spp.)</w:t>
      </w:r>
    </w:p>
    <w:p>
      <w:pPr>
        <w:pStyle w:val="BodyText"/>
        <w:rPr>
          <w:b/>
          <w:sz w:val="28"/>
        </w:rPr>
      </w:pPr>
    </w:p>
    <w:p>
      <w:pPr>
        <w:pStyle w:val="BodyText"/>
        <w:spacing w:before="6"/>
        <w:rPr>
          <w:b/>
          <w:sz w:val="30"/>
        </w:rPr>
      </w:pPr>
    </w:p>
    <w:p>
      <w:pPr>
        <w:spacing w:before="1"/>
        <w:ind w:left="172" w:right="173" w:firstLine="0"/>
        <w:jc w:val="center"/>
        <w:rPr>
          <w:b/>
          <w:sz w:val="32"/>
        </w:rPr>
      </w:pPr>
      <w:r>
        <w:rPr>
          <w:b/>
          <w:sz w:val="32"/>
        </w:rPr>
        <w:t>T E S I S</w:t>
      </w:r>
    </w:p>
    <w:p>
      <w:pPr>
        <w:pStyle w:val="BodyText"/>
        <w:rPr>
          <w:b/>
          <w:sz w:val="32"/>
        </w:rPr>
      </w:pPr>
    </w:p>
    <w:p>
      <w:pPr>
        <w:pStyle w:val="BodyText"/>
        <w:spacing w:before="8"/>
        <w:rPr>
          <w:b/>
          <w:sz w:val="34"/>
        </w:rPr>
      </w:pPr>
    </w:p>
    <w:p>
      <w:pPr>
        <w:pStyle w:val="Heading1"/>
        <w:spacing w:line="242" w:lineRule="auto" w:before="1"/>
        <w:ind w:left="169" w:right="173"/>
        <w:jc w:val="center"/>
      </w:pPr>
      <w:r>
        <w:rPr/>
        <w:t>QUE PARA OBTENER EL GRADO DE MAESTRA EN CIENCIAS AGROPECUARIAS Y RECURSOS NATURALES</w:t>
      </w:r>
    </w:p>
    <w:p>
      <w:pPr>
        <w:pStyle w:val="BodyText"/>
        <w:rPr>
          <w:b/>
        </w:rPr>
      </w:pPr>
    </w:p>
    <w:p>
      <w:pPr>
        <w:pStyle w:val="BodyText"/>
        <w:rPr>
          <w:b/>
        </w:rPr>
      </w:pPr>
    </w:p>
    <w:p>
      <w:pPr>
        <w:pStyle w:val="BodyText"/>
        <w:rPr>
          <w:b/>
        </w:rPr>
      </w:pPr>
    </w:p>
    <w:p>
      <w:pPr>
        <w:pStyle w:val="BodyText"/>
        <w:spacing w:before="10"/>
        <w:rPr>
          <w:b/>
          <w:sz w:val="27"/>
        </w:rPr>
      </w:pPr>
    </w:p>
    <w:p>
      <w:pPr>
        <w:spacing w:before="1"/>
        <w:ind w:left="171" w:right="173" w:firstLine="0"/>
        <w:jc w:val="center"/>
        <w:rPr>
          <w:b/>
          <w:sz w:val="24"/>
        </w:rPr>
      </w:pPr>
      <w:r>
        <w:rPr>
          <w:b/>
          <w:sz w:val="24"/>
        </w:rPr>
        <w:t>PRESENTA:</w:t>
      </w:r>
    </w:p>
    <w:p>
      <w:pPr>
        <w:pStyle w:val="BodyText"/>
        <w:rPr>
          <w:b/>
        </w:rPr>
      </w:pPr>
    </w:p>
    <w:p>
      <w:pPr>
        <w:pStyle w:val="BodyText"/>
        <w:spacing w:before="9"/>
        <w:rPr>
          <w:b/>
          <w:sz w:val="34"/>
        </w:rPr>
      </w:pPr>
    </w:p>
    <w:p>
      <w:pPr>
        <w:spacing w:before="1"/>
        <w:ind w:left="172" w:right="173" w:firstLine="0"/>
        <w:jc w:val="center"/>
        <w:rPr>
          <w:b/>
          <w:sz w:val="24"/>
        </w:rPr>
      </w:pPr>
      <w:r>
        <w:rPr>
          <w:b/>
          <w:sz w:val="24"/>
        </w:rPr>
        <w:t>MARÍA DEL ROSARIO REYES ALEMÁN</w:t>
      </w:r>
    </w:p>
    <w:p>
      <w:pPr>
        <w:pStyle w:val="BodyText"/>
        <w:rPr>
          <w:b/>
        </w:rPr>
      </w:pPr>
    </w:p>
    <w:p>
      <w:pPr>
        <w:pStyle w:val="BodyText"/>
        <w:rPr>
          <w:b/>
        </w:rPr>
      </w:pPr>
    </w:p>
    <w:p>
      <w:pPr>
        <w:pStyle w:val="BodyText"/>
        <w:rPr>
          <w:b/>
        </w:rPr>
      </w:pPr>
    </w:p>
    <w:p>
      <w:pPr>
        <w:pStyle w:val="BodyText"/>
        <w:spacing w:before="2"/>
        <w:rPr>
          <w:b/>
          <w:sz w:val="28"/>
        </w:rPr>
      </w:pPr>
    </w:p>
    <w:p>
      <w:pPr>
        <w:spacing w:before="0"/>
        <w:ind w:left="172" w:right="173" w:firstLine="0"/>
        <w:jc w:val="center"/>
        <w:rPr>
          <w:b/>
          <w:sz w:val="24"/>
        </w:rPr>
      </w:pPr>
      <w:r>
        <w:rPr>
          <w:b/>
          <w:sz w:val="24"/>
        </w:rPr>
        <w:t>COMITÉ DE TUTORES:</w:t>
      </w:r>
    </w:p>
    <w:p>
      <w:pPr>
        <w:spacing w:before="199"/>
        <w:ind w:left="173" w:right="173" w:firstLine="0"/>
        <w:jc w:val="center"/>
        <w:rPr>
          <w:b/>
          <w:sz w:val="24"/>
        </w:rPr>
      </w:pPr>
      <w:r>
        <w:rPr>
          <w:b/>
          <w:sz w:val="24"/>
        </w:rPr>
        <w:t>Dr. Omar Franco Mora. Tutor Académico</w:t>
      </w:r>
    </w:p>
    <w:p>
      <w:pPr>
        <w:spacing w:line="415" w:lineRule="auto" w:before="199"/>
        <w:ind w:left="1531" w:right="1530" w:hanging="4"/>
        <w:jc w:val="center"/>
        <w:rPr>
          <w:b/>
          <w:sz w:val="24"/>
        </w:rPr>
      </w:pPr>
      <w:r>
        <w:rPr>
          <w:b/>
          <w:sz w:val="24"/>
        </w:rPr>
        <w:t>Dr. Edgar Jesús Morales Rosales. Tutor Adjunto Dra. Delfina de Jesús Pérez López. Tutora Adjunta</w:t>
      </w:r>
    </w:p>
    <w:p>
      <w:pPr>
        <w:pStyle w:val="BodyText"/>
        <w:rPr>
          <w:b/>
        </w:rPr>
      </w:pPr>
    </w:p>
    <w:p>
      <w:pPr>
        <w:pStyle w:val="BodyText"/>
        <w:spacing w:before="202"/>
        <w:ind w:left="173" w:right="173"/>
        <w:jc w:val="center"/>
      </w:pPr>
      <w:r>
        <w:rPr/>
        <w:t>El Cerrillo Piedras Blancas, Toluca, Estado de México, Julio 2016.</w:t>
      </w:r>
    </w:p>
    <w:p>
      <w:pPr>
        <w:spacing w:after="0"/>
        <w:jc w:val="center"/>
        <w:sectPr>
          <w:type w:val="continuous"/>
          <w:pgSz w:w="12240" w:h="15840"/>
          <w:pgMar w:top="1360" w:bottom="280" w:left="1720" w:right="1720"/>
        </w:sectPr>
      </w:pPr>
    </w:p>
    <w:p>
      <w:pPr>
        <w:pStyle w:val="Heading1"/>
        <w:spacing w:before="54"/>
        <w:ind w:left="119" w:right="140"/>
        <w:jc w:val="center"/>
      </w:pPr>
      <w:r>
        <w:rPr/>
        <w:t>AGRADECIMIENTOS</w:t>
      </w:r>
    </w:p>
    <w:p>
      <w:pPr>
        <w:pStyle w:val="BodyText"/>
        <w:rPr>
          <w:b/>
        </w:rPr>
      </w:pPr>
    </w:p>
    <w:p>
      <w:pPr>
        <w:pStyle w:val="BodyText"/>
        <w:rPr>
          <w:b/>
        </w:rPr>
      </w:pPr>
    </w:p>
    <w:p>
      <w:pPr>
        <w:pStyle w:val="BodyText"/>
        <w:rPr>
          <w:b/>
        </w:rPr>
      </w:pPr>
    </w:p>
    <w:p>
      <w:pPr>
        <w:pStyle w:val="BodyText"/>
        <w:spacing w:before="11"/>
        <w:rPr>
          <w:b/>
          <w:sz w:val="27"/>
        </w:rPr>
      </w:pPr>
    </w:p>
    <w:p>
      <w:pPr>
        <w:pStyle w:val="BodyText"/>
        <w:spacing w:line="480" w:lineRule="auto"/>
        <w:ind w:left="101" w:right="117"/>
        <w:jc w:val="both"/>
      </w:pPr>
      <w:r>
        <w:rPr/>
        <w:t>A la Universidad Autónoma del Estado de México, a la Facultad de Ciencias Agrícolas, a través del Programa de Ciencias Agropecuarias y Recursos Naturales (PCARN), por la oportunidad de permitirme realizar la presente investigación y los estudios de maestría correspondientes.</w:t>
      </w:r>
    </w:p>
    <w:p>
      <w:pPr>
        <w:pStyle w:val="BodyText"/>
      </w:pPr>
    </w:p>
    <w:p>
      <w:pPr>
        <w:pStyle w:val="BodyText"/>
        <w:spacing w:before="3"/>
        <w:rPr>
          <w:sz w:val="35"/>
        </w:rPr>
      </w:pPr>
    </w:p>
    <w:p>
      <w:pPr>
        <w:pStyle w:val="BodyText"/>
        <w:spacing w:line="480" w:lineRule="auto" w:before="1"/>
        <w:ind w:left="101" w:right="114"/>
        <w:jc w:val="both"/>
      </w:pPr>
      <w:r>
        <w:rPr/>
        <w:t>Al Consejo Nacional de Ciencia y Tecnología (CONACYT), por la beca otorgada y el</w:t>
      </w:r>
      <w:r>
        <w:rPr>
          <w:spacing w:val="-14"/>
        </w:rPr>
        <w:t> </w:t>
      </w:r>
      <w:r>
        <w:rPr/>
        <w:t>apoyo</w:t>
      </w:r>
      <w:r>
        <w:rPr>
          <w:spacing w:val="-13"/>
        </w:rPr>
        <w:t> </w:t>
      </w:r>
      <w:r>
        <w:rPr/>
        <w:t>que</w:t>
      </w:r>
      <w:r>
        <w:rPr>
          <w:spacing w:val="-14"/>
        </w:rPr>
        <w:t> </w:t>
      </w:r>
      <w:r>
        <w:rPr/>
        <w:t>brindan</w:t>
      </w:r>
      <w:r>
        <w:rPr>
          <w:spacing w:val="-13"/>
        </w:rPr>
        <w:t> </w:t>
      </w:r>
      <w:r>
        <w:rPr/>
        <w:t>a</w:t>
      </w:r>
      <w:r>
        <w:rPr>
          <w:spacing w:val="-14"/>
        </w:rPr>
        <w:t> </w:t>
      </w:r>
      <w:r>
        <w:rPr/>
        <w:t>todos</w:t>
      </w:r>
      <w:r>
        <w:rPr>
          <w:spacing w:val="-14"/>
        </w:rPr>
        <w:t> </w:t>
      </w:r>
      <w:r>
        <w:rPr/>
        <w:t>los</w:t>
      </w:r>
      <w:r>
        <w:rPr>
          <w:spacing w:val="-14"/>
        </w:rPr>
        <w:t> </w:t>
      </w:r>
      <w:r>
        <w:rPr/>
        <w:t>estudiantes</w:t>
      </w:r>
      <w:r>
        <w:rPr>
          <w:spacing w:val="-15"/>
        </w:rPr>
        <w:t> </w:t>
      </w:r>
      <w:r>
        <w:rPr/>
        <w:t>y</w:t>
      </w:r>
      <w:r>
        <w:rPr>
          <w:spacing w:val="-15"/>
        </w:rPr>
        <w:t> </w:t>
      </w:r>
      <w:r>
        <w:rPr/>
        <w:t>profesionistas</w:t>
      </w:r>
      <w:r>
        <w:rPr>
          <w:spacing w:val="-14"/>
        </w:rPr>
        <w:t> </w:t>
      </w:r>
      <w:r>
        <w:rPr/>
        <w:t>que</w:t>
      </w:r>
      <w:r>
        <w:rPr>
          <w:spacing w:val="-14"/>
        </w:rPr>
        <w:t> </w:t>
      </w:r>
      <w:r>
        <w:rPr/>
        <w:t>desean</w:t>
      </w:r>
      <w:r>
        <w:rPr>
          <w:spacing w:val="-13"/>
        </w:rPr>
        <w:t> </w:t>
      </w:r>
      <w:r>
        <w:rPr/>
        <w:t>superarse en las diferentes áreas del</w:t>
      </w:r>
      <w:r>
        <w:rPr>
          <w:spacing w:val="-19"/>
        </w:rPr>
        <w:t> </w:t>
      </w:r>
      <w:r>
        <w:rPr/>
        <w:t>conocimiento.</w:t>
      </w:r>
    </w:p>
    <w:p>
      <w:pPr>
        <w:pStyle w:val="BodyText"/>
      </w:pPr>
    </w:p>
    <w:p>
      <w:pPr>
        <w:pStyle w:val="BodyText"/>
      </w:pPr>
    </w:p>
    <w:p>
      <w:pPr>
        <w:pStyle w:val="BodyText"/>
        <w:spacing w:before="3"/>
        <w:rPr>
          <w:sz w:val="35"/>
        </w:rPr>
      </w:pPr>
    </w:p>
    <w:p>
      <w:pPr>
        <w:pStyle w:val="BodyText"/>
        <w:spacing w:line="482" w:lineRule="auto" w:before="1"/>
        <w:ind w:left="101" w:right="118"/>
        <w:jc w:val="both"/>
      </w:pPr>
      <w:r>
        <w:rPr/>
        <w:t>A todos los catedráticos universitarios por su vocación de servicio y compromiso con el alumnado.</w:t>
      </w:r>
    </w:p>
    <w:p>
      <w:pPr>
        <w:spacing w:after="0" w:line="482" w:lineRule="auto"/>
        <w:jc w:val="both"/>
        <w:sectPr>
          <w:pgSz w:w="12240" w:h="15840"/>
          <w:pgMar w:top="1360" w:bottom="280" w:left="1600" w:right="1580"/>
        </w:sectPr>
      </w:pPr>
    </w:p>
    <w:p>
      <w:pPr>
        <w:pStyle w:val="Heading1"/>
        <w:spacing w:line="242" w:lineRule="auto" w:before="51"/>
        <w:ind w:left="125" w:right="140"/>
        <w:jc w:val="center"/>
      </w:pPr>
      <w:r>
        <w:rPr/>
        <w:t>FERTILIZACIÓN FOLIAR EN BASE A MAGNESIO Y ZINC PARA MEJORAR LA CALIDAD DE LILIES (</w:t>
      </w:r>
      <w:r>
        <w:rPr>
          <w:i/>
        </w:rPr>
        <w:t>Lilium </w:t>
      </w:r>
      <w:r>
        <w:rPr/>
        <w:t>spp.)</w:t>
      </w:r>
    </w:p>
    <w:p>
      <w:pPr>
        <w:pStyle w:val="BodyText"/>
        <w:rPr>
          <w:b/>
          <w:sz w:val="28"/>
        </w:rPr>
      </w:pPr>
    </w:p>
    <w:p>
      <w:pPr>
        <w:pStyle w:val="BodyText"/>
        <w:spacing w:before="7"/>
        <w:rPr>
          <w:b/>
          <w:sz w:val="30"/>
        </w:rPr>
      </w:pPr>
    </w:p>
    <w:p>
      <w:pPr>
        <w:spacing w:before="0"/>
        <w:ind w:left="121" w:right="140" w:firstLine="0"/>
        <w:jc w:val="center"/>
        <w:rPr>
          <w:b/>
          <w:sz w:val="24"/>
        </w:rPr>
      </w:pPr>
      <w:r>
        <w:rPr>
          <w:b/>
          <w:sz w:val="24"/>
        </w:rPr>
        <w:t>MARÍA DEL ROSARIO REYES ALEMÁN</w:t>
      </w:r>
    </w:p>
    <w:p>
      <w:pPr>
        <w:pStyle w:val="BodyText"/>
        <w:rPr>
          <w:b/>
        </w:rPr>
      </w:pPr>
    </w:p>
    <w:p>
      <w:pPr>
        <w:pStyle w:val="BodyText"/>
        <w:spacing w:before="9"/>
        <w:rPr>
          <w:b/>
          <w:sz w:val="34"/>
        </w:rPr>
      </w:pPr>
    </w:p>
    <w:p>
      <w:pPr>
        <w:pStyle w:val="BodyText"/>
        <w:spacing w:line="360" w:lineRule="auto" w:before="1"/>
        <w:ind w:left="101" w:right="117"/>
        <w:jc w:val="both"/>
      </w:pPr>
      <w:r>
        <w:rPr/>
        <w:t>Presenta la siguiente investigación como requisito parcial para obtener el grado de Maestra en Ciencias Agropecuarias y Recursos Naturales por la Universidad Autónoma</w:t>
      </w:r>
      <w:r>
        <w:rPr>
          <w:spacing w:val="-12"/>
        </w:rPr>
        <w:t> </w:t>
      </w:r>
      <w:r>
        <w:rPr/>
        <w:t>del</w:t>
      </w:r>
      <w:r>
        <w:rPr>
          <w:spacing w:val="-13"/>
        </w:rPr>
        <w:t> </w:t>
      </w:r>
      <w:r>
        <w:rPr/>
        <w:t>Estado</w:t>
      </w:r>
      <w:r>
        <w:rPr>
          <w:spacing w:val="-12"/>
        </w:rPr>
        <w:t> </w:t>
      </w:r>
      <w:r>
        <w:rPr/>
        <w:t>de</w:t>
      </w:r>
      <w:r>
        <w:rPr>
          <w:spacing w:val="-9"/>
        </w:rPr>
        <w:t> </w:t>
      </w:r>
      <w:r>
        <w:rPr/>
        <w:t>México</w:t>
      </w:r>
      <w:r>
        <w:rPr>
          <w:spacing w:val="-9"/>
        </w:rPr>
        <w:t> </w:t>
      </w:r>
      <w:r>
        <w:rPr/>
        <w:t>(UAEM),</w:t>
      </w:r>
      <w:r>
        <w:rPr>
          <w:spacing w:val="-12"/>
        </w:rPr>
        <w:t> </w:t>
      </w:r>
      <w:r>
        <w:rPr/>
        <w:t>Director</w:t>
      </w:r>
      <w:r>
        <w:rPr>
          <w:spacing w:val="-13"/>
        </w:rPr>
        <w:t> </w:t>
      </w:r>
      <w:r>
        <w:rPr/>
        <w:t>de</w:t>
      </w:r>
      <w:r>
        <w:rPr>
          <w:spacing w:val="-14"/>
        </w:rPr>
        <w:t> </w:t>
      </w:r>
      <w:r>
        <w:rPr/>
        <w:t>Tesis,</w:t>
      </w:r>
      <w:r>
        <w:rPr>
          <w:spacing w:val="-12"/>
        </w:rPr>
        <w:t> </w:t>
      </w:r>
      <w:r>
        <w:rPr/>
        <w:t>Dr.</w:t>
      </w:r>
      <w:r>
        <w:rPr>
          <w:spacing w:val="-10"/>
        </w:rPr>
        <w:t> </w:t>
      </w:r>
      <w:r>
        <w:rPr/>
        <w:t>Omar</w:t>
      </w:r>
      <w:r>
        <w:rPr>
          <w:spacing w:val="-11"/>
        </w:rPr>
        <w:t> </w:t>
      </w:r>
      <w:r>
        <w:rPr/>
        <w:t>Franco</w:t>
      </w:r>
      <w:r>
        <w:rPr>
          <w:spacing w:val="-12"/>
        </w:rPr>
        <w:t> </w:t>
      </w:r>
      <w:r>
        <w:rPr/>
        <w:t>Mora, Laboratorio de Horticultura, Facultad de Ciencias Agrícolas, UAEM. Tutores adjuntos: Dr. Edgar Jesús Morales Rosales y Dra. Delfina de Jesús Pérez López, Facultad de Ciencias Agrícolas,</w:t>
      </w:r>
      <w:r>
        <w:rPr>
          <w:spacing w:val="-17"/>
        </w:rPr>
        <w:t> </w:t>
      </w:r>
      <w:r>
        <w:rPr/>
        <w:t>UAEM.</w:t>
      </w:r>
    </w:p>
    <w:p>
      <w:pPr>
        <w:pStyle w:val="BodyText"/>
      </w:pPr>
    </w:p>
    <w:p>
      <w:pPr>
        <w:pStyle w:val="BodyText"/>
      </w:pPr>
    </w:p>
    <w:p>
      <w:pPr>
        <w:pStyle w:val="BodyText"/>
        <w:spacing w:before="2"/>
        <w:rPr>
          <w:sz w:val="23"/>
        </w:rPr>
      </w:pPr>
    </w:p>
    <w:p>
      <w:pPr>
        <w:pStyle w:val="Heading1"/>
        <w:ind w:left="123" w:right="140"/>
        <w:jc w:val="center"/>
      </w:pPr>
      <w:r>
        <w:rPr/>
        <w:t>RESUMEN</w:t>
      </w:r>
    </w:p>
    <w:p>
      <w:pPr>
        <w:pStyle w:val="BodyText"/>
        <w:spacing w:before="4"/>
        <w:rPr>
          <w:b/>
          <w:sz w:val="29"/>
        </w:rPr>
      </w:pPr>
    </w:p>
    <w:p>
      <w:pPr>
        <w:pStyle w:val="BodyText"/>
        <w:spacing w:line="360" w:lineRule="auto" w:before="1"/>
        <w:ind w:left="101" w:right="114"/>
        <w:jc w:val="both"/>
        <w:rPr>
          <w:sz w:val="16"/>
        </w:rPr>
      </w:pPr>
      <w:r>
        <w:rPr/>
        <w:t>El magnesio y el zinc son micronutrimentos que pueden modular algunas características agronómicas de plantas ornamentales. En cultivo bajo invernadero, se cuantificó la altura de planta (AP) e índice de verdor de hojas (IVH) de lilium (</w:t>
      </w:r>
      <w:r>
        <w:rPr>
          <w:i/>
        </w:rPr>
        <w:t>Lilium </w:t>
      </w:r>
      <w:r>
        <w:rPr/>
        <w:t>spp.) cv. Acapulco fertilizada con una solución Steiner aumentada 40 veces (10 y 20 ml por maceta) al sustrato y tres dosis de fertilización foliar con Zn y Mg</w:t>
      </w:r>
      <w:r>
        <w:rPr>
          <w:spacing w:val="-40"/>
        </w:rPr>
        <w:t> </w:t>
      </w:r>
      <w:r>
        <w:rPr/>
        <w:t>0- 0, 72-80 y 144-160 m</w:t>
      </w:r>
      <w:r>
        <w:rPr>
          <w:color w:val="221E1F"/>
        </w:rPr>
        <w:t>g·litro</w:t>
      </w:r>
      <w:r>
        <w:rPr>
          <w:color w:val="221E1F"/>
          <w:position w:val="8"/>
          <w:sz w:val="16"/>
        </w:rPr>
        <w:t>-1</w:t>
      </w:r>
      <w:r>
        <w:rPr/>
        <w:t>, respectivamente. Posteriormente, en lilium ‘Serrada’ se experimentó con seis dosis de fertilización foliar ya que se eligió a 10 ml de solución</w:t>
      </w:r>
      <w:r>
        <w:rPr>
          <w:spacing w:val="-12"/>
        </w:rPr>
        <w:t> </w:t>
      </w:r>
      <w:r>
        <w:rPr/>
        <w:t>(40x)</w:t>
      </w:r>
      <w:r>
        <w:rPr>
          <w:spacing w:val="-13"/>
        </w:rPr>
        <w:t> </w:t>
      </w:r>
      <w:r>
        <w:rPr/>
        <w:t>Steiner</w:t>
      </w:r>
      <w:r>
        <w:rPr>
          <w:spacing w:val="-16"/>
        </w:rPr>
        <w:t> </w:t>
      </w:r>
      <w:r>
        <w:rPr/>
        <w:t>como</w:t>
      </w:r>
      <w:r>
        <w:rPr>
          <w:spacing w:val="-14"/>
        </w:rPr>
        <w:t> </w:t>
      </w:r>
      <w:r>
        <w:rPr/>
        <w:t>base</w:t>
      </w:r>
      <w:r>
        <w:rPr>
          <w:spacing w:val="-12"/>
        </w:rPr>
        <w:t> </w:t>
      </w:r>
      <w:r>
        <w:rPr/>
        <w:t>de</w:t>
      </w:r>
      <w:r>
        <w:rPr>
          <w:spacing w:val="-14"/>
        </w:rPr>
        <w:t> </w:t>
      </w:r>
      <w:r>
        <w:rPr/>
        <w:t>fertilización</w:t>
      </w:r>
      <w:r>
        <w:rPr>
          <w:spacing w:val="-12"/>
        </w:rPr>
        <w:t> </w:t>
      </w:r>
      <w:r>
        <w:rPr/>
        <w:t>al</w:t>
      </w:r>
      <w:r>
        <w:rPr>
          <w:spacing w:val="-13"/>
        </w:rPr>
        <w:t> </w:t>
      </w:r>
      <w:r>
        <w:rPr/>
        <w:t>sustrato.</w:t>
      </w:r>
      <w:r>
        <w:rPr>
          <w:spacing w:val="-14"/>
        </w:rPr>
        <w:t> </w:t>
      </w:r>
      <w:r>
        <w:rPr/>
        <w:t>En</w:t>
      </w:r>
      <w:r>
        <w:rPr>
          <w:spacing w:val="-14"/>
        </w:rPr>
        <w:t> </w:t>
      </w:r>
      <w:r>
        <w:rPr/>
        <w:t>ambos</w:t>
      </w:r>
      <w:r>
        <w:rPr>
          <w:spacing w:val="-13"/>
        </w:rPr>
        <w:t> </w:t>
      </w:r>
      <w:r>
        <w:rPr/>
        <w:t>cultivares</w:t>
      </w:r>
      <w:r>
        <w:rPr>
          <w:spacing w:val="-13"/>
        </w:rPr>
        <w:t> </w:t>
      </w:r>
      <w:r>
        <w:rPr/>
        <w:t>se determinó en postcosecha las unidades SPAD, diámetro de flor, color de tépalos y materia</w:t>
      </w:r>
      <w:r>
        <w:rPr>
          <w:spacing w:val="-8"/>
        </w:rPr>
        <w:t> </w:t>
      </w:r>
      <w:r>
        <w:rPr/>
        <w:t>seca.</w:t>
      </w:r>
      <w:r>
        <w:rPr>
          <w:spacing w:val="-10"/>
        </w:rPr>
        <w:t> </w:t>
      </w:r>
      <w:r>
        <w:rPr/>
        <w:t>En</w:t>
      </w:r>
      <w:r>
        <w:rPr>
          <w:spacing w:val="-10"/>
        </w:rPr>
        <w:t> </w:t>
      </w:r>
      <w:r>
        <w:rPr/>
        <w:t>lilis</w:t>
      </w:r>
      <w:r>
        <w:rPr>
          <w:spacing w:val="-9"/>
        </w:rPr>
        <w:t> </w:t>
      </w:r>
      <w:r>
        <w:rPr/>
        <w:t>‘Acapulco’,</w:t>
      </w:r>
      <w:r>
        <w:rPr>
          <w:spacing w:val="-10"/>
        </w:rPr>
        <w:t> </w:t>
      </w:r>
      <w:r>
        <w:rPr/>
        <w:t>a</w:t>
      </w:r>
      <w:r>
        <w:rPr>
          <w:spacing w:val="-10"/>
        </w:rPr>
        <w:t> </w:t>
      </w:r>
      <w:r>
        <w:rPr/>
        <w:t>partir</w:t>
      </w:r>
      <w:r>
        <w:rPr>
          <w:spacing w:val="-9"/>
        </w:rPr>
        <w:t> </w:t>
      </w:r>
      <w:r>
        <w:rPr/>
        <w:t>de</w:t>
      </w:r>
      <w:r>
        <w:rPr>
          <w:spacing w:val="-8"/>
        </w:rPr>
        <w:t> </w:t>
      </w:r>
      <w:r>
        <w:rPr/>
        <w:t>los</w:t>
      </w:r>
      <w:r>
        <w:rPr>
          <w:spacing w:val="-9"/>
        </w:rPr>
        <w:t> </w:t>
      </w:r>
      <w:r>
        <w:rPr/>
        <w:t>55</w:t>
      </w:r>
      <w:r>
        <w:rPr>
          <w:spacing w:val="-10"/>
        </w:rPr>
        <w:t> </w:t>
      </w:r>
      <w:r>
        <w:rPr/>
        <w:t>días</w:t>
      </w:r>
      <w:r>
        <w:rPr>
          <w:spacing w:val="-9"/>
        </w:rPr>
        <w:t> </w:t>
      </w:r>
      <w:r>
        <w:rPr/>
        <w:t>de</w:t>
      </w:r>
      <w:r>
        <w:rPr>
          <w:spacing w:val="-8"/>
        </w:rPr>
        <w:t> </w:t>
      </w:r>
      <w:r>
        <w:rPr/>
        <w:t>cultivo,</w:t>
      </w:r>
      <w:r>
        <w:rPr>
          <w:spacing w:val="-8"/>
        </w:rPr>
        <w:t> </w:t>
      </w:r>
      <w:r>
        <w:rPr/>
        <w:t>la</w:t>
      </w:r>
      <w:r>
        <w:rPr>
          <w:spacing w:val="-8"/>
        </w:rPr>
        <w:t> </w:t>
      </w:r>
      <w:r>
        <w:rPr/>
        <w:t>aplicación</w:t>
      </w:r>
      <w:r>
        <w:rPr>
          <w:spacing w:val="-12"/>
        </w:rPr>
        <w:t> </w:t>
      </w:r>
      <w:r>
        <w:rPr/>
        <w:t>foliar de</w:t>
      </w:r>
      <w:r>
        <w:rPr>
          <w:spacing w:val="-15"/>
        </w:rPr>
        <w:t> </w:t>
      </w:r>
      <w:r>
        <w:rPr/>
        <w:t>144</w:t>
      </w:r>
      <w:r>
        <w:rPr>
          <w:spacing w:val="-15"/>
        </w:rPr>
        <w:t> </w:t>
      </w:r>
      <w:r>
        <w:rPr/>
        <w:t>m</w:t>
      </w:r>
      <w:r>
        <w:rPr>
          <w:color w:val="221E1F"/>
        </w:rPr>
        <w:t>g·litro</w:t>
      </w:r>
      <w:r>
        <w:rPr>
          <w:color w:val="221E1F"/>
          <w:position w:val="8"/>
          <w:sz w:val="16"/>
        </w:rPr>
        <w:t>-1</w:t>
      </w:r>
      <w:r>
        <w:rPr>
          <w:color w:val="221E1F"/>
          <w:spacing w:val="8"/>
          <w:position w:val="8"/>
          <w:sz w:val="16"/>
        </w:rPr>
        <w:t> </w:t>
      </w:r>
      <w:r>
        <w:rPr/>
        <w:t>de</w:t>
      </w:r>
      <w:r>
        <w:rPr>
          <w:spacing w:val="-15"/>
        </w:rPr>
        <w:t> </w:t>
      </w:r>
      <w:r>
        <w:rPr/>
        <w:t>Zn</w:t>
      </w:r>
      <w:r>
        <w:rPr>
          <w:spacing w:val="-15"/>
        </w:rPr>
        <w:t> </w:t>
      </w:r>
      <w:r>
        <w:rPr/>
        <w:t>y</w:t>
      </w:r>
      <w:r>
        <w:rPr>
          <w:spacing w:val="-16"/>
        </w:rPr>
        <w:t> </w:t>
      </w:r>
      <w:r>
        <w:rPr/>
        <w:t>de</w:t>
      </w:r>
      <w:r>
        <w:rPr>
          <w:spacing w:val="-13"/>
        </w:rPr>
        <w:t> </w:t>
      </w:r>
      <w:r>
        <w:rPr/>
        <w:t>160</w:t>
      </w:r>
      <w:r>
        <w:rPr>
          <w:spacing w:val="-15"/>
        </w:rPr>
        <w:t> </w:t>
      </w:r>
      <w:r>
        <w:rPr/>
        <w:t>m</w:t>
      </w:r>
      <w:r>
        <w:rPr>
          <w:color w:val="221E1F"/>
        </w:rPr>
        <w:t>g·litro</w:t>
      </w:r>
      <w:r>
        <w:rPr>
          <w:color w:val="221E1F"/>
          <w:position w:val="8"/>
          <w:sz w:val="16"/>
        </w:rPr>
        <w:t>-1</w:t>
      </w:r>
      <w:r>
        <w:rPr/>
        <w:t>de</w:t>
      </w:r>
      <w:r>
        <w:rPr>
          <w:spacing w:val="-13"/>
        </w:rPr>
        <w:t> </w:t>
      </w:r>
      <w:r>
        <w:rPr/>
        <w:t>Mg</w:t>
      </w:r>
      <w:r>
        <w:rPr>
          <w:spacing w:val="-15"/>
        </w:rPr>
        <w:t> </w:t>
      </w:r>
      <w:r>
        <w:rPr/>
        <w:t>aumentó</w:t>
      </w:r>
      <w:r>
        <w:rPr>
          <w:spacing w:val="-13"/>
        </w:rPr>
        <w:t> </w:t>
      </w:r>
      <w:r>
        <w:rPr/>
        <w:t>AP</w:t>
      </w:r>
      <w:r>
        <w:rPr>
          <w:spacing w:val="-13"/>
        </w:rPr>
        <w:t> </w:t>
      </w:r>
      <w:r>
        <w:rPr/>
        <w:t>y</w:t>
      </w:r>
      <w:r>
        <w:rPr>
          <w:spacing w:val="-16"/>
        </w:rPr>
        <w:t> </w:t>
      </w:r>
      <w:r>
        <w:rPr/>
        <w:t>a</w:t>
      </w:r>
      <w:r>
        <w:rPr>
          <w:spacing w:val="-13"/>
        </w:rPr>
        <w:t> </w:t>
      </w:r>
      <w:r>
        <w:rPr/>
        <w:t>la</w:t>
      </w:r>
      <w:r>
        <w:rPr>
          <w:spacing w:val="-15"/>
        </w:rPr>
        <w:t> </w:t>
      </w:r>
      <w:r>
        <w:rPr/>
        <w:t>cosecha</w:t>
      </w:r>
      <w:r>
        <w:rPr>
          <w:spacing w:val="-15"/>
        </w:rPr>
        <w:t> </w:t>
      </w:r>
      <w:r>
        <w:rPr/>
        <w:t>la</w:t>
      </w:r>
      <w:r>
        <w:rPr>
          <w:spacing w:val="-13"/>
        </w:rPr>
        <w:t> </w:t>
      </w:r>
      <w:r>
        <w:rPr/>
        <w:t>planta fue 4 cm más alta con respecto al control; estas plantas presentaron mayor IVH a partir del día 63 de cultivo y al menos 3 unidades SPAD (US) más a cosecha, siempre en relación al control. A cosecha, las plantas fertilizadas con 10 ml de Steiner</w:t>
      </w:r>
      <w:r>
        <w:rPr>
          <w:spacing w:val="-12"/>
        </w:rPr>
        <w:t> </w:t>
      </w:r>
      <w:r>
        <w:rPr/>
        <w:t>fueron</w:t>
      </w:r>
      <w:r>
        <w:rPr>
          <w:spacing w:val="-8"/>
        </w:rPr>
        <w:t> </w:t>
      </w:r>
      <w:r>
        <w:rPr/>
        <w:t>3</w:t>
      </w:r>
      <w:r>
        <w:rPr>
          <w:spacing w:val="-8"/>
        </w:rPr>
        <w:t> </w:t>
      </w:r>
      <w:r>
        <w:rPr/>
        <w:t>cm</w:t>
      </w:r>
      <w:r>
        <w:rPr>
          <w:spacing w:val="-8"/>
        </w:rPr>
        <w:t> </w:t>
      </w:r>
      <w:r>
        <w:rPr/>
        <w:t>más</w:t>
      </w:r>
      <w:r>
        <w:rPr>
          <w:spacing w:val="-8"/>
        </w:rPr>
        <w:t> </w:t>
      </w:r>
      <w:r>
        <w:rPr/>
        <w:t>altas</w:t>
      </w:r>
      <w:r>
        <w:rPr>
          <w:spacing w:val="-8"/>
        </w:rPr>
        <w:t> </w:t>
      </w:r>
      <w:r>
        <w:rPr/>
        <w:t>y</w:t>
      </w:r>
      <w:r>
        <w:rPr>
          <w:spacing w:val="-9"/>
        </w:rPr>
        <w:t> </w:t>
      </w:r>
      <w:r>
        <w:rPr/>
        <w:t>su</w:t>
      </w:r>
      <w:r>
        <w:rPr>
          <w:spacing w:val="-8"/>
        </w:rPr>
        <w:t> </w:t>
      </w:r>
      <w:r>
        <w:rPr/>
        <w:t>IVH</w:t>
      </w:r>
      <w:r>
        <w:rPr>
          <w:spacing w:val="-10"/>
        </w:rPr>
        <w:t> </w:t>
      </w:r>
      <w:r>
        <w:rPr/>
        <w:t>fue</w:t>
      </w:r>
      <w:r>
        <w:rPr>
          <w:spacing w:val="-8"/>
        </w:rPr>
        <w:t> </w:t>
      </w:r>
      <w:r>
        <w:rPr/>
        <w:t>igual</w:t>
      </w:r>
      <w:r>
        <w:rPr>
          <w:spacing w:val="-10"/>
        </w:rPr>
        <w:t> </w:t>
      </w:r>
      <w:r>
        <w:rPr/>
        <w:t>al</w:t>
      </w:r>
      <w:r>
        <w:rPr>
          <w:spacing w:val="-8"/>
        </w:rPr>
        <w:t> </w:t>
      </w:r>
      <w:r>
        <w:rPr/>
        <w:t>de</w:t>
      </w:r>
      <w:r>
        <w:rPr>
          <w:spacing w:val="-7"/>
        </w:rPr>
        <w:t> </w:t>
      </w:r>
      <w:r>
        <w:rPr/>
        <w:t>las</w:t>
      </w:r>
      <w:r>
        <w:rPr>
          <w:spacing w:val="-9"/>
        </w:rPr>
        <w:t> </w:t>
      </w:r>
      <w:r>
        <w:rPr/>
        <w:t>plantas</w:t>
      </w:r>
      <w:r>
        <w:rPr>
          <w:spacing w:val="-9"/>
        </w:rPr>
        <w:t> </w:t>
      </w:r>
      <w:r>
        <w:rPr/>
        <w:t>fertilizadas</w:t>
      </w:r>
      <w:r>
        <w:rPr>
          <w:spacing w:val="-8"/>
        </w:rPr>
        <w:t> </w:t>
      </w:r>
      <w:r>
        <w:rPr/>
        <w:t>con</w:t>
      </w:r>
      <w:r>
        <w:rPr>
          <w:spacing w:val="-8"/>
        </w:rPr>
        <w:t> </w:t>
      </w:r>
      <w:r>
        <w:rPr/>
        <w:t>20 ml</w:t>
      </w:r>
      <w:r>
        <w:rPr>
          <w:spacing w:val="-7"/>
        </w:rPr>
        <w:t> </w:t>
      </w:r>
      <w:r>
        <w:rPr/>
        <w:t>de</w:t>
      </w:r>
      <w:r>
        <w:rPr>
          <w:spacing w:val="-8"/>
        </w:rPr>
        <w:t> </w:t>
      </w:r>
      <w:r>
        <w:rPr/>
        <w:t>Steiner.</w:t>
      </w:r>
      <w:r>
        <w:rPr>
          <w:spacing w:val="-6"/>
        </w:rPr>
        <w:t> </w:t>
      </w:r>
      <w:r>
        <w:rPr/>
        <w:t>Para</w:t>
      </w:r>
      <w:r>
        <w:rPr>
          <w:spacing w:val="-6"/>
        </w:rPr>
        <w:t> </w:t>
      </w:r>
      <w:r>
        <w:rPr/>
        <w:t>el</w:t>
      </w:r>
      <w:r>
        <w:rPr>
          <w:spacing w:val="-10"/>
        </w:rPr>
        <w:t> </w:t>
      </w:r>
      <w:r>
        <w:rPr/>
        <w:t>segundo</w:t>
      </w:r>
      <w:r>
        <w:rPr>
          <w:spacing w:val="-6"/>
        </w:rPr>
        <w:t> </w:t>
      </w:r>
      <w:r>
        <w:rPr/>
        <w:t>cultivar,</w:t>
      </w:r>
      <w:r>
        <w:rPr>
          <w:spacing w:val="-6"/>
        </w:rPr>
        <w:t> </w:t>
      </w:r>
      <w:r>
        <w:rPr/>
        <w:t>a</w:t>
      </w:r>
      <w:r>
        <w:rPr>
          <w:spacing w:val="-6"/>
        </w:rPr>
        <w:t> </w:t>
      </w:r>
      <w:r>
        <w:rPr/>
        <w:t>cosecha,</w:t>
      </w:r>
      <w:r>
        <w:rPr>
          <w:spacing w:val="-9"/>
        </w:rPr>
        <w:t> </w:t>
      </w:r>
      <w:r>
        <w:rPr/>
        <w:t>2</w:t>
      </w:r>
      <w:r>
        <w:rPr>
          <w:spacing w:val="-6"/>
        </w:rPr>
        <w:t> </w:t>
      </w:r>
      <w:r>
        <w:rPr/>
        <w:t>dosis</w:t>
      </w:r>
      <w:r>
        <w:rPr>
          <w:spacing w:val="-7"/>
        </w:rPr>
        <w:t> </w:t>
      </w:r>
      <w:r>
        <w:rPr/>
        <w:t>de</w:t>
      </w:r>
      <w:r>
        <w:rPr>
          <w:spacing w:val="-8"/>
        </w:rPr>
        <w:t> </w:t>
      </w:r>
      <w:r>
        <w:rPr/>
        <w:t>Zn</w:t>
      </w:r>
      <w:r>
        <w:rPr>
          <w:spacing w:val="-6"/>
        </w:rPr>
        <w:t> </w:t>
      </w:r>
      <w:r>
        <w:rPr/>
        <w:t>y</w:t>
      </w:r>
      <w:r>
        <w:rPr>
          <w:spacing w:val="-9"/>
        </w:rPr>
        <w:t> </w:t>
      </w:r>
      <w:r>
        <w:rPr/>
        <w:t>Mg</w:t>
      </w:r>
      <w:r>
        <w:rPr>
          <w:spacing w:val="-8"/>
        </w:rPr>
        <w:t> </w:t>
      </w:r>
      <w:r>
        <w:rPr/>
        <w:t>superaron</w:t>
      </w:r>
      <w:r>
        <w:rPr>
          <w:spacing w:val="-6"/>
        </w:rPr>
        <w:t> </w:t>
      </w:r>
      <w:r>
        <w:rPr/>
        <w:t>al control; la mayor altura de planta con menor dosis de nutrimentos fue 72 </w:t>
      </w:r>
      <w:r>
        <w:rPr>
          <w:spacing w:val="9"/>
        </w:rPr>
        <w:t> </w:t>
      </w:r>
      <w:r>
        <w:rPr/>
        <w:t>mg·litro</w:t>
      </w:r>
      <w:r>
        <w:rPr>
          <w:position w:val="8"/>
          <w:sz w:val="16"/>
        </w:rPr>
        <w:t>-1</w:t>
      </w:r>
    </w:p>
    <w:p>
      <w:pPr>
        <w:spacing w:after="0" w:line="360" w:lineRule="auto"/>
        <w:jc w:val="both"/>
        <w:rPr>
          <w:sz w:val="16"/>
        </w:rPr>
        <w:sectPr>
          <w:pgSz w:w="12240" w:h="15840"/>
          <w:pgMar w:top="1360" w:bottom="280" w:left="1600" w:right="1580"/>
        </w:sectPr>
      </w:pPr>
    </w:p>
    <w:p>
      <w:pPr>
        <w:pStyle w:val="BodyText"/>
        <w:spacing w:line="360" w:lineRule="auto" w:before="69"/>
        <w:ind w:left="101" w:right="117"/>
        <w:jc w:val="both"/>
      </w:pPr>
      <w:r>
        <w:rPr/>
        <w:t>de</w:t>
      </w:r>
      <w:r>
        <w:rPr>
          <w:spacing w:val="-11"/>
        </w:rPr>
        <w:t> </w:t>
      </w:r>
      <w:r>
        <w:rPr/>
        <w:t>Zn</w:t>
      </w:r>
      <w:r>
        <w:rPr>
          <w:spacing w:val="-11"/>
        </w:rPr>
        <w:t> </w:t>
      </w:r>
      <w:r>
        <w:rPr/>
        <w:t>y</w:t>
      </w:r>
      <w:r>
        <w:rPr>
          <w:spacing w:val="-14"/>
        </w:rPr>
        <w:t> </w:t>
      </w:r>
      <w:r>
        <w:rPr/>
        <w:t>160</w:t>
      </w:r>
      <w:r>
        <w:rPr>
          <w:spacing w:val="-11"/>
        </w:rPr>
        <w:t> </w:t>
      </w:r>
      <w:r>
        <w:rPr/>
        <w:t>mg·litro</w:t>
      </w:r>
      <w:r>
        <w:rPr>
          <w:position w:val="8"/>
          <w:sz w:val="16"/>
        </w:rPr>
        <w:t>-1</w:t>
      </w:r>
      <w:r>
        <w:rPr>
          <w:spacing w:val="10"/>
          <w:position w:val="8"/>
          <w:sz w:val="16"/>
        </w:rPr>
        <w:t> </w:t>
      </w:r>
      <w:r>
        <w:rPr/>
        <w:t>de</w:t>
      </w:r>
      <w:r>
        <w:rPr>
          <w:spacing w:val="-11"/>
        </w:rPr>
        <w:t> </w:t>
      </w:r>
      <w:r>
        <w:rPr/>
        <w:t>Mg,</w:t>
      </w:r>
      <w:r>
        <w:rPr>
          <w:spacing w:val="-11"/>
        </w:rPr>
        <w:t> </w:t>
      </w:r>
      <w:r>
        <w:rPr/>
        <w:t>con</w:t>
      </w:r>
      <w:r>
        <w:rPr>
          <w:spacing w:val="-11"/>
        </w:rPr>
        <w:t> </w:t>
      </w:r>
      <w:r>
        <w:rPr/>
        <w:t>9</w:t>
      </w:r>
      <w:r>
        <w:rPr>
          <w:spacing w:val="-11"/>
        </w:rPr>
        <w:t> </w:t>
      </w:r>
      <w:r>
        <w:rPr/>
        <w:t>cm</w:t>
      </w:r>
      <w:r>
        <w:rPr>
          <w:spacing w:val="-10"/>
        </w:rPr>
        <w:t> </w:t>
      </w:r>
      <w:r>
        <w:rPr/>
        <w:t>de</w:t>
      </w:r>
      <w:r>
        <w:rPr>
          <w:spacing w:val="-11"/>
        </w:rPr>
        <w:t> </w:t>
      </w:r>
      <w:r>
        <w:rPr/>
        <w:t>diferencia</w:t>
      </w:r>
      <w:r>
        <w:rPr>
          <w:spacing w:val="-11"/>
        </w:rPr>
        <w:t> </w:t>
      </w:r>
      <w:r>
        <w:rPr/>
        <w:t>con</w:t>
      </w:r>
      <w:r>
        <w:rPr>
          <w:spacing w:val="-11"/>
        </w:rPr>
        <w:t> </w:t>
      </w:r>
      <w:r>
        <w:rPr/>
        <w:t>respecto</w:t>
      </w:r>
      <w:r>
        <w:rPr>
          <w:spacing w:val="-11"/>
        </w:rPr>
        <w:t> </w:t>
      </w:r>
      <w:r>
        <w:rPr/>
        <w:t>al</w:t>
      </w:r>
      <w:r>
        <w:rPr>
          <w:spacing w:val="-12"/>
        </w:rPr>
        <w:t> </w:t>
      </w:r>
      <w:r>
        <w:rPr/>
        <w:t>control.</w:t>
      </w:r>
      <w:r>
        <w:rPr>
          <w:spacing w:val="-11"/>
        </w:rPr>
        <w:t> </w:t>
      </w:r>
      <w:r>
        <w:rPr/>
        <w:t>En</w:t>
      </w:r>
      <w:r>
        <w:rPr>
          <w:spacing w:val="-11"/>
        </w:rPr>
        <w:t> </w:t>
      </w:r>
      <w:r>
        <w:rPr/>
        <w:t>este cultivar no se generó diferencia para IVH. En postcosecha para ambos cultivares, las dosis de magnesio y zinc en los diferentes tratamientos no incidieron en las variables</w:t>
      </w:r>
      <w:r>
        <w:rPr>
          <w:spacing w:val="-10"/>
        </w:rPr>
        <w:t> </w:t>
      </w:r>
      <w:r>
        <w:rPr/>
        <w:t>estudiadas.</w:t>
      </w:r>
    </w:p>
    <w:p>
      <w:pPr>
        <w:pStyle w:val="BodyText"/>
      </w:pPr>
    </w:p>
    <w:p>
      <w:pPr>
        <w:pStyle w:val="BodyText"/>
      </w:pPr>
    </w:p>
    <w:p>
      <w:pPr>
        <w:pStyle w:val="BodyText"/>
        <w:spacing w:before="2"/>
        <w:rPr>
          <w:sz w:val="23"/>
        </w:rPr>
      </w:pPr>
    </w:p>
    <w:p>
      <w:pPr>
        <w:pStyle w:val="BodyText"/>
        <w:ind w:left="101"/>
        <w:jc w:val="both"/>
      </w:pPr>
      <w:r>
        <w:rPr>
          <w:b/>
        </w:rPr>
        <w:t>PALABRAS CLAVE: </w:t>
      </w:r>
      <w:r>
        <w:rPr/>
        <w:t>calidad de corte, crecimiento, fotosíntesis, nutrición, sustrato.</w:t>
      </w:r>
    </w:p>
    <w:p>
      <w:pPr>
        <w:spacing w:after="0"/>
        <w:jc w:val="both"/>
        <w:sectPr>
          <w:pgSz w:w="12240" w:h="15840"/>
          <w:pgMar w:top="1340" w:bottom="280" w:left="1600" w:right="1580"/>
        </w:sectPr>
      </w:pPr>
    </w:p>
    <w:p>
      <w:pPr>
        <w:pStyle w:val="Heading1"/>
        <w:spacing w:before="54"/>
        <w:ind w:left="0"/>
        <w:jc w:val="center"/>
      </w:pPr>
      <w:r>
        <w:rPr/>
        <w:t>CONTENIDO</w:t>
      </w:r>
    </w:p>
    <w:p>
      <w:pPr>
        <w:pStyle w:val="BodyText"/>
        <w:spacing w:before="4"/>
        <w:rPr>
          <w:b/>
          <w:sz w:val="23"/>
        </w:rPr>
      </w:pPr>
    </w:p>
    <w:p>
      <w:pPr>
        <w:pStyle w:val="BodyText"/>
        <w:spacing w:before="70"/>
        <w:ind w:right="100"/>
        <w:jc w:val="right"/>
      </w:pPr>
      <w:r>
        <w:rPr/>
        <w:t>Pág.</w:t>
      </w:r>
    </w:p>
    <w:p>
      <w:pPr>
        <w:spacing w:after="0"/>
        <w:jc w:val="right"/>
        <w:sectPr>
          <w:pgSz w:w="12240" w:h="15840"/>
          <w:pgMar w:top="1360" w:bottom="1510" w:left="1600" w:right="1600"/>
        </w:sectPr>
      </w:pPr>
    </w:p>
    <w:sdt>
      <w:sdtPr>
        <w:docPartObj>
          <w:docPartGallery w:val="Table of Contents"/>
          <w:docPartUnique/>
        </w:docPartObj>
      </w:sdtPr>
      <w:sdtEndPr/>
      <w:sdtContent>
        <w:p>
          <w:pPr>
            <w:pStyle w:val="TOC1"/>
            <w:tabs>
              <w:tab w:pos="8623" w:val="left" w:leader="dot"/>
            </w:tabs>
            <w:ind w:left="101" w:right="100" w:firstLine="0"/>
            <w:rPr>
              <w:b w:val="0"/>
            </w:rPr>
          </w:pPr>
          <w:r>
            <w:rPr/>
            <w:t>ÍNDICE</w:t>
          </w:r>
          <w:r>
            <w:rPr>
              <w:spacing w:val="-2"/>
            </w:rPr>
            <w:t> </w:t>
          </w:r>
          <w:r>
            <w:rPr/>
            <w:t>DE</w:t>
          </w:r>
          <w:r>
            <w:rPr>
              <w:spacing w:val="-2"/>
            </w:rPr>
            <w:t> </w:t>
          </w:r>
          <w:r>
            <w:rPr/>
            <w:t>CUADROS</w:t>
          </w:r>
          <w:r>
            <w:rPr>
              <w:b w:val="0"/>
            </w:rPr>
            <w:tab/>
            <w:t>xii</w:t>
          </w:r>
        </w:p>
        <w:p>
          <w:pPr>
            <w:pStyle w:val="TOC2"/>
            <w:tabs>
              <w:tab w:pos="8556" w:val="left" w:leader="dot"/>
            </w:tabs>
            <w:rPr>
              <w:b w:val="0"/>
              <w:i w:val="0"/>
              <w:sz w:val="24"/>
            </w:rPr>
          </w:pPr>
          <w:r>
            <w:rPr>
              <w:i w:val="0"/>
              <w:sz w:val="24"/>
            </w:rPr>
            <w:t>ÍNDICE</w:t>
          </w:r>
          <w:r>
            <w:rPr>
              <w:i w:val="0"/>
              <w:spacing w:val="-3"/>
              <w:sz w:val="24"/>
            </w:rPr>
            <w:t> </w:t>
          </w:r>
          <w:r>
            <w:rPr>
              <w:i w:val="0"/>
              <w:sz w:val="24"/>
            </w:rPr>
            <w:t>DE</w:t>
          </w:r>
          <w:r>
            <w:rPr>
              <w:i w:val="0"/>
              <w:spacing w:val="-3"/>
              <w:sz w:val="24"/>
            </w:rPr>
            <w:t> </w:t>
          </w:r>
          <w:r>
            <w:rPr>
              <w:i w:val="0"/>
              <w:sz w:val="24"/>
            </w:rPr>
            <w:t>FIGURAS</w:t>
          </w:r>
          <w:r>
            <w:rPr>
              <w:b w:val="0"/>
              <w:i w:val="0"/>
              <w:sz w:val="24"/>
            </w:rPr>
            <w:tab/>
            <w:t>xiii</w:t>
          </w:r>
        </w:p>
        <w:p>
          <w:pPr>
            <w:pStyle w:val="TOC1"/>
            <w:numPr>
              <w:ilvl w:val="0"/>
              <w:numId w:val="1"/>
            </w:numPr>
            <w:tabs>
              <w:tab w:pos="371" w:val="left" w:leader="none"/>
              <w:tab w:pos="8743" w:val="left" w:leader="dot"/>
            </w:tabs>
            <w:spacing w:line="240" w:lineRule="auto" w:before="338" w:after="0"/>
            <w:ind w:left="370" w:right="0" w:hanging="269"/>
            <w:jc w:val="left"/>
            <w:rPr>
              <w:b w:val="0"/>
            </w:rPr>
          </w:pPr>
          <w:hyperlink w:history="true" w:anchor="_TOC_250038">
            <w:r>
              <w:rPr/>
              <w:t>INTRODUCCIÓN</w:t>
            </w:r>
            <w:r>
              <w:rPr>
                <w:b w:val="0"/>
              </w:rPr>
              <w:tab/>
              <w:t>1</w:t>
            </w:r>
          </w:hyperlink>
        </w:p>
        <w:p>
          <w:pPr>
            <w:pStyle w:val="TOC1"/>
            <w:numPr>
              <w:ilvl w:val="0"/>
              <w:numId w:val="1"/>
            </w:numPr>
            <w:tabs>
              <w:tab w:pos="371" w:val="left" w:leader="none"/>
              <w:tab w:pos="8755" w:val="left" w:leader="dot"/>
            </w:tabs>
            <w:spacing w:line="240" w:lineRule="auto" w:before="338" w:after="0"/>
            <w:ind w:left="370" w:right="0" w:hanging="269"/>
            <w:jc w:val="left"/>
            <w:rPr>
              <w:b w:val="0"/>
            </w:rPr>
          </w:pPr>
          <w:hyperlink w:history="true" w:anchor="_TOC_250037">
            <w:r>
              <w:rPr/>
              <w:t>REVISIÓN</w:t>
            </w:r>
            <w:r>
              <w:rPr>
                <w:spacing w:val="-3"/>
              </w:rPr>
              <w:t> </w:t>
            </w:r>
            <w:r>
              <w:rPr/>
              <w:t>DE</w:t>
            </w:r>
            <w:r>
              <w:rPr>
                <w:spacing w:val="-2"/>
              </w:rPr>
              <w:t> </w:t>
            </w:r>
            <w:r>
              <w:rPr/>
              <w:t>LITERATURA</w:t>
            </w:r>
            <w:r>
              <w:rPr>
                <w:b w:val="0"/>
              </w:rPr>
              <w:tab/>
              <w:t>3</w:t>
            </w:r>
          </w:hyperlink>
        </w:p>
        <w:p>
          <w:pPr>
            <w:pStyle w:val="TOC3"/>
            <w:numPr>
              <w:ilvl w:val="1"/>
              <w:numId w:val="1"/>
            </w:numPr>
            <w:tabs>
              <w:tab w:pos="839" w:val="left" w:leader="none"/>
              <w:tab w:pos="8758" w:val="left" w:leader="dot"/>
            </w:tabs>
            <w:spacing w:line="240" w:lineRule="auto" w:before="336" w:after="0"/>
            <w:ind w:left="838" w:right="0" w:hanging="468"/>
            <w:jc w:val="left"/>
          </w:pPr>
          <w:hyperlink w:history="true" w:anchor="_TOC_250036">
            <w:r>
              <w:rPr/>
              <w:t>Características</w:t>
            </w:r>
            <w:r>
              <w:rPr>
                <w:spacing w:val="-6"/>
              </w:rPr>
              <w:t> </w:t>
            </w:r>
            <w:r>
              <w:rPr/>
              <w:t>botánicas.</w:t>
              <w:tab/>
              <w:t>3</w:t>
            </w:r>
          </w:hyperlink>
        </w:p>
        <w:p>
          <w:pPr>
            <w:pStyle w:val="TOC3"/>
            <w:numPr>
              <w:ilvl w:val="1"/>
              <w:numId w:val="1"/>
            </w:numPr>
            <w:tabs>
              <w:tab w:pos="839" w:val="left" w:leader="none"/>
              <w:tab w:pos="8667" w:val="left" w:leader="dot"/>
            </w:tabs>
            <w:spacing w:line="240" w:lineRule="auto" w:before="338" w:after="0"/>
            <w:ind w:left="838" w:right="0" w:hanging="468"/>
            <w:jc w:val="center"/>
          </w:pPr>
          <w:r>
            <w:rPr/>
            <w:t>Necesidades</w:t>
          </w:r>
          <w:r>
            <w:rPr>
              <w:spacing w:val="-4"/>
            </w:rPr>
            <w:t> </w:t>
          </w:r>
          <w:r>
            <w:rPr/>
            <w:t>climáticas…</w:t>
            <w:tab/>
            <w:t>5</w:t>
          </w:r>
        </w:p>
        <w:p>
          <w:pPr>
            <w:pStyle w:val="TOC6"/>
            <w:numPr>
              <w:ilvl w:val="2"/>
              <w:numId w:val="1"/>
            </w:numPr>
            <w:tabs>
              <w:tab w:pos="1237" w:val="left" w:leader="none"/>
              <w:tab w:pos="8586" w:val="left" w:leader="dot"/>
            </w:tabs>
            <w:spacing w:line="240" w:lineRule="auto" w:before="338" w:after="0"/>
            <w:ind w:left="1236" w:right="0" w:hanging="667"/>
            <w:jc w:val="center"/>
          </w:pPr>
          <w:hyperlink w:history="true" w:anchor="_TOC_250035">
            <w:r>
              <w:rPr/>
              <w:t>Luz</w:t>
              <w:tab/>
              <w:t>5</w:t>
            </w:r>
          </w:hyperlink>
        </w:p>
        <w:p>
          <w:pPr>
            <w:pStyle w:val="TOC5"/>
            <w:tabs>
              <w:tab w:pos="8581" w:val="left" w:leader="dot"/>
            </w:tabs>
          </w:pPr>
          <w:hyperlink w:history="true" w:anchor="_TOC_250034">
            <w:r>
              <w:rPr/>
              <w:t>2.2.2</w:t>
            </w:r>
            <w:r>
              <w:rPr>
                <w:spacing w:val="-4"/>
              </w:rPr>
              <w:t> </w:t>
            </w:r>
            <w:r>
              <w:rPr/>
              <w:t>Temperatura</w:t>
              <w:tab/>
              <w:t>5</w:t>
            </w:r>
          </w:hyperlink>
        </w:p>
        <w:p>
          <w:pPr>
            <w:pStyle w:val="TOC6"/>
            <w:numPr>
              <w:ilvl w:val="2"/>
              <w:numId w:val="2"/>
            </w:numPr>
            <w:tabs>
              <w:tab w:pos="1237" w:val="left" w:leader="none"/>
              <w:tab w:pos="8638" w:val="left" w:leader="dot"/>
            </w:tabs>
            <w:spacing w:line="240" w:lineRule="auto" w:before="338" w:after="0"/>
            <w:ind w:left="1236" w:right="0" w:hanging="667"/>
            <w:jc w:val="center"/>
          </w:pPr>
          <w:hyperlink w:history="true" w:anchor="_TOC_250033">
            <w:r>
              <w:rPr/>
              <w:t>Humedad</w:t>
            </w:r>
            <w:r>
              <w:rPr>
                <w:spacing w:val="-4"/>
              </w:rPr>
              <w:t> </w:t>
            </w:r>
            <w:r>
              <w:rPr/>
              <w:t>relativa</w:t>
              <w:tab/>
              <w:t>6</w:t>
            </w:r>
          </w:hyperlink>
        </w:p>
        <w:p>
          <w:pPr>
            <w:pStyle w:val="TOC6"/>
            <w:numPr>
              <w:ilvl w:val="2"/>
              <w:numId w:val="2"/>
            </w:numPr>
            <w:tabs>
              <w:tab w:pos="1237" w:val="left" w:leader="none"/>
              <w:tab w:pos="8634" w:val="left" w:leader="dot"/>
            </w:tabs>
            <w:spacing w:line="240" w:lineRule="auto" w:before="336" w:after="0"/>
            <w:ind w:left="1236" w:right="0" w:hanging="667"/>
            <w:jc w:val="center"/>
          </w:pPr>
          <w:hyperlink w:history="true" w:anchor="_TOC_250032">
            <w:r>
              <w:rPr/>
              <w:t>Suelo</w:t>
              <w:tab/>
              <w:t>6</w:t>
            </w:r>
          </w:hyperlink>
        </w:p>
        <w:p>
          <w:pPr>
            <w:pStyle w:val="TOC3"/>
            <w:numPr>
              <w:ilvl w:val="1"/>
              <w:numId w:val="1"/>
            </w:numPr>
            <w:tabs>
              <w:tab w:pos="839" w:val="left" w:leader="none"/>
              <w:tab w:pos="8686" w:val="left" w:leader="dot"/>
            </w:tabs>
            <w:spacing w:line="240" w:lineRule="auto" w:before="338" w:after="0"/>
            <w:ind w:left="838" w:right="0" w:hanging="468"/>
            <w:jc w:val="center"/>
          </w:pPr>
          <w:hyperlink w:history="true" w:anchor="_TOC_250031">
            <w:r>
              <w:rPr/>
              <w:t>Fertilización</w:t>
              <w:tab/>
              <w:t>6</w:t>
            </w:r>
          </w:hyperlink>
        </w:p>
        <w:p>
          <w:pPr>
            <w:pStyle w:val="TOC6"/>
            <w:numPr>
              <w:ilvl w:val="2"/>
              <w:numId w:val="1"/>
            </w:numPr>
            <w:tabs>
              <w:tab w:pos="1237" w:val="left" w:leader="none"/>
              <w:tab w:pos="8638" w:val="left" w:leader="dot"/>
            </w:tabs>
            <w:spacing w:line="240" w:lineRule="auto" w:before="338" w:after="0"/>
            <w:ind w:left="1236" w:right="0" w:hanging="667"/>
            <w:jc w:val="center"/>
          </w:pPr>
          <w:hyperlink w:history="true" w:anchor="_TOC_250030">
            <w:r>
              <w:rPr/>
              <w:t>Macronutrimentos…</w:t>
              <w:tab/>
              <w:t>9</w:t>
            </w:r>
          </w:hyperlink>
        </w:p>
        <w:p>
          <w:pPr>
            <w:pStyle w:val="TOC6"/>
            <w:numPr>
              <w:ilvl w:val="2"/>
              <w:numId w:val="1"/>
            </w:numPr>
            <w:tabs>
              <w:tab w:pos="1237" w:val="left" w:leader="none"/>
              <w:tab w:pos="8475" w:val="left" w:leader="dot"/>
            </w:tabs>
            <w:spacing w:line="240" w:lineRule="auto" w:before="338" w:after="0"/>
            <w:ind w:left="1236" w:right="0" w:hanging="667"/>
            <w:jc w:val="center"/>
          </w:pPr>
          <w:hyperlink w:history="true" w:anchor="_TOC_250029">
            <w:r>
              <w:rPr/>
              <w:t>Micronutrimentos…</w:t>
              <w:tab/>
              <w:t>12</w:t>
            </w:r>
          </w:hyperlink>
        </w:p>
        <w:p>
          <w:pPr>
            <w:pStyle w:val="TOC7"/>
            <w:numPr>
              <w:ilvl w:val="3"/>
              <w:numId w:val="1"/>
            </w:numPr>
            <w:tabs>
              <w:tab w:pos="1679" w:val="left" w:leader="none"/>
              <w:tab w:pos="8638" w:val="left" w:leader="dot"/>
            </w:tabs>
            <w:spacing w:line="240" w:lineRule="auto" w:before="338" w:after="0"/>
            <w:ind w:left="1678" w:right="0" w:hanging="869"/>
            <w:jc w:val="left"/>
          </w:pPr>
          <w:hyperlink w:history="true" w:anchor="_TOC_250028">
            <w:r>
              <w:rPr/>
              <w:t>Zinc…</w:t>
              <w:tab/>
              <w:t>12</w:t>
            </w:r>
          </w:hyperlink>
        </w:p>
        <w:p>
          <w:pPr>
            <w:pStyle w:val="TOC7"/>
            <w:numPr>
              <w:ilvl w:val="3"/>
              <w:numId w:val="1"/>
            </w:numPr>
            <w:tabs>
              <w:tab w:pos="1679" w:val="left" w:leader="none"/>
              <w:tab w:pos="8611" w:val="left" w:leader="dot"/>
            </w:tabs>
            <w:spacing w:line="240" w:lineRule="auto" w:before="338" w:after="0"/>
            <w:ind w:left="1678" w:right="0" w:hanging="869"/>
            <w:jc w:val="left"/>
          </w:pPr>
          <w:hyperlink w:history="true" w:anchor="_TOC_250027">
            <w:r>
              <w:rPr/>
              <w:t>Magnesio</w:t>
              <w:tab/>
              <w:t>13</w:t>
            </w:r>
          </w:hyperlink>
        </w:p>
        <w:p>
          <w:pPr>
            <w:pStyle w:val="TOC3"/>
            <w:numPr>
              <w:ilvl w:val="1"/>
              <w:numId w:val="1"/>
            </w:numPr>
            <w:tabs>
              <w:tab w:pos="836" w:val="left" w:leader="none"/>
              <w:tab w:pos="8526" w:val="left" w:leader="dot"/>
            </w:tabs>
            <w:spacing w:line="240" w:lineRule="auto" w:before="336" w:after="0"/>
            <w:ind w:left="836" w:right="0" w:hanging="466"/>
            <w:jc w:val="center"/>
          </w:pPr>
          <w:hyperlink w:history="true" w:anchor="_TOC_250026">
            <w:r>
              <w:rPr/>
              <w:t>Soluciones</w:t>
            </w:r>
            <w:r>
              <w:rPr>
                <w:spacing w:val="-6"/>
              </w:rPr>
              <w:t> </w:t>
            </w:r>
            <w:r>
              <w:rPr/>
              <w:t>nutritivas…</w:t>
              <w:tab/>
              <w:t>15</w:t>
            </w:r>
          </w:hyperlink>
        </w:p>
        <w:p>
          <w:pPr>
            <w:pStyle w:val="TOC6"/>
            <w:numPr>
              <w:ilvl w:val="2"/>
              <w:numId w:val="1"/>
            </w:numPr>
            <w:tabs>
              <w:tab w:pos="1237" w:val="left" w:leader="none"/>
              <w:tab w:pos="8499" w:val="left" w:leader="dot"/>
            </w:tabs>
            <w:spacing w:line="240" w:lineRule="auto" w:before="338" w:after="0"/>
            <w:ind w:left="1236" w:right="0" w:hanging="667"/>
            <w:jc w:val="center"/>
          </w:pPr>
          <w:hyperlink w:history="true" w:anchor="_TOC_250025">
            <w:r>
              <w:rPr/>
              <w:t>Solución</w:t>
            </w:r>
            <w:r>
              <w:rPr>
                <w:spacing w:val="-3"/>
              </w:rPr>
              <w:t> </w:t>
            </w:r>
            <w:r>
              <w:rPr/>
              <w:t>Steiner</w:t>
              <w:tab/>
              <w:t>16</w:t>
            </w:r>
          </w:hyperlink>
        </w:p>
        <w:p>
          <w:pPr>
            <w:pStyle w:val="TOC4"/>
            <w:numPr>
              <w:ilvl w:val="1"/>
              <w:numId w:val="1"/>
            </w:numPr>
            <w:tabs>
              <w:tab w:pos="839" w:val="left" w:leader="none"/>
              <w:tab w:pos="8504" w:val="left" w:leader="dot"/>
            </w:tabs>
            <w:spacing w:line="240" w:lineRule="auto" w:before="336" w:after="0"/>
            <w:ind w:left="838" w:right="0" w:hanging="468"/>
            <w:jc w:val="center"/>
            <w:rPr>
              <w:b w:val="0"/>
              <w:i w:val="0"/>
              <w:sz w:val="24"/>
            </w:rPr>
          </w:pPr>
          <w:r>
            <w:rPr>
              <w:b w:val="0"/>
              <w:i w:val="0"/>
              <w:sz w:val="24"/>
            </w:rPr>
            <w:t>Calidad</w:t>
          </w:r>
          <w:r>
            <w:rPr>
              <w:b w:val="0"/>
              <w:i w:val="0"/>
              <w:spacing w:val="-4"/>
              <w:sz w:val="24"/>
            </w:rPr>
            <w:t> </w:t>
          </w:r>
          <w:r>
            <w:rPr>
              <w:b w:val="0"/>
              <w:i w:val="0"/>
              <w:sz w:val="24"/>
            </w:rPr>
            <w:t>en</w:t>
          </w:r>
          <w:r>
            <w:rPr>
              <w:b w:val="0"/>
              <w:i w:val="0"/>
              <w:spacing w:val="-4"/>
              <w:sz w:val="24"/>
            </w:rPr>
            <w:t> </w:t>
          </w:r>
          <w:r>
            <w:rPr>
              <w:b w:val="0"/>
              <w:i/>
              <w:sz w:val="24"/>
            </w:rPr>
            <w:t>Lilium</w:t>
          </w:r>
          <w:r>
            <w:rPr>
              <w:b w:val="0"/>
              <w:i w:val="0"/>
              <w:sz w:val="24"/>
            </w:rPr>
            <w:tab/>
            <w:t>16</w:t>
          </w:r>
        </w:p>
        <w:p>
          <w:pPr>
            <w:pStyle w:val="TOC8"/>
            <w:tabs>
              <w:tab w:pos="8611" w:val="left" w:leader="dot"/>
            </w:tabs>
            <w:spacing w:line="535" w:lineRule="auto"/>
            <w:ind w:firstLine="7874"/>
          </w:pPr>
          <w:r>
            <w:rPr/>
            <w:t>Pág. 2.5.1. Verdor de</w:t>
          </w:r>
          <w:r>
            <w:rPr>
              <w:spacing w:val="-9"/>
            </w:rPr>
            <w:t> </w:t>
          </w:r>
          <w:r>
            <w:rPr/>
            <w:t>las</w:t>
          </w:r>
          <w:r>
            <w:rPr>
              <w:spacing w:val="-2"/>
            </w:rPr>
            <w:t> </w:t>
          </w:r>
          <w:r>
            <w:rPr/>
            <w:t>hojas…</w:t>
            <w:tab/>
            <w:t>16</w:t>
          </w:r>
        </w:p>
        <w:p>
          <w:pPr>
            <w:pStyle w:val="TOC6"/>
            <w:numPr>
              <w:ilvl w:val="2"/>
              <w:numId w:val="3"/>
            </w:numPr>
            <w:tabs>
              <w:tab w:pos="1237" w:val="left" w:leader="none"/>
              <w:tab w:pos="8475" w:val="left" w:leader="dot"/>
            </w:tabs>
            <w:spacing w:line="240" w:lineRule="auto" w:before="8" w:after="0"/>
            <w:ind w:left="1236" w:right="0" w:hanging="667"/>
            <w:jc w:val="center"/>
          </w:pPr>
          <w:hyperlink w:history="true" w:anchor="_TOC_250024">
            <w:r>
              <w:rPr/>
              <w:t>Tamaño</w:t>
              <w:tab/>
              <w:t>18</w:t>
            </w:r>
          </w:hyperlink>
        </w:p>
        <w:p>
          <w:pPr>
            <w:pStyle w:val="TOC7"/>
            <w:numPr>
              <w:ilvl w:val="3"/>
              <w:numId w:val="3"/>
            </w:numPr>
            <w:tabs>
              <w:tab w:pos="1679" w:val="left" w:leader="none"/>
              <w:tab w:pos="8611" w:val="left" w:leader="dot"/>
            </w:tabs>
            <w:spacing w:line="240" w:lineRule="auto" w:before="338" w:after="0"/>
            <w:ind w:left="1678" w:right="0" w:hanging="869"/>
            <w:jc w:val="left"/>
          </w:pPr>
          <w:hyperlink w:history="true" w:anchor="_TOC_250023">
            <w:r>
              <w:rPr/>
              <w:t>Diámetro y altura</w:t>
            </w:r>
            <w:r>
              <w:rPr>
                <w:spacing w:val="-6"/>
              </w:rPr>
              <w:t> </w:t>
            </w:r>
            <w:r>
              <w:rPr/>
              <w:t>del</w:t>
            </w:r>
            <w:r>
              <w:rPr>
                <w:spacing w:val="-5"/>
              </w:rPr>
              <w:t> </w:t>
            </w:r>
            <w:r>
              <w:rPr/>
              <w:t>tallo</w:t>
              <w:tab/>
              <w:t>18</w:t>
            </w:r>
          </w:hyperlink>
        </w:p>
        <w:p>
          <w:pPr>
            <w:pStyle w:val="TOC6"/>
            <w:numPr>
              <w:ilvl w:val="2"/>
              <w:numId w:val="3"/>
            </w:numPr>
            <w:tabs>
              <w:tab w:pos="1237" w:val="left" w:leader="none"/>
              <w:tab w:pos="8626" w:val="left" w:leader="dot"/>
            </w:tabs>
            <w:spacing w:line="240" w:lineRule="auto" w:before="338" w:after="0"/>
            <w:ind w:left="1236" w:right="0" w:hanging="667"/>
            <w:jc w:val="left"/>
          </w:pPr>
          <w:hyperlink w:history="true" w:anchor="_TOC_250022">
            <w:r>
              <w:rPr/>
              <w:t>Número</w:t>
            </w:r>
            <w:r>
              <w:rPr>
                <w:spacing w:val="-1"/>
              </w:rPr>
              <w:t> </w:t>
            </w:r>
            <w:r>
              <w:rPr/>
              <w:t>de</w:t>
            </w:r>
            <w:r>
              <w:rPr>
                <w:spacing w:val="-3"/>
              </w:rPr>
              <w:t> </w:t>
            </w:r>
            <w:r>
              <w:rPr/>
              <w:t>flores…</w:t>
              <w:tab/>
              <w:t>18</w:t>
            </w:r>
          </w:hyperlink>
        </w:p>
        <w:p>
          <w:pPr>
            <w:pStyle w:val="TOC6"/>
            <w:numPr>
              <w:ilvl w:val="2"/>
              <w:numId w:val="3"/>
            </w:numPr>
            <w:tabs>
              <w:tab w:pos="1237" w:val="left" w:leader="none"/>
              <w:tab w:pos="8664" w:val="left" w:leader="dot"/>
            </w:tabs>
            <w:spacing w:line="240" w:lineRule="auto" w:before="338" w:after="0"/>
            <w:ind w:left="1236" w:right="0" w:hanging="667"/>
            <w:jc w:val="left"/>
          </w:pPr>
          <w:hyperlink w:history="true" w:anchor="_TOC_250021">
            <w:r>
              <w:rPr/>
              <w:t>Color</w:t>
              <w:tab/>
              <w:t>19</w:t>
            </w:r>
          </w:hyperlink>
        </w:p>
        <w:p>
          <w:pPr>
            <w:pStyle w:val="TOC6"/>
            <w:numPr>
              <w:ilvl w:val="2"/>
              <w:numId w:val="3"/>
            </w:numPr>
            <w:tabs>
              <w:tab w:pos="1237" w:val="left" w:leader="none"/>
              <w:tab w:pos="8638" w:val="left" w:leader="dot"/>
            </w:tabs>
            <w:spacing w:line="240" w:lineRule="auto" w:before="336" w:after="0"/>
            <w:ind w:left="1236" w:right="0" w:hanging="667"/>
            <w:jc w:val="left"/>
          </w:pPr>
          <w:hyperlink w:history="true" w:anchor="_TOC_250020">
            <w:r>
              <w:rPr/>
              <w:t>Vida</w:t>
            </w:r>
            <w:r>
              <w:rPr>
                <w:spacing w:val="-4"/>
              </w:rPr>
              <w:t> </w:t>
            </w:r>
            <w:r>
              <w:rPr/>
              <w:t>postcosecha</w:t>
              <w:tab/>
              <w:t>21</w:t>
            </w:r>
          </w:hyperlink>
        </w:p>
        <w:p>
          <w:pPr>
            <w:pStyle w:val="TOC7"/>
            <w:numPr>
              <w:ilvl w:val="3"/>
              <w:numId w:val="3"/>
            </w:numPr>
            <w:tabs>
              <w:tab w:pos="1679" w:val="left" w:leader="none"/>
              <w:tab w:pos="8626" w:val="left" w:leader="dot"/>
            </w:tabs>
            <w:spacing w:line="240" w:lineRule="auto" w:before="338" w:after="0"/>
            <w:ind w:left="1678" w:right="0" w:hanging="869"/>
            <w:jc w:val="left"/>
          </w:pPr>
          <w:hyperlink w:history="true" w:anchor="_TOC_250019">
            <w:r>
              <w:rPr/>
              <w:t>Días</w:t>
            </w:r>
            <w:r>
              <w:rPr>
                <w:spacing w:val="-2"/>
              </w:rPr>
              <w:t> </w:t>
            </w:r>
            <w:r>
              <w:rPr/>
              <w:t>en</w:t>
            </w:r>
            <w:r>
              <w:rPr>
                <w:spacing w:val="-3"/>
              </w:rPr>
              <w:t> </w:t>
            </w:r>
            <w:r>
              <w:rPr/>
              <w:t>florero</w:t>
              <w:tab/>
              <w:t>22</w:t>
            </w:r>
          </w:hyperlink>
        </w:p>
        <w:p>
          <w:pPr>
            <w:pStyle w:val="TOC1"/>
            <w:numPr>
              <w:ilvl w:val="0"/>
              <w:numId w:val="1"/>
            </w:numPr>
            <w:tabs>
              <w:tab w:pos="371" w:val="left" w:leader="none"/>
              <w:tab w:pos="8609" w:val="left" w:leader="dot"/>
            </w:tabs>
            <w:spacing w:line="240" w:lineRule="auto" w:before="338" w:after="0"/>
            <w:ind w:left="370" w:right="0" w:hanging="269"/>
            <w:jc w:val="left"/>
            <w:rPr>
              <w:b w:val="0"/>
            </w:rPr>
          </w:pPr>
          <w:hyperlink w:history="true" w:anchor="_TOC_250018">
            <w:r>
              <w:rPr/>
              <w:t>MATERIALES</w:t>
            </w:r>
            <w:r>
              <w:rPr>
                <w:spacing w:val="-2"/>
              </w:rPr>
              <w:t> </w:t>
            </w:r>
            <w:r>
              <w:rPr/>
              <w:t>Y</w:t>
            </w:r>
            <w:r>
              <w:rPr>
                <w:spacing w:val="-5"/>
              </w:rPr>
              <w:t> </w:t>
            </w:r>
            <w:r>
              <w:rPr/>
              <w:t>MÉTODOS</w:t>
            </w:r>
            <w:r>
              <w:rPr>
                <w:b w:val="0"/>
              </w:rPr>
              <w:tab/>
              <w:t>23</w:t>
            </w:r>
          </w:hyperlink>
        </w:p>
        <w:p>
          <w:pPr>
            <w:pStyle w:val="TOC3"/>
            <w:numPr>
              <w:ilvl w:val="1"/>
              <w:numId w:val="1"/>
            </w:numPr>
            <w:tabs>
              <w:tab w:pos="839" w:val="left" w:leader="none"/>
              <w:tab w:pos="8623" w:val="left" w:leader="dot"/>
            </w:tabs>
            <w:spacing w:line="240" w:lineRule="auto" w:before="338" w:after="0"/>
            <w:ind w:left="838" w:right="0" w:hanging="468"/>
            <w:jc w:val="left"/>
          </w:pPr>
          <w:hyperlink w:history="true" w:anchor="_TOC_250017">
            <w:r>
              <w:rPr/>
              <w:t>Cv.</w:t>
            </w:r>
            <w:r>
              <w:rPr>
                <w:spacing w:val="-2"/>
              </w:rPr>
              <w:t> </w:t>
            </w:r>
            <w:r>
              <w:rPr/>
              <w:t>Acapulco</w:t>
              <w:tab/>
              <w:t>25</w:t>
            </w:r>
          </w:hyperlink>
        </w:p>
        <w:p>
          <w:pPr>
            <w:pStyle w:val="TOC6"/>
            <w:numPr>
              <w:ilvl w:val="2"/>
              <w:numId w:val="1"/>
            </w:numPr>
            <w:tabs>
              <w:tab w:pos="1237" w:val="left" w:leader="none"/>
              <w:tab w:pos="8650" w:val="left" w:leader="dot"/>
            </w:tabs>
            <w:spacing w:line="240" w:lineRule="auto" w:before="338" w:after="0"/>
            <w:ind w:left="1236" w:right="0" w:hanging="667"/>
            <w:jc w:val="left"/>
          </w:pPr>
          <w:hyperlink w:history="true" w:anchor="_TOC_250016">
            <w:r>
              <w:rPr/>
              <w:t>Crecimiento</w:t>
              <w:tab/>
              <w:t>25</w:t>
            </w:r>
          </w:hyperlink>
        </w:p>
        <w:p>
          <w:pPr>
            <w:pStyle w:val="TOC6"/>
            <w:numPr>
              <w:ilvl w:val="2"/>
              <w:numId w:val="1"/>
            </w:numPr>
            <w:tabs>
              <w:tab w:pos="1237" w:val="left" w:leader="none"/>
              <w:tab w:pos="8667" w:val="left" w:leader="dot"/>
            </w:tabs>
            <w:spacing w:line="240" w:lineRule="auto" w:before="336" w:after="0"/>
            <w:ind w:left="1236" w:right="0" w:hanging="667"/>
            <w:jc w:val="left"/>
          </w:pPr>
          <w:hyperlink w:history="true" w:anchor="_TOC_250015">
            <w:r>
              <w:rPr/>
              <w:t>Unidades</w:t>
            </w:r>
            <w:r>
              <w:rPr>
                <w:spacing w:val="-3"/>
              </w:rPr>
              <w:t> </w:t>
            </w:r>
            <w:r>
              <w:rPr/>
              <w:t>Spad</w:t>
              <w:tab/>
              <w:t>26</w:t>
            </w:r>
          </w:hyperlink>
        </w:p>
        <w:p>
          <w:pPr>
            <w:pStyle w:val="TOC6"/>
            <w:numPr>
              <w:ilvl w:val="2"/>
              <w:numId w:val="1"/>
            </w:numPr>
            <w:tabs>
              <w:tab w:pos="1237" w:val="left" w:leader="none"/>
              <w:tab w:pos="8638" w:val="left" w:leader="dot"/>
            </w:tabs>
            <w:spacing w:line="240" w:lineRule="auto" w:before="338" w:after="0"/>
            <w:ind w:left="1236" w:right="0" w:hanging="667"/>
            <w:jc w:val="left"/>
          </w:pPr>
          <w:hyperlink w:history="true" w:anchor="_TOC_250014">
            <w:r>
              <w:rPr/>
              <w:t>Corte</w:t>
              <w:tab/>
              <w:t>26</w:t>
            </w:r>
          </w:hyperlink>
        </w:p>
        <w:p>
          <w:pPr>
            <w:pStyle w:val="TOC6"/>
            <w:tabs>
              <w:tab w:pos="8638" w:val="left" w:leader="dot"/>
            </w:tabs>
            <w:ind w:left="569" w:firstLine="0"/>
          </w:pPr>
          <w:hyperlink w:history="true" w:anchor="_TOC_250013">
            <w:r>
              <w:rPr/>
              <w:t>3.1.4</w:t>
            </w:r>
            <w:r>
              <w:rPr>
                <w:spacing w:val="-4"/>
              </w:rPr>
              <w:t> </w:t>
            </w:r>
            <w:r>
              <w:rPr/>
              <w:t>Postcosecha</w:t>
              <w:tab/>
              <w:t>27</w:t>
            </w:r>
          </w:hyperlink>
        </w:p>
        <w:p>
          <w:pPr>
            <w:pStyle w:val="TOC6"/>
            <w:tabs>
              <w:tab w:pos="8650" w:val="left" w:leader="dot"/>
            </w:tabs>
            <w:ind w:left="569" w:firstLine="0"/>
          </w:pPr>
          <w:hyperlink w:history="true" w:anchor="_TOC_250012">
            <w:r>
              <w:rPr/>
              <w:t>3.1.5.</w:t>
            </w:r>
            <w:r>
              <w:rPr>
                <w:spacing w:val="-5"/>
              </w:rPr>
              <w:t> </w:t>
            </w:r>
            <w:r>
              <w:rPr/>
              <w:t>Análisis</w:t>
            </w:r>
            <w:r>
              <w:rPr>
                <w:spacing w:val="-4"/>
              </w:rPr>
              <w:t> </w:t>
            </w:r>
            <w:r>
              <w:rPr/>
              <w:t>estadístico</w:t>
              <w:tab/>
              <w:t>29</w:t>
            </w:r>
          </w:hyperlink>
        </w:p>
        <w:p>
          <w:pPr>
            <w:pStyle w:val="TOC3"/>
            <w:numPr>
              <w:ilvl w:val="1"/>
              <w:numId w:val="1"/>
            </w:numPr>
            <w:tabs>
              <w:tab w:pos="839" w:val="left" w:leader="none"/>
              <w:tab w:pos="8623" w:val="left" w:leader="dot"/>
            </w:tabs>
            <w:spacing w:line="240" w:lineRule="auto" w:before="338" w:after="0"/>
            <w:ind w:left="838" w:right="0" w:hanging="468"/>
            <w:jc w:val="left"/>
          </w:pPr>
          <w:hyperlink w:history="true" w:anchor="_TOC_250011">
            <w:r>
              <w:rPr/>
              <w:t>Cv.</w:t>
            </w:r>
            <w:r>
              <w:rPr>
                <w:spacing w:val="-2"/>
              </w:rPr>
              <w:t> </w:t>
            </w:r>
            <w:r>
              <w:rPr/>
              <w:t>Serrada</w:t>
              <w:tab/>
              <w:t>29</w:t>
            </w:r>
          </w:hyperlink>
        </w:p>
        <w:p>
          <w:pPr>
            <w:pStyle w:val="TOC1"/>
            <w:numPr>
              <w:ilvl w:val="0"/>
              <w:numId w:val="1"/>
            </w:numPr>
            <w:tabs>
              <w:tab w:pos="371" w:val="left" w:leader="none"/>
              <w:tab w:pos="8647" w:val="left" w:leader="dot"/>
            </w:tabs>
            <w:spacing w:line="240" w:lineRule="auto" w:before="338" w:after="0"/>
            <w:ind w:left="370" w:right="0" w:hanging="269"/>
            <w:jc w:val="left"/>
            <w:rPr>
              <w:b w:val="0"/>
            </w:rPr>
          </w:pPr>
          <w:r>
            <w:rPr/>
            <w:t>RESULTADOS</w:t>
          </w:r>
          <w:r>
            <w:rPr>
              <w:spacing w:val="63"/>
            </w:rPr>
            <w:t> </w:t>
          </w:r>
          <w:r>
            <w:rPr/>
            <w:t>Y</w:t>
          </w:r>
          <w:r>
            <w:rPr>
              <w:spacing w:val="-5"/>
            </w:rPr>
            <w:t> </w:t>
          </w:r>
          <w:r>
            <w:rPr/>
            <w:t>DISCUSION</w:t>
          </w:r>
          <w:r>
            <w:rPr>
              <w:b w:val="0"/>
            </w:rPr>
            <w:tab/>
            <w:t>31</w:t>
          </w:r>
        </w:p>
        <w:p>
          <w:pPr>
            <w:pStyle w:val="TOC3"/>
            <w:numPr>
              <w:ilvl w:val="1"/>
              <w:numId w:val="1"/>
            </w:numPr>
            <w:tabs>
              <w:tab w:pos="839" w:val="left" w:leader="none"/>
              <w:tab w:pos="8528" w:val="left" w:leader="dot"/>
            </w:tabs>
            <w:spacing w:line="240" w:lineRule="auto" w:before="336" w:after="0"/>
            <w:ind w:left="838" w:right="0" w:hanging="468"/>
            <w:jc w:val="center"/>
          </w:pPr>
          <w:hyperlink w:history="true" w:anchor="_TOC_250010">
            <w:r>
              <w:rPr/>
              <w:t>Fase</w:t>
            </w:r>
            <w:r>
              <w:rPr>
                <w:spacing w:val="-3"/>
              </w:rPr>
              <w:t> </w:t>
            </w:r>
            <w:r>
              <w:rPr/>
              <w:t>de</w:t>
            </w:r>
            <w:r>
              <w:rPr>
                <w:spacing w:val="-1"/>
              </w:rPr>
              <w:t> </w:t>
            </w:r>
            <w:r>
              <w:rPr/>
              <w:t>crecimiento</w:t>
              <w:tab/>
              <w:t>31</w:t>
            </w:r>
          </w:hyperlink>
        </w:p>
        <w:p>
          <w:pPr>
            <w:pStyle w:val="TOC3"/>
            <w:tabs>
              <w:tab w:pos="8664" w:val="left" w:leader="dot"/>
            </w:tabs>
            <w:spacing w:line="410" w:lineRule="auto"/>
            <w:ind w:left="370" w:right="107" w:firstLine="0"/>
            <w:jc w:val="left"/>
          </w:pPr>
          <w:r>
            <w:rPr/>
            <w:t>Artículo: Influencia del magnesio y zinc en la altura de planta y verdor de hojas en Lilium</w:t>
          </w:r>
          <w:r>
            <w:rPr>
              <w:spacing w:val="-2"/>
            </w:rPr>
            <w:t> </w:t>
          </w:r>
          <w:r>
            <w:rPr/>
            <w:t>(</w:t>
          </w:r>
          <w:r>
            <w:rPr>
              <w:i/>
            </w:rPr>
            <w:t>Lilium</w:t>
          </w:r>
          <w:r>
            <w:rPr>
              <w:i/>
              <w:spacing w:val="-6"/>
            </w:rPr>
            <w:t> </w:t>
          </w:r>
          <w:r>
            <w:rPr/>
            <w:t>spp)</w:t>
            <w:tab/>
            <w:t>33</w:t>
          </w:r>
        </w:p>
        <w:p>
          <w:pPr>
            <w:pStyle w:val="TOC3"/>
            <w:numPr>
              <w:ilvl w:val="1"/>
              <w:numId w:val="1"/>
            </w:numPr>
            <w:tabs>
              <w:tab w:pos="836" w:val="left" w:leader="none"/>
              <w:tab w:pos="8528" w:val="left" w:leader="dot"/>
            </w:tabs>
            <w:spacing w:line="240" w:lineRule="auto" w:before="13" w:after="0"/>
            <w:ind w:left="836" w:right="0" w:hanging="466"/>
            <w:jc w:val="center"/>
          </w:pPr>
          <w:hyperlink w:history="true" w:anchor="_TOC_250009">
            <w:r>
              <w:rPr/>
              <w:t>Postcosecha</w:t>
              <w:tab/>
              <w:t>58</w:t>
            </w:r>
          </w:hyperlink>
        </w:p>
        <w:p>
          <w:pPr>
            <w:pStyle w:val="TOC6"/>
            <w:numPr>
              <w:ilvl w:val="2"/>
              <w:numId w:val="1"/>
            </w:numPr>
            <w:tabs>
              <w:tab w:pos="1237" w:val="left" w:leader="none"/>
              <w:tab w:pos="8664" w:val="left" w:leader="dot"/>
            </w:tabs>
            <w:spacing w:line="240" w:lineRule="auto" w:before="338" w:after="0"/>
            <w:ind w:left="1236" w:right="0" w:hanging="667"/>
            <w:jc w:val="left"/>
          </w:pPr>
          <w:r>
            <w:rPr/>
            <w:t>‘Acapulco’</w:t>
            <w:tab/>
            <w:t>58</w:t>
          </w:r>
        </w:p>
        <w:p>
          <w:pPr>
            <w:pStyle w:val="TOC8"/>
            <w:tabs>
              <w:tab w:pos="8623" w:val="left" w:leader="dot"/>
            </w:tabs>
            <w:spacing w:line="535" w:lineRule="auto"/>
            <w:ind w:left="809"/>
          </w:pPr>
          <w:r>
            <w:rPr/>
            <w:t>Pág. 4.2.1.1.</w:t>
          </w:r>
          <w:r>
            <w:rPr>
              <w:spacing w:val="-4"/>
            </w:rPr>
            <w:t> </w:t>
          </w:r>
          <w:r>
            <w:rPr/>
            <w:t>Peso</w:t>
          </w:r>
          <w:r>
            <w:rPr>
              <w:spacing w:val="-3"/>
            </w:rPr>
            <w:t> </w:t>
          </w:r>
          <w:r>
            <w:rPr/>
            <w:t>fresco</w:t>
            <w:tab/>
            <w:t>60</w:t>
          </w:r>
        </w:p>
        <w:p>
          <w:pPr>
            <w:pStyle w:val="TOC7"/>
            <w:numPr>
              <w:ilvl w:val="3"/>
              <w:numId w:val="4"/>
            </w:numPr>
            <w:tabs>
              <w:tab w:pos="1679" w:val="left" w:leader="none"/>
              <w:tab w:pos="8652" w:val="left" w:leader="dot"/>
            </w:tabs>
            <w:spacing w:line="240" w:lineRule="auto" w:before="8" w:after="0"/>
            <w:ind w:left="1678" w:right="0" w:hanging="869"/>
            <w:jc w:val="left"/>
          </w:pPr>
          <w:hyperlink w:history="true" w:anchor="_TOC_250008">
            <w:r>
              <w:rPr/>
              <w:t>Unidades</w:t>
            </w:r>
            <w:r>
              <w:rPr>
                <w:spacing w:val="-4"/>
              </w:rPr>
              <w:t> </w:t>
            </w:r>
            <w:r>
              <w:rPr/>
              <w:t>SPAD</w:t>
              <w:tab/>
              <w:t>60</w:t>
            </w:r>
          </w:hyperlink>
        </w:p>
        <w:p>
          <w:pPr>
            <w:pStyle w:val="TOC7"/>
            <w:numPr>
              <w:ilvl w:val="3"/>
              <w:numId w:val="4"/>
            </w:numPr>
            <w:tabs>
              <w:tab w:pos="1679" w:val="left" w:leader="none"/>
              <w:tab w:pos="8626" w:val="left" w:leader="dot"/>
            </w:tabs>
            <w:spacing w:line="240" w:lineRule="auto" w:before="338" w:after="0"/>
            <w:ind w:left="1678" w:right="0" w:hanging="869"/>
            <w:jc w:val="left"/>
          </w:pPr>
          <w:hyperlink w:history="true" w:anchor="_TOC_250007">
            <w:r>
              <w:rPr/>
              <w:t>Diámetro</w:t>
            </w:r>
            <w:r>
              <w:rPr>
                <w:spacing w:val="-1"/>
              </w:rPr>
              <w:t> </w:t>
            </w:r>
            <w:r>
              <w:rPr/>
              <w:t>de</w:t>
            </w:r>
            <w:r>
              <w:rPr>
                <w:spacing w:val="-3"/>
              </w:rPr>
              <w:t> </w:t>
            </w:r>
            <w:r>
              <w:rPr/>
              <w:t>flor</w:t>
              <w:tab/>
              <w:t>61</w:t>
            </w:r>
          </w:hyperlink>
        </w:p>
        <w:p>
          <w:pPr>
            <w:pStyle w:val="TOC7"/>
            <w:numPr>
              <w:ilvl w:val="3"/>
              <w:numId w:val="4"/>
            </w:numPr>
            <w:tabs>
              <w:tab w:pos="1679" w:val="left" w:leader="none"/>
              <w:tab w:pos="8667" w:val="left" w:leader="dot"/>
            </w:tabs>
            <w:spacing w:line="240" w:lineRule="auto" w:before="338" w:after="0"/>
            <w:ind w:left="1678" w:right="0" w:hanging="869"/>
            <w:jc w:val="left"/>
          </w:pPr>
          <w:hyperlink w:history="true" w:anchor="_TOC_250006">
            <w:r>
              <w:rPr/>
              <w:t>Materia</w:t>
            </w:r>
            <w:r>
              <w:rPr>
                <w:spacing w:val="-2"/>
              </w:rPr>
              <w:t> </w:t>
            </w:r>
            <w:r>
              <w:rPr/>
              <w:t>seca</w:t>
              <w:tab/>
              <w:t>61</w:t>
            </w:r>
          </w:hyperlink>
        </w:p>
        <w:p>
          <w:pPr>
            <w:pStyle w:val="TOC7"/>
            <w:numPr>
              <w:ilvl w:val="3"/>
              <w:numId w:val="4"/>
            </w:numPr>
            <w:tabs>
              <w:tab w:pos="1679" w:val="left" w:leader="none"/>
              <w:tab w:pos="8667" w:val="left" w:leader="dot"/>
            </w:tabs>
            <w:spacing w:line="240" w:lineRule="auto" w:before="338" w:after="0"/>
            <w:ind w:left="1678" w:right="0" w:hanging="869"/>
            <w:jc w:val="left"/>
          </w:pPr>
          <w:hyperlink w:history="true" w:anchor="_TOC_250005">
            <w:r>
              <w:rPr/>
              <w:t>Color</w:t>
            </w:r>
            <w:r>
              <w:rPr>
                <w:spacing w:val="-4"/>
              </w:rPr>
              <w:t> </w:t>
            </w:r>
            <w:r>
              <w:rPr/>
              <w:t>de</w:t>
            </w:r>
            <w:r>
              <w:rPr>
                <w:spacing w:val="-2"/>
              </w:rPr>
              <w:t> </w:t>
            </w:r>
            <w:r>
              <w:rPr/>
              <w:t>tépalos…</w:t>
              <w:tab/>
              <w:t>61</w:t>
            </w:r>
          </w:hyperlink>
        </w:p>
        <w:p>
          <w:pPr>
            <w:pStyle w:val="TOC6"/>
            <w:numPr>
              <w:ilvl w:val="2"/>
              <w:numId w:val="1"/>
            </w:numPr>
            <w:tabs>
              <w:tab w:pos="1237" w:val="left" w:leader="none"/>
              <w:tab w:pos="8667" w:val="left" w:leader="dot"/>
            </w:tabs>
            <w:spacing w:line="240" w:lineRule="auto" w:before="336" w:after="0"/>
            <w:ind w:left="1236" w:right="0" w:hanging="667"/>
            <w:jc w:val="left"/>
          </w:pPr>
          <w:r>
            <w:rPr/>
            <w:t>‘Serrada’</w:t>
            <w:tab/>
            <w:t>63</w:t>
          </w:r>
        </w:p>
        <w:p>
          <w:pPr>
            <w:pStyle w:val="TOC7"/>
            <w:numPr>
              <w:ilvl w:val="3"/>
              <w:numId w:val="1"/>
            </w:numPr>
            <w:tabs>
              <w:tab w:pos="1679" w:val="left" w:leader="none"/>
              <w:tab w:pos="8664" w:val="left" w:leader="dot"/>
            </w:tabs>
            <w:spacing w:line="240" w:lineRule="auto" w:before="338" w:after="0"/>
            <w:ind w:left="1678" w:right="0" w:hanging="869"/>
            <w:jc w:val="left"/>
          </w:pPr>
          <w:hyperlink w:history="true" w:anchor="_TOC_250004">
            <w:r>
              <w:rPr/>
              <w:t>Peso</w:t>
            </w:r>
            <w:r>
              <w:rPr>
                <w:spacing w:val="-3"/>
              </w:rPr>
              <w:t> </w:t>
            </w:r>
            <w:r>
              <w:rPr/>
              <w:t>fresco</w:t>
              <w:tab/>
              <w:t>65</w:t>
            </w:r>
          </w:hyperlink>
        </w:p>
        <w:p>
          <w:pPr>
            <w:pStyle w:val="TOC7"/>
            <w:numPr>
              <w:ilvl w:val="3"/>
              <w:numId w:val="1"/>
            </w:numPr>
            <w:tabs>
              <w:tab w:pos="1679" w:val="left" w:leader="none"/>
              <w:tab w:pos="8652" w:val="left" w:leader="dot"/>
            </w:tabs>
            <w:spacing w:line="240" w:lineRule="auto" w:before="338" w:after="0"/>
            <w:ind w:left="1678" w:right="0" w:hanging="869"/>
            <w:jc w:val="left"/>
          </w:pPr>
          <w:hyperlink w:history="true" w:anchor="_TOC_250003">
            <w:r>
              <w:rPr/>
              <w:t>Unidades</w:t>
            </w:r>
            <w:r>
              <w:rPr>
                <w:spacing w:val="-4"/>
              </w:rPr>
              <w:t> </w:t>
            </w:r>
            <w:r>
              <w:rPr/>
              <w:t>SPAD</w:t>
              <w:tab/>
              <w:t>65</w:t>
            </w:r>
          </w:hyperlink>
        </w:p>
        <w:p>
          <w:pPr>
            <w:pStyle w:val="TOC7"/>
            <w:numPr>
              <w:ilvl w:val="3"/>
              <w:numId w:val="1"/>
            </w:numPr>
            <w:tabs>
              <w:tab w:pos="1679" w:val="left" w:leader="none"/>
              <w:tab w:pos="8626" w:val="left" w:leader="dot"/>
            </w:tabs>
            <w:spacing w:line="240" w:lineRule="auto" w:before="338" w:after="0"/>
            <w:ind w:left="1678" w:right="0" w:hanging="869"/>
            <w:jc w:val="left"/>
          </w:pPr>
          <w:hyperlink w:history="true" w:anchor="_TOC_250002">
            <w:r>
              <w:rPr/>
              <w:t>Diámetro</w:t>
            </w:r>
            <w:r>
              <w:rPr>
                <w:spacing w:val="-1"/>
              </w:rPr>
              <w:t> </w:t>
            </w:r>
            <w:r>
              <w:rPr/>
              <w:t>de</w:t>
            </w:r>
            <w:r>
              <w:rPr>
                <w:spacing w:val="-3"/>
              </w:rPr>
              <w:t> </w:t>
            </w:r>
            <w:r>
              <w:rPr/>
              <w:t>flor</w:t>
              <w:tab/>
              <w:t>65</w:t>
            </w:r>
          </w:hyperlink>
        </w:p>
        <w:p>
          <w:pPr>
            <w:pStyle w:val="TOC7"/>
            <w:numPr>
              <w:ilvl w:val="3"/>
              <w:numId w:val="1"/>
            </w:numPr>
            <w:tabs>
              <w:tab w:pos="1679" w:val="left" w:leader="none"/>
              <w:tab w:pos="8599" w:val="left" w:leader="dot"/>
            </w:tabs>
            <w:spacing w:line="240" w:lineRule="auto" w:before="338" w:after="0"/>
            <w:ind w:left="1678" w:right="0" w:hanging="869"/>
            <w:jc w:val="left"/>
          </w:pPr>
          <w:hyperlink w:history="true" w:anchor="_TOC_250001">
            <w:r>
              <w:rPr/>
              <w:t>Materia</w:t>
            </w:r>
            <w:r>
              <w:rPr>
                <w:spacing w:val="-2"/>
              </w:rPr>
              <w:t> </w:t>
            </w:r>
            <w:r>
              <w:rPr/>
              <w:t>seca</w:t>
              <w:tab/>
              <w:t>66</w:t>
            </w:r>
          </w:hyperlink>
        </w:p>
        <w:p>
          <w:pPr>
            <w:pStyle w:val="TOC7"/>
            <w:tabs>
              <w:tab w:pos="8599" w:val="left" w:leader="dot"/>
            </w:tabs>
            <w:spacing w:before="336"/>
            <w:ind w:left="809" w:right="100" w:firstLine="0"/>
          </w:pPr>
          <w:r>
            <w:rPr/>
            <w:t>4.2.1.5. Color</w:t>
          </w:r>
          <w:r>
            <w:rPr>
              <w:spacing w:val="-8"/>
            </w:rPr>
            <w:t> </w:t>
          </w:r>
          <w:r>
            <w:rPr/>
            <w:t>de</w:t>
          </w:r>
          <w:r>
            <w:rPr>
              <w:spacing w:val="-2"/>
            </w:rPr>
            <w:t> </w:t>
          </w:r>
          <w:r>
            <w:rPr/>
            <w:t>tépalos…</w:t>
            <w:tab/>
            <w:t>66</w:t>
          </w:r>
        </w:p>
        <w:p>
          <w:pPr>
            <w:pStyle w:val="TOC1"/>
            <w:numPr>
              <w:ilvl w:val="0"/>
              <w:numId w:val="1"/>
            </w:numPr>
            <w:tabs>
              <w:tab w:pos="371" w:val="left" w:leader="none"/>
              <w:tab w:pos="8623" w:val="left" w:leader="dot"/>
            </w:tabs>
            <w:spacing w:line="240" w:lineRule="auto" w:before="953" w:after="0"/>
            <w:ind w:left="370" w:right="0" w:hanging="269"/>
            <w:jc w:val="left"/>
          </w:pPr>
          <w:hyperlink w:history="true" w:anchor="_TOC_250000">
            <w:r>
              <w:rPr/>
              <w:t>CONCLUSIONES</w:t>
            </w:r>
            <w:r>
              <w:rPr>
                <w:spacing w:val="-7"/>
              </w:rPr>
              <w:t> </w:t>
            </w:r>
            <w:r>
              <w:rPr/>
              <w:t>GENERALES</w:t>
              <w:tab/>
              <w:t>68</w:t>
            </w:r>
          </w:hyperlink>
        </w:p>
        <w:p>
          <w:pPr>
            <w:pStyle w:val="TOC1"/>
            <w:numPr>
              <w:ilvl w:val="0"/>
              <w:numId w:val="1"/>
            </w:numPr>
            <w:tabs>
              <w:tab w:pos="371" w:val="left" w:leader="none"/>
              <w:tab w:pos="8609" w:val="left" w:leader="dot"/>
            </w:tabs>
            <w:spacing w:line="240" w:lineRule="auto" w:before="338" w:after="0"/>
            <w:ind w:left="370" w:right="0" w:hanging="269"/>
            <w:jc w:val="left"/>
          </w:pPr>
          <w:r>
            <w:rPr/>
            <w:t>REFERENCIAS</w:t>
          </w:r>
          <w:r>
            <w:rPr>
              <w:spacing w:val="-6"/>
            </w:rPr>
            <w:t> </w:t>
          </w:r>
          <w:r>
            <w:rPr/>
            <w:t>BIBLIOGRÁFICAS</w:t>
            <w:tab/>
            <w:t>69</w:t>
          </w:r>
        </w:p>
      </w:sdtContent>
    </w:sdt>
    <w:p>
      <w:pPr>
        <w:spacing w:after="0" w:line="240" w:lineRule="auto"/>
        <w:jc w:val="left"/>
        <w:sectPr>
          <w:type w:val="continuous"/>
          <w:pgSz w:w="12240" w:h="15840"/>
          <w:pgMar w:top="1360" w:bottom="1510" w:left="1600" w:right="1600"/>
        </w:sectPr>
      </w:pPr>
    </w:p>
    <w:p>
      <w:pPr>
        <w:pStyle w:val="Heading1"/>
        <w:spacing w:before="54"/>
        <w:ind w:left="407" w:right="408"/>
        <w:jc w:val="center"/>
      </w:pPr>
      <w:r>
        <w:rPr/>
        <w:t>INDICE DE CUADROS</w:t>
      </w:r>
    </w:p>
    <w:p>
      <w:pPr>
        <w:pStyle w:val="BodyText"/>
        <w:spacing w:before="4"/>
        <w:rPr>
          <w:b/>
          <w:sz w:val="29"/>
        </w:rPr>
      </w:pPr>
    </w:p>
    <w:p>
      <w:pPr>
        <w:pStyle w:val="BodyText"/>
        <w:spacing w:before="1"/>
        <w:ind w:right="100"/>
        <w:jc w:val="right"/>
      </w:pPr>
      <w:r>
        <w:rPr/>
        <w:t>Pág.</w:t>
      </w:r>
    </w:p>
    <w:p>
      <w:pPr>
        <w:pStyle w:val="BodyText"/>
        <w:spacing w:before="4"/>
        <w:rPr>
          <w:sz w:val="29"/>
        </w:rPr>
      </w:pPr>
    </w:p>
    <w:p>
      <w:pPr>
        <w:pStyle w:val="BodyText"/>
        <w:tabs>
          <w:tab w:pos="8775" w:val="left" w:leader="dot"/>
        </w:tabs>
        <w:spacing w:before="1"/>
        <w:ind w:left="101"/>
      </w:pPr>
      <w:r>
        <w:rPr>
          <w:b/>
        </w:rPr>
        <w:t>Cuadro 1. </w:t>
      </w:r>
      <w:r>
        <w:rPr/>
        <w:t>Elementos esenciales en la nutrición y crecimiento de</w:t>
      </w:r>
      <w:r>
        <w:rPr>
          <w:spacing w:val="-24"/>
        </w:rPr>
        <w:t> </w:t>
      </w:r>
      <w:r>
        <w:rPr/>
        <w:t>la</w:t>
      </w:r>
      <w:r>
        <w:rPr>
          <w:spacing w:val="-4"/>
        </w:rPr>
        <w:t> </w:t>
      </w:r>
      <w:r>
        <w:rPr/>
        <w:t>planta</w:t>
        <w:tab/>
        <w:t>8</w:t>
      </w:r>
    </w:p>
    <w:p>
      <w:pPr>
        <w:pStyle w:val="BodyText"/>
        <w:spacing w:before="10"/>
        <w:rPr>
          <w:sz w:val="20"/>
        </w:rPr>
      </w:pPr>
    </w:p>
    <w:p>
      <w:pPr>
        <w:tabs>
          <w:tab w:pos="8667" w:val="left" w:leader="dot"/>
        </w:tabs>
        <w:spacing w:before="0"/>
        <w:ind w:left="101" w:right="0" w:firstLine="0"/>
        <w:jc w:val="left"/>
        <w:rPr>
          <w:sz w:val="24"/>
        </w:rPr>
      </w:pPr>
      <w:r>
        <w:rPr>
          <w:b/>
          <w:sz w:val="24"/>
        </w:rPr>
        <w:t>Cuadro 2. </w:t>
      </w:r>
      <w:r>
        <w:rPr>
          <w:sz w:val="24"/>
        </w:rPr>
        <w:t>Solución Steiner aplicada al sustrato en cultivo</w:t>
      </w:r>
      <w:r>
        <w:rPr>
          <w:spacing w:val="-24"/>
          <w:sz w:val="24"/>
        </w:rPr>
        <w:t> </w:t>
      </w:r>
      <w:r>
        <w:rPr>
          <w:sz w:val="24"/>
        </w:rPr>
        <w:t>de</w:t>
      </w:r>
      <w:r>
        <w:rPr>
          <w:spacing w:val="-2"/>
          <w:sz w:val="24"/>
        </w:rPr>
        <w:t> </w:t>
      </w:r>
      <w:r>
        <w:rPr>
          <w:i/>
          <w:sz w:val="24"/>
        </w:rPr>
        <w:t>Lilium</w:t>
      </w:r>
      <w:r>
        <w:rPr>
          <w:sz w:val="24"/>
        </w:rPr>
        <w:tab/>
        <w:t>24</w:t>
      </w:r>
    </w:p>
    <w:p>
      <w:pPr>
        <w:pStyle w:val="BodyText"/>
        <w:spacing w:before="3"/>
        <w:rPr>
          <w:sz w:val="31"/>
        </w:rPr>
      </w:pPr>
    </w:p>
    <w:p>
      <w:pPr>
        <w:pStyle w:val="BodyText"/>
        <w:ind w:left="101" w:right="100"/>
      </w:pPr>
      <w:r>
        <w:rPr>
          <w:b/>
        </w:rPr>
        <w:t>Cuadro 3. </w:t>
      </w:r>
      <w:r>
        <w:rPr/>
        <w:t>Fertilización Steiner al sustrato y foliar de zinc y magnesio en</w:t>
      </w:r>
    </w:p>
    <w:p>
      <w:pPr>
        <w:tabs>
          <w:tab w:pos="8614" w:val="left" w:leader="dot"/>
        </w:tabs>
        <w:spacing w:before="197"/>
        <w:ind w:left="1236" w:right="100" w:firstLine="0"/>
        <w:jc w:val="left"/>
        <w:rPr>
          <w:sz w:val="24"/>
        </w:rPr>
      </w:pPr>
      <w:r>
        <w:rPr>
          <w:i/>
          <w:sz w:val="24"/>
        </w:rPr>
        <w:t>Lilium </w:t>
      </w:r>
      <w:r>
        <w:rPr>
          <w:sz w:val="24"/>
        </w:rPr>
        <w:t>‘Acapulco’,</w:t>
      </w:r>
      <w:r>
        <w:rPr>
          <w:spacing w:val="-7"/>
          <w:sz w:val="24"/>
        </w:rPr>
        <w:t> </w:t>
      </w:r>
      <w:r>
        <w:rPr>
          <w:sz w:val="24"/>
        </w:rPr>
        <w:t>en</w:t>
      </w:r>
      <w:r>
        <w:rPr>
          <w:spacing w:val="-2"/>
          <w:sz w:val="24"/>
        </w:rPr>
        <w:t> </w:t>
      </w:r>
      <w:r>
        <w:rPr>
          <w:sz w:val="24"/>
        </w:rPr>
        <w:t>2012</w:t>
        <w:tab/>
        <w:t>26</w:t>
      </w:r>
    </w:p>
    <w:p>
      <w:pPr>
        <w:pStyle w:val="BodyText"/>
        <w:spacing w:before="204"/>
        <w:ind w:left="101" w:right="100"/>
      </w:pPr>
      <w:r>
        <w:rPr>
          <w:b/>
        </w:rPr>
        <w:t>Cuadro 4. </w:t>
      </w:r>
      <w:r>
        <w:rPr/>
        <w:t>Fertilización foliar de zinc y magnesio en Lilium ‘Serrada’,</w:t>
      </w:r>
    </w:p>
    <w:p>
      <w:pPr>
        <w:pStyle w:val="BodyText"/>
        <w:tabs>
          <w:tab w:pos="8650" w:val="left" w:leader="dot"/>
        </w:tabs>
        <w:spacing w:before="199"/>
        <w:ind w:left="1236"/>
      </w:pPr>
      <w:r>
        <w:rPr/>
        <w:t>en</w:t>
      </w:r>
      <w:r>
        <w:rPr>
          <w:spacing w:val="-2"/>
        </w:rPr>
        <w:t> </w:t>
      </w:r>
      <w:r>
        <w:rPr/>
        <w:t>2013</w:t>
        <w:tab/>
        <w:t>30</w:t>
      </w:r>
    </w:p>
    <w:p>
      <w:pPr>
        <w:pStyle w:val="BodyText"/>
        <w:tabs>
          <w:tab w:pos="2103" w:val="left" w:leader="none"/>
        </w:tabs>
        <w:spacing w:line="374" w:lineRule="auto" w:before="197"/>
        <w:ind w:left="1303" w:right="1144" w:hanging="1203"/>
      </w:pPr>
      <w:r>
        <w:rPr>
          <w:b/>
        </w:rPr>
        <w:t>Cuadro 5</w:t>
      </w:r>
      <w:r>
        <w:rPr/>
        <w:t>. Efecto de la fertilización con solución Steiner, zinc y magnesio sobre</w:t>
        <w:tab/>
        <w:t>unidades SPAD, diámetro de la flor, área foliar (cm</w:t>
      </w:r>
      <w:r>
        <w:rPr>
          <w:position w:val="8"/>
          <w:sz w:val="16"/>
        </w:rPr>
        <w:t>2</w:t>
      </w:r>
      <w:r>
        <w:rPr/>
        <w:t>)</w:t>
      </w:r>
      <w:r>
        <w:rPr>
          <w:spacing w:val="-27"/>
        </w:rPr>
        <w:t> </w:t>
      </w:r>
      <w:r>
        <w:rPr/>
        <w:t>y</w:t>
      </w:r>
    </w:p>
    <w:p>
      <w:pPr>
        <w:pStyle w:val="BodyText"/>
        <w:tabs>
          <w:tab w:pos="8640" w:val="left" w:leader="dot"/>
        </w:tabs>
        <w:spacing w:before="4"/>
        <w:ind w:left="1301"/>
      </w:pPr>
      <w:r>
        <w:rPr/>
        <w:t>materia seca en </w:t>
      </w:r>
      <w:r>
        <w:rPr>
          <w:i/>
        </w:rPr>
        <w:t>Lilium </w:t>
      </w:r>
      <w:r>
        <w:rPr/>
        <w:t>cv. ‘Acapulco’,</w:t>
      </w:r>
      <w:r>
        <w:rPr>
          <w:spacing w:val="-16"/>
        </w:rPr>
        <w:t> </w:t>
      </w:r>
      <w:r>
        <w:rPr/>
        <w:t>días</w:t>
      </w:r>
      <w:r>
        <w:rPr>
          <w:spacing w:val="-3"/>
        </w:rPr>
        <w:t> </w:t>
      </w:r>
      <w:r>
        <w:rPr/>
        <w:t>postcosecha</w:t>
        <w:tab/>
        <w:t>59</w:t>
      </w:r>
    </w:p>
    <w:p>
      <w:pPr>
        <w:pStyle w:val="BodyText"/>
        <w:spacing w:line="360" w:lineRule="auto" w:before="163"/>
        <w:ind w:left="1303" w:right="1063" w:hanging="1203"/>
      </w:pPr>
      <w:r>
        <w:rPr>
          <w:b/>
        </w:rPr>
        <w:t>Cuadro 6</w:t>
      </w:r>
      <w:r>
        <w:rPr/>
        <w:t>. Efecto de la fertilización con solución Steiner, zinc y magnesio, sobre parámetros de color en la flor de </w:t>
      </w:r>
      <w:r>
        <w:rPr>
          <w:i/>
        </w:rPr>
        <w:t>Lilium </w:t>
      </w:r>
      <w:r>
        <w:rPr/>
        <w:t>cv. Acapulco en</w:t>
      </w:r>
    </w:p>
    <w:p>
      <w:pPr>
        <w:pStyle w:val="BodyText"/>
        <w:tabs>
          <w:tab w:pos="8650" w:val="left" w:leader="dot"/>
        </w:tabs>
        <w:spacing w:before="5"/>
        <w:ind w:left="1236"/>
      </w:pPr>
      <w:r>
        <w:rPr/>
        <w:t>días</w:t>
      </w:r>
      <w:r>
        <w:rPr>
          <w:spacing w:val="-2"/>
        </w:rPr>
        <w:t> </w:t>
      </w:r>
      <w:r>
        <w:rPr/>
        <w:t>postcosecha</w:t>
        <w:tab/>
        <w:t>62</w:t>
      </w:r>
    </w:p>
    <w:p>
      <w:pPr>
        <w:pStyle w:val="BodyText"/>
        <w:spacing w:line="376" w:lineRule="auto" w:before="137"/>
        <w:ind w:left="1303" w:right="1129" w:hanging="1203"/>
      </w:pPr>
      <w:r>
        <w:rPr>
          <w:b/>
        </w:rPr>
        <w:t>Cuadro 7. </w:t>
      </w:r>
      <w:r>
        <w:rPr/>
        <w:t>Efecto de la fertilización con solución Steiner, zinc y magnesio sobre unidades SPAD, diámetro de la flor y materia seca en</w:t>
      </w:r>
    </w:p>
    <w:p>
      <w:pPr>
        <w:pStyle w:val="BodyText"/>
        <w:tabs>
          <w:tab w:pos="8674" w:val="left" w:leader="dot"/>
        </w:tabs>
        <w:spacing w:before="5"/>
        <w:ind w:left="1303"/>
      </w:pPr>
      <w:r>
        <w:rPr>
          <w:i/>
        </w:rPr>
        <w:t>Lilium </w:t>
      </w:r>
      <w:r>
        <w:rPr/>
        <w:t>‘Serrada’,</w:t>
      </w:r>
      <w:r>
        <w:rPr>
          <w:spacing w:val="-31"/>
        </w:rPr>
        <w:t> </w:t>
      </w:r>
      <w:r>
        <w:rPr/>
        <w:t>días</w:t>
      </w:r>
      <w:r>
        <w:rPr>
          <w:spacing w:val="-15"/>
        </w:rPr>
        <w:t> </w:t>
      </w:r>
      <w:r>
        <w:rPr/>
        <w:t>postcosecha</w:t>
        <w:tab/>
        <w:t>64</w:t>
      </w:r>
    </w:p>
    <w:p>
      <w:pPr>
        <w:pStyle w:val="BodyText"/>
        <w:spacing w:line="357" w:lineRule="auto" w:before="165"/>
        <w:ind w:left="1371" w:right="968" w:hanging="1270"/>
      </w:pPr>
      <w:r>
        <w:rPr>
          <w:b/>
        </w:rPr>
        <w:t>Cuadro 8. </w:t>
      </w:r>
      <w:r>
        <w:rPr/>
        <w:t>Efecto de la fertilización con solución Steiner, zinc y magnesio, sobre parámetros de color en la flor de </w:t>
      </w:r>
      <w:r>
        <w:rPr>
          <w:i/>
        </w:rPr>
        <w:t>Lilium </w:t>
      </w:r>
      <w:r>
        <w:rPr/>
        <w:t>cv. Serrada en</w:t>
      </w:r>
    </w:p>
    <w:p>
      <w:pPr>
        <w:pStyle w:val="BodyText"/>
        <w:tabs>
          <w:tab w:pos="8652" w:val="left" w:leader="dot"/>
        </w:tabs>
        <w:spacing w:before="10"/>
        <w:ind w:left="1303"/>
      </w:pPr>
      <w:r>
        <w:rPr/>
        <w:t>días</w:t>
      </w:r>
      <w:r>
        <w:rPr>
          <w:spacing w:val="-2"/>
        </w:rPr>
        <w:t> </w:t>
      </w:r>
      <w:r>
        <w:rPr/>
        <w:t>postcosecha</w:t>
        <w:tab/>
        <w:t>65</w:t>
      </w:r>
    </w:p>
    <w:p>
      <w:pPr>
        <w:spacing w:after="0"/>
        <w:sectPr>
          <w:pgSz w:w="12240" w:h="15840"/>
          <w:pgMar w:top="1360" w:bottom="280" w:left="1600" w:right="1600"/>
        </w:sectPr>
      </w:pPr>
    </w:p>
    <w:p>
      <w:pPr>
        <w:pStyle w:val="Heading1"/>
        <w:spacing w:before="54"/>
        <w:ind w:left="407" w:right="410"/>
        <w:jc w:val="center"/>
      </w:pPr>
      <w:r>
        <w:rPr/>
        <w:t>INDICE DE FIGURAS</w:t>
      </w:r>
    </w:p>
    <w:p>
      <w:pPr>
        <w:pStyle w:val="BodyText"/>
        <w:spacing w:before="4"/>
        <w:rPr>
          <w:b/>
          <w:sz w:val="23"/>
        </w:rPr>
      </w:pPr>
    </w:p>
    <w:p>
      <w:pPr>
        <w:pStyle w:val="BodyText"/>
        <w:spacing w:before="70"/>
        <w:ind w:right="100"/>
        <w:jc w:val="right"/>
      </w:pPr>
      <w:r>
        <w:rPr/>
        <w:t>Pág.</w:t>
      </w:r>
    </w:p>
    <w:p>
      <w:pPr>
        <w:pStyle w:val="BodyText"/>
        <w:spacing w:before="4"/>
        <w:rPr>
          <w:sz w:val="23"/>
        </w:rPr>
      </w:pPr>
    </w:p>
    <w:p>
      <w:pPr>
        <w:pStyle w:val="BodyText"/>
        <w:spacing w:line="532" w:lineRule="auto" w:before="70"/>
        <w:ind w:left="1171" w:right="968" w:hanging="1071"/>
      </w:pPr>
      <w:r>
        <w:rPr>
          <w:b/>
        </w:rPr>
        <w:t>Figura 1. </w:t>
      </w:r>
      <w:r>
        <w:rPr/>
        <w:t>Punto de corte, cuando el botón floral central estaba pigmentado (Franco </w:t>
      </w:r>
      <w:r>
        <w:rPr>
          <w:i/>
        </w:rPr>
        <w:t>et al</w:t>
      </w:r>
      <w:r>
        <w:rPr/>
        <w:t>., 2009) y sin eclosionar las 2 primeras flores</w:t>
      </w:r>
    </w:p>
    <w:p>
      <w:pPr>
        <w:tabs>
          <w:tab w:pos="8939" w:val="right" w:leader="dot"/>
        </w:tabs>
        <w:spacing w:before="11"/>
        <w:ind w:left="1171" w:right="0" w:firstLine="0"/>
        <w:jc w:val="left"/>
        <w:rPr>
          <w:sz w:val="24"/>
        </w:rPr>
      </w:pPr>
      <w:r>
        <w:rPr>
          <w:sz w:val="24"/>
        </w:rPr>
        <w:t>inferiores (Bañon </w:t>
      </w:r>
      <w:r>
        <w:rPr>
          <w:i/>
          <w:sz w:val="24"/>
        </w:rPr>
        <w:t>et</w:t>
      </w:r>
      <w:r>
        <w:rPr>
          <w:i/>
          <w:spacing w:val="-38"/>
          <w:sz w:val="24"/>
        </w:rPr>
        <w:t> </w:t>
      </w:r>
      <w:r>
        <w:rPr>
          <w:i/>
          <w:sz w:val="24"/>
        </w:rPr>
        <w:t>al.,</w:t>
      </w:r>
      <w:r>
        <w:rPr>
          <w:i/>
          <w:spacing w:val="-15"/>
          <w:sz w:val="24"/>
        </w:rPr>
        <w:t> </w:t>
      </w:r>
      <w:r>
        <w:rPr>
          <w:sz w:val="24"/>
        </w:rPr>
        <w:t>1993)</w:t>
        <w:tab/>
        <w:t>27</w:t>
      </w:r>
    </w:p>
    <w:p>
      <w:pPr>
        <w:spacing w:after="0"/>
        <w:jc w:val="left"/>
        <w:rPr>
          <w:sz w:val="24"/>
        </w:rPr>
        <w:sectPr>
          <w:pgSz w:w="12240" w:h="15840"/>
          <w:pgMar w:top="1360" w:bottom="280" w:left="1600" w:right="1600"/>
        </w:sectPr>
      </w:pPr>
    </w:p>
    <w:p>
      <w:pPr>
        <w:pStyle w:val="Heading1"/>
        <w:numPr>
          <w:ilvl w:val="0"/>
          <w:numId w:val="5"/>
        </w:numPr>
        <w:tabs>
          <w:tab w:pos="3947" w:val="left" w:leader="none"/>
        </w:tabs>
        <w:spacing w:line="240" w:lineRule="auto" w:before="54" w:after="0"/>
        <w:ind w:left="3946" w:right="0" w:hanging="360"/>
        <w:jc w:val="left"/>
      </w:pPr>
      <w:bookmarkStart w:name="_TOC_250038" w:id="1"/>
      <w:bookmarkEnd w:id="1"/>
      <w:r>
        <w:rPr/>
        <w:t>INTRODUCCIÓN</w:t>
      </w:r>
    </w:p>
    <w:p>
      <w:pPr>
        <w:pStyle w:val="BodyText"/>
        <w:rPr>
          <w:b/>
        </w:rPr>
      </w:pPr>
    </w:p>
    <w:p>
      <w:pPr>
        <w:pStyle w:val="BodyText"/>
        <w:rPr>
          <w:b/>
        </w:rPr>
      </w:pPr>
    </w:p>
    <w:p>
      <w:pPr>
        <w:pStyle w:val="BodyText"/>
        <w:rPr>
          <w:b/>
        </w:rPr>
      </w:pPr>
    </w:p>
    <w:p>
      <w:pPr>
        <w:pStyle w:val="BodyText"/>
        <w:spacing w:before="7"/>
        <w:rPr>
          <w:b/>
          <w:sz w:val="34"/>
        </w:rPr>
      </w:pPr>
    </w:p>
    <w:p>
      <w:pPr>
        <w:pStyle w:val="BodyText"/>
        <w:spacing w:line="480" w:lineRule="auto"/>
        <w:ind w:left="101" w:right="114"/>
        <w:jc w:val="both"/>
      </w:pPr>
      <w:r>
        <w:rPr/>
        <w:t>Hay 26 estados de la República Mexicana que se dedican a la producción de flor y las entidades líderes son México con 55 mil 552 toneladas; Distrito Federal, 17 mil 364;</w:t>
      </w:r>
      <w:r>
        <w:rPr>
          <w:spacing w:val="-6"/>
        </w:rPr>
        <w:t> </w:t>
      </w:r>
      <w:r>
        <w:rPr/>
        <w:t>Jalisco,</w:t>
      </w:r>
      <w:r>
        <w:rPr>
          <w:spacing w:val="-6"/>
        </w:rPr>
        <w:t> </w:t>
      </w:r>
      <w:r>
        <w:rPr/>
        <w:t>ocho</w:t>
      </w:r>
      <w:r>
        <w:rPr>
          <w:spacing w:val="-8"/>
        </w:rPr>
        <w:t> </w:t>
      </w:r>
      <w:r>
        <w:rPr/>
        <w:t>mil</w:t>
      </w:r>
      <w:r>
        <w:rPr>
          <w:spacing w:val="-7"/>
        </w:rPr>
        <w:t> </w:t>
      </w:r>
      <w:r>
        <w:rPr/>
        <w:t>565;</w:t>
      </w:r>
      <w:r>
        <w:rPr>
          <w:spacing w:val="-6"/>
        </w:rPr>
        <w:t> </w:t>
      </w:r>
      <w:r>
        <w:rPr/>
        <w:t>Morelos,</w:t>
      </w:r>
      <w:r>
        <w:rPr>
          <w:spacing w:val="-6"/>
        </w:rPr>
        <w:t> </w:t>
      </w:r>
      <w:r>
        <w:rPr/>
        <w:t>ocho</w:t>
      </w:r>
      <w:r>
        <w:rPr>
          <w:spacing w:val="-8"/>
        </w:rPr>
        <w:t> </w:t>
      </w:r>
      <w:r>
        <w:rPr/>
        <w:t>mil</w:t>
      </w:r>
      <w:r>
        <w:rPr>
          <w:spacing w:val="-5"/>
        </w:rPr>
        <w:t> </w:t>
      </w:r>
      <w:r>
        <w:rPr/>
        <w:t>275,</w:t>
      </w:r>
      <w:r>
        <w:rPr>
          <w:spacing w:val="-6"/>
        </w:rPr>
        <w:t> </w:t>
      </w:r>
      <w:r>
        <w:rPr/>
        <w:t>y</w:t>
      </w:r>
      <w:r>
        <w:rPr>
          <w:spacing w:val="-7"/>
        </w:rPr>
        <w:t> </w:t>
      </w:r>
      <w:r>
        <w:rPr/>
        <w:t>Puebla,</w:t>
      </w:r>
      <w:r>
        <w:rPr>
          <w:spacing w:val="-6"/>
        </w:rPr>
        <w:t> </w:t>
      </w:r>
      <w:r>
        <w:rPr/>
        <w:t>seis</w:t>
      </w:r>
      <w:r>
        <w:rPr>
          <w:spacing w:val="-7"/>
        </w:rPr>
        <w:t> </w:t>
      </w:r>
      <w:r>
        <w:rPr/>
        <w:t>mil</w:t>
      </w:r>
      <w:r>
        <w:rPr>
          <w:spacing w:val="-7"/>
        </w:rPr>
        <w:t> </w:t>
      </w:r>
      <w:r>
        <w:rPr/>
        <w:t>102</w:t>
      </w:r>
      <w:r>
        <w:rPr>
          <w:spacing w:val="-6"/>
        </w:rPr>
        <w:t> </w:t>
      </w:r>
      <w:r>
        <w:rPr/>
        <w:t>toneladas. Del</w:t>
      </w:r>
      <w:r>
        <w:rPr>
          <w:spacing w:val="-6"/>
        </w:rPr>
        <w:t> </w:t>
      </w:r>
      <w:r>
        <w:rPr/>
        <w:t>total</w:t>
      </w:r>
      <w:r>
        <w:rPr>
          <w:spacing w:val="-6"/>
        </w:rPr>
        <w:t> </w:t>
      </w:r>
      <w:r>
        <w:rPr/>
        <w:t>de</w:t>
      </w:r>
      <w:r>
        <w:rPr>
          <w:spacing w:val="-4"/>
        </w:rPr>
        <w:t> </w:t>
      </w:r>
      <w:r>
        <w:rPr/>
        <w:t>la</w:t>
      </w:r>
      <w:r>
        <w:rPr>
          <w:spacing w:val="-7"/>
        </w:rPr>
        <w:t> </w:t>
      </w:r>
      <w:r>
        <w:rPr/>
        <w:t>producción</w:t>
      </w:r>
      <w:r>
        <w:rPr>
          <w:spacing w:val="-7"/>
        </w:rPr>
        <w:t> </w:t>
      </w:r>
      <w:r>
        <w:rPr/>
        <w:t>nacional,</w:t>
      </w:r>
      <w:r>
        <w:rPr>
          <w:spacing w:val="-7"/>
        </w:rPr>
        <w:t> </w:t>
      </w:r>
      <w:r>
        <w:rPr/>
        <w:t>12</w:t>
      </w:r>
      <w:r>
        <w:rPr>
          <w:spacing w:val="-7"/>
        </w:rPr>
        <w:t> </w:t>
      </w:r>
      <w:r>
        <w:rPr/>
        <w:t>%</w:t>
      </w:r>
      <w:r>
        <w:rPr>
          <w:spacing w:val="-5"/>
        </w:rPr>
        <w:t> </w:t>
      </w:r>
      <w:r>
        <w:rPr/>
        <w:t>se</w:t>
      </w:r>
      <w:r>
        <w:rPr>
          <w:spacing w:val="-7"/>
        </w:rPr>
        <w:t> </w:t>
      </w:r>
      <w:r>
        <w:rPr/>
        <w:t>exporta</w:t>
      </w:r>
      <w:r>
        <w:rPr>
          <w:spacing w:val="-4"/>
        </w:rPr>
        <w:t> </w:t>
      </w:r>
      <w:r>
        <w:rPr/>
        <w:t>(280</w:t>
      </w:r>
      <w:r>
        <w:rPr>
          <w:spacing w:val="-9"/>
        </w:rPr>
        <w:t> </w:t>
      </w:r>
      <w:r>
        <w:rPr/>
        <w:t>mil</w:t>
      </w:r>
      <w:r>
        <w:rPr>
          <w:spacing w:val="-6"/>
        </w:rPr>
        <w:t> </w:t>
      </w:r>
      <w:r>
        <w:rPr/>
        <w:t>toneladas</w:t>
      </w:r>
      <w:r>
        <w:rPr>
          <w:spacing w:val="-5"/>
        </w:rPr>
        <w:t> </w:t>
      </w:r>
      <w:r>
        <w:rPr/>
        <w:t>de</w:t>
      </w:r>
      <w:r>
        <w:rPr>
          <w:spacing w:val="-7"/>
        </w:rPr>
        <w:t> </w:t>
      </w:r>
      <w:r>
        <w:rPr/>
        <w:t>flores</w:t>
      </w:r>
      <w:r>
        <w:rPr>
          <w:spacing w:val="-8"/>
        </w:rPr>
        <w:t> </w:t>
      </w:r>
      <w:r>
        <w:rPr/>
        <w:t>de corte) y los principales mercados de compra son Estados Unidos y Canadá. Los tipos de flor que más se exportan son gladiola (</w:t>
      </w:r>
      <w:r>
        <w:rPr>
          <w:i/>
        </w:rPr>
        <w:t>Gladiolus </w:t>
      </w:r>
      <w:r>
        <w:rPr/>
        <w:t>spp.), rosa (</w:t>
      </w:r>
      <w:r>
        <w:rPr>
          <w:i/>
        </w:rPr>
        <w:t>Rosa </w:t>
      </w:r>
      <w:r>
        <w:rPr/>
        <w:t>spp.), lilium</w:t>
      </w:r>
      <w:r>
        <w:rPr>
          <w:spacing w:val="-6"/>
        </w:rPr>
        <w:t> </w:t>
      </w:r>
      <w:r>
        <w:rPr/>
        <w:t>(</w:t>
      </w:r>
      <w:r>
        <w:rPr>
          <w:i/>
        </w:rPr>
        <w:t>Lilium</w:t>
      </w:r>
      <w:r>
        <w:rPr>
          <w:i/>
          <w:spacing w:val="-10"/>
        </w:rPr>
        <w:t> </w:t>
      </w:r>
      <w:r>
        <w:rPr/>
        <w:t>spp.),</w:t>
      </w:r>
      <w:r>
        <w:rPr>
          <w:spacing w:val="-7"/>
        </w:rPr>
        <w:t> </w:t>
      </w:r>
      <w:r>
        <w:rPr/>
        <w:t>alstroemeria</w:t>
      </w:r>
      <w:r>
        <w:rPr>
          <w:spacing w:val="-6"/>
        </w:rPr>
        <w:t> </w:t>
      </w:r>
      <w:r>
        <w:rPr/>
        <w:t>(</w:t>
      </w:r>
      <w:r>
        <w:rPr>
          <w:i/>
        </w:rPr>
        <w:t>Alstroemeria</w:t>
      </w:r>
      <w:r>
        <w:rPr>
          <w:i/>
          <w:spacing w:val="-6"/>
        </w:rPr>
        <w:t> </w:t>
      </w:r>
      <w:r>
        <w:rPr/>
        <w:t>spp.),</w:t>
      </w:r>
      <w:r>
        <w:rPr>
          <w:spacing w:val="-7"/>
        </w:rPr>
        <w:t> </w:t>
      </w:r>
      <w:r>
        <w:rPr/>
        <w:t>clavel</w:t>
      </w:r>
      <w:r>
        <w:rPr>
          <w:spacing w:val="-8"/>
        </w:rPr>
        <w:t> </w:t>
      </w:r>
      <w:r>
        <w:rPr/>
        <w:t>(</w:t>
      </w:r>
      <w:r>
        <w:rPr>
          <w:i/>
        </w:rPr>
        <w:t>Dianthus</w:t>
      </w:r>
      <w:r>
        <w:rPr>
          <w:i/>
          <w:spacing w:val="-10"/>
        </w:rPr>
        <w:t> </w:t>
      </w:r>
      <w:r>
        <w:rPr>
          <w:i/>
        </w:rPr>
        <w:t>caryophyllus</w:t>
      </w:r>
      <w:r>
        <w:rPr/>
        <w:t>), esquejes sin raíz, de plantas en maceta y follajes (SAGARPA,</w:t>
      </w:r>
      <w:r>
        <w:rPr>
          <w:spacing w:val="-32"/>
        </w:rPr>
        <w:t> </w:t>
      </w:r>
      <w:r>
        <w:rPr/>
        <w:t>2012).</w:t>
      </w:r>
    </w:p>
    <w:p>
      <w:pPr>
        <w:pStyle w:val="BodyText"/>
        <w:spacing w:line="480" w:lineRule="auto" w:before="5"/>
        <w:ind w:left="101" w:right="114"/>
        <w:jc w:val="both"/>
      </w:pPr>
      <w:r>
        <w:rPr/>
        <w:t>Por su importancia económica, </w:t>
      </w:r>
      <w:r>
        <w:rPr>
          <w:i/>
        </w:rPr>
        <w:t>Lilium </w:t>
      </w:r>
      <w:r>
        <w:rPr/>
        <w:t>es la cuarta flor de corte en el mundo y también tiene importancia como flor en maceta dentro de las bulbosas. Los </w:t>
      </w:r>
      <w:r>
        <w:rPr>
          <w:i/>
        </w:rPr>
        <w:t>Lilium </w:t>
      </w:r>
      <w:r>
        <w:rPr/>
        <w:t>se agrupan para la producción de flor de corte en el comercio mundial en híbridos asiáticos, orientales y longiflorum, híbridos LA (Longiflorum y asiático). Además, existen OT (Oriental × trompeta), LO (Longiflorum × Oriental) y OA (× Oriental asiático) (Van Tuyl, </w:t>
      </w:r>
      <w:r>
        <w:rPr>
          <w:i/>
        </w:rPr>
        <w:t>et al</w:t>
      </w:r>
      <w:r>
        <w:rPr/>
        <w:t>., 2010).</w:t>
      </w:r>
    </w:p>
    <w:p>
      <w:pPr>
        <w:pStyle w:val="BodyText"/>
        <w:spacing w:line="480" w:lineRule="auto" w:before="204"/>
        <w:ind w:left="101" w:right="117"/>
        <w:jc w:val="both"/>
      </w:pPr>
      <w:r>
        <w:rPr/>
        <w:t>En México, para el 2010, la flor de </w:t>
      </w:r>
      <w:r>
        <w:rPr>
          <w:i/>
        </w:rPr>
        <w:t>Lilium </w:t>
      </w:r>
      <w:r>
        <w:rPr/>
        <w:t>ocupa el cuarto lugar entre las flores de corte que más prefieren los consumidores. La mayoría de los productores se encuentran en los estados de México, Puebla y Morelos, así como el Distrito Federal, quienes concentran alrededor del 70 % de los productores y las unidades de producción (SAGARPA, 2012).</w:t>
      </w:r>
    </w:p>
    <w:p>
      <w:pPr>
        <w:spacing w:after="0" w:line="480" w:lineRule="auto"/>
        <w:jc w:val="both"/>
        <w:sectPr>
          <w:footerReference w:type="default" r:id="rId5"/>
          <w:pgSz w:w="12240" w:h="15840"/>
          <w:pgMar w:footer="1005" w:header="0" w:top="1360" w:bottom="1200" w:left="1600" w:right="1580"/>
          <w:pgNumType w:start="1"/>
        </w:sectPr>
      </w:pPr>
    </w:p>
    <w:p>
      <w:pPr>
        <w:pStyle w:val="BodyText"/>
        <w:spacing w:line="480" w:lineRule="auto" w:before="51"/>
        <w:ind w:left="101" w:right="116"/>
        <w:jc w:val="both"/>
      </w:pPr>
      <w:r>
        <w:rPr/>
        <w:t>Las</w:t>
      </w:r>
      <w:r>
        <w:rPr>
          <w:spacing w:val="-13"/>
        </w:rPr>
        <w:t> </w:t>
      </w:r>
      <w:r>
        <w:rPr/>
        <w:t>plantas</w:t>
      </w:r>
      <w:r>
        <w:rPr>
          <w:spacing w:val="-10"/>
        </w:rPr>
        <w:t> </w:t>
      </w:r>
      <w:r>
        <w:rPr/>
        <w:t>como</w:t>
      </w:r>
      <w:r>
        <w:rPr>
          <w:spacing w:val="-9"/>
        </w:rPr>
        <w:t> </w:t>
      </w:r>
      <w:r>
        <w:rPr/>
        <w:t>lilium</w:t>
      </w:r>
      <w:r>
        <w:rPr>
          <w:spacing w:val="-8"/>
        </w:rPr>
        <w:t> </w:t>
      </w:r>
      <w:r>
        <w:rPr/>
        <w:t>responden</w:t>
      </w:r>
      <w:r>
        <w:rPr>
          <w:spacing w:val="-12"/>
        </w:rPr>
        <w:t> </w:t>
      </w:r>
      <w:r>
        <w:rPr/>
        <w:t>a</w:t>
      </w:r>
      <w:r>
        <w:rPr>
          <w:spacing w:val="-12"/>
        </w:rPr>
        <w:t> </w:t>
      </w:r>
      <w:r>
        <w:rPr/>
        <w:t>una</w:t>
      </w:r>
      <w:r>
        <w:rPr>
          <w:spacing w:val="-12"/>
        </w:rPr>
        <w:t> </w:t>
      </w:r>
      <w:r>
        <w:rPr/>
        <w:t>demanda</w:t>
      </w:r>
      <w:r>
        <w:rPr>
          <w:spacing w:val="-12"/>
        </w:rPr>
        <w:t> </w:t>
      </w:r>
      <w:r>
        <w:rPr/>
        <w:t>en</w:t>
      </w:r>
      <w:r>
        <w:rPr>
          <w:spacing w:val="-12"/>
        </w:rPr>
        <w:t> </w:t>
      </w:r>
      <w:r>
        <w:rPr/>
        <w:t>el</w:t>
      </w:r>
      <w:r>
        <w:rPr>
          <w:spacing w:val="-11"/>
        </w:rPr>
        <w:t> </w:t>
      </w:r>
      <w:r>
        <w:rPr/>
        <w:t>gusto</w:t>
      </w:r>
      <w:r>
        <w:rPr>
          <w:spacing w:val="-12"/>
        </w:rPr>
        <w:t> </w:t>
      </w:r>
      <w:r>
        <w:rPr/>
        <w:t>de</w:t>
      </w:r>
      <w:r>
        <w:rPr>
          <w:spacing w:val="-9"/>
        </w:rPr>
        <w:t> </w:t>
      </w:r>
      <w:r>
        <w:rPr/>
        <w:t>los</w:t>
      </w:r>
      <w:r>
        <w:rPr>
          <w:spacing w:val="-10"/>
        </w:rPr>
        <w:t> </w:t>
      </w:r>
      <w:r>
        <w:rPr/>
        <w:t>consumidores de flor de corte, se requiere una producción intensiva, y es necesario buscar alternativas que favorezcan la producción, pudiendo ser mediante la nutrición de la planta y el uso de fertilizantes foliares para incrementar el rendimiento y calidad de esta</w:t>
      </w:r>
      <w:r>
        <w:rPr>
          <w:spacing w:val="-5"/>
        </w:rPr>
        <w:t> </w:t>
      </w:r>
      <w:r>
        <w:rPr/>
        <w:t>especie.</w:t>
      </w:r>
    </w:p>
    <w:p>
      <w:pPr>
        <w:pStyle w:val="BodyText"/>
        <w:spacing w:line="480" w:lineRule="auto" w:before="8"/>
        <w:ind w:left="101" w:right="116"/>
        <w:jc w:val="both"/>
      </w:pPr>
      <w:r>
        <w:rPr/>
        <w:t>La presente investigación tuvo como objetivo probar que la fertilización foliar con base a magnesio y zinc tiene efecto benéfico en </w:t>
      </w:r>
      <w:r>
        <w:rPr>
          <w:i/>
        </w:rPr>
        <w:t>Lilium</w:t>
      </w:r>
      <w:r>
        <w:rPr/>
        <w:t>, ya que una adecuada nutrición durante el desarrollo del cultivo, incide en parámetros de calidad al momento de la cosecha y posterior a ésta, ofreciendo mayor vida en florero.</w:t>
      </w:r>
    </w:p>
    <w:p>
      <w:pPr>
        <w:spacing w:after="0" w:line="480" w:lineRule="auto"/>
        <w:jc w:val="both"/>
        <w:sectPr>
          <w:pgSz w:w="12240" w:h="15840"/>
          <w:pgMar w:header="0" w:footer="1005" w:top="1360" w:bottom="1200" w:left="1600" w:right="1580"/>
        </w:sectPr>
      </w:pPr>
    </w:p>
    <w:p>
      <w:pPr>
        <w:pStyle w:val="Heading1"/>
        <w:numPr>
          <w:ilvl w:val="0"/>
          <w:numId w:val="5"/>
        </w:numPr>
        <w:tabs>
          <w:tab w:pos="3116" w:val="left" w:leader="none"/>
        </w:tabs>
        <w:spacing w:line="240" w:lineRule="auto" w:before="54" w:after="0"/>
        <w:ind w:left="3116" w:right="0" w:hanging="336"/>
        <w:jc w:val="left"/>
      </w:pPr>
      <w:bookmarkStart w:name="_TOC_250037" w:id="2"/>
      <w:r>
        <w:rPr/>
        <w:t>REVISIÓN DE</w:t>
      </w:r>
      <w:r>
        <w:rPr>
          <w:spacing w:val="-12"/>
        </w:rPr>
        <w:t> </w:t>
      </w:r>
      <w:bookmarkEnd w:id="2"/>
      <w:r>
        <w:rPr/>
        <w:t>LITERATURA</w:t>
      </w:r>
    </w:p>
    <w:p>
      <w:pPr>
        <w:pStyle w:val="BodyText"/>
        <w:rPr>
          <w:b/>
        </w:rPr>
      </w:pPr>
    </w:p>
    <w:p>
      <w:pPr>
        <w:pStyle w:val="BodyText"/>
        <w:rPr>
          <w:b/>
        </w:rPr>
      </w:pPr>
    </w:p>
    <w:p>
      <w:pPr>
        <w:pStyle w:val="BodyText"/>
        <w:rPr>
          <w:b/>
        </w:rPr>
      </w:pPr>
    </w:p>
    <w:p>
      <w:pPr>
        <w:pStyle w:val="BodyText"/>
        <w:spacing w:before="9"/>
        <w:rPr>
          <w:b/>
          <w:sz w:val="34"/>
        </w:rPr>
      </w:pPr>
    </w:p>
    <w:p>
      <w:pPr>
        <w:pStyle w:val="Heading1"/>
        <w:spacing w:before="1"/>
        <w:ind w:left="303"/>
      </w:pPr>
      <w:bookmarkStart w:name="_TOC_250036" w:id="3"/>
      <w:bookmarkEnd w:id="3"/>
      <w:r>
        <w:rPr/>
        <w:t>2.1 Características botánicas</w:t>
      </w:r>
    </w:p>
    <w:p>
      <w:pPr>
        <w:pStyle w:val="BodyText"/>
        <w:rPr>
          <w:b/>
        </w:rPr>
      </w:pPr>
    </w:p>
    <w:p>
      <w:pPr>
        <w:pStyle w:val="BodyText"/>
        <w:spacing w:line="480" w:lineRule="auto" w:before="194"/>
        <w:ind w:left="101" w:right="117"/>
        <w:jc w:val="both"/>
      </w:pPr>
      <w:r>
        <w:rPr/>
        <w:t>El</w:t>
      </w:r>
      <w:r>
        <w:rPr>
          <w:spacing w:val="-19"/>
        </w:rPr>
        <w:t> </w:t>
      </w:r>
      <w:r>
        <w:rPr/>
        <w:t>género</w:t>
      </w:r>
      <w:r>
        <w:rPr>
          <w:spacing w:val="-19"/>
        </w:rPr>
        <w:t> </w:t>
      </w:r>
      <w:r>
        <w:rPr>
          <w:i/>
        </w:rPr>
        <w:t>Lilium</w:t>
      </w:r>
      <w:r>
        <w:rPr>
          <w:i/>
          <w:spacing w:val="-22"/>
        </w:rPr>
        <w:t> </w:t>
      </w:r>
      <w:r>
        <w:rPr/>
        <w:t>pertenece</w:t>
      </w:r>
      <w:r>
        <w:rPr>
          <w:spacing w:val="-19"/>
        </w:rPr>
        <w:t> </w:t>
      </w:r>
      <w:r>
        <w:rPr/>
        <w:t>a</w:t>
      </w:r>
      <w:r>
        <w:rPr>
          <w:spacing w:val="-19"/>
        </w:rPr>
        <w:t> </w:t>
      </w:r>
      <w:r>
        <w:rPr/>
        <w:t>la</w:t>
      </w:r>
      <w:r>
        <w:rPr>
          <w:spacing w:val="-20"/>
        </w:rPr>
        <w:t> </w:t>
      </w:r>
      <w:r>
        <w:rPr/>
        <w:t>familia</w:t>
      </w:r>
      <w:r>
        <w:rPr>
          <w:spacing w:val="-19"/>
        </w:rPr>
        <w:t> </w:t>
      </w:r>
      <w:r>
        <w:rPr/>
        <w:t>de</w:t>
      </w:r>
      <w:r>
        <w:rPr>
          <w:spacing w:val="-19"/>
        </w:rPr>
        <w:t> </w:t>
      </w:r>
      <w:r>
        <w:rPr/>
        <w:t>las</w:t>
      </w:r>
      <w:r>
        <w:rPr>
          <w:spacing w:val="-19"/>
        </w:rPr>
        <w:t> </w:t>
      </w:r>
      <w:r>
        <w:rPr/>
        <w:t>Liliáceas,</w:t>
      </w:r>
      <w:r>
        <w:rPr>
          <w:spacing w:val="-19"/>
        </w:rPr>
        <w:t> </w:t>
      </w:r>
      <w:r>
        <w:rPr/>
        <w:t>hay</w:t>
      </w:r>
      <w:r>
        <w:rPr>
          <w:spacing w:val="-21"/>
        </w:rPr>
        <w:t> </w:t>
      </w:r>
      <w:r>
        <w:rPr/>
        <w:t>alrededor</w:t>
      </w:r>
      <w:r>
        <w:rPr>
          <w:spacing w:val="-19"/>
        </w:rPr>
        <w:t> </w:t>
      </w:r>
      <w:r>
        <w:rPr/>
        <w:t>de</w:t>
      </w:r>
      <w:r>
        <w:rPr>
          <w:spacing w:val="-19"/>
        </w:rPr>
        <w:t> </w:t>
      </w:r>
      <w:r>
        <w:rPr/>
        <w:t>90</w:t>
      </w:r>
      <w:r>
        <w:rPr>
          <w:spacing w:val="-19"/>
        </w:rPr>
        <w:t> </w:t>
      </w:r>
      <w:r>
        <w:rPr/>
        <w:t>especies en</w:t>
      </w:r>
      <w:r>
        <w:rPr>
          <w:spacing w:val="-16"/>
        </w:rPr>
        <w:t> </w:t>
      </w:r>
      <w:r>
        <w:rPr/>
        <w:t>el</w:t>
      </w:r>
      <w:r>
        <w:rPr>
          <w:spacing w:val="-15"/>
        </w:rPr>
        <w:t> </w:t>
      </w:r>
      <w:r>
        <w:rPr/>
        <w:t>hemisferio</w:t>
      </w:r>
      <w:r>
        <w:rPr>
          <w:spacing w:val="-16"/>
        </w:rPr>
        <w:t> </w:t>
      </w:r>
      <w:r>
        <w:rPr/>
        <w:t>norte,</w:t>
      </w:r>
      <w:r>
        <w:rPr>
          <w:spacing w:val="-17"/>
        </w:rPr>
        <w:t> </w:t>
      </w:r>
      <w:r>
        <w:rPr/>
        <w:t>y</w:t>
      </w:r>
      <w:r>
        <w:rPr>
          <w:spacing w:val="-17"/>
        </w:rPr>
        <w:t> </w:t>
      </w:r>
      <w:r>
        <w:rPr/>
        <w:t>son</w:t>
      </w:r>
      <w:r>
        <w:rPr>
          <w:spacing w:val="-14"/>
        </w:rPr>
        <w:t> </w:t>
      </w:r>
      <w:r>
        <w:rPr/>
        <w:t>originarios</w:t>
      </w:r>
      <w:r>
        <w:rPr>
          <w:spacing w:val="-15"/>
        </w:rPr>
        <w:t> </w:t>
      </w:r>
      <w:r>
        <w:rPr/>
        <w:t>de</w:t>
      </w:r>
      <w:r>
        <w:rPr>
          <w:spacing w:val="-16"/>
        </w:rPr>
        <w:t> </w:t>
      </w:r>
      <w:r>
        <w:rPr/>
        <w:t>Asía</w:t>
      </w:r>
      <w:r>
        <w:rPr>
          <w:spacing w:val="-14"/>
        </w:rPr>
        <w:t> </w:t>
      </w:r>
      <w:r>
        <w:rPr/>
        <w:t>(Rees,</w:t>
      </w:r>
      <w:r>
        <w:rPr>
          <w:spacing w:val="-17"/>
        </w:rPr>
        <w:t> </w:t>
      </w:r>
      <w:r>
        <w:rPr/>
        <w:t>1992).</w:t>
      </w:r>
      <w:r>
        <w:rPr>
          <w:spacing w:val="-17"/>
        </w:rPr>
        <w:t> </w:t>
      </w:r>
      <w:r>
        <w:rPr/>
        <w:t>Actualmente</w:t>
      </w:r>
      <w:r>
        <w:rPr>
          <w:spacing w:val="-16"/>
        </w:rPr>
        <w:t> </w:t>
      </w:r>
      <w:r>
        <w:rPr/>
        <w:t>en</w:t>
      </w:r>
      <w:r>
        <w:rPr>
          <w:spacing w:val="-19"/>
        </w:rPr>
        <w:t> </w:t>
      </w:r>
      <w:r>
        <w:rPr/>
        <w:t>forma comercial, los lilis se clasifican de acuerdo a su grupo botánico, forma de la flor e inflorescencia y al calibre del bulbo en 4 grupos: híbridos asiáticos, híbridos orientales,</w:t>
      </w:r>
      <w:r>
        <w:rPr>
          <w:spacing w:val="-10"/>
        </w:rPr>
        <w:t> </w:t>
      </w:r>
      <w:r>
        <w:rPr>
          <w:i/>
        </w:rPr>
        <w:t>Lilium</w:t>
      </w:r>
      <w:r>
        <w:rPr>
          <w:i/>
          <w:spacing w:val="-13"/>
        </w:rPr>
        <w:t> </w:t>
      </w:r>
      <w:r>
        <w:rPr>
          <w:i/>
        </w:rPr>
        <w:t>speciosum</w:t>
      </w:r>
      <w:r>
        <w:rPr>
          <w:i/>
          <w:spacing w:val="-11"/>
        </w:rPr>
        <w:t> </w:t>
      </w:r>
      <w:r>
        <w:rPr/>
        <w:t>y</w:t>
      </w:r>
      <w:r>
        <w:rPr>
          <w:spacing w:val="-13"/>
        </w:rPr>
        <w:t> </w:t>
      </w:r>
      <w:r>
        <w:rPr>
          <w:i/>
        </w:rPr>
        <w:t>Lilium</w:t>
      </w:r>
      <w:r>
        <w:rPr>
          <w:i/>
          <w:spacing w:val="-13"/>
        </w:rPr>
        <w:t> </w:t>
      </w:r>
      <w:r>
        <w:rPr>
          <w:i/>
        </w:rPr>
        <w:t>longiflorum</w:t>
      </w:r>
      <w:r>
        <w:rPr>
          <w:i/>
          <w:spacing w:val="-13"/>
        </w:rPr>
        <w:t> </w:t>
      </w:r>
      <w:r>
        <w:rPr/>
        <w:t>(Bañón</w:t>
      </w:r>
      <w:r>
        <w:rPr>
          <w:spacing w:val="-9"/>
        </w:rPr>
        <w:t> </w:t>
      </w:r>
      <w:r>
        <w:rPr>
          <w:i/>
        </w:rPr>
        <w:t>et</w:t>
      </w:r>
      <w:r>
        <w:rPr>
          <w:i/>
          <w:spacing w:val="-10"/>
        </w:rPr>
        <w:t> </w:t>
      </w:r>
      <w:r>
        <w:rPr>
          <w:i/>
        </w:rPr>
        <w:t>al</w:t>
      </w:r>
      <w:r>
        <w:rPr/>
        <w:t>.,</w:t>
      </w:r>
      <w:r>
        <w:rPr>
          <w:spacing w:val="-10"/>
        </w:rPr>
        <w:t> </w:t>
      </w:r>
      <w:r>
        <w:rPr/>
        <w:t>1993).</w:t>
      </w:r>
      <w:r>
        <w:rPr>
          <w:spacing w:val="-10"/>
        </w:rPr>
        <w:t> </w:t>
      </w:r>
      <w:r>
        <w:rPr/>
        <w:t>Los</w:t>
      </w:r>
      <w:r>
        <w:rPr>
          <w:spacing w:val="-10"/>
        </w:rPr>
        <w:t> </w:t>
      </w:r>
      <w:r>
        <w:rPr/>
        <w:t>cultivares asiáticos presentan una floración temprana (8 a 10 semanas), flores verticales, resistentes</w:t>
      </w:r>
      <w:r>
        <w:rPr>
          <w:spacing w:val="-13"/>
        </w:rPr>
        <w:t> </w:t>
      </w:r>
      <w:r>
        <w:rPr/>
        <w:t>a</w:t>
      </w:r>
      <w:r>
        <w:rPr>
          <w:spacing w:val="-10"/>
        </w:rPr>
        <w:t> </w:t>
      </w:r>
      <w:r>
        <w:rPr/>
        <w:t>enfermedades</w:t>
      </w:r>
      <w:r>
        <w:rPr>
          <w:spacing w:val="-10"/>
        </w:rPr>
        <w:t> </w:t>
      </w:r>
      <w:r>
        <w:rPr/>
        <w:t>y</w:t>
      </w:r>
      <w:r>
        <w:rPr>
          <w:spacing w:val="-13"/>
        </w:rPr>
        <w:t> </w:t>
      </w:r>
      <w:r>
        <w:rPr/>
        <w:t>una</w:t>
      </w:r>
      <w:r>
        <w:rPr>
          <w:spacing w:val="-10"/>
        </w:rPr>
        <w:t> </w:t>
      </w:r>
      <w:r>
        <w:rPr/>
        <w:t>propagación</w:t>
      </w:r>
      <w:r>
        <w:rPr>
          <w:spacing w:val="-10"/>
        </w:rPr>
        <w:t> </w:t>
      </w:r>
      <w:r>
        <w:rPr/>
        <w:t>rápida</w:t>
      </w:r>
      <w:r>
        <w:rPr>
          <w:spacing w:val="-10"/>
        </w:rPr>
        <w:t> </w:t>
      </w:r>
      <w:r>
        <w:rPr/>
        <w:t>(Rees,</w:t>
      </w:r>
      <w:r>
        <w:rPr>
          <w:spacing w:val="-10"/>
        </w:rPr>
        <w:t> </w:t>
      </w:r>
      <w:r>
        <w:rPr/>
        <w:t>1992),</w:t>
      </w:r>
      <w:r>
        <w:rPr>
          <w:spacing w:val="-10"/>
        </w:rPr>
        <w:t> </w:t>
      </w:r>
      <w:r>
        <w:rPr/>
        <w:t>además</w:t>
      </w:r>
      <w:r>
        <w:rPr>
          <w:spacing w:val="-10"/>
        </w:rPr>
        <w:t> </w:t>
      </w:r>
      <w:r>
        <w:rPr/>
        <w:t>tienen flores con diversidad de colores, formas y épocas de floración, aunque no tienen fragancia, las hojas son sésiles, angostas y abundantes (Beattie &amp; White, 1993). Los</w:t>
      </w:r>
      <w:r>
        <w:rPr>
          <w:spacing w:val="-9"/>
        </w:rPr>
        <w:t> </w:t>
      </w:r>
      <w:r>
        <w:rPr/>
        <w:t>cultivares</w:t>
      </w:r>
      <w:r>
        <w:rPr>
          <w:spacing w:val="-9"/>
        </w:rPr>
        <w:t> </w:t>
      </w:r>
      <w:r>
        <w:rPr/>
        <w:t>orientales</w:t>
      </w:r>
      <w:r>
        <w:rPr>
          <w:spacing w:val="-9"/>
        </w:rPr>
        <w:t> </w:t>
      </w:r>
      <w:r>
        <w:rPr/>
        <w:t>tienen</w:t>
      </w:r>
      <w:r>
        <w:rPr>
          <w:spacing w:val="-10"/>
        </w:rPr>
        <w:t> </w:t>
      </w:r>
      <w:r>
        <w:rPr/>
        <w:t>flores</w:t>
      </w:r>
      <w:r>
        <w:rPr>
          <w:spacing w:val="-9"/>
        </w:rPr>
        <w:t> </w:t>
      </w:r>
      <w:r>
        <w:rPr/>
        <w:t>horizontales,</w:t>
      </w:r>
      <w:r>
        <w:rPr>
          <w:spacing w:val="-8"/>
        </w:rPr>
        <w:t> </w:t>
      </w:r>
      <w:r>
        <w:rPr/>
        <w:t>su</w:t>
      </w:r>
      <w:r>
        <w:rPr>
          <w:spacing w:val="-12"/>
        </w:rPr>
        <w:t> </w:t>
      </w:r>
      <w:r>
        <w:rPr/>
        <w:t>floración</w:t>
      </w:r>
      <w:r>
        <w:rPr>
          <w:spacing w:val="-8"/>
        </w:rPr>
        <w:t> </w:t>
      </w:r>
      <w:r>
        <w:rPr/>
        <w:t>se</w:t>
      </w:r>
      <w:r>
        <w:rPr>
          <w:spacing w:val="-10"/>
        </w:rPr>
        <w:t> </w:t>
      </w:r>
      <w:r>
        <w:rPr/>
        <w:t>presenta</w:t>
      </w:r>
      <w:r>
        <w:rPr>
          <w:spacing w:val="-8"/>
        </w:rPr>
        <w:t> </w:t>
      </w:r>
      <w:r>
        <w:rPr/>
        <w:t>a</w:t>
      </w:r>
      <w:r>
        <w:rPr>
          <w:spacing w:val="-10"/>
        </w:rPr>
        <w:t> </w:t>
      </w:r>
      <w:r>
        <w:rPr/>
        <w:t>las</w:t>
      </w:r>
      <w:r>
        <w:rPr>
          <w:spacing w:val="-10"/>
        </w:rPr>
        <w:t> </w:t>
      </w:r>
      <w:r>
        <w:rPr/>
        <w:t>14 a 16 semanas (Rees, 1992); presentan flores blancas o rosadas, fragantes y de mayor tamaño (Beattie &amp; White, 1993; Salinger,</w:t>
      </w:r>
      <w:r>
        <w:rPr>
          <w:spacing w:val="-25"/>
        </w:rPr>
        <w:t> </w:t>
      </w:r>
      <w:r>
        <w:rPr/>
        <w:t>1991).</w:t>
      </w:r>
    </w:p>
    <w:p>
      <w:pPr>
        <w:pStyle w:val="BodyText"/>
        <w:spacing w:line="480" w:lineRule="auto" w:before="202"/>
        <w:ind w:left="101" w:right="117"/>
        <w:jc w:val="both"/>
      </w:pPr>
      <w:r>
        <w:rPr>
          <w:i/>
        </w:rPr>
        <w:t>Lilium</w:t>
      </w:r>
      <w:r>
        <w:rPr>
          <w:i/>
          <w:spacing w:val="-15"/>
        </w:rPr>
        <w:t> </w:t>
      </w:r>
      <w:r>
        <w:rPr/>
        <w:t>presenta</w:t>
      </w:r>
      <w:r>
        <w:rPr>
          <w:spacing w:val="-11"/>
        </w:rPr>
        <w:t> </w:t>
      </w:r>
      <w:r>
        <w:rPr/>
        <w:t>dos</w:t>
      </w:r>
      <w:r>
        <w:rPr>
          <w:spacing w:val="-12"/>
        </w:rPr>
        <w:t> </w:t>
      </w:r>
      <w:r>
        <w:rPr/>
        <w:t>tipos</w:t>
      </w:r>
      <w:r>
        <w:rPr>
          <w:spacing w:val="-12"/>
        </w:rPr>
        <w:t> </w:t>
      </w:r>
      <w:r>
        <w:rPr/>
        <w:t>de</w:t>
      </w:r>
      <w:r>
        <w:rPr>
          <w:spacing w:val="-11"/>
        </w:rPr>
        <w:t> </w:t>
      </w:r>
      <w:r>
        <w:rPr/>
        <w:t>raíces,</w:t>
      </w:r>
      <w:r>
        <w:rPr>
          <w:spacing w:val="-11"/>
        </w:rPr>
        <w:t> </w:t>
      </w:r>
      <w:r>
        <w:rPr/>
        <w:t>las</w:t>
      </w:r>
      <w:r>
        <w:rPr>
          <w:spacing w:val="-12"/>
        </w:rPr>
        <w:t> </w:t>
      </w:r>
      <w:r>
        <w:rPr/>
        <w:t>raíces</w:t>
      </w:r>
      <w:r>
        <w:rPr>
          <w:spacing w:val="-12"/>
        </w:rPr>
        <w:t> </w:t>
      </w:r>
      <w:r>
        <w:rPr/>
        <w:t>basales</w:t>
      </w:r>
      <w:r>
        <w:rPr>
          <w:spacing w:val="-12"/>
        </w:rPr>
        <w:t> </w:t>
      </w:r>
      <w:r>
        <w:rPr/>
        <w:t>emergen</w:t>
      </w:r>
      <w:r>
        <w:rPr>
          <w:spacing w:val="-13"/>
        </w:rPr>
        <w:t> </w:t>
      </w:r>
      <w:r>
        <w:rPr/>
        <w:t>del</w:t>
      </w:r>
      <w:r>
        <w:rPr>
          <w:spacing w:val="-14"/>
        </w:rPr>
        <w:t> </w:t>
      </w:r>
      <w:r>
        <w:rPr/>
        <w:t>disco</w:t>
      </w:r>
      <w:r>
        <w:rPr>
          <w:spacing w:val="-11"/>
        </w:rPr>
        <w:t> </w:t>
      </w:r>
      <w:r>
        <w:rPr/>
        <w:t>basal,</w:t>
      </w:r>
      <w:r>
        <w:rPr>
          <w:spacing w:val="-11"/>
        </w:rPr>
        <w:t> </w:t>
      </w:r>
      <w:r>
        <w:rPr/>
        <w:t>son carnosa con tonalidades marrones que se obscurecen con el tiempo; tienen grosores de 2 a 3 mm de diámetro y longitud de hasta 15 a 20 cm y las raíces adventicias caulinares son abundantes, con un diámetro de 1 mm y alcanzan de 1 a</w:t>
      </w:r>
      <w:r>
        <w:rPr>
          <w:spacing w:val="-7"/>
        </w:rPr>
        <w:t> </w:t>
      </w:r>
      <w:r>
        <w:rPr/>
        <w:t>3</w:t>
      </w:r>
      <w:r>
        <w:rPr>
          <w:spacing w:val="-9"/>
        </w:rPr>
        <w:t> </w:t>
      </w:r>
      <w:r>
        <w:rPr/>
        <w:t>cm</w:t>
      </w:r>
      <w:r>
        <w:rPr>
          <w:spacing w:val="-8"/>
        </w:rPr>
        <w:t> </w:t>
      </w:r>
      <w:r>
        <w:rPr/>
        <w:t>de</w:t>
      </w:r>
      <w:r>
        <w:rPr>
          <w:spacing w:val="-9"/>
        </w:rPr>
        <w:t> </w:t>
      </w:r>
      <w:r>
        <w:rPr/>
        <w:t>largo,</w:t>
      </w:r>
      <w:r>
        <w:rPr>
          <w:spacing w:val="-7"/>
        </w:rPr>
        <w:t> </w:t>
      </w:r>
      <w:r>
        <w:rPr/>
        <w:t>color</w:t>
      </w:r>
      <w:r>
        <w:rPr>
          <w:spacing w:val="-10"/>
        </w:rPr>
        <w:t> </w:t>
      </w:r>
      <w:r>
        <w:rPr/>
        <w:t>blanco</w:t>
      </w:r>
      <w:r>
        <w:rPr>
          <w:spacing w:val="-9"/>
        </w:rPr>
        <w:t> </w:t>
      </w:r>
      <w:r>
        <w:rPr/>
        <w:t>halino,</w:t>
      </w:r>
      <w:r>
        <w:rPr>
          <w:spacing w:val="-10"/>
        </w:rPr>
        <w:t> </w:t>
      </w:r>
      <w:r>
        <w:rPr/>
        <w:t>tienen</w:t>
      </w:r>
      <w:r>
        <w:rPr>
          <w:spacing w:val="-7"/>
        </w:rPr>
        <w:t> </w:t>
      </w:r>
      <w:r>
        <w:rPr/>
        <w:t>como</w:t>
      </w:r>
      <w:r>
        <w:rPr>
          <w:spacing w:val="-11"/>
        </w:rPr>
        <w:t> </w:t>
      </w:r>
      <w:r>
        <w:rPr/>
        <w:t>función</w:t>
      </w:r>
      <w:r>
        <w:rPr>
          <w:spacing w:val="-9"/>
        </w:rPr>
        <w:t> </w:t>
      </w:r>
      <w:r>
        <w:rPr/>
        <w:t>captar</w:t>
      </w:r>
      <w:r>
        <w:rPr>
          <w:spacing w:val="-10"/>
        </w:rPr>
        <w:t> </w:t>
      </w:r>
      <w:r>
        <w:rPr/>
        <w:t>agua</w:t>
      </w:r>
      <w:r>
        <w:rPr>
          <w:spacing w:val="-7"/>
        </w:rPr>
        <w:t> </w:t>
      </w:r>
      <w:r>
        <w:rPr/>
        <w:t>y</w:t>
      </w:r>
      <w:r>
        <w:rPr>
          <w:spacing w:val="-10"/>
        </w:rPr>
        <w:t> </w:t>
      </w:r>
      <w:r>
        <w:rPr/>
        <w:t>nutrimentos para la planta (Bañón </w:t>
      </w:r>
      <w:r>
        <w:rPr>
          <w:i/>
        </w:rPr>
        <w:t>et al</w:t>
      </w:r>
      <w:r>
        <w:rPr/>
        <w:t>.,</w:t>
      </w:r>
      <w:r>
        <w:rPr>
          <w:spacing w:val="-16"/>
        </w:rPr>
        <w:t> </w:t>
      </w:r>
      <w:r>
        <w:rPr/>
        <w:t>1993).</w:t>
      </w:r>
    </w:p>
    <w:p>
      <w:pPr>
        <w:spacing w:after="0" w:line="480" w:lineRule="auto"/>
        <w:jc w:val="both"/>
        <w:sectPr>
          <w:pgSz w:w="12240" w:h="15840"/>
          <w:pgMar w:header="0" w:footer="1005" w:top="1360" w:bottom="1200" w:left="1600" w:right="1580"/>
        </w:sectPr>
      </w:pPr>
    </w:p>
    <w:p>
      <w:pPr>
        <w:pStyle w:val="BodyText"/>
        <w:spacing w:line="480" w:lineRule="auto" w:before="51"/>
        <w:ind w:left="101" w:right="117"/>
        <w:jc w:val="both"/>
      </w:pPr>
      <w:r>
        <w:rPr/>
        <w:t>El tallo aéreo surge desde un disco basal situado en el interior del bulbo, erecto, simple</w:t>
      </w:r>
      <w:r>
        <w:rPr>
          <w:spacing w:val="-16"/>
        </w:rPr>
        <w:t> </w:t>
      </w:r>
      <w:r>
        <w:rPr/>
        <w:t>y</w:t>
      </w:r>
      <w:r>
        <w:rPr>
          <w:spacing w:val="-20"/>
        </w:rPr>
        <w:t> </w:t>
      </w:r>
      <w:r>
        <w:rPr/>
        <w:t>cilíndrico,</w:t>
      </w:r>
      <w:r>
        <w:rPr>
          <w:spacing w:val="-17"/>
        </w:rPr>
        <w:t> </w:t>
      </w:r>
      <w:r>
        <w:rPr/>
        <w:t>con</w:t>
      </w:r>
      <w:r>
        <w:rPr>
          <w:spacing w:val="-21"/>
        </w:rPr>
        <w:t> </w:t>
      </w:r>
      <w:r>
        <w:rPr/>
        <w:t>grosores</w:t>
      </w:r>
      <w:r>
        <w:rPr>
          <w:spacing w:val="-17"/>
        </w:rPr>
        <w:t> </w:t>
      </w:r>
      <w:r>
        <w:rPr/>
        <w:t>entre</w:t>
      </w:r>
      <w:r>
        <w:rPr>
          <w:spacing w:val="-19"/>
        </w:rPr>
        <w:t> </w:t>
      </w:r>
      <w:r>
        <w:rPr/>
        <w:t>1</w:t>
      </w:r>
      <w:r>
        <w:rPr>
          <w:spacing w:val="-16"/>
        </w:rPr>
        <w:t> </w:t>
      </w:r>
      <w:r>
        <w:rPr/>
        <w:t>y</w:t>
      </w:r>
      <w:r>
        <w:rPr>
          <w:spacing w:val="-20"/>
        </w:rPr>
        <w:t> </w:t>
      </w:r>
      <w:r>
        <w:rPr/>
        <w:t>2</w:t>
      </w:r>
      <w:r>
        <w:rPr>
          <w:spacing w:val="-16"/>
        </w:rPr>
        <w:t> </w:t>
      </w:r>
      <w:r>
        <w:rPr/>
        <w:t>cm</w:t>
      </w:r>
      <w:r>
        <w:rPr>
          <w:spacing w:val="-18"/>
        </w:rPr>
        <w:t> </w:t>
      </w:r>
      <w:r>
        <w:rPr/>
        <w:t>de</w:t>
      </w:r>
      <w:r>
        <w:rPr>
          <w:spacing w:val="-19"/>
        </w:rPr>
        <w:t> </w:t>
      </w:r>
      <w:r>
        <w:rPr/>
        <w:t>diámetro,</w:t>
      </w:r>
      <w:r>
        <w:rPr>
          <w:spacing w:val="-17"/>
        </w:rPr>
        <w:t> </w:t>
      </w:r>
      <w:r>
        <w:rPr/>
        <w:t>pigmentado,</w:t>
      </w:r>
      <w:r>
        <w:rPr>
          <w:spacing w:val="-17"/>
        </w:rPr>
        <w:t> </w:t>
      </w:r>
      <w:r>
        <w:rPr/>
        <w:t>color</w:t>
      </w:r>
      <w:r>
        <w:rPr>
          <w:spacing w:val="-18"/>
        </w:rPr>
        <w:t> </w:t>
      </w:r>
      <w:r>
        <w:rPr/>
        <w:t>verde oscuro (Salinger, 1991; Bañón </w:t>
      </w:r>
      <w:r>
        <w:rPr>
          <w:i/>
        </w:rPr>
        <w:t>et al</w:t>
      </w:r>
      <w:r>
        <w:rPr/>
        <w:t>., 1993). Las hojas se distribuyen en el tallo en forma alterna. Son lanceoladas u ovalo-lanceoladas, con dimensiones variables de 10 a 15 cm de largo y con anchos de 1 a 3 cm, pueden ser verticiladas, sésiles. Paralelinervias</w:t>
      </w:r>
      <w:r>
        <w:rPr>
          <w:spacing w:val="-11"/>
        </w:rPr>
        <w:t> </w:t>
      </w:r>
      <w:r>
        <w:rPr/>
        <w:t>en</w:t>
      </w:r>
      <w:r>
        <w:rPr>
          <w:spacing w:val="-13"/>
        </w:rPr>
        <w:t> </w:t>
      </w:r>
      <w:r>
        <w:rPr/>
        <w:t>el</w:t>
      </w:r>
      <w:r>
        <w:rPr>
          <w:spacing w:val="-12"/>
        </w:rPr>
        <w:t> </w:t>
      </w:r>
      <w:r>
        <w:rPr/>
        <w:t>sentido</w:t>
      </w:r>
      <w:r>
        <w:rPr>
          <w:spacing w:val="-10"/>
        </w:rPr>
        <w:t> </w:t>
      </w:r>
      <w:r>
        <w:rPr/>
        <w:t>de</w:t>
      </w:r>
      <w:r>
        <w:rPr>
          <w:spacing w:val="-10"/>
        </w:rPr>
        <w:t> </w:t>
      </w:r>
      <w:r>
        <w:rPr/>
        <w:t>su</w:t>
      </w:r>
      <w:r>
        <w:rPr>
          <w:spacing w:val="-13"/>
        </w:rPr>
        <w:t> </w:t>
      </w:r>
      <w:r>
        <w:rPr/>
        <w:t>eje</w:t>
      </w:r>
      <w:r>
        <w:rPr>
          <w:spacing w:val="-10"/>
        </w:rPr>
        <w:t> </w:t>
      </w:r>
      <w:r>
        <w:rPr/>
        <w:t>longitudinal,</w:t>
      </w:r>
      <w:r>
        <w:rPr>
          <w:spacing w:val="-11"/>
        </w:rPr>
        <w:t> </w:t>
      </w:r>
      <w:r>
        <w:rPr/>
        <w:t>color</w:t>
      </w:r>
      <w:r>
        <w:rPr>
          <w:spacing w:val="-12"/>
        </w:rPr>
        <w:t> </w:t>
      </w:r>
      <w:r>
        <w:rPr/>
        <w:t>verde</w:t>
      </w:r>
      <w:r>
        <w:rPr>
          <w:spacing w:val="-10"/>
        </w:rPr>
        <w:t> </w:t>
      </w:r>
      <w:r>
        <w:rPr/>
        <w:t>intenso</w:t>
      </w:r>
      <w:r>
        <w:rPr>
          <w:spacing w:val="-10"/>
        </w:rPr>
        <w:t> </w:t>
      </w:r>
      <w:r>
        <w:rPr/>
        <w:t>(Rees,</w:t>
      </w:r>
      <w:r>
        <w:rPr>
          <w:spacing w:val="-13"/>
        </w:rPr>
        <w:t> </w:t>
      </w:r>
      <w:r>
        <w:rPr/>
        <w:t>1992; Bañón </w:t>
      </w:r>
      <w:r>
        <w:rPr>
          <w:i/>
        </w:rPr>
        <w:t>et al</w:t>
      </w:r>
      <w:r>
        <w:rPr/>
        <w:t>.,</w:t>
      </w:r>
      <w:r>
        <w:rPr>
          <w:spacing w:val="-9"/>
        </w:rPr>
        <w:t> </w:t>
      </w:r>
      <w:r>
        <w:rPr/>
        <w:t>1993).</w:t>
      </w:r>
    </w:p>
    <w:p>
      <w:pPr>
        <w:pStyle w:val="BodyText"/>
        <w:spacing w:line="480" w:lineRule="auto" w:before="209"/>
        <w:ind w:left="101" w:right="117"/>
        <w:jc w:val="both"/>
      </w:pPr>
      <w:r>
        <w:rPr/>
        <w:t>Las flores se sitúan en el extremo del tallo, son grandes; sus sépalos y pétalos constituyen</w:t>
      </w:r>
      <w:r>
        <w:rPr>
          <w:spacing w:val="-14"/>
        </w:rPr>
        <w:t> </w:t>
      </w:r>
      <w:r>
        <w:rPr/>
        <w:t>un</w:t>
      </w:r>
      <w:r>
        <w:rPr>
          <w:spacing w:val="-14"/>
        </w:rPr>
        <w:t> </w:t>
      </w:r>
      <w:r>
        <w:rPr/>
        <w:t>perianto</w:t>
      </w:r>
      <w:r>
        <w:rPr>
          <w:spacing w:val="-14"/>
        </w:rPr>
        <w:t> </w:t>
      </w:r>
      <w:r>
        <w:rPr/>
        <w:t>de</w:t>
      </w:r>
      <w:r>
        <w:rPr>
          <w:spacing w:val="-14"/>
        </w:rPr>
        <w:t> </w:t>
      </w:r>
      <w:r>
        <w:rPr/>
        <w:t>seis</w:t>
      </w:r>
      <w:r>
        <w:rPr>
          <w:spacing w:val="-15"/>
        </w:rPr>
        <w:t> </w:t>
      </w:r>
      <w:r>
        <w:rPr/>
        <w:t>tépalos</w:t>
      </w:r>
      <w:r>
        <w:rPr>
          <w:spacing w:val="-15"/>
        </w:rPr>
        <w:t> </w:t>
      </w:r>
      <w:r>
        <w:rPr/>
        <w:t>de</w:t>
      </w:r>
      <w:r>
        <w:rPr>
          <w:spacing w:val="-14"/>
        </w:rPr>
        <w:t> </w:t>
      </w:r>
      <w:r>
        <w:rPr/>
        <w:t>gran</w:t>
      </w:r>
      <w:r>
        <w:rPr>
          <w:spacing w:val="-14"/>
        </w:rPr>
        <w:t> </w:t>
      </w:r>
      <w:r>
        <w:rPr/>
        <w:t>número</w:t>
      </w:r>
      <w:r>
        <w:rPr>
          <w:spacing w:val="-14"/>
        </w:rPr>
        <w:t> </w:t>
      </w:r>
      <w:r>
        <w:rPr/>
        <w:t>de</w:t>
      </w:r>
      <w:r>
        <w:rPr>
          <w:spacing w:val="-14"/>
        </w:rPr>
        <w:t> </w:t>
      </w:r>
      <w:r>
        <w:rPr/>
        <w:t>colores</w:t>
      </w:r>
      <w:r>
        <w:rPr>
          <w:spacing w:val="-15"/>
        </w:rPr>
        <w:t> </w:t>
      </w:r>
      <w:r>
        <w:rPr/>
        <w:t>(excepto</w:t>
      </w:r>
      <w:r>
        <w:rPr>
          <w:spacing w:val="-14"/>
        </w:rPr>
        <w:t> </w:t>
      </w:r>
      <w:r>
        <w:rPr/>
        <w:t>el</w:t>
      </w:r>
      <w:r>
        <w:rPr>
          <w:spacing w:val="-15"/>
        </w:rPr>
        <w:t> </w:t>
      </w:r>
      <w:r>
        <w:rPr/>
        <w:t>azul), dan la apariencia de trompeta, turbante o cáliz. Se disponen solitarias o agrupadas en inflorescencias en racimos y corimbos, mostrándose erguidas o péndulas. Ciertas variedades poseen flores delicadamente perfumadas (Bañón </w:t>
      </w:r>
      <w:r>
        <w:rPr>
          <w:i/>
        </w:rPr>
        <w:t>et al</w:t>
      </w:r>
      <w:r>
        <w:rPr/>
        <w:t>., 1993; Miller,</w:t>
      </w:r>
      <w:r>
        <w:rPr>
          <w:spacing w:val="-14"/>
        </w:rPr>
        <w:t> </w:t>
      </w:r>
      <w:r>
        <w:rPr/>
        <w:t>1993;</w:t>
      </w:r>
      <w:r>
        <w:rPr>
          <w:spacing w:val="-21"/>
        </w:rPr>
        <w:t> </w:t>
      </w:r>
      <w:r>
        <w:rPr/>
        <w:t>Wilkins</w:t>
      </w:r>
      <w:r>
        <w:rPr>
          <w:spacing w:val="-17"/>
        </w:rPr>
        <w:t> </w:t>
      </w:r>
      <w:r>
        <w:rPr/>
        <w:t>&amp;</w:t>
      </w:r>
      <w:r>
        <w:rPr>
          <w:spacing w:val="-19"/>
        </w:rPr>
        <w:t> </w:t>
      </w:r>
      <w:r>
        <w:rPr/>
        <w:t>Dole,</w:t>
      </w:r>
      <w:r>
        <w:rPr>
          <w:spacing w:val="-14"/>
        </w:rPr>
        <w:t> </w:t>
      </w:r>
      <w:r>
        <w:rPr/>
        <w:t>1997).</w:t>
      </w:r>
      <w:r>
        <w:rPr>
          <w:spacing w:val="-14"/>
        </w:rPr>
        <w:t> </w:t>
      </w:r>
      <w:r>
        <w:rPr/>
        <w:t>El</w:t>
      </w:r>
      <w:r>
        <w:rPr>
          <w:spacing w:val="-20"/>
        </w:rPr>
        <w:t> </w:t>
      </w:r>
      <w:r>
        <w:rPr/>
        <w:t>fruto</w:t>
      </w:r>
      <w:r>
        <w:rPr>
          <w:spacing w:val="-14"/>
        </w:rPr>
        <w:t> </w:t>
      </w:r>
      <w:r>
        <w:rPr/>
        <w:t>es</w:t>
      </w:r>
      <w:r>
        <w:rPr>
          <w:spacing w:val="-17"/>
        </w:rPr>
        <w:t> </w:t>
      </w:r>
      <w:r>
        <w:rPr/>
        <w:t>una</w:t>
      </w:r>
      <w:r>
        <w:rPr>
          <w:spacing w:val="-14"/>
        </w:rPr>
        <w:t> </w:t>
      </w:r>
      <w:r>
        <w:rPr/>
        <w:t>capsula</w:t>
      </w:r>
      <w:r>
        <w:rPr>
          <w:spacing w:val="-14"/>
        </w:rPr>
        <w:t> </w:t>
      </w:r>
      <w:r>
        <w:rPr/>
        <w:t>trilocular</w:t>
      </w:r>
      <w:r>
        <w:rPr>
          <w:spacing w:val="-20"/>
        </w:rPr>
        <w:t> </w:t>
      </w:r>
      <w:r>
        <w:rPr/>
        <w:t>con</w:t>
      </w:r>
      <w:r>
        <w:rPr>
          <w:spacing w:val="-16"/>
        </w:rPr>
        <w:t> </w:t>
      </w:r>
      <w:r>
        <w:rPr/>
        <w:t>dehiscencia loculicida independiente y está provista de numerosas semillas, generalmente alrededor de 200 (Bañón </w:t>
      </w:r>
      <w:r>
        <w:rPr>
          <w:i/>
        </w:rPr>
        <w:t>et al</w:t>
      </w:r>
      <w:r>
        <w:rPr/>
        <w:t>.,</w:t>
      </w:r>
      <w:r>
        <w:rPr>
          <w:spacing w:val="-19"/>
        </w:rPr>
        <w:t> </w:t>
      </w:r>
      <w:r>
        <w:rPr/>
        <w:t>1993).</w:t>
      </w:r>
    </w:p>
    <w:p>
      <w:pPr>
        <w:pStyle w:val="BodyText"/>
        <w:spacing w:line="480" w:lineRule="auto" w:before="209"/>
        <w:ind w:left="101" w:right="117"/>
        <w:jc w:val="both"/>
      </w:pPr>
      <w:r>
        <w:rPr/>
        <w:t>El bulbo, desprovisto de túnica, es de forma redonda agudizada por su parte distal, y está formado por una serie de hojas modificadas, escamas triangulares carnosas de</w:t>
      </w:r>
      <w:r>
        <w:rPr>
          <w:spacing w:val="-4"/>
        </w:rPr>
        <w:t> </w:t>
      </w:r>
      <w:r>
        <w:rPr/>
        <w:t>color</w:t>
      </w:r>
      <w:r>
        <w:rPr>
          <w:spacing w:val="-6"/>
        </w:rPr>
        <w:t> </w:t>
      </w:r>
      <w:r>
        <w:rPr/>
        <w:t>blanco,</w:t>
      </w:r>
      <w:r>
        <w:rPr>
          <w:spacing w:val="-5"/>
        </w:rPr>
        <w:t> </w:t>
      </w:r>
      <w:r>
        <w:rPr/>
        <w:t>rosado</w:t>
      </w:r>
      <w:r>
        <w:rPr>
          <w:spacing w:val="-4"/>
        </w:rPr>
        <w:t> </w:t>
      </w:r>
      <w:r>
        <w:rPr/>
        <w:t>o</w:t>
      </w:r>
      <w:r>
        <w:rPr>
          <w:spacing w:val="-4"/>
        </w:rPr>
        <w:t> </w:t>
      </w:r>
      <w:r>
        <w:rPr/>
        <w:t>pardo</w:t>
      </w:r>
      <w:r>
        <w:rPr>
          <w:spacing w:val="-4"/>
        </w:rPr>
        <w:t> </w:t>
      </w:r>
      <w:r>
        <w:rPr/>
        <w:t>que</w:t>
      </w:r>
      <w:r>
        <w:rPr>
          <w:spacing w:val="-4"/>
        </w:rPr>
        <w:t> </w:t>
      </w:r>
      <w:r>
        <w:rPr/>
        <w:t>almacenan</w:t>
      </w:r>
      <w:r>
        <w:rPr>
          <w:spacing w:val="-4"/>
        </w:rPr>
        <w:t> </w:t>
      </w:r>
      <w:r>
        <w:rPr/>
        <w:t>las</w:t>
      </w:r>
      <w:r>
        <w:rPr>
          <w:spacing w:val="-5"/>
        </w:rPr>
        <w:t> </w:t>
      </w:r>
      <w:r>
        <w:rPr/>
        <w:t>sustancias</w:t>
      </w:r>
      <w:r>
        <w:rPr>
          <w:spacing w:val="-5"/>
        </w:rPr>
        <w:t> </w:t>
      </w:r>
      <w:r>
        <w:rPr/>
        <w:t>de</w:t>
      </w:r>
      <w:r>
        <w:rPr>
          <w:spacing w:val="-4"/>
        </w:rPr>
        <w:t> </w:t>
      </w:r>
      <w:r>
        <w:rPr/>
        <w:t>reserva.</w:t>
      </w:r>
      <w:r>
        <w:rPr>
          <w:spacing w:val="-5"/>
        </w:rPr>
        <w:t> </w:t>
      </w:r>
      <w:r>
        <w:rPr/>
        <w:t>El</w:t>
      </w:r>
      <w:r>
        <w:rPr>
          <w:spacing w:val="-6"/>
        </w:rPr>
        <w:t> </w:t>
      </w:r>
      <w:r>
        <w:rPr/>
        <w:t>bulbo es la fuente de energía para el crecimiento de brotes y raíces (Bañón </w:t>
      </w:r>
      <w:r>
        <w:rPr>
          <w:i/>
        </w:rPr>
        <w:t>et al</w:t>
      </w:r>
      <w:r>
        <w:rPr/>
        <w:t>., 1993; Miller,</w:t>
      </w:r>
      <w:r>
        <w:rPr>
          <w:spacing w:val="-12"/>
        </w:rPr>
        <w:t> </w:t>
      </w:r>
      <w:r>
        <w:rPr/>
        <w:t>1993).</w:t>
      </w:r>
      <w:r>
        <w:rPr>
          <w:spacing w:val="-14"/>
        </w:rPr>
        <w:t> </w:t>
      </w:r>
      <w:r>
        <w:rPr/>
        <w:t>En</w:t>
      </w:r>
      <w:r>
        <w:rPr>
          <w:spacing w:val="-14"/>
        </w:rPr>
        <w:t> </w:t>
      </w:r>
      <w:r>
        <w:rPr/>
        <w:t>las</w:t>
      </w:r>
      <w:r>
        <w:rPr>
          <w:spacing w:val="-15"/>
        </w:rPr>
        <w:t> </w:t>
      </w:r>
      <w:r>
        <w:rPr/>
        <w:t>axilas</w:t>
      </w:r>
      <w:r>
        <w:rPr>
          <w:spacing w:val="-13"/>
        </w:rPr>
        <w:t> </w:t>
      </w:r>
      <w:r>
        <w:rPr/>
        <w:t>de</w:t>
      </w:r>
      <w:r>
        <w:rPr>
          <w:spacing w:val="-14"/>
        </w:rPr>
        <w:t> </w:t>
      </w:r>
      <w:r>
        <w:rPr/>
        <w:t>las</w:t>
      </w:r>
      <w:r>
        <w:rPr>
          <w:spacing w:val="-15"/>
        </w:rPr>
        <w:t> </w:t>
      </w:r>
      <w:r>
        <w:rPr/>
        <w:t>hojas</w:t>
      </w:r>
      <w:r>
        <w:rPr>
          <w:spacing w:val="-15"/>
        </w:rPr>
        <w:t> </w:t>
      </w:r>
      <w:r>
        <w:rPr/>
        <w:t>de</w:t>
      </w:r>
      <w:r>
        <w:rPr>
          <w:spacing w:val="-12"/>
        </w:rPr>
        <w:t> </w:t>
      </w:r>
      <w:r>
        <w:rPr/>
        <w:t>ciertos</w:t>
      </w:r>
      <w:r>
        <w:rPr>
          <w:spacing w:val="-13"/>
        </w:rPr>
        <w:t> </w:t>
      </w:r>
      <w:r>
        <w:rPr>
          <w:i/>
        </w:rPr>
        <w:t>Lilium</w:t>
      </w:r>
      <w:r>
        <w:rPr/>
        <w:t>,</w:t>
      </w:r>
      <w:r>
        <w:rPr>
          <w:spacing w:val="-12"/>
        </w:rPr>
        <w:t> </w:t>
      </w:r>
      <w:r>
        <w:rPr/>
        <w:t>como</w:t>
      </w:r>
      <w:r>
        <w:rPr>
          <w:spacing w:val="-14"/>
        </w:rPr>
        <w:t> </w:t>
      </w:r>
      <w:r>
        <w:rPr/>
        <w:t>en</w:t>
      </w:r>
      <w:r>
        <w:rPr>
          <w:spacing w:val="-14"/>
        </w:rPr>
        <w:t> </w:t>
      </w:r>
      <w:r>
        <w:rPr>
          <w:i/>
        </w:rPr>
        <w:t>L.</w:t>
      </w:r>
      <w:r>
        <w:rPr>
          <w:i/>
          <w:spacing w:val="-17"/>
        </w:rPr>
        <w:t> </w:t>
      </w:r>
      <w:r>
        <w:rPr>
          <w:i/>
        </w:rPr>
        <w:t>bubliferum</w:t>
      </w:r>
      <w:r>
        <w:rPr/>
        <w:t>,</w:t>
      </w:r>
      <w:r>
        <w:rPr>
          <w:spacing w:val="-12"/>
        </w:rPr>
        <w:t> </w:t>
      </w:r>
      <w:r>
        <w:rPr/>
        <w:t>que al tener las flores estériles y no producir semillas, se producen bulbillos de tipo epigeo (Salinger, 1991; Bañón </w:t>
      </w:r>
      <w:r>
        <w:rPr>
          <w:i/>
        </w:rPr>
        <w:t>et al</w:t>
      </w:r>
      <w:r>
        <w:rPr/>
        <w:t>.,</w:t>
      </w:r>
      <w:r>
        <w:rPr>
          <w:spacing w:val="-23"/>
        </w:rPr>
        <w:t> </w:t>
      </w:r>
      <w:r>
        <w:rPr/>
        <w:t>1993).</w:t>
      </w:r>
    </w:p>
    <w:p>
      <w:pPr>
        <w:spacing w:after="0" w:line="480" w:lineRule="auto"/>
        <w:jc w:val="both"/>
        <w:sectPr>
          <w:pgSz w:w="12240" w:h="15840"/>
          <w:pgMar w:header="0" w:footer="1005" w:top="1360" w:bottom="1200" w:left="1600" w:right="1580"/>
        </w:sectPr>
      </w:pPr>
    </w:p>
    <w:p>
      <w:pPr>
        <w:pStyle w:val="Heading1"/>
        <w:numPr>
          <w:ilvl w:val="1"/>
          <w:numId w:val="6"/>
        </w:numPr>
        <w:tabs>
          <w:tab w:pos="772" w:val="left" w:leader="none"/>
        </w:tabs>
        <w:spacing w:line="240" w:lineRule="auto" w:before="54" w:after="0"/>
        <w:ind w:left="771" w:right="0" w:hanging="468"/>
        <w:jc w:val="left"/>
      </w:pPr>
      <w:r>
        <w:rPr/>
        <w:t>Necesidades climáticas y</w:t>
      </w:r>
      <w:r>
        <w:rPr>
          <w:spacing w:val="-19"/>
        </w:rPr>
        <w:t> </w:t>
      </w:r>
      <w:r>
        <w:rPr/>
        <w:t>edáficas</w:t>
      </w:r>
    </w:p>
    <w:p>
      <w:pPr>
        <w:pStyle w:val="BodyText"/>
        <w:rPr>
          <w:b/>
        </w:rPr>
      </w:pPr>
    </w:p>
    <w:p>
      <w:pPr>
        <w:pStyle w:val="BodyText"/>
        <w:rPr>
          <w:b/>
        </w:rPr>
      </w:pPr>
    </w:p>
    <w:p>
      <w:pPr>
        <w:pStyle w:val="BodyText"/>
        <w:rPr>
          <w:b/>
        </w:rPr>
      </w:pPr>
    </w:p>
    <w:p>
      <w:pPr>
        <w:pStyle w:val="BodyText"/>
        <w:spacing w:before="9"/>
        <w:rPr>
          <w:b/>
          <w:sz w:val="34"/>
        </w:rPr>
      </w:pPr>
    </w:p>
    <w:p>
      <w:pPr>
        <w:pStyle w:val="Heading1"/>
        <w:numPr>
          <w:ilvl w:val="2"/>
          <w:numId w:val="6"/>
        </w:numPr>
        <w:tabs>
          <w:tab w:pos="1480" w:val="left" w:leader="none"/>
        </w:tabs>
        <w:spacing w:line="240" w:lineRule="auto" w:before="1" w:after="0"/>
        <w:ind w:left="1479" w:right="0" w:hanging="670"/>
        <w:jc w:val="left"/>
      </w:pPr>
      <w:bookmarkStart w:name="_TOC_250035" w:id="4"/>
      <w:bookmarkEnd w:id="4"/>
      <w:r>
        <w:rPr/>
        <w:t>Luz</w:t>
      </w:r>
    </w:p>
    <w:p>
      <w:pPr>
        <w:pStyle w:val="BodyText"/>
        <w:rPr>
          <w:b/>
        </w:rPr>
      </w:pPr>
    </w:p>
    <w:p>
      <w:pPr>
        <w:pStyle w:val="BodyText"/>
        <w:spacing w:line="480" w:lineRule="auto" w:before="194"/>
        <w:ind w:left="101" w:right="117"/>
        <w:jc w:val="both"/>
      </w:pPr>
      <w:r>
        <w:rPr/>
        <w:t>La planta de </w:t>
      </w:r>
      <w:r>
        <w:rPr>
          <w:i/>
        </w:rPr>
        <w:t>Lilium </w:t>
      </w:r>
      <w:r>
        <w:rPr/>
        <w:t>necesita “días largos”, de 12 a 16 horas de luz diarias. Cuando no se cumple con esta condición aunado a la presencia de elevadas temperaturas, disminuye el rendimiento y la calidad de la flor (Durieux </w:t>
      </w:r>
      <w:r>
        <w:rPr>
          <w:i/>
        </w:rPr>
        <w:t>et al</w:t>
      </w:r>
      <w:r>
        <w:rPr/>
        <w:t>., 1982; Pergola &amp; Grassoti,</w:t>
      </w:r>
      <w:r>
        <w:rPr>
          <w:spacing w:val="-10"/>
        </w:rPr>
        <w:t> </w:t>
      </w:r>
      <w:r>
        <w:rPr/>
        <w:t>1984),</w:t>
      </w:r>
      <w:r>
        <w:rPr>
          <w:spacing w:val="-10"/>
        </w:rPr>
        <w:t> </w:t>
      </w:r>
      <w:r>
        <w:rPr/>
        <w:t>al</w:t>
      </w:r>
      <w:r>
        <w:rPr>
          <w:spacing w:val="-11"/>
        </w:rPr>
        <w:t> </w:t>
      </w:r>
      <w:r>
        <w:rPr/>
        <w:t>presentarse</w:t>
      </w:r>
      <w:r>
        <w:rPr>
          <w:spacing w:val="-12"/>
        </w:rPr>
        <w:t> </w:t>
      </w:r>
      <w:r>
        <w:rPr/>
        <w:t>la</w:t>
      </w:r>
      <w:r>
        <w:rPr>
          <w:spacing w:val="-9"/>
        </w:rPr>
        <w:t> </w:t>
      </w:r>
      <w:r>
        <w:rPr/>
        <w:t>abscisión</w:t>
      </w:r>
      <w:r>
        <w:rPr>
          <w:spacing w:val="-9"/>
        </w:rPr>
        <w:t> </w:t>
      </w:r>
      <w:r>
        <w:rPr/>
        <w:t>y</w:t>
      </w:r>
      <w:r>
        <w:rPr>
          <w:spacing w:val="-13"/>
        </w:rPr>
        <w:t> </w:t>
      </w:r>
      <w:r>
        <w:rPr/>
        <w:t>el</w:t>
      </w:r>
      <w:r>
        <w:rPr>
          <w:spacing w:val="-11"/>
        </w:rPr>
        <w:t> </w:t>
      </w:r>
      <w:r>
        <w:rPr/>
        <w:t>aborto</w:t>
      </w:r>
      <w:r>
        <w:rPr>
          <w:spacing w:val="-12"/>
        </w:rPr>
        <w:t> </w:t>
      </w:r>
      <w:r>
        <w:rPr/>
        <w:t>del</w:t>
      </w:r>
      <w:r>
        <w:rPr>
          <w:spacing w:val="-11"/>
        </w:rPr>
        <w:t> </w:t>
      </w:r>
      <w:r>
        <w:rPr/>
        <w:t>botón</w:t>
      </w:r>
      <w:r>
        <w:rPr>
          <w:spacing w:val="-12"/>
        </w:rPr>
        <w:t> </w:t>
      </w:r>
      <w:r>
        <w:rPr/>
        <w:t>floral</w:t>
      </w:r>
      <w:r>
        <w:rPr>
          <w:spacing w:val="-11"/>
        </w:rPr>
        <w:t> </w:t>
      </w:r>
      <w:r>
        <w:rPr/>
        <w:t>(Bañón</w:t>
      </w:r>
      <w:r>
        <w:rPr>
          <w:spacing w:val="-9"/>
        </w:rPr>
        <w:t> </w:t>
      </w:r>
      <w:r>
        <w:rPr>
          <w:i/>
        </w:rPr>
        <w:t>et</w:t>
      </w:r>
      <w:r>
        <w:rPr>
          <w:i/>
          <w:spacing w:val="-10"/>
        </w:rPr>
        <w:t> </w:t>
      </w:r>
      <w:r>
        <w:rPr>
          <w:i/>
        </w:rPr>
        <w:t>al</w:t>
      </w:r>
      <w:r>
        <w:rPr/>
        <w:t>., 1993).</w:t>
      </w:r>
    </w:p>
    <w:p>
      <w:pPr>
        <w:pStyle w:val="BodyText"/>
      </w:pPr>
    </w:p>
    <w:p>
      <w:pPr>
        <w:pStyle w:val="BodyText"/>
      </w:pPr>
    </w:p>
    <w:p>
      <w:pPr>
        <w:pStyle w:val="BodyText"/>
        <w:spacing w:before="6"/>
        <w:rPr>
          <w:sz w:val="35"/>
        </w:rPr>
      </w:pPr>
    </w:p>
    <w:p>
      <w:pPr>
        <w:pStyle w:val="Heading1"/>
        <w:numPr>
          <w:ilvl w:val="2"/>
          <w:numId w:val="6"/>
        </w:numPr>
        <w:tabs>
          <w:tab w:pos="1480" w:val="left" w:leader="none"/>
        </w:tabs>
        <w:spacing w:line="240" w:lineRule="auto" w:before="0" w:after="0"/>
        <w:ind w:left="1479" w:right="0" w:hanging="670"/>
        <w:jc w:val="left"/>
      </w:pPr>
      <w:bookmarkStart w:name="_TOC_250034" w:id="5"/>
      <w:bookmarkEnd w:id="5"/>
      <w:r>
        <w:rPr/>
        <w:t>Temperatura</w:t>
      </w:r>
    </w:p>
    <w:p>
      <w:pPr>
        <w:pStyle w:val="BodyText"/>
        <w:rPr>
          <w:b/>
        </w:rPr>
      </w:pPr>
    </w:p>
    <w:p>
      <w:pPr>
        <w:pStyle w:val="BodyText"/>
        <w:spacing w:line="480" w:lineRule="auto" w:before="197"/>
        <w:ind w:left="101" w:right="114"/>
        <w:jc w:val="both"/>
      </w:pPr>
      <w:r>
        <w:rPr/>
        <w:t>Depende del cultivar y de la época de plantación, así como del estado vegetativo; en general, la planta presenta una temperatura critica a -2°C, con la cual se hiela y muere</w:t>
      </w:r>
      <w:r>
        <w:rPr>
          <w:spacing w:val="-4"/>
        </w:rPr>
        <w:t> </w:t>
      </w:r>
      <w:r>
        <w:rPr/>
        <w:t>(Bañón</w:t>
      </w:r>
      <w:r>
        <w:rPr>
          <w:spacing w:val="-4"/>
        </w:rPr>
        <w:t> </w:t>
      </w:r>
      <w:r>
        <w:rPr>
          <w:i/>
        </w:rPr>
        <w:t>et</w:t>
      </w:r>
      <w:r>
        <w:rPr>
          <w:i/>
          <w:spacing w:val="-5"/>
        </w:rPr>
        <w:t> </w:t>
      </w:r>
      <w:r>
        <w:rPr>
          <w:i/>
        </w:rPr>
        <w:t>al</w:t>
      </w:r>
      <w:r>
        <w:rPr/>
        <w:t>.,</w:t>
      </w:r>
      <w:r>
        <w:rPr>
          <w:spacing w:val="-5"/>
        </w:rPr>
        <w:t> </w:t>
      </w:r>
      <w:r>
        <w:rPr/>
        <w:t>1993).</w:t>
      </w:r>
      <w:r>
        <w:rPr>
          <w:spacing w:val="-5"/>
        </w:rPr>
        <w:t> </w:t>
      </w:r>
      <w:r>
        <w:rPr>
          <w:color w:val="212121"/>
        </w:rPr>
        <w:t>Sin</w:t>
      </w:r>
      <w:r>
        <w:rPr>
          <w:color w:val="212121"/>
          <w:spacing w:val="-4"/>
        </w:rPr>
        <w:t> </w:t>
      </w:r>
      <w:r>
        <w:rPr>
          <w:color w:val="212121"/>
        </w:rPr>
        <w:t>embargo,</w:t>
      </w:r>
      <w:r>
        <w:rPr>
          <w:color w:val="212121"/>
          <w:spacing w:val="-5"/>
        </w:rPr>
        <w:t> </w:t>
      </w:r>
      <w:r>
        <w:rPr>
          <w:color w:val="212121"/>
        </w:rPr>
        <w:t>en</w:t>
      </w:r>
      <w:r>
        <w:rPr>
          <w:color w:val="212121"/>
          <w:spacing w:val="-7"/>
        </w:rPr>
        <w:t> </w:t>
      </w:r>
      <w:r>
        <w:rPr>
          <w:color w:val="212121"/>
        </w:rPr>
        <w:t>el</w:t>
      </w:r>
      <w:r>
        <w:rPr>
          <w:color w:val="212121"/>
          <w:spacing w:val="-6"/>
        </w:rPr>
        <w:t> </w:t>
      </w:r>
      <w:r>
        <w:rPr>
          <w:color w:val="212121"/>
        </w:rPr>
        <w:t>cultivo</w:t>
      </w:r>
      <w:r>
        <w:rPr>
          <w:color w:val="212121"/>
          <w:spacing w:val="-4"/>
        </w:rPr>
        <w:t> </w:t>
      </w:r>
      <w:r>
        <w:rPr>
          <w:color w:val="212121"/>
        </w:rPr>
        <w:t>de</w:t>
      </w:r>
      <w:r>
        <w:rPr>
          <w:color w:val="212121"/>
          <w:spacing w:val="-4"/>
        </w:rPr>
        <w:t> </w:t>
      </w:r>
      <w:r>
        <w:rPr>
          <w:i/>
          <w:color w:val="212121"/>
        </w:rPr>
        <w:t>Lilium</w:t>
      </w:r>
      <w:r>
        <w:rPr>
          <w:i/>
          <w:color w:val="212121"/>
          <w:spacing w:val="-6"/>
        </w:rPr>
        <w:t> </w:t>
      </w:r>
      <w:r>
        <w:rPr>
          <w:color w:val="212121"/>
        </w:rPr>
        <w:t>oriental</w:t>
      </w:r>
      <w:r>
        <w:rPr>
          <w:color w:val="212121"/>
          <w:spacing w:val="-6"/>
        </w:rPr>
        <w:t> </w:t>
      </w:r>
      <w:r>
        <w:rPr>
          <w:color w:val="212121"/>
        </w:rPr>
        <w:t>'Siberia',</w:t>
      </w:r>
      <w:r>
        <w:rPr>
          <w:color w:val="212121"/>
          <w:spacing w:val="-5"/>
        </w:rPr>
        <w:t> </w:t>
      </w:r>
      <w:r>
        <w:rPr>
          <w:color w:val="212121"/>
        </w:rPr>
        <w:t>la temperatura durante el forzado influye en la brotación del bulbo, en condiciones de temperatura</w:t>
      </w:r>
      <w:r>
        <w:rPr>
          <w:color w:val="212121"/>
          <w:spacing w:val="-8"/>
        </w:rPr>
        <w:t> </w:t>
      </w:r>
      <w:r>
        <w:rPr>
          <w:color w:val="212121"/>
        </w:rPr>
        <w:t>alta</w:t>
      </w:r>
      <w:r>
        <w:rPr>
          <w:color w:val="212121"/>
          <w:spacing w:val="-8"/>
        </w:rPr>
        <w:t> </w:t>
      </w:r>
      <w:r>
        <w:rPr>
          <w:color w:val="212121"/>
        </w:rPr>
        <w:t>presenta</w:t>
      </w:r>
      <w:r>
        <w:rPr>
          <w:color w:val="212121"/>
          <w:spacing w:val="-8"/>
        </w:rPr>
        <w:t> </w:t>
      </w:r>
      <w:r>
        <w:rPr>
          <w:color w:val="212121"/>
        </w:rPr>
        <w:t>tallos</w:t>
      </w:r>
      <w:r>
        <w:rPr>
          <w:color w:val="212121"/>
          <w:spacing w:val="-9"/>
        </w:rPr>
        <w:t> </w:t>
      </w:r>
      <w:r>
        <w:rPr>
          <w:color w:val="212121"/>
        </w:rPr>
        <w:t>cortos,</w:t>
      </w:r>
      <w:r>
        <w:rPr>
          <w:color w:val="212121"/>
          <w:spacing w:val="-8"/>
        </w:rPr>
        <w:t> </w:t>
      </w:r>
      <w:r>
        <w:rPr>
          <w:color w:val="212121"/>
        </w:rPr>
        <w:t>reducción</w:t>
      </w:r>
      <w:r>
        <w:rPr>
          <w:color w:val="212121"/>
          <w:spacing w:val="-8"/>
        </w:rPr>
        <w:t> </w:t>
      </w:r>
      <w:r>
        <w:rPr>
          <w:color w:val="212121"/>
        </w:rPr>
        <w:t>del</w:t>
      </w:r>
      <w:r>
        <w:rPr>
          <w:color w:val="212121"/>
          <w:spacing w:val="-9"/>
        </w:rPr>
        <w:t> </w:t>
      </w:r>
      <w:r>
        <w:rPr>
          <w:color w:val="212121"/>
        </w:rPr>
        <w:t>número</w:t>
      </w:r>
      <w:r>
        <w:rPr>
          <w:color w:val="212121"/>
          <w:spacing w:val="-8"/>
        </w:rPr>
        <w:t> </w:t>
      </w:r>
      <w:r>
        <w:rPr>
          <w:color w:val="212121"/>
        </w:rPr>
        <w:t>de</w:t>
      </w:r>
      <w:r>
        <w:rPr>
          <w:color w:val="212121"/>
          <w:spacing w:val="-8"/>
        </w:rPr>
        <w:t> </w:t>
      </w:r>
      <w:r>
        <w:rPr>
          <w:color w:val="212121"/>
        </w:rPr>
        <w:t>botones</w:t>
      </w:r>
      <w:r>
        <w:rPr>
          <w:color w:val="212121"/>
          <w:spacing w:val="-11"/>
        </w:rPr>
        <w:t> </w:t>
      </w:r>
      <w:r>
        <w:rPr>
          <w:color w:val="212121"/>
        </w:rPr>
        <w:t>florales,</w:t>
      </w:r>
      <w:r>
        <w:rPr>
          <w:color w:val="212121"/>
          <w:spacing w:val="-8"/>
        </w:rPr>
        <w:t> </w:t>
      </w:r>
      <w:r>
        <w:rPr>
          <w:color w:val="212121"/>
        </w:rPr>
        <w:t>y la longitud de la inflorescencia es menor. La temperatura óptima para este cultivar es de 10-12 ° C. Por otra parte, cuando la temperatura del suelo es alta durante la fase de crecimiento de los bulbos vernalizados, se reduce la iniciación floral, altura de la planta y la calidad de la hoja, y produce ceguera fisiológica en el botón floral, porque las raíces madre no desarrollan (</w:t>
      </w:r>
      <w:r>
        <w:rPr/>
        <w:t>Jae-Young </w:t>
      </w:r>
      <w:r>
        <w:rPr>
          <w:i/>
        </w:rPr>
        <w:t>et al.</w:t>
      </w:r>
      <w:r>
        <w:rPr/>
        <w:t>,</w:t>
      </w:r>
      <w:r>
        <w:rPr>
          <w:spacing w:val="-31"/>
        </w:rPr>
        <w:t> </w:t>
      </w:r>
      <w:r>
        <w:rPr/>
        <w:t>2014).</w:t>
      </w:r>
    </w:p>
    <w:p>
      <w:pPr>
        <w:spacing w:after="0" w:line="480" w:lineRule="auto"/>
        <w:jc w:val="both"/>
        <w:sectPr>
          <w:pgSz w:w="12240" w:h="15840"/>
          <w:pgMar w:header="0" w:footer="1005" w:top="1360" w:bottom="1200" w:left="1600" w:right="1580"/>
        </w:sectPr>
      </w:pPr>
    </w:p>
    <w:p>
      <w:pPr>
        <w:pStyle w:val="Heading1"/>
        <w:numPr>
          <w:ilvl w:val="2"/>
          <w:numId w:val="6"/>
        </w:numPr>
        <w:tabs>
          <w:tab w:pos="1480" w:val="left" w:leader="none"/>
        </w:tabs>
        <w:spacing w:line="240" w:lineRule="auto" w:before="54" w:after="0"/>
        <w:ind w:left="1479" w:right="0" w:hanging="670"/>
        <w:jc w:val="left"/>
      </w:pPr>
      <w:bookmarkStart w:name="_TOC_250033" w:id="6"/>
      <w:r>
        <w:rPr/>
        <w:t>Humedad</w:t>
      </w:r>
      <w:r>
        <w:rPr>
          <w:spacing w:val="-16"/>
        </w:rPr>
        <w:t> </w:t>
      </w:r>
      <w:bookmarkEnd w:id="6"/>
      <w:r>
        <w:rPr/>
        <w:t>relativa</w:t>
      </w:r>
    </w:p>
    <w:p>
      <w:pPr>
        <w:pStyle w:val="BodyText"/>
        <w:rPr>
          <w:b/>
        </w:rPr>
      </w:pPr>
    </w:p>
    <w:p>
      <w:pPr>
        <w:pStyle w:val="BodyText"/>
        <w:spacing w:line="480" w:lineRule="auto" w:before="199"/>
        <w:ind w:left="101" w:right="117"/>
        <w:jc w:val="both"/>
      </w:pPr>
      <w:r>
        <w:rPr/>
        <w:t>La humedad relativa requerida se encuentra en un rango de 60 al 75 %. Es recomendable bajarla ligeramente un poco antes del periodo de floración, para evitar enfermedades fúngicas en los órganos florales (Salinger, 1991; Bañón </w:t>
      </w:r>
      <w:r>
        <w:rPr>
          <w:i/>
        </w:rPr>
        <w:t>et al</w:t>
      </w:r>
      <w:r>
        <w:rPr/>
        <w:t>., 1993).</w:t>
      </w:r>
    </w:p>
    <w:p>
      <w:pPr>
        <w:pStyle w:val="BodyText"/>
      </w:pPr>
    </w:p>
    <w:p>
      <w:pPr>
        <w:pStyle w:val="BodyText"/>
      </w:pPr>
    </w:p>
    <w:p>
      <w:pPr>
        <w:pStyle w:val="BodyText"/>
        <w:spacing w:before="3"/>
        <w:rPr>
          <w:sz w:val="35"/>
        </w:rPr>
      </w:pPr>
    </w:p>
    <w:p>
      <w:pPr>
        <w:pStyle w:val="Heading1"/>
        <w:numPr>
          <w:ilvl w:val="2"/>
          <w:numId w:val="6"/>
        </w:numPr>
        <w:tabs>
          <w:tab w:pos="1480" w:val="left" w:leader="none"/>
        </w:tabs>
        <w:spacing w:line="240" w:lineRule="auto" w:before="1" w:after="0"/>
        <w:ind w:left="1479" w:right="0" w:hanging="670"/>
        <w:jc w:val="left"/>
      </w:pPr>
      <w:bookmarkStart w:name="_TOC_250032" w:id="7"/>
      <w:bookmarkEnd w:id="7"/>
      <w:r>
        <w:rPr/>
        <w:t>Suelo</w:t>
      </w:r>
    </w:p>
    <w:p>
      <w:pPr>
        <w:pStyle w:val="BodyText"/>
        <w:rPr>
          <w:b/>
        </w:rPr>
      </w:pPr>
    </w:p>
    <w:p>
      <w:pPr>
        <w:pStyle w:val="BodyText"/>
        <w:spacing w:line="480" w:lineRule="auto" w:before="199"/>
        <w:ind w:left="101" w:right="117"/>
        <w:jc w:val="both"/>
      </w:pPr>
      <w:r>
        <w:rPr/>
        <w:t>Requiere suelos ligeros, bien aireados, con un contenido de materia orgánica alto de</w:t>
      </w:r>
      <w:r>
        <w:rPr>
          <w:spacing w:val="-14"/>
        </w:rPr>
        <w:t> </w:t>
      </w:r>
      <w:r>
        <w:rPr/>
        <w:t>textura</w:t>
      </w:r>
      <w:r>
        <w:rPr>
          <w:spacing w:val="-14"/>
        </w:rPr>
        <w:t> </w:t>
      </w:r>
      <w:r>
        <w:rPr/>
        <w:t>arenosa</w:t>
      </w:r>
      <w:r>
        <w:rPr>
          <w:spacing w:val="-14"/>
        </w:rPr>
        <w:t> </w:t>
      </w:r>
      <w:r>
        <w:rPr/>
        <w:t>y</w:t>
      </w:r>
      <w:r>
        <w:rPr>
          <w:spacing w:val="-17"/>
        </w:rPr>
        <w:t> </w:t>
      </w:r>
      <w:r>
        <w:rPr/>
        <w:t>rico</w:t>
      </w:r>
      <w:r>
        <w:rPr>
          <w:spacing w:val="-14"/>
        </w:rPr>
        <w:t> </w:t>
      </w:r>
      <w:r>
        <w:rPr/>
        <w:t>en</w:t>
      </w:r>
      <w:r>
        <w:rPr>
          <w:spacing w:val="-16"/>
        </w:rPr>
        <w:t> </w:t>
      </w:r>
      <w:r>
        <w:rPr/>
        <w:t>humus.</w:t>
      </w:r>
      <w:r>
        <w:rPr>
          <w:spacing w:val="-14"/>
        </w:rPr>
        <w:t> </w:t>
      </w:r>
      <w:r>
        <w:rPr/>
        <w:t>La</w:t>
      </w:r>
      <w:r>
        <w:rPr>
          <w:spacing w:val="-16"/>
        </w:rPr>
        <w:t> </w:t>
      </w:r>
      <w:r>
        <w:rPr/>
        <w:t>mayor</w:t>
      </w:r>
      <w:r>
        <w:rPr>
          <w:spacing w:val="-16"/>
        </w:rPr>
        <w:t> </w:t>
      </w:r>
      <w:r>
        <w:rPr/>
        <w:t>parte</w:t>
      </w:r>
      <w:r>
        <w:rPr>
          <w:spacing w:val="-14"/>
        </w:rPr>
        <w:t> </w:t>
      </w:r>
      <w:r>
        <w:rPr/>
        <w:t>de</w:t>
      </w:r>
      <w:r>
        <w:rPr>
          <w:spacing w:val="-14"/>
        </w:rPr>
        <w:t> </w:t>
      </w:r>
      <w:r>
        <w:rPr/>
        <w:t>las</w:t>
      </w:r>
      <w:r>
        <w:rPr>
          <w:spacing w:val="-17"/>
        </w:rPr>
        <w:t> </w:t>
      </w:r>
      <w:r>
        <w:rPr/>
        <w:t>especies</w:t>
      </w:r>
      <w:r>
        <w:rPr>
          <w:spacing w:val="-17"/>
        </w:rPr>
        <w:t> </w:t>
      </w:r>
      <w:r>
        <w:rPr/>
        <w:t>prefieren</w:t>
      </w:r>
      <w:r>
        <w:rPr>
          <w:spacing w:val="-14"/>
        </w:rPr>
        <w:t> </w:t>
      </w:r>
      <w:r>
        <w:rPr/>
        <w:t>suelos con pH próximo a la neutralidad o ligeramente ácido (Bañón </w:t>
      </w:r>
      <w:r>
        <w:rPr>
          <w:i/>
        </w:rPr>
        <w:t>et al</w:t>
      </w:r>
      <w:r>
        <w:rPr/>
        <w:t>.,</w:t>
      </w:r>
      <w:r>
        <w:rPr>
          <w:spacing w:val="-36"/>
        </w:rPr>
        <w:t> </w:t>
      </w:r>
      <w:r>
        <w:rPr/>
        <w:t>1993).</w:t>
      </w:r>
    </w:p>
    <w:p>
      <w:pPr>
        <w:pStyle w:val="BodyText"/>
        <w:spacing w:line="480" w:lineRule="auto" w:before="204"/>
        <w:ind w:left="101" w:right="117"/>
        <w:jc w:val="both"/>
      </w:pPr>
      <w:r>
        <w:rPr/>
        <w:t>Salinidad</w:t>
      </w:r>
      <w:r>
        <w:rPr>
          <w:spacing w:val="-19"/>
        </w:rPr>
        <w:t> </w:t>
      </w:r>
      <w:r>
        <w:rPr/>
        <w:t>y</w:t>
      </w:r>
      <w:r>
        <w:rPr>
          <w:spacing w:val="-22"/>
        </w:rPr>
        <w:t> </w:t>
      </w:r>
      <w:r>
        <w:rPr/>
        <w:t>bajas</w:t>
      </w:r>
      <w:r>
        <w:rPr>
          <w:spacing w:val="-20"/>
        </w:rPr>
        <w:t> </w:t>
      </w:r>
      <w:r>
        <w:rPr/>
        <w:t>temperaturas</w:t>
      </w:r>
      <w:r>
        <w:rPr>
          <w:spacing w:val="-20"/>
        </w:rPr>
        <w:t> </w:t>
      </w:r>
      <w:r>
        <w:rPr/>
        <w:t>en</w:t>
      </w:r>
      <w:r>
        <w:rPr>
          <w:spacing w:val="-19"/>
        </w:rPr>
        <w:t> </w:t>
      </w:r>
      <w:r>
        <w:rPr>
          <w:i/>
        </w:rPr>
        <w:t>Lilium</w:t>
      </w:r>
      <w:r>
        <w:rPr>
          <w:i/>
          <w:spacing w:val="-23"/>
        </w:rPr>
        <w:t> </w:t>
      </w:r>
      <w:r>
        <w:rPr/>
        <w:t>‘Siberia’</w:t>
      </w:r>
      <w:r>
        <w:rPr>
          <w:spacing w:val="-20"/>
        </w:rPr>
        <w:t> </w:t>
      </w:r>
      <w:r>
        <w:rPr/>
        <w:t>reduce</w:t>
      </w:r>
      <w:r>
        <w:rPr>
          <w:spacing w:val="-19"/>
        </w:rPr>
        <w:t> </w:t>
      </w:r>
      <w:r>
        <w:rPr/>
        <w:t>la</w:t>
      </w:r>
      <w:r>
        <w:rPr>
          <w:spacing w:val="-19"/>
        </w:rPr>
        <w:t> </w:t>
      </w:r>
      <w:r>
        <w:rPr/>
        <w:t>tasa</w:t>
      </w:r>
      <w:r>
        <w:rPr>
          <w:spacing w:val="-21"/>
        </w:rPr>
        <w:t> </w:t>
      </w:r>
      <w:r>
        <w:rPr/>
        <w:t>de</w:t>
      </w:r>
      <w:r>
        <w:rPr>
          <w:spacing w:val="-21"/>
        </w:rPr>
        <w:t> </w:t>
      </w:r>
      <w:r>
        <w:rPr/>
        <w:t>fotosíntesis</w:t>
      </w:r>
      <w:r>
        <w:rPr>
          <w:spacing w:val="-20"/>
        </w:rPr>
        <w:t> </w:t>
      </w:r>
      <w:r>
        <w:rPr/>
        <w:t>neta, </w:t>
      </w:r>
      <w:r>
        <w:rPr>
          <w:position w:val="1"/>
        </w:rPr>
        <w:t>conductancia estomática y la concentración de CO</w:t>
      </w:r>
      <w:r>
        <w:rPr>
          <w:sz w:val="16"/>
        </w:rPr>
        <w:t>2 </w:t>
      </w:r>
      <w:r>
        <w:rPr>
          <w:position w:val="1"/>
        </w:rPr>
        <w:t>intercelular, contenido de </w:t>
      </w:r>
      <w:r>
        <w:rPr/>
        <w:t>clorofila,</w:t>
      </w:r>
      <w:r>
        <w:rPr>
          <w:spacing w:val="-17"/>
        </w:rPr>
        <w:t> </w:t>
      </w:r>
      <w:r>
        <w:rPr/>
        <w:t>área</w:t>
      </w:r>
      <w:r>
        <w:rPr>
          <w:spacing w:val="-19"/>
        </w:rPr>
        <w:t> </w:t>
      </w:r>
      <w:r>
        <w:rPr/>
        <w:t>foliar,</w:t>
      </w:r>
      <w:r>
        <w:rPr>
          <w:spacing w:val="-17"/>
        </w:rPr>
        <w:t> </w:t>
      </w:r>
      <w:r>
        <w:rPr/>
        <w:t>altura</w:t>
      </w:r>
      <w:r>
        <w:rPr>
          <w:spacing w:val="-16"/>
        </w:rPr>
        <w:t> </w:t>
      </w:r>
      <w:r>
        <w:rPr/>
        <w:t>de</w:t>
      </w:r>
      <w:r>
        <w:rPr>
          <w:spacing w:val="-16"/>
        </w:rPr>
        <w:t> </w:t>
      </w:r>
      <w:r>
        <w:rPr/>
        <w:t>la</w:t>
      </w:r>
      <w:r>
        <w:rPr>
          <w:spacing w:val="-19"/>
        </w:rPr>
        <w:t> </w:t>
      </w:r>
      <w:r>
        <w:rPr/>
        <w:t>planta</w:t>
      </w:r>
      <w:r>
        <w:rPr>
          <w:spacing w:val="-16"/>
        </w:rPr>
        <w:t> </w:t>
      </w:r>
      <w:r>
        <w:rPr/>
        <w:t>y</w:t>
      </w:r>
      <w:r>
        <w:rPr>
          <w:spacing w:val="-20"/>
        </w:rPr>
        <w:t> </w:t>
      </w:r>
      <w:r>
        <w:rPr/>
        <w:t>la</w:t>
      </w:r>
      <w:r>
        <w:rPr>
          <w:spacing w:val="-19"/>
        </w:rPr>
        <w:t> </w:t>
      </w:r>
      <w:r>
        <w:rPr/>
        <w:t>biomasa</w:t>
      </w:r>
      <w:r>
        <w:rPr>
          <w:spacing w:val="-19"/>
        </w:rPr>
        <w:t> </w:t>
      </w:r>
      <w:r>
        <w:rPr/>
        <w:t>seca;</w:t>
      </w:r>
      <w:r>
        <w:rPr>
          <w:spacing w:val="-19"/>
        </w:rPr>
        <w:t> </w:t>
      </w:r>
      <w:r>
        <w:rPr/>
        <w:t>además</w:t>
      </w:r>
      <w:r>
        <w:rPr>
          <w:spacing w:val="-20"/>
        </w:rPr>
        <w:t> </w:t>
      </w:r>
      <w:r>
        <w:rPr/>
        <w:t>aumenta</w:t>
      </w:r>
      <w:r>
        <w:rPr>
          <w:spacing w:val="-19"/>
        </w:rPr>
        <w:t> </w:t>
      </w:r>
      <w:r>
        <w:rPr/>
        <w:t>el</w:t>
      </w:r>
      <w:r>
        <w:rPr>
          <w:spacing w:val="-18"/>
        </w:rPr>
        <w:t> </w:t>
      </w:r>
      <w:r>
        <w:rPr/>
        <w:t>aborto de brotes (Wang </w:t>
      </w:r>
      <w:r>
        <w:rPr>
          <w:i/>
        </w:rPr>
        <w:t>et al</w:t>
      </w:r>
      <w:r>
        <w:rPr/>
        <w:t>.,</w:t>
      </w:r>
      <w:r>
        <w:rPr>
          <w:spacing w:val="-14"/>
        </w:rPr>
        <w:t> </w:t>
      </w:r>
      <w:r>
        <w:rPr/>
        <w:t>2014).</w:t>
      </w:r>
    </w:p>
    <w:p>
      <w:pPr>
        <w:pStyle w:val="BodyText"/>
      </w:pPr>
    </w:p>
    <w:p>
      <w:pPr>
        <w:pStyle w:val="BodyText"/>
      </w:pPr>
    </w:p>
    <w:p>
      <w:pPr>
        <w:pStyle w:val="BodyText"/>
        <w:spacing w:before="9"/>
        <w:rPr>
          <w:sz w:val="28"/>
        </w:rPr>
      </w:pPr>
    </w:p>
    <w:p>
      <w:pPr>
        <w:pStyle w:val="Heading1"/>
        <w:numPr>
          <w:ilvl w:val="1"/>
          <w:numId w:val="6"/>
        </w:numPr>
        <w:tabs>
          <w:tab w:pos="772" w:val="left" w:leader="none"/>
        </w:tabs>
        <w:spacing w:line="240" w:lineRule="auto" w:before="1" w:after="0"/>
        <w:ind w:left="771" w:right="0" w:hanging="468"/>
        <w:jc w:val="left"/>
      </w:pPr>
      <w:bookmarkStart w:name="_TOC_250031" w:id="8"/>
      <w:bookmarkEnd w:id="8"/>
      <w:r>
        <w:rPr/>
        <w:t>Fertilización</w:t>
      </w:r>
    </w:p>
    <w:p>
      <w:pPr>
        <w:pStyle w:val="BodyText"/>
        <w:rPr>
          <w:b/>
        </w:rPr>
      </w:pPr>
    </w:p>
    <w:p>
      <w:pPr>
        <w:pStyle w:val="BodyText"/>
        <w:spacing w:line="480" w:lineRule="auto" w:before="194"/>
        <w:ind w:left="101" w:right="117"/>
        <w:jc w:val="both"/>
        <w:rPr>
          <w:i/>
        </w:rPr>
      </w:pPr>
      <w:r>
        <w:rPr/>
        <w:t>Se indica que </w:t>
      </w:r>
      <w:r>
        <w:rPr>
          <w:i/>
        </w:rPr>
        <w:t>Lilium </w:t>
      </w:r>
      <w:r>
        <w:rPr/>
        <w:t>es un cultivo poco exigente en cuanto a nutrimentos, según Miller (1993) y Dole &amp; Wilkins (2005) las reservas del bulbo son suficientes. Sin embargo, investigaciones recientes resaltan la importancia de aportar nutrimentos al sustrato, la aplicación foliar de macro y micronutrimentos tiene gran relevancia para mejorar la calidad de flores de corte como mencionan: Betancourt-Olvera  </w:t>
      </w:r>
      <w:r>
        <w:rPr>
          <w:spacing w:val="60"/>
        </w:rPr>
        <w:t> </w:t>
      </w:r>
      <w:r>
        <w:rPr>
          <w:i/>
        </w:rPr>
        <w:t>et</w:t>
      </w:r>
    </w:p>
    <w:p>
      <w:pPr>
        <w:spacing w:after="0" w:line="480" w:lineRule="auto"/>
        <w:jc w:val="both"/>
        <w:sectPr>
          <w:pgSz w:w="12240" w:h="15840"/>
          <w:pgMar w:header="0" w:footer="1005" w:top="1360" w:bottom="1200" w:left="1600" w:right="1580"/>
        </w:sectPr>
      </w:pPr>
    </w:p>
    <w:p>
      <w:pPr>
        <w:spacing w:before="49"/>
        <w:ind w:left="101" w:right="0" w:firstLine="0"/>
        <w:jc w:val="both"/>
        <w:rPr>
          <w:sz w:val="24"/>
        </w:rPr>
      </w:pPr>
      <w:r>
        <w:rPr>
          <w:i/>
          <w:sz w:val="24"/>
        </w:rPr>
        <w:t>al.,</w:t>
      </w:r>
      <w:r>
        <w:rPr>
          <w:i/>
          <w:spacing w:val="-19"/>
          <w:sz w:val="24"/>
        </w:rPr>
        <w:t> </w:t>
      </w:r>
      <w:r>
        <w:rPr>
          <w:sz w:val="24"/>
        </w:rPr>
        <w:t>(2005);</w:t>
      </w:r>
      <w:r>
        <w:rPr>
          <w:spacing w:val="-19"/>
          <w:sz w:val="24"/>
        </w:rPr>
        <w:t> </w:t>
      </w:r>
      <w:r>
        <w:rPr>
          <w:sz w:val="24"/>
        </w:rPr>
        <w:t>Ortega-Blu</w:t>
      </w:r>
      <w:r>
        <w:rPr>
          <w:spacing w:val="-19"/>
          <w:sz w:val="24"/>
        </w:rPr>
        <w:t> </w:t>
      </w:r>
      <w:r>
        <w:rPr>
          <w:i/>
          <w:sz w:val="24"/>
        </w:rPr>
        <w:t>et</w:t>
      </w:r>
      <w:r>
        <w:rPr>
          <w:i/>
          <w:spacing w:val="-19"/>
          <w:sz w:val="24"/>
        </w:rPr>
        <w:t> </w:t>
      </w:r>
      <w:r>
        <w:rPr>
          <w:i/>
          <w:sz w:val="24"/>
        </w:rPr>
        <w:t>al</w:t>
      </w:r>
      <w:r>
        <w:rPr>
          <w:sz w:val="24"/>
        </w:rPr>
        <w:t>.,</w:t>
      </w:r>
      <w:r>
        <w:rPr>
          <w:spacing w:val="-19"/>
          <w:sz w:val="24"/>
        </w:rPr>
        <w:t> </w:t>
      </w:r>
      <w:r>
        <w:rPr>
          <w:sz w:val="24"/>
        </w:rPr>
        <w:t>(2006);</w:t>
      </w:r>
      <w:r>
        <w:rPr>
          <w:spacing w:val="-19"/>
          <w:sz w:val="24"/>
        </w:rPr>
        <w:t> </w:t>
      </w:r>
      <w:r>
        <w:rPr>
          <w:sz w:val="24"/>
        </w:rPr>
        <w:t>Franco</w:t>
      </w:r>
      <w:r>
        <w:rPr>
          <w:spacing w:val="-19"/>
          <w:sz w:val="24"/>
        </w:rPr>
        <w:t> </w:t>
      </w:r>
      <w:r>
        <w:rPr>
          <w:i/>
          <w:sz w:val="24"/>
        </w:rPr>
        <w:t>et</w:t>
      </w:r>
      <w:r>
        <w:rPr>
          <w:i/>
          <w:spacing w:val="-22"/>
          <w:sz w:val="24"/>
        </w:rPr>
        <w:t> </w:t>
      </w:r>
      <w:r>
        <w:rPr>
          <w:i/>
          <w:sz w:val="24"/>
        </w:rPr>
        <w:t>al</w:t>
      </w:r>
      <w:r>
        <w:rPr>
          <w:sz w:val="24"/>
        </w:rPr>
        <w:t>.,</w:t>
      </w:r>
      <w:r>
        <w:rPr>
          <w:spacing w:val="-19"/>
          <w:sz w:val="24"/>
        </w:rPr>
        <w:t> </w:t>
      </w:r>
      <w:r>
        <w:rPr>
          <w:sz w:val="24"/>
        </w:rPr>
        <w:t>(2007);</w:t>
      </w:r>
      <w:r>
        <w:rPr>
          <w:spacing w:val="-19"/>
          <w:sz w:val="24"/>
        </w:rPr>
        <w:t> </w:t>
      </w:r>
      <w:r>
        <w:rPr>
          <w:sz w:val="24"/>
        </w:rPr>
        <w:t>Ayala</w:t>
      </w:r>
      <w:r>
        <w:rPr>
          <w:spacing w:val="-19"/>
          <w:sz w:val="24"/>
        </w:rPr>
        <w:t> </w:t>
      </w:r>
      <w:r>
        <w:rPr>
          <w:i/>
          <w:sz w:val="24"/>
        </w:rPr>
        <w:t>et</w:t>
      </w:r>
      <w:r>
        <w:rPr>
          <w:i/>
          <w:spacing w:val="-19"/>
          <w:sz w:val="24"/>
        </w:rPr>
        <w:t> </w:t>
      </w:r>
      <w:r>
        <w:rPr>
          <w:i/>
          <w:sz w:val="24"/>
        </w:rPr>
        <w:t>al</w:t>
      </w:r>
      <w:r>
        <w:rPr>
          <w:sz w:val="24"/>
        </w:rPr>
        <w:t>.,</w:t>
      </w:r>
      <w:r>
        <w:rPr>
          <w:spacing w:val="-19"/>
          <w:sz w:val="24"/>
        </w:rPr>
        <w:t> </w:t>
      </w:r>
      <w:r>
        <w:rPr>
          <w:sz w:val="24"/>
        </w:rPr>
        <w:t>(2008);</w:t>
      </w:r>
      <w:r>
        <w:rPr>
          <w:spacing w:val="-22"/>
          <w:sz w:val="24"/>
        </w:rPr>
        <w:t> </w:t>
      </w:r>
      <w:r>
        <w:rPr>
          <w:sz w:val="24"/>
        </w:rPr>
        <w:t>Torres</w:t>
      </w:r>
    </w:p>
    <w:p>
      <w:pPr>
        <w:pStyle w:val="BodyText"/>
        <w:spacing w:before="2"/>
      </w:pPr>
    </w:p>
    <w:p>
      <w:pPr>
        <w:spacing w:before="0"/>
        <w:ind w:left="101" w:right="0" w:firstLine="0"/>
        <w:jc w:val="both"/>
        <w:rPr>
          <w:sz w:val="24"/>
        </w:rPr>
      </w:pPr>
      <w:r>
        <w:rPr>
          <w:i/>
          <w:sz w:val="24"/>
        </w:rPr>
        <w:t>et al</w:t>
      </w:r>
      <w:r>
        <w:rPr>
          <w:sz w:val="24"/>
        </w:rPr>
        <w:t>., (2008); Rodríguez-Mendoza </w:t>
      </w:r>
      <w:r>
        <w:rPr>
          <w:i/>
          <w:sz w:val="24"/>
        </w:rPr>
        <w:t>et al., </w:t>
      </w:r>
      <w:r>
        <w:rPr>
          <w:sz w:val="24"/>
        </w:rPr>
        <w:t>(2011); Rodríguez-Landero </w:t>
      </w:r>
      <w:r>
        <w:rPr>
          <w:i/>
          <w:sz w:val="24"/>
        </w:rPr>
        <w:t>et al</w:t>
      </w:r>
      <w:r>
        <w:rPr>
          <w:sz w:val="24"/>
        </w:rPr>
        <w:t>., (2012).</w:t>
      </w:r>
    </w:p>
    <w:p>
      <w:pPr>
        <w:pStyle w:val="BodyText"/>
      </w:pPr>
    </w:p>
    <w:p>
      <w:pPr>
        <w:pStyle w:val="BodyText"/>
        <w:spacing w:line="480" w:lineRule="auto" w:before="201"/>
        <w:ind w:left="101" w:right="114"/>
        <w:jc w:val="both"/>
      </w:pPr>
      <w:r>
        <w:rPr/>
        <w:t>Son 16 elementos esenciales que requiere la planta (Benton, 2012.; Datnoff, 2013) (Cuadro 1). Un nutrimento esencial es aquel requerido para que se cumpla el ciclo normal</w:t>
      </w:r>
      <w:r>
        <w:rPr>
          <w:spacing w:val="-6"/>
        </w:rPr>
        <w:t> </w:t>
      </w:r>
      <w:r>
        <w:rPr/>
        <w:t>de</w:t>
      </w:r>
      <w:r>
        <w:rPr>
          <w:spacing w:val="-4"/>
        </w:rPr>
        <w:t> </w:t>
      </w:r>
      <w:r>
        <w:rPr/>
        <w:t>la</w:t>
      </w:r>
      <w:r>
        <w:rPr>
          <w:spacing w:val="-7"/>
        </w:rPr>
        <w:t> </w:t>
      </w:r>
      <w:r>
        <w:rPr/>
        <w:t>vida</w:t>
      </w:r>
      <w:r>
        <w:rPr>
          <w:spacing w:val="-4"/>
        </w:rPr>
        <w:t> </w:t>
      </w:r>
      <w:r>
        <w:rPr/>
        <w:t>de</w:t>
      </w:r>
      <w:r>
        <w:rPr>
          <w:spacing w:val="-4"/>
        </w:rPr>
        <w:t> </w:t>
      </w:r>
      <w:r>
        <w:rPr/>
        <w:t>la</w:t>
      </w:r>
      <w:r>
        <w:rPr>
          <w:spacing w:val="-7"/>
        </w:rPr>
        <w:t> </w:t>
      </w:r>
      <w:r>
        <w:rPr/>
        <w:t>planta,</w:t>
      </w:r>
      <w:r>
        <w:rPr>
          <w:spacing w:val="-7"/>
        </w:rPr>
        <w:t> </w:t>
      </w:r>
      <w:r>
        <w:rPr/>
        <w:t>en</w:t>
      </w:r>
      <w:r>
        <w:rPr>
          <w:spacing w:val="-4"/>
        </w:rPr>
        <w:t> </w:t>
      </w:r>
      <w:r>
        <w:rPr/>
        <w:t>cuyas</w:t>
      </w:r>
      <w:r>
        <w:rPr>
          <w:spacing w:val="-8"/>
        </w:rPr>
        <w:t> </w:t>
      </w:r>
      <w:r>
        <w:rPr/>
        <w:t>funciones</w:t>
      </w:r>
      <w:r>
        <w:rPr>
          <w:spacing w:val="-8"/>
        </w:rPr>
        <w:t> </w:t>
      </w:r>
      <w:r>
        <w:rPr/>
        <w:t>no</w:t>
      </w:r>
      <w:r>
        <w:rPr>
          <w:spacing w:val="-7"/>
        </w:rPr>
        <w:t> </w:t>
      </w:r>
      <w:r>
        <w:rPr/>
        <w:t>puede</w:t>
      </w:r>
      <w:r>
        <w:rPr>
          <w:spacing w:val="-4"/>
        </w:rPr>
        <w:t> </w:t>
      </w:r>
      <w:r>
        <w:rPr/>
        <w:t>ser</w:t>
      </w:r>
      <w:r>
        <w:rPr>
          <w:spacing w:val="-6"/>
        </w:rPr>
        <w:t> </w:t>
      </w:r>
      <w:r>
        <w:rPr/>
        <w:t>sustituido</w:t>
      </w:r>
      <w:r>
        <w:rPr>
          <w:spacing w:val="-7"/>
        </w:rPr>
        <w:t> </w:t>
      </w:r>
      <w:r>
        <w:rPr/>
        <w:t>por</w:t>
      </w:r>
      <w:r>
        <w:rPr>
          <w:spacing w:val="-8"/>
        </w:rPr>
        <w:t> </w:t>
      </w:r>
      <w:r>
        <w:rPr/>
        <w:t>otros elementos y causa una deficiencia específica cuando no está disponible Arnon &amp; Stout (1939), Bennett</w:t>
      </w:r>
      <w:r>
        <w:rPr>
          <w:spacing w:val="-17"/>
        </w:rPr>
        <w:t> </w:t>
      </w:r>
      <w:r>
        <w:rPr/>
        <w:t>(1997).</w:t>
      </w:r>
    </w:p>
    <w:p>
      <w:pPr>
        <w:spacing w:after="0" w:line="480" w:lineRule="auto"/>
        <w:jc w:val="both"/>
        <w:sectPr>
          <w:pgSz w:w="12240" w:h="15840"/>
          <w:pgMar w:header="0" w:footer="1005" w:top="1360" w:bottom="1200" w:left="1600" w:right="1580"/>
        </w:sectPr>
      </w:pPr>
    </w:p>
    <w:p>
      <w:pPr>
        <w:pStyle w:val="BodyText"/>
        <w:tabs>
          <w:tab w:pos="5152" w:val="left" w:leader="none"/>
        </w:tabs>
        <w:spacing w:line="664" w:lineRule="auto" w:before="54" w:after="2"/>
        <w:ind w:left="873" w:right="983" w:hanging="732"/>
      </w:pPr>
      <w:r>
        <w:rPr/>
        <w:pict>
          <v:line style="position:absolute;mso-position-horizontal-relative:page;mso-position-vertical-relative:paragraph;z-index:-85504" from="84.720001pt,40.715607pt" to="529.559991pt,40.715607pt" stroked="true" strokeweight=".48pt" strokecolor="#000000">
            <w10:wrap type="none"/>
          </v:line>
        </w:pict>
      </w:r>
      <w:r>
        <w:rPr/>
        <w:t>Cuadro 1. Elementos esenciales en la nutrición y crecimiento de la planta Elemento</w:t>
        <w:tab/>
        <w:t>Forma en que se</w:t>
      </w:r>
      <w:r>
        <w:rPr>
          <w:spacing w:val="-13"/>
        </w:rPr>
        <w:t> </w:t>
      </w:r>
      <w:r>
        <w:rPr/>
        <w:t>aprovecha</w:t>
      </w:r>
    </w:p>
    <w:p>
      <w:pPr>
        <w:pStyle w:val="BodyText"/>
        <w:spacing w:line="20" w:lineRule="exact"/>
        <w:ind w:left="129"/>
        <w:rPr>
          <w:sz w:val="2"/>
        </w:rPr>
      </w:pPr>
      <w:r>
        <w:rPr>
          <w:sz w:val="2"/>
        </w:rPr>
        <w:pict>
          <v:group style="width:445.35pt;height:.5pt;mso-position-horizontal-relative:char;mso-position-vertical-relative:line" coordorigin="0,0" coordsize="8907,10">
            <v:line style="position:absolute" from="5,5" to="8902,5" stroked="true" strokeweight=".48pt" strokecolor="#000000"/>
          </v:group>
        </w:pict>
      </w:r>
      <w:r>
        <w:rPr>
          <w:sz w:val="2"/>
        </w:rPr>
      </w:r>
    </w:p>
    <w:p>
      <w:pPr>
        <w:pStyle w:val="BodyText"/>
        <w:ind w:left="3068" w:right="4005"/>
        <w:jc w:val="center"/>
      </w:pPr>
      <w:r>
        <w:rPr/>
        <w:t>Macronutrimentos</w:t>
      </w:r>
    </w:p>
    <w:p>
      <w:pPr>
        <w:pStyle w:val="BodyText"/>
        <w:tabs>
          <w:tab w:pos="5846" w:val="left" w:leader="none"/>
        </w:tabs>
        <w:spacing w:before="201"/>
        <w:ind w:left="873" w:right="983"/>
      </w:pPr>
      <w:r>
        <w:rPr>
          <w:position w:val="1"/>
        </w:rPr>
        <w:t>Hidrógeno</w:t>
      </w:r>
      <w:r>
        <w:rPr>
          <w:spacing w:val="-3"/>
          <w:position w:val="1"/>
        </w:rPr>
        <w:t> </w:t>
      </w:r>
      <w:r>
        <w:rPr>
          <w:position w:val="1"/>
        </w:rPr>
        <w:t>(H)</w:t>
        <w:tab/>
        <w:t>Agua</w:t>
      </w:r>
      <w:r>
        <w:rPr>
          <w:spacing w:val="-4"/>
          <w:position w:val="1"/>
        </w:rPr>
        <w:t> </w:t>
      </w:r>
      <w:r>
        <w:rPr>
          <w:position w:val="1"/>
        </w:rPr>
        <w:t>(H</w:t>
      </w:r>
      <w:r>
        <w:rPr>
          <w:sz w:val="16"/>
        </w:rPr>
        <w:t>2</w:t>
      </w:r>
      <w:r>
        <w:rPr>
          <w:position w:val="1"/>
        </w:rPr>
        <w:t>O)</w:t>
      </w:r>
    </w:p>
    <w:p>
      <w:pPr>
        <w:pStyle w:val="BodyText"/>
        <w:tabs>
          <w:tab w:pos="5860" w:val="left" w:leader="none"/>
        </w:tabs>
        <w:spacing w:before="199"/>
        <w:ind w:left="873" w:right="983"/>
      </w:pPr>
      <w:r>
        <w:rPr>
          <w:position w:val="1"/>
        </w:rPr>
        <w:t>Carbono</w:t>
      </w:r>
      <w:r>
        <w:rPr>
          <w:spacing w:val="-2"/>
          <w:position w:val="1"/>
        </w:rPr>
        <w:t> </w:t>
      </w:r>
      <w:r>
        <w:rPr>
          <w:position w:val="1"/>
        </w:rPr>
        <w:t>(C)</w:t>
        <w:tab/>
        <w:t>Aire</w:t>
      </w:r>
      <w:r>
        <w:rPr>
          <w:spacing w:val="-4"/>
          <w:position w:val="1"/>
        </w:rPr>
        <w:t> </w:t>
      </w:r>
      <w:r>
        <w:rPr>
          <w:position w:val="1"/>
        </w:rPr>
        <w:t>(CO</w:t>
      </w:r>
      <w:r>
        <w:rPr>
          <w:sz w:val="16"/>
        </w:rPr>
        <w:t>2</w:t>
      </w:r>
      <w:r>
        <w:rPr>
          <w:position w:val="1"/>
        </w:rPr>
        <w:t>)</w:t>
      </w:r>
    </w:p>
    <w:p>
      <w:pPr>
        <w:pStyle w:val="BodyText"/>
        <w:tabs>
          <w:tab w:pos="5860" w:val="left" w:leader="none"/>
        </w:tabs>
        <w:spacing w:before="199"/>
        <w:ind w:left="873" w:right="983"/>
      </w:pPr>
      <w:r>
        <w:rPr>
          <w:position w:val="1"/>
        </w:rPr>
        <w:t>Oxígeno</w:t>
      </w:r>
      <w:r>
        <w:rPr>
          <w:spacing w:val="-2"/>
          <w:position w:val="1"/>
        </w:rPr>
        <w:t> </w:t>
      </w:r>
      <w:r>
        <w:rPr>
          <w:position w:val="1"/>
        </w:rPr>
        <w:t>(O)</w:t>
        <w:tab/>
        <w:t>Suelo</w:t>
      </w:r>
      <w:r>
        <w:rPr>
          <w:spacing w:val="62"/>
          <w:position w:val="1"/>
        </w:rPr>
        <w:t> </w:t>
      </w:r>
      <w:r>
        <w:rPr>
          <w:position w:val="1"/>
        </w:rPr>
        <w:t>(H</w:t>
      </w:r>
      <w:r>
        <w:rPr>
          <w:sz w:val="16"/>
        </w:rPr>
        <w:t>2</w:t>
      </w:r>
      <w:r>
        <w:rPr>
          <w:position w:val="1"/>
        </w:rPr>
        <w:t>O)</w:t>
      </w:r>
    </w:p>
    <w:p>
      <w:pPr>
        <w:pStyle w:val="BodyText"/>
        <w:tabs>
          <w:tab w:pos="5846" w:val="left" w:leader="none"/>
        </w:tabs>
        <w:spacing w:before="201"/>
        <w:ind w:left="873" w:right="983"/>
        <w:rPr>
          <w:sz w:val="16"/>
        </w:rPr>
      </w:pPr>
      <w:r>
        <w:rPr/>
        <w:pict>
          <v:shape style="position:absolute;margin-left:392.039856pt;margin-top:10.840735pt;width:33.9pt;height:8.0500pt;mso-position-horizontal-relative:page;mso-position-vertical-relative:paragraph;z-index:-85456" type="#_x0000_t202" filled="false" stroked="false">
            <v:textbox inset="0,0,0,0">
              <w:txbxContent>
                <w:p>
                  <w:pPr>
                    <w:tabs>
                      <w:tab w:pos="623" w:val="left" w:leader="none"/>
                    </w:tabs>
                    <w:spacing w:line="161" w:lineRule="exact" w:before="0"/>
                    <w:ind w:left="0" w:right="0" w:firstLine="0"/>
                    <w:jc w:val="left"/>
                    <w:rPr>
                      <w:sz w:val="16"/>
                    </w:rPr>
                  </w:pPr>
                  <w:r>
                    <w:rPr>
                      <w:sz w:val="16"/>
                    </w:rPr>
                    <w:t>+</w:t>
                    <w:tab/>
                    <w:t>-</w:t>
                  </w:r>
                </w:p>
              </w:txbxContent>
            </v:textbox>
            <w10:wrap type="none"/>
          </v:shape>
        </w:pict>
      </w:r>
      <w:r>
        <w:rPr>
          <w:position w:val="1"/>
        </w:rPr>
        <w:t>Nitrógeno</w:t>
      </w:r>
      <w:r>
        <w:rPr>
          <w:spacing w:val="-3"/>
          <w:position w:val="1"/>
        </w:rPr>
        <w:t> </w:t>
      </w:r>
      <w:r>
        <w:rPr>
          <w:position w:val="1"/>
        </w:rPr>
        <w:t>(N)</w:t>
        <w:tab/>
        <w:t>NH</w:t>
      </w:r>
      <w:r>
        <w:rPr>
          <w:sz w:val="16"/>
        </w:rPr>
        <w:t>4  </w:t>
      </w:r>
      <w:r>
        <w:rPr>
          <w:position w:val="1"/>
        </w:rPr>
        <w:t>,</w:t>
      </w:r>
      <w:r>
        <w:rPr>
          <w:spacing w:val="2"/>
          <w:position w:val="1"/>
        </w:rPr>
        <w:t> </w:t>
      </w:r>
      <w:r>
        <w:rPr>
          <w:position w:val="1"/>
        </w:rPr>
        <w:t>N0</w:t>
      </w:r>
      <w:r>
        <w:rPr>
          <w:sz w:val="16"/>
        </w:rPr>
        <w:t>3</w:t>
      </w:r>
    </w:p>
    <w:p>
      <w:pPr>
        <w:pStyle w:val="BodyText"/>
        <w:tabs>
          <w:tab w:pos="5860" w:val="left" w:leader="none"/>
        </w:tabs>
        <w:spacing w:before="194"/>
        <w:ind w:left="873" w:right="983"/>
        <w:rPr>
          <w:sz w:val="16"/>
        </w:rPr>
      </w:pPr>
      <w:r>
        <w:rPr/>
        <w:t>Potasio</w:t>
      </w:r>
      <w:r>
        <w:rPr>
          <w:spacing w:val="-1"/>
        </w:rPr>
        <w:t> </w:t>
      </w:r>
      <w:r>
        <w:rPr/>
        <w:t>(K)</w:t>
        <w:tab/>
        <w:t>K</w:t>
      </w:r>
      <w:r>
        <w:rPr>
          <w:position w:val="8"/>
          <w:sz w:val="16"/>
        </w:rPr>
        <w:t>+</w:t>
      </w:r>
    </w:p>
    <w:p>
      <w:pPr>
        <w:pStyle w:val="BodyText"/>
        <w:tabs>
          <w:tab w:pos="5872" w:val="left" w:leader="none"/>
        </w:tabs>
        <w:spacing w:before="194"/>
        <w:ind w:left="873" w:right="983"/>
        <w:rPr>
          <w:sz w:val="16"/>
        </w:rPr>
      </w:pPr>
      <w:r>
        <w:rPr/>
        <w:t>Calcio</w:t>
      </w:r>
      <w:r>
        <w:rPr>
          <w:spacing w:val="-1"/>
        </w:rPr>
        <w:t> </w:t>
      </w:r>
      <w:r>
        <w:rPr/>
        <w:t>(Ca)</w:t>
        <w:tab/>
        <w:t>Ca</w:t>
      </w:r>
      <w:r>
        <w:rPr>
          <w:position w:val="8"/>
          <w:sz w:val="16"/>
        </w:rPr>
        <w:t>2+</w:t>
      </w:r>
    </w:p>
    <w:p>
      <w:pPr>
        <w:pStyle w:val="BodyText"/>
        <w:tabs>
          <w:tab w:pos="5872" w:val="left" w:leader="none"/>
        </w:tabs>
        <w:spacing w:before="196"/>
        <w:ind w:left="873" w:right="983"/>
        <w:rPr>
          <w:sz w:val="16"/>
        </w:rPr>
      </w:pPr>
      <w:r>
        <w:rPr/>
        <w:t>Magnesio</w:t>
      </w:r>
      <w:r>
        <w:rPr>
          <w:spacing w:val="-3"/>
        </w:rPr>
        <w:t> </w:t>
      </w:r>
      <w:r>
        <w:rPr/>
        <w:t>(Mg)</w:t>
        <w:tab/>
        <w:t>Mg</w:t>
      </w:r>
      <w:r>
        <w:rPr>
          <w:position w:val="8"/>
          <w:sz w:val="16"/>
        </w:rPr>
        <w:t>2+</w:t>
      </w:r>
    </w:p>
    <w:p>
      <w:pPr>
        <w:pStyle w:val="BodyText"/>
        <w:tabs>
          <w:tab w:pos="5872" w:val="left" w:leader="none"/>
        </w:tabs>
        <w:spacing w:before="199"/>
        <w:ind w:left="873" w:right="983"/>
        <w:rPr>
          <w:sz w:val="16"/>
        </w:rPr>
      </w:pPr>
      <w:r>
        <w:rPr/>
        <w:pict>
          <v:shape style="position:absolute;margin-left:403.91983pt;margin-top:10.740755pt;width:46.85pt;height:8.0500pt;mso-position-horizontal-relative:page;mso-position-vertical-relative:paragraph;z-index:-85408" type="#_x0000_t202" filled="false" stroked="false">
            <v:textbox inset="0,0,0,0">
              <w:txbxContent>
                <w:p>
                  <w:pPr>
                    <w:tabs>
                      <w:tab w:pos="794" w:val="left" w:leader="none"/>
                    </w:tabs>
                    <w:spacing w:line="161" w:lineRule="exact" w:before="0"/>
                    <w:ind w:left="0" w:right="0" w:firstLine="0"/>
                    <w:jc w:val="left"/>
                    <w:rPr>
                      <w:sz w:val="16"/>
                    </w:rPr>
                  </w:pPr>
                  <w:r>
                    <w:rPr>
                      <w:sz w:val="16"/>
                    </w:rPr>
                    <w:t>-</w:t>
                    <w:tab/>
                  </w:r>
                  <w:r>
                    <w:rPr>
                      <w:spacing w:val="-1"/>
                      <w:sz w:val="16"/>
                    </w:rPr>
                    <w:t>2-</w:t>
                  </w:r>
                </w:p>
              </w:txbxContent>
            </v:textbox>
            <w10:wrap type="none"/>
          </v:shape>
        </w:pict>
      </w:r>
      <w:r>
        <w:rPr>
          <w:position w:val="1"/>
        </w:rPr>
        <w:t>Fosforo</w:t>
      </w:r>
      <w:r>
        <w:rPr>
          <w:spacing w:val="-1"/>
          <w:position w:val="1"/>
        </w:rPr>
        <w:t> </w:t>
      </w:r>
      <w:r>
        <w:rPr>
          <w:position w:val="1"/>
        </w:rPr>
        <w:t>(P)</w:t>
        <w:tab/>
        <w:t>H</w:t>
      </w:r>
      <w:r>
        <w:rPr>
          <w:sz w:val="16"/>
        </w:rPr>
        <w:t>2</w:t>
      </w:r>
      <w:r>
        <w:rPr>
          <w:position w:val="1"/>
        </w:rPr>
        <w:t>P0</w:t>
      </w:r>
      <w:r>
        <w:rPr>
          <w:sz w:val="16"/>
        </w:rPr>
        <w:t>4 </w:t>
      </w:r>
      <w:r>
        <w:rPr>
          <w:position w:val="1"/>
        </w:rPr>
        <w:t>,</w:t>
      </w:r>
      <w:r>
        <w:rPr>
          <w:spacing w:val="4"/>
          <w:position w:val="1"/>
        </w:rPr>
        <w:t> </w:t>
      </w:r>
      <w:r>
        <w:rPr>
          <w:position w:val="1"/>
        </w:rPr>
        <w:t>HPO</w:t>
      </w:r>
      <w:r>
        <w:rPr>
          <w:sz w:val="16"/>
        </w:rPr>
        <w:t>4</w:t>
      </w:r>
    </w:p>
    <w:p>
      <w:pPr>
        <w:pStyle w:val="BodyText"/>
        <w:tabs>
          <w:tab w:pos="5887" w:val="left" w:leader="none"/>
        </w:tabs>
        <w:spacing w:before="199"/>
        <w:ind w:left="873" w:right="983"/>
        <w:rPr>
          <w:sz w:val="16"/>
        </w:rPr>
      </w:pPr>
      <w:r>
        <w:rPr/>
        <w:pict>
          <v:shape style="position:absolute;margin-left:394.199829pt;margin-top:10.740735pt;width:7.15pt;height:8.0500pt;mso-position-horizontal-relative:page;mso-position-vertical-relative:paragraph;z-index:-85432" type="#_x0000_t202" filled="false" stroked="false">
            <v:textbox inset="0,0,0,0">
              <w:txbxContent>
                <w:p>
                  <w:pPr>
                    <w:spacing w:line="161" w:lineRule="exact" w:before="0"/>
                    <w:ind w:left="0" w:right="-20" w:firstLine="0"/>
                    <w:jc w:val="left"/>
                    <w:rPr>
                      <w:sz w:val="16"/>
                    </w:rPr>
                  </w:pPr>
                  <w:r>
                    <w:rPr>
                      <w:sz w:val="16"/>
                    </w:rPr>
                    <w:t>2-</w:t>
                  </w:r>
                </w:p>
              </w:txbxContent>
            </v:textbox>
            <w10:wrap type="none"/>
          </v:shape>
        </w:pict>
      </w:r>
      <w:r>
        <w:rPr>
          <w:position w:val="1"/>
        </w:rPr>
        <w:t>Azufre</w:t>
      </w:r>
      <w:r>
        <w:rPr>
          <w:spacing w:val="-1"/>
          <w:position w:val="1"/>
        </w:rPr>
        <w:t> </w:t>
      </w:r>
      <w:r>
        <w:rPr>
          <w:position w:val="1"/>
        </w:rPr>
        <w:t>(S)</w:t>
        <w:tab/>
        <w:t>SO</w:t>
      </w:r>
      <w:r>
        <w:rPr>
          <w:sz w:val="16"/>
        </w:rPr>
        <w:t>4</w:t>
      </w:r>
    </w:p>
    <w:p>
      <w:pPr>
        <w:pStyle w:val="BodyText"/>
        <w:spacing w:before="202"/>
        <w:ind w:left="3121" w:right="3873"/>
        <w:jc w:val="center"/>
      </w:pPr>
      <w:r>
        <w:rPr/>
        <w:t>Micronutrimentos</w:t>
      </w:r>
    </w:p>
    <w:p>
      <w:pPr>
        <w:pStyle w:val="BodyText"/>
        <w:tabs>
          <w:tab w:pos="5913" w:val="left" w:leader="none"/>
        </w:tabs>
        <w:spacing w:before="194"/>
        <w:ind w:left="873" w:right="983"/>
        <w:rPr>
          <w:sz w:val="16"/>
        </w:rPr>
      </w:pPr>
      <w:r>
        <w:rPr/>
        <w:t>Cloro</w:t>
        <w:tab/>
        <w:t>Cl</w:t>
      </w:r>
      <w:r>
        <w:rPr>
          <w:position w:val="8"/>
          <w:sz w:val="16"/>
        </w:rPr>
        <w:t>-</w:t>
      </w:r>
    </w:p>
    <w:p>
      <w:pPr>
        <w:pStyle w:val="BodyText"/>
        <w:tabs>
          <w:tab w:pos="5899" w:val="left" w:leader="none"/>
        </w:tabs>
        <w:spacing w:before="199"/>
        <w:ind w:left="873" w:right="983"/>
        <w:rPr>
          <w:sz w:val="16"/>
        </w:rPr>
      </w:pPr>
      <w:r>
        <w:rPr/>
        <w:pict>
          <v:shape style="position:absolute;margin-left:407.879822pt;margin-top:10.740744pt;width:2.7pt;height:8.0500pt;mso-position-horizontal-relative:page;mso-position-vertical-relative:paragraph;z-index:-85480"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osition w:val="1"/>
        </w:rPr>
        <w:t>Boro</w:t>
      </w:r>
      <w:r>
        <w:rPr>
          <w:spacing w:val="-1"/>
          <w:position w:val="1"/>
        </w:rPr>
        <w:t> </w:t>
      </w:r>
      <w:r>
        <w:rPr>
          <w:position w:val="1"/>
        </w:rPr>
        <w:t>(B)</w:t>
        <w:tab/>
        <w:t>H</w:t>
      </w:r>
      <w:r>
        <w:rPr>
          <w:sz w:val="16"/>
        </w:rPr>
        <w:t>3</w:t>
      </w:r>
      <w:r>
        <w:rPr>
          <w:position w:val="1"/>
        </w:rPr>
        <w:t>BO</w:t>
      </w:r>
      <w:r>
        <w:rPr>
          <w:sz w:val="16"/>
        </w:rPr>
        <w:t>3</w:t>
      </w:r>
    </w:p>
    <w:p>
      <w:pPr>
        <w:pStyle w:val="BodyText"/>
        <w:tabs>
          <w:tab w:pos="5899" w:val="left" w:leader="none"/>
        </w:tabs>
        <w:spacing w:before="197"/>
        <w:ind w:left="873" w:right="983"/>
        <w:rPr>
          <w:sz w:val="16"/>
        </w:rPr>
      </w:pPr>
      <w:r>
        <w:rPr/>
        <w:t>Hierro</w:t>
      </w:r>
      <w:r>
        <w:rPr>
          <w:spacing w:val="-1"/>
        </w:rPr>
        <w:t> </w:t>
      </w:r>
      <w:r>
        <w:rPr/>
        <w:t>(Fe)</w:t>
        <w:tab/>
        <w:t>Fe</w:t>
      </w:r>
      <w:r>
        <w:rPr>
          <w:position w:val="8"/>
          <w:sz w:val="16"/>
        </w:rPr>
        <w:t>2+</w:t>
      </w:r>
      <w:r>
        <w:rPr/>
        <w:t>,</w:t>
      </w:r>
      <w:r>
        <w:rPr>
          <w:spacing w:val="-5"/>
        </w:rPr>
        <w:t> </w:t>
      </w:r>
      <w:r>
        <w:rPr/>
        <w:t>Fe</w:t>
      </w:r>
      <w:r>
        <w:rPr>
          <w:position w:val="8"/>
          <w:sz w:val="16"/>
        </w:rPr>
        <w:t>3+</w:t>
      </w:r>
    </w:p>
    <w:p>
      <w:pPr>
        <w:pStyle w:val="BodyText"/>
        <w:tabs>
          <w:tab w:pos="5927" w:val="left" w:leader="none"/>
        </w:tabs>
        <w:spacing w:before="194"/>
        <w:ind w:left="873" w:right="983"/>
        <w:rPr>
          <w:sz w:val="16"/>
        </w:rPr>
      </w:pPr>
      <w:r>
        <w:rPr/>
        <w:t>Manganeso</w:t>
        <w:tab/>
        <w:t>Mn</w:t>
      </w:r>
      <w:r>
        <w:rPr>
          <w:position w:val="8"/>
          <w:sz w:val="16"/>
        </w:rPr>
        <w:t>2+</w:t>
      </w:r>
    </w:p>
    <w:p>
      <w:pPr>
        <w:pStyle w:val="BodyText"/>
        <w:tabs>
          <w:tab w:pos="5899" w:val="left" w:leader="none"/>
        </w:tabs>
        <w:spacing w:before="194"/>
        <w:ind w:left="873" w:right="983"/>
        <w:rPr>
          <w:sz w:val="16"/>
        </w:rPr>
      </w:pPr>
      <w:r>
        <w:rPr/>
        <w:t>Zinc</w:t>
      </w:r>
      <w:r>
        <w:rPr>
          <w:spacing w:val="-2"/>
        </w:rPr>
        <w:t> </w:t>
      </w:r>
      <w:r>
        <w:rPr/>
        <w:t>(Zn)</w:t>
        <w:tab/>
        <w:t>Zn</w:t>
      </w:r>
      <w:r>
        <w:rPr>
          <w:position w:val="8"/>
          <w:sz w:val="16"/>
        </w:rPr>
        <w:t>2+</w:t>
      </w:r>
    </w:p>
    <w:p>
      <w:pPr>
        <w:pStyle w:val="BodyText"/>
        <w:tabs>
          <w:tab w:pos="5927" w:val="left" w:leader="none"/>
        </w:tabs>
        <w:spacing w:before="196"/>
        <w:ind w:left="873" w:right="983"/>
        <w:rPr>
          <w:sz w:val="16"/>
        </w:rPr>
      </w:pPr>
      <w:r>
        <w:rPr/>
        <w:t>Cobre</w:t>
      </w:r>
      <w:r>
        <w:rPr>
          <w:spacing w:val="-1"/>
        </w:rPr>
        <w:t> </w:t>
      </w:r>
      <w:r>
        <w:rPr/>
        <w:t>(Cu)</w:t>
        <w:tab/>
        <w:t>Cu</w:t>
      </w:r>
      <w:r>
        <w:rPr>
          <w:position w:val="8"/>
          <w:sz w:val="16"/>
        </w:rPr>
        <w:t>2+</w:t>
      </w:r>
    </w:p>
    <w:p>
      <w:pPr>
        <w:pStyle w:val="BodyText"/>
        <w:tabs>
          <w:tab w:pos="5939" w:val="left" w:leader="none"/>
        </w:tabs>
        <w:spacing w:before="194"/>
        <w:ind w:left="873" w:right="983"/>
        <w:rPr>
          <w:sz w:val="16"/>
        </w:rPr>
      </w:pPr>
      <w:r>
        <w:rPr/>
        <w:t>Molibdeno</w:t>
      </w:r>
      <w:r>
        <w:rPr>
          <w:spacing w:val="-2"/>
        </w:rPr>
        <w:t> </w:t>
      </w:r>
      <w:r>
        <w:rPr/>
        <w:t>(Mo)</w:t>
        <w:tab/>
        <w:t>MoO</w:t>
      </w:r>
      <w:r>
        <w:rPr>
          <w:position w:val="8"/>
          <w:sz w:val="16"/>
        </w:rPr>
        <w:t>2-</w:t>
      </w:r>
    </w:p>
    <w:p>
      <w:pPr>
        <w:pStyle w:val="BodyText"/>
        <w:rPr>
          <w:sz w:val="14"/>
        </w:rPr>
      </w:pPr>
      <w:r>
        <w:rPr/>
        <w:pict>
          <v:line style="position:absolute;mso-position-horizontal-relative:page;mso-position-vertical-relative:paragraph;z-index:1048;mso-wrap-distance-left:0;mso-wrap-distance-right:0" from="84pt,10.296942pt" to="529.55999pt,10.296942pt" stroked="true" strokeweight=".48pt" strokecolor="#000000">
            <w10:wrap type="topAndBottom"/>
          </v:line>
        </w:pict>
      </w:r>
    </w:p>
    <w:p>
      <w:pPr>
        <w:pStyle w:val="BodyText"/>
        <w:spacing w:line="245" w:lineRule="exact"/>
        <w:ind w:left="141" w:right="983"/>
      </w:pPr>
      <w:r>
        <w:rPr/>
        <w:t>(Benton, 2012)</w:t>
      </w:r>
    </w:p>
    <w:p>
      <w:pPr>
        <w:spacing w:after="0" w:line="245" w:lineRule="exact"/>
        <w:sectPr>
          <w:pgSz w:w="12240" w:h="15840"/>
          <w:pgMar w:header="0" w:footer="1005" w:top="1360" w:bottom="1200" w:left="1560" w:right="1540"/>
        </w:sectPr>
      </w:pPr>
    </w:p>
    <w:p>
      <w:pPr>
        <w:pStyle w:val="Heading1"/>
        <w:numPr>
          <w:ilvl w:val="2"/>
          <w:numId w:val="6"/>
        </w:numPr>
        <w:tabs>
          <w:tab w:pos="1480" w:val="left" w:leader="none"/>
        </w:tabs>
        <w:spacing w:line="240" w:lineRule="auto" w:before="54" w:after="0"/>
        <w:ind w:left="1479" w:right="0" w:hanging="670"/>
        <w:jc w:val="left"/>
      </w:pPr>
      <w:bookmarkStart w:name="_TOC_250030" w:id="9"/>
      <w:bookmarkEnd w:id="9"/>
      <w:r>
        <w:rPr/>
        <w:t>Macronutrimentos</w:t>
      </w:r>
    </w:p>
    <w:p>
      <w:pPr>
        <w:pStyle w:val="BodyText"/>
        <w:spacing w:before="2"/>
        <w:rPr>
          <w:b/>
          <w:sz w:val="29"/>
        </w:rPr>
      </w:pPr>
    </w:p>
    <w:p>
      <w:pPr>
        <w:pStyle w:val="BodyText"/>
        <w:spacing w:line="480" w:lineRule="auto"/>
        <w:ind w:left="101" w:right="117"/>
        <w:jc w:val="both"/>
      </w:pPr>
      <w:r>
        <w:rPr/>
        <w:t>Los macronutrimentos se establecen como esenciales al encontrarse presentes en la materia seca de los cultivos (P, K, Ca, Mg y S) (Benton, 2012). Cabe resaltar la importancia de aportar NPK en los cultivos por ser elementos básicos en las fórmulas de fertilización química. Los elementos C, H y O, son indispensables para la fotosíntesis. Los macronutrimentos se requieren para un óptimo crecimiento de las</w:t>
      </w:r>
      <w:r>
        <w:rPr>
          <w:spacing w:val="-7"/>
        </w:rPr>
        <w:t> </w:t>
      </w:r>
      <w:r>
        <w:rPr/>
        <w:t>plantas,</w:t>
      </w:r>
      <w:r>
        <w:rPr>
          <w:spacing w:val="-6"/>
        </w:rPr>
        <w:t> </w:t>
      </w:r>
      <w:r>
        <w:rPr/>
        <w:t>completar</w:t>
      </w:r>
      <w:r>
        <w:rPr>
          <w:spacing w:val="-7"/>
        </w:rPr>
        <w:t> </w:t>
      </w:r>
      <w:r>
        <w:rPr/>
        <w:t>su</w:t>
      </w:r>
      <w:r>
        <w:rPr>
          <w:spacing w:val="-6"/>
        </w:rPr>
        <w:t> </w:t>
      </w:r>
      <w:r>
        <w:rPr/>
        <w:t>ciclo</w:t>
      </w:r>
      <w:r>
        <w:rPr>
          <w:spacing w:val="-6"/>
        </w:rPr>
        <w:t> </w:t>
      </w:r>
      <w:r>
        <w:rPr/>
        <w:t>de</w:t>
      </w:r>
      <w:r>
        <w:rPr>
          <w:spacing w:val="-6"/>
        </w:rPr>
        <w:t> </w:t>
      </w:r>
      <w:r>
        <w:rPr/>
        <w:t>vida</w:t>
      </w:r>
      <w:r>
        <w:rPr>
          <w:spacing w:val="-6"/>
        </w:rPr>
        <w:t> </w:t>
      </w:r>
      <w:r>
        <w:rPr/>
        <w:t>y</w:t>
      </w:r>
      <w:r>
        <w:rPr>
          <w:spacing w:val="-9"/>
        </w:rPr>
        <w:t> </w:t>
      </w:r>
      <w:r>
        <w:rPr/>
        <w:t>lograr</w:t>
      </w:r>
      <w:r>
        <w:rPr>
          <w:spacing w:val="-7"/>
        </w:rPr>
        <w:t> </w:t>
      </w:r>
      <w:r>
        <w:rPr/>
        <w:t>una</w:t>
      </w:r>
      <w:r>
        <w:rPr>
          <w:spacing w:val="-6"/>
        </w:rPr>
        <w:t> </w:t>
      </w:r>
      <w:r>
        <w:rPr/>
        <w:t>calidad</w:t>
      </w:r>
      <w:r>
        <w:rPr>
          <w:spacing w:val="-6"/>
        </w:rPr>
        <w:t> </w:t>
      </w:r>
      <w:r>
        <w:rPr/>
        <w:t>idónea</w:t>
      </w:r>
      <w:r>
        <w:rPr>
          <w:spacing w:val="-8"/>
        </w:rPr>
        <w:t> </w:t>
      </w:r>
      <w:r>
        <w:rPr/>
        <w:t>al</w:t>
      </w:r>
      <w:r>
        <w:rPr>
          <w:spacing w:val="-7"/>
        </w:rPr>
        <w:t> </w:t>
      </w:r>
      <w:r>
        <w:rPr/>
        <w:t>momento</w:t>
      </w:r>
      <w:r>
        <w:rPr>
          <w:spacing w:val="-6"/>
        </w:rPr>
        <w:t> </w:t>
      </w:r>
      <w:r>
        <w:rPr/>
        <w:t>de</w:t>
      </w:r>
      <w:r>
        <w:rPr>
          <w:spacing w:val="-6"/>
        </w:rPr>
        <w:t> </w:t>
      </w:r>
      <w:r>
        <w:rPr/>
        <w:t>la cosecha (Benton, 2012; Datnoff </w:t>
      </w:r>
      <w:r>
        <w:rPr>
          <w:i/>
        </w:rPr>
        <w:t>et al</w:t>
      </w:r>
      <w:r>
        <w:rPr/>
        <w:t>.,</w:t>
      </w:r>
      <w:r>
        <w:rPr>
          <w:spacing w:val="-21"/>
        </w:rPr>
        <w:t> </w:t>
      </w:r>
      <w:r>
        <w:rPr/>
        <w:t>2013).</w:t>
      </w:r>
    </w:p>
    <w:p>
      <w:pPr>
        <w:pStyle w:val="BodyText"/>
        <w:spacing w:line="480" w:lineRule="auto" w:before="207"/>
        <w:ind w:left="101" w:right="116"/>
        <w:jc w:val="both"/>
      </w:pPr>
      <w:r>
        <w:rPr/>
        <w:t>El nitrógeno se encuentra en la planta en forma orgánica e inorgánica. Al combinarse con el C, H y O, algunas veces con el S, forma aminoácidos, amino enzimas, ácidos nucleicos, clorofila, alcaloides y bases púricas. El nitrógeno orgánico predomina en las plantas como proteínas de alto peso molecular. El nitrógeno inorgánico puede acumularse en la planta, principalmente en el tallo y </w:t>
      </w:r>
      <w:r>
        <w:rPr>
          <w:position w:val="1"/>
        </w:rPr>
        <w:t>distribuirse en los tejidos en forma de nitrato (NO</w:t>
      </w:r>
      <w:r>
        <w:rPr>
          <w:sz w:val="16"/>
        </w:rPr>
        <w:t>3</w:t>
      </w:r>
      <w:r>
        <w:rPr>
          <w:position w:val="1"/>
        </w:rPr>
        <w:t>) (Datnoff </w:t>
      </w:r>
      <w:r>
        <w:rPr>
          <w:i/>
          <w:position w:val="1"/>
        </w:rPr>
        <w:t>et al</w:t>
      </w:r>
      <w:r>
        <w:rPr>
          <w:position w:val="1"/>
        </w:rPr>
        <w:t>., 2013)</w:t>
      </w:r>
    </w:p>
    <w:p>
      <w:pPr>
        <w:pStyle w:val="BodyText"/>
        <w:spacing w:line="480" w:lineRule="auto" w:before="210"/>
        <w:ind w:left="101" w:right="114"/>
        <w:jc w:val="both"/>
      </w:pPr>
      <w:r>
        <w:rPr/>
        <w:t>El fósforo es un componente de ciertas enzimas y proteínas, componente del adenosin trifosfato (ATP), responsable de reacciones para la transferencia de energía. Constituye los ácidos nucleicos: ácido ribonucleico (ARN) y desoxirribonucleico</w:t>
      </w:r>
      <w:r>
        <w:rPr>
          <w:spacing w:val="-17"/>
        </w:rPr>
        <w:t> </w:t>
      </w:r>
      <w:r>
        <w:rPr/>
        <w:t>(ADN),</w:t>
      </w:r>
      <w:r>
        <w:rPr>
          <w:spacing w:val="-17"/>
        </w:rPr>
        <w:t> </w:t>
      </w:r>
      <w:r>
        <w:rPr/>
        <w:t>responsables</w:t>
      </w:r>
      <w:r>
        <w:rPr>
          <w:spacing w:val="-20"/>
        </w:rPr>
        <w:t> </w:t>
      </w:r>
      <w:r>
        <w:rPr/>
        <w:t>de</w:t>
      </w:r>
      <w:r>
        <w:rPr>
          <w:spacing w:val="-19"/>
        </w:rPr>
        <w:t> </w:t>
      </w:r>
      <w:r>
        <w:rPr/>
        <w:t>la</w:t>
      </w:r>
      <w:r>
        <w:rPr>
          <w:spacing w:val="-17"/>
        </w:rPr>
        <w:t> </w:t>
      </w:r>
      <w:r>
        <w:rPr/>
        <w:t>información</w:t>
      </w:r>
      <w:r>
        <w:rPr>
          <w:spacing w:val="-17"/>
        </w:rPr>
        <w:t> </w:t>
      </w:r>
      <w:r>
        <w:rPr/>
        <w:t>genética</w:t>
      </w:r>
      <w:r>
        <w:rPr>
          <w:spacing w:val="-21"/>
        </w:rPr>
        <w:t> </w:t>
      </w:r>
      <w:r>
        <w:rPr/>
        <w:t>(Benton,</w:t>
      </w:r>
      <w:r>
        <w:rPr>
          <w:spacing w:val="-20"/>
        </w:rPr>
        <w:t> </w:t>
      </w:r>
      <w:r>
        <w:rPr/>
        <w:t>2012).</w:t>
      </w:r>
    </w:p>
    <w:p>
      <w:pPr>
        <w:pStyle w:val="BodyText"/>
        <w:spacing w:line="480" w:lineRule="auto" w:before="204"/>
        <w:ind w:left="101" w:right="117"/>
        <w:jc w:val="both"/>
      </w:pPr>
      <w:r>
        <w:rPr/>
        <w:t>El potasio por su parte participa en la regulación de agua en la planta, la turgencia y crecimiento celular, en la apertura y cierre de los estomas. Indispensable en la acumulación</w:t>
      </w:r>
      <w:r>
        <w:rPr>
          <w:spacing w:val="-16"/>
        </w:rPr>
        <w:t> </w:t>
      </w:r>
      <w:r>
        <w:rPr/>
        <w:t>y</w:t>
      </w:r>
      <w:r>
        <w:rPr>
          <w:spacing w:val="-19"/>
        </w:rPr>
        <w:t> </w:t>
      </w:r>
      <w:r>
        <w:rPr/>
        <w:t>translocación</w:t>
      </w:r>
      <w:r>
        <w:rPr>
          <w:spacing w:val="-16"/>
        </w:rPr>
        <w:t> </w:t>
      </w:r>
      <w:r>
        <w:rPr/>
        <w:t>de</w:t>
      </w:r>
      <w:r>
        <w:rPr>
          <w:spacing w:val="-16"/>
        </w:rPr>
        <w:t> </w:t>
      </w:r>
      <w:r>
        <w:rPr/>
        <w:t>carbohidratos,</w:t>
      </w:r>
      <w:r>
        <w:rPr>
          <w:spacing w:val="-16"/>
        </w:rPr>
        <w:t> </w:t>
      </w:r>
      <w:r>
        <w:rPr/>
        <w:t>síntesis</w:t>
      </w:r>
      <w:r>
        <w:rPr>
          <w:spacing w:val="-17"/>
        </w:rPr>
        <w:t> </w:t>
      </w:r>
      <w:r>
        <w:rPr/>
        <w:t>de</w:t>
      </w:r>
      <w:r>
        <w:rPr>
          <w:spacing w:val="-16"/>
        </w:rPr>
        <w:t> </w:t>
      </w:r>
      <w:r>
        <w:rPr/>
        <w:t>proteínas</w:t>
      </w:r>
      <w:r>
        <w:rPr>
          <w:spacing w:val="-17"/>
        </w:rPr>
        <w:t> </w:t>
      </w:r>
      <w:r>
        <w:rPr/>
        <w:t>(Benton,</w:t>
      </w:r>
      <w:r>
        <w:rPr>
          <w:spacing w:val="-16"/>
        </w:rPr>
        <w:t> </w:t>
      </w:r>
      <w:r>
        <w:rPr/>
        <w:t>2012).</w:t>
      </w:r>
    </w:p>
    <w:p>
      <w:pPr>
        <w:spacing w:after="0" w:line="480" w:lineRule="auto"/>
        <w:jc w:val="both"/>
        <w:sectPr>
          <w:pgSz w:w="12240" w:h="15840"/>
          <w:pgMar w:header="0" w:footer="1005" w:top="1360" w:bottom="1200" w:left="1600" w:right="1580"/>
        </w:sectPr>
      </w:pPr>
    </w:p>
    <w:p>
      <w:pPr>
        <w:pStyle w:val="BodyText"/>
        <w:spacing w:line="477" w:lineRule="auto" w:before="51"/>
        <w:ind w:left="101" w:right="114"/>
        <w:jc w:val="both"/>
      </w:pPr>
      <w:r>
        <w:rPr/>
        <w:t>Para el caso de las plantas bulbosas, las reservas nutrimentales con las que cuentan</w:t>
      </w:r>
      <w:r>
        <w:rPr>
          <w:spacing w:val="-9"/>
        </w:rPr>
        <w:t> </w:t>
      </w:r>
      <w:r>
        <w:rPr/>
        <w:t>los</w:t>
      </w:r>
      <w:r>
        <w:rPr>
          <w:spacing w:val="-13"/>
        </w:rPr>
        <w:t> </w:t>
      </w:r>
      <w:r>
        <w:rPr/>
        <w:t>bulbos</w:t>
      </w:r>
      <w:r>
        <w:rPr>
          <w:spacing w:val="-10"/>
        </w:rPr>
        <w:t> </w:t>
      </w:r>
      <w:r>
        <w:rPr/>
        <w:t>no</w:t>
      </w:r>
      <w:r>
        <w:rPr>
          <w:spacing w:val="-12"/>
        </w:rPr>
        <w:t> </w:t>
      </w:r>
      <w:r>
        <w:rPr/>
        <w:t>son</w:t>
      </w:r>
      <w:r>
        <w:rPr>
          <w:spacing w:val="-9"/>
        </w:rPr>
        <w:t> </w:t>
      </w:r>
      <w:r>
        <w:rPr/>
        <w:t>suficientes</w:t>
      </w:r>
      <w:r>
        <w:rPr>
          <w:spacing w:val="-13"/>
        </w:rPr>
        <w:t> </w:t>
      </w:r>
      <w:r>
        <w:rPr/>
        <w:t>para</w:t>
      </w:r>
      <w:r>
        <w:rPr>
          <w:spacing w:val="-9"/>
        </w:rPr>
        <w:t> </w:t>
      </w:r>
      <w:r>
        <w:rPr/>
        <w:t>garantizar</w:t>
      </w:r>
      <w:r>
        <w:rPr>
          <w:spacing w:val="-11"/>
        </w:rPr>
        <w:t> </w:t>
      </w:r>
      <w:r>
        <w:rPr/>
        <w:t>la</w:t>
      </w:r>
      <w:r>
        <w:rPr>
          <w:spacing w:val="-9"/>
        </w:rPr>
        <w:t> </w:t>
      </w:r>
      <w:r>
        <w:rPr/>
        <w:t>calidad</w:t>
      </w:r>
      <w:r>
        <w:rPr>
          <w:spacing w:val="-9"/>
        </w:rPr>
        <w:t> </w:t>
      </w:r>
      <w:r>
        <w:rPr/>
        <w:t>de</w:t>
      </w:r>
      <w:r>
        <w:rPr>
          <w:spacing w:val="-9"/>
        </w:rPr>
        <w:t> </w:t>
      </w:r>
      <w:r>
        <w:rPr/>
        <w:t>los</w:t>
      </w:r>
      <w:r>
        <w:rPr>
          <w:spacing w:val="-10"/>
        </w:rPr>
        <w:t> </w:t>
      </w:r>
      <w:r>
        <w:rPr/>
        <w:t>tallos</w:t>
      </w:r>
      <w:r>
        <w:rPr>
          <w:spacing w:val="-13"/>
        </w:rPr>
        <w:t> </w:t>
      </w:r>
      <w:r>
        <w:rPr/>
        <w:t>florales (Rodríguez-Mendoza</w:t>
      </w:r>
      <w:r>
        <w:rPr>
          <w:spacing w:val="-7"/>
        </w:rPr>
        <w:t> </w:t>
      </w:r>
      <w:r>
        <w:rPr>
          <w:i/>
        </w:rPr>
        <w:t>et</w:t>
      </w:r>
      <w:r>
        <w:rPr>
          <w:i/>
          <w:spacing w:val="-7"/>
        </w:rPr>
        <w:t> </w:t>
      </w:r>
      <w:r>
        <w:rPr>
          <w:i/>
        </w:rPr>
        <w:t>al</w:t>
      </w:r>
      <w:r>
        <w:rPr/>
        <w:t>.,</w:t>
      </w:r>
      <w:r>
        <w:rPr>
          <w:spacing w:val="-10"/>
        </w:rPr>
        <w:t> </w:t>
      </w:r>
      <w:r>
        <w:rPr/>
        <w:t>2011).</w:t>
      </w:r>
      <w:r>
        <w:rPr>
          <w:spacing w:val="-10"/>
        </w:rPr>
        <w:t> </w:t>
      </w:r>
      <w:r>
        <w:rPr/>
        <w:t>Por</w:t>
      </w:r>
      <w:r>
        <w:rPr>
          <w:spacing w:val="-8"/>
        </w:rPr>
        <w:t> </w:t>
      </w:r>
      <w:r>
        <w:rPr/>
        <w:t>lo</w:t>
      </w:r>
      <w:r>
        <w:rPr>
          <w:spacing w:val="-9"/>
        </w:rPr>
        <w:t> </w:t>
      </w:r>
      <w:r>
        <w:rPr/>
        <w:t>cual,</w:t>
      </w:r>
      <w:r>
        <w:rPr>
          <w:spacing w:val="-10"/>
        </w:rPr>
        <w:t> </w:t>
      </w:r>
      <w:r>
        <w:rPr/>
        <w:t>a</w:t>
      </w:r>
      <w:r>
        <w:rPr>
          <w:spacing w:val="-9"/>
        </w:rPr>
        <w:t> </w:t>
      </w:r>
      <w:r>
        <w:rPr/>
        <w:t>partir</w:t>
      </w:r>
      <w:r>
        <w:rPr>
          <w:spacing w:val="-8"/>
        </w:rPr>
        <w:t> </w:t>
      </w:r>
      <w:r>
        <w:rPr/>
        <w:t>de</w:t>
      </w:r>
      <w:r>
        <w:rPr>
          <w:spacing w:val="-7"/>
        </w:rPr>
        <w:t> </w:t>
      </w:r>
      <w:r>
        <w:rPr/>
        <w:t>la</w:t>
      </w:r>
      <w:r>
        <w:rPr>
          <w:spacing w:val="-9"/>
        </w:rPr>
        <w:t> </w:t>
      </w:r>
      <w:r>
        <w:rPr/>
        <w:t>obtención</w:t>
      </w:r>
      <w:r>
        <w:rPr>
          <w:spacing w:val="-7"/>
        </w:rPr>
        <w:t> </w:t>
      </w:r>
      <w:r>
        <w:rPr/>
        <w:t>de</w:t>
      </w:r>
      <w:r>
        <w:rPr>
          <w:spacing w:val="-7"/>
        </w:rPr>
        <w:t> </w:t>
      </w:r>
      <w:r>
        <w:rPr/>
        <w:t>las</w:t>
      </w:r>
      <w:r>
        <w:rPr>
          <w:spacing w:val="-10"/>
        </w:rPr>
        <w:t> </w:t>
      </w:r>
      <w:r>
        <w:rPr/>
        <w:t>curvas de absorción de nutrimentos de las variedades de lilis ‘Brunello’, ‘Algarve’, y ‘Alma Ata’, Barrantes </w:t>
      </w:r>
      <w:r>
        <w:rPr>
          <w:i/>
        </w:rPr>
        <w:t>et al</w:t>
      </w:r>
      <w:r>
        <w:rPr/>
        <w:t>., (2012), indicaron que en las primeras 4 semanas de un ciclo total de 12 a 14 semanas, la mayor parte de los nutrimentos que utiliza la planta provienen</w:t>
      </w:r>
      <w:r>
        <w:rPr>
          <w:spacing w:val="-11"/>
        </w:rPr>
        <w:t> </w:t>
      </w:r>
      <w:r>
        <w:rPr/>
        <w:t>del</w:t>
      </w:r>
      <w:r>
        <w:rPr>
          <w:spacing w:val="-12"/>
        </w:rPr>
        <w:t> </w:t>
      </w:r>
      <w:r>
        <w:rPr/>
        <w:t>bulbo.</w:t>
      </w:r>
      <w:r>
        <w:rPr>
          <w:spacing w:val="-11"/>
        </w:rPr>
        <w:t> </w:t>
      </w:r>
      <w:r>
        <w:rPr/>
        <w:t>Los</w:t>
      </w:r>
      <w:r>
        <w:rPr>
          <w:spacing w:val="-9"/>
        </w:rPr>
        <w:t> </w:t>
      </w:r>
      <w:r>
        <w:rPr/>
        <w:t>contenidos</w:t>
      </w:r>
      <w:r>
        <w:rPr>
          <w:spacing w:val="-12"/>
        </w:rPr>
        <w:t> </w:t>
      </w:r>
      <w:r>
        <w:rPr/>
        <w:t>de</w:t>
      </w:r>
      <w:r>
        <w:rPr>
          <w:spacing w:val="-11"/>
        </w:rPr>
        <w:t> </w:t>
      </w:r>
      <w:r>
        <w:rPr/>
        <w:t>nutrimentos</w:t>
      </w:r>
      <w:r>
        <w:rPr>
          <w:spacing w:val="-12"/>
        </w:rPr>
        <w:t> </w:t>
      </w:r>
      <w:r>
        <w:rPr/>
        <w:t>de</w:t>
      </w:r>
      <w:r>
        <w:rPr>
          <w:spacing w:val="-11"/>
        </w:rPr>
        <w:t> </w:t>
      </w:r>
      <w:r>
        <w:rPr/>
        <w:t>N,</w:t>
      </w:r>
      <w:r>
        <w:rPr>
          <w:spacing w:val="-11"/>
        </w:rPr>
        <w:t> </w:t>
      </w:r>
      <w:r>
        <w:rPr/>
        <w:t>P</w:t>
      </w:r>
      <w:r>
        <w:rPr>
          <w:spacing w:val="-8"/>
        </w:rPr>
        <w:t> </w:t>
      </w:r>
      <w:r>
        <w:rPr/>
        <w:t>y</w:t>
      </w:r>
      <w:r>
        <w:rPr>
          <w:spacing w:val="-12"/>
        </w:rPr>
        <w:t> </w:t>
      </w:r>
      <w:r>
        <w:rPr/>
        <w:t>K</w:t>
      </w:r>
      <w:r>
        <w:rPr>
          <w:spacing w:val="-11"/>
        </w:rPr>
        <w:t> </w:t>
      </w:r>
      <w:r>
        <w:rPr/>
        <w:t>en</w:t>
      </w:r>
      <w:r>
        <w:rPr>
          <w:spacing w:val="-13"/>
        </w:rPr>
        <w:t> </w:t>
      </w:r>
      <w:r>
        <w:rPr/>
        <w:t>los</w:t>
      </w:r>
      <w:r>
        <w:rPr>
          <w:spacing w:val="-9"/>
        </w:rPr>
        <w:t> </w:t>
      </w:r>
      <w:r>
        <w:rPr/>
        <w:t>bulbos</w:t>
      </w:r>
      <w:r>
        <w:rPr>
          <w:spacing w:val="-12"/>
        </w:rPr>
        <w:t> </w:t>
      </w:r>
      <w:r>
        <w:rPr/>
        <w:t>de</w:t>
      </w:r>
      <w:r>
        <w:rPr>
          <w:spacing w:val="-11"/>
        </w:rPr>
        <w:t> </w:t>
      </w:r>
      <w:r>
        <w:rPr/>
        <w:t>los cultivares anteriores, al momento de la siembra oscilaron entre 144-178, 19-28 y 160-174 mg</w:t>
      </w:r>
      <w:r>
        <w:rPr>
          <w:position w:val="8"/>
          <w:sz w:val="16"/>
        </w:rPr>
        <w:t>.</w:t>
      </w:r>
      <w:r>
        <w:rPr/>
        <w:t>bulbo</w:t>
      </w:r>
      <w:r>
        <w:rPr>
          <w:position w:val="8"/>
          <w:sz w:val="16"/>
        </w:rPr>
        <w:t>-1</w:t>
      </w:r>
      <w:r>
        <w:rPr/>
        <w:t>, respectivamente; mientras que para una producción de 66 tallos</w:t>
      </w:r>
      <w:r>
        <w:rPr>
          <w:position w:val="8"/>
          <w:sz w:val="16"/>
        </w:rPr>
        <w:t>.</w:t>
      </w:r>
      <w:r>
        <w:rPr/>
        <w:t>m</w:t>
      </w:r>
      <w:r>
        <w:rPr>
          <w:position w:val="8"/>
          <w:sz w:val="16"/>
        </w:rPr>
        <w:t>-2 </w:t>
      </w:r>
      <w:r>
        <w:rPr/>
        <w:t>(de ‘Alma Ata’) el consumo por la parte aérea fluctuó entre 15-18 g</w:t>
      </w:r>
      <w:r>
        <w:rPr>
          <w:position w:val="8"/>
          <w:sz w:val="16"/>
        </w:rPr>
        <w:t>.</w:t>
      </w:r>
      <w:r>
        <w:rPr/>
        <w:t>m</w:t>
      </w:r>
      <w:r>
        <w:rPr>
          <w:position w:val="8"/>
          <w:sz w:val="16"/>
        </w:rPr>
        <w:t>-2 </w:t>
      </w:r>
      <w:r>
        <w:rPr/>
        <w:t>y para 72 tallos</w:t>
      </w:r>
      <w:r>
        <w:rPr>
          <w:position w:val="8"/>
          <w:sz w:val="16"/>
        </w:rPr>
        <w:t>.</w:t>
      </w:r>
      <w:r>
        <w:rPr/>
        <w:t>m</w:t>
      </w:r>
      <w:r>
        <w:rPr>
          <w:position w:val="8"/>
          <w:sz w:val="16"/>
        </w:rPr>
        <w:t>-2 </w:t>
      </w:r>
      <w:r>
        <w:rPr/>
        <w:t>(de ‘Brunello y Algave’) el consumo fue entre 1.2-1.6 y 26.7-40.3 g</w:t>
      </w:r>
      <w:r>
        <w:rPr>
          <w:position w:val="8"/>
          <w:sz w:val="16"/>
        </w:rPr>
        <w:t>.</w:t>
      </w:r>
      <w:r>
        <w:rPr/>
        <w:t>m</w:t>
      </w:r>
      <w:r>
        <w:rPr>
          <w:position w:val="8"/>
          <w:sz w:val="16"/>
        </w:rPr>
        <w:t>-2</w:t>
      </w:r>
      <w:r>
        <w:rPr/>
        <w:t>, respectivamente. En todas las variedades, la mayor absorción de estos nutrimentos ocurrió al final del periodo de vida (Barrantes </w:t>
      </w:r>
      <w:r>
        <w:rPr>
          <w:i/>
        </w:rPr>
        <w:t>et al.,</w:t>
      </w:r>
      <w:r>
        <w:rPr>
          <w:i/>
          <w:spacing w:val="-39"/>
        </w:rPr>
        <w:t> </w:t>
      </w:r>
      <w:r>
        <w:rPr/>
        <w:t>2012).</w:t>
      </w:r>
    </w:p>
    <w:p>
      <w:pPr>
        <w:pStyle w:val="BodyText"/>
        <w:spacing w:line="480" w:lineRule="auto" w:before="13"/>
        <w:ind w:left="101" w:right="116"/>
        <w:jc w:val="both"/>
      </w:pPr>
      <w:r>
        <w:rPr/>
        <w:t>Se tienen evidencias de </w:t>
      </w:r>
      <w:r>
        <w:rPr>
          <w:color w:val="221E1F"/>
        </w:rPr>
        <w:t>que el nitrógeno en los bulbos es insuficiente para cubrir completamente la demanda en el periodo de crecimiento, por lo que es importante suministrar alguna fuente externa de N, P y K sin llegar al exceso </w:t>
      </w:r>
      <w:r>
        <w:rPr/>
        <w:t>que repercute en la calidad de la flor </w:t>
      </w:r>
      <w:r>
        <w:rPr>
          <w:color w:val="221E1F"/>
        </w:rPr>
        <w:t>(Artacho-Vargas &amp; Pinochet-Tejos, 2008)</w:t>
      </w:r>
      <w:r>
        <w:rPr/>
        <w:t>. Cuando hay deficiencias nutrimentales es posible que los tallos no desarrollen con vigor, se presenten más largos y delgados y se curven con facilidad (Bañon </w:t>
      </w:r>
      <w:r>
        <w:rPr>
          <w:i/>
        </w:rPr>
        <w:t>et al</w:t>
      </w:r>
      <w:r>
        <w:rPr/>
        <w:t>., 1993).</w:t>
      </w:r>
    </w:p>
    <w:p>
      <w:pPr>
        <w:pStyle w:val="BodyText"/>
        <w:spacing w:line="480" w:lineRule="auto" w:before="10"/>
        <w:ind w:left="101" w:right="117"/>
        <w:jc w:val="both"/>
      </w:pPr>
      <w:r>
        <w:rPr>
          <w:position w:val="1"/>
        </w:rPr>
        <w:t>Por otro lado, la aplicación foliar de potasio (51 % K</w:t>
      </w:r>
      <w:r>
        <w:rPr>
          <w:sz w:val="16"/>
        </w:rPr>
        <w:t>2</w:t>
      </w:r>
      <w:r>
        <w:rPr>
          <w:position w:val="1"/>
        </w:rPr>
        <w:t>O) en combinación con </w:t>
      </w:r>
      <w:r>
        <w:rPr/>
        <w:t>sacarosa, (2 g/l + 2 g/l, respectivamente) 30-10 días antes de la cosecha en 4 variedades de </w:t>
      </w:r>
      <w:r>
        <w:rPr>
          <w:i/>
        </w:rPr>
        <w:t>Lilium </w:t>
      </w:r>
      <w:r>
        <w:rPr/>
        <w:t>asiático, cultivadas durante el invierno y verano, ‘Fangio’, ‘Brindisi’,</w:t>
      </w:r>
      <w:r>
        <w:rPr>
          <w:spacing w:val="-8"/>
        </w:rPr>
        <w:t> </w:t>
      </w:r>
      <w:r>
        <w:rPr/>
        <w:t>‘Tresor’,</w:t>
      </w:r>
      <w:r>
        <w:rPr>
          <w:spacing w:val="-11"/>
        </w:rPr>
        <w:t> </w:t>
      </w:r>
      <w:r>
        <w:rPr/>
        <w:t>aumenta</w:t>
      </w:r>
      <w:r>
        <w:rPr>
          <w:spacing w:val="-10"/>
        </w:rPr>
        <w:t> </w:t>
      </w:r>
      <w:r>
        <w:rPr/>
        <w:t>la</w:t>
      </w:r>
      <w:r>
        <w:rPr>
          <w:spacing w:val="-8"/>
        </w:rPr>
        <w:t> </w:t>
      </w:r>
      <w:r>
        <w:rPr/>
        <w:t>intensidad</w:t>
      </w:r>
      <w:r>
        <w:rPr>
          <w:spacing w:val="-10"/>
        </w:rPr>
        <w:t> </w:t>
      </w:r>
      <w:r>
        <w:rPr/>
        <w:t>del</w:t>
      </w:r>
      <w:r>
        <w:rPr>
          <w:spacing w:val="-9"/>
        </w:rPr>
        <w:t> </w:t>
      </w:r>
      <w:r>
        <w:rPr/>
        <w:t>color</w:t>
      </w:r>
      <w:r>
        <w:rPr>
          <w:spacing w:val="-9"/>
        </w:rPr>
        <w:t> </w:t>
      </w:r>
      <w:r>
        <w:rPr/>
        <w:t>en</w:t>
      </w:r>
      <w:r>
        <w:rPr>
          <w:spacing w:val="-10"/>
        </w:rPr>
        <w:t> </w:t>
      </w:r>
      <w:r>
        <w:rPr/>
        <w:t>las</w:t>
      </w:r>
      <w:r>
        <w:rPr>
          <w:spacing w:val="-11"/>
        </w:rPr>
        <w:t> </w:t>
      </w:r>
      <w:r>
        <w:rPr/>
        <w:t>flores.</w:t>
      </w:r>
      <w:r>
        <w:rPr>
          <w:spacing w:val="-8"/>
        </w:rPr>
        <w:t> </w:t>
      </w:r>
      <w:r>
        <w:rPr/>
        <w:t>Para</w:t>
      </w:r>
      <w:r>
        <w:rPr>
          <w:spacing w:val="-10"/>
        </w:rPr>
        <w:t> </w:t>
      </w:r>
      <w:r>
        <w:rPr/>
        <w:t>las</w:t>
      </w:r>
      <w:r>
        <w:rPr>
          <w:spacing w:val="-9"/>
        </w:rPr>
        <w:t> </w:t>
      </w:r>
      <w:r>
        <w:rPr/>
        <w:t>variedades</w:t>
      </w:r>
    </w:p>
    <w:p>
      <w:pPr>
        <w:spacing w:after="0" w:line="480" w:lineRule="auto"/>
        <w:jc w:val="both"/>
        <w:sectPr>
          <w:footerReference w:type="default" r:id="rId6"/>
          <w:pgSz w:w="12240" w:h="15840"/>
          <w:pgMar w:footer="1005" w:header="0" w:top="1360" w:bottom="1200" w:left="1600" w:right="1580"/>
          <w:pgNumType w:start="10"/>
        </w:sectPr>
      </w:pPr>
    </w:p>
    <w:p>
      <w:pPr>
        <w:pStyle w:val="BodyText"/>
        <w:spacing w:line="477" w:lineRule="auto" w:before="51"/>
        <w:ind w:left="101" w:right="116"/>
        <w:jc w:val="both"/>
      </w:pPr>
      <w:r>
        <w:rPr/>
        <w:t>anteriores además en la variedad ‘Menorca’ se observó una disminución en el aborto de flores durante el invierno (Burchi </w:t>
      </w:r>
      <w:r>
        <w:rPr>
          <w:i/>
        </w:rPr>
        <w:t>et. al</w:t>
      </w:r>
      <w:r>
        <w:rPr/>
        <w:t>. 2010).</w:t>
      </w:r>
    </w:p>
    <w:p>
      <w:pPr>
        <w:pStyle w:val="BodyText"/>
        <w:spacing w:line="480" w:lineRule="auto" w:before="10"/>
        <w:ind w:left="101" w:right="117"/>
        <w:jc w:val="both"/>
      </w:pPr>
      <w:r>
        <w:rPr/>
        <w:t>En </w:t>
      </w:r>
      <w:r>
        <w:rPr>
          <w:i/>
        </w:rPr>
        <w:t>Lilium </w:t>
      </w:r>
      <w:r>
        <w:rPr/>
        <w:t>‘Arcachon’ se recomienda una concentración entre 5 y 10 mM de K en la solución nutritiva en un sustrato como la turba ácida, para lograr, mayor diámetro de</w:t>
      </w:r>
      <w:r>
        <w:rPr>
          <w:spacing w:val="-9"/>
        </w:rPr>
        <w:t> </w:t>
      </w:r>
      <w:r>
        <w:rPr/>
        <w:t>la</w:t>
      </w:r>
      <w:r>
        <w:rPr>
          <w:spacing w:val="-13"/>
        </w:rPr>
        <w:t> </w:t>
      </w:r>
      <w:r>
        <w:rPr/>
        <w:t>flor,</w:t>
      </w:r>
      <w:r>
        <w:rPr>
          <w:spacing w:val="-12"/>
        </w:rPr>
        <w:t> </w:t>
      </w:r>
      <w:r>
        <w:rPr/>
        <w:t>altura</w:t>
      </w:r>
      <w:r>
        <w:rPr>
          <w:spacing w:val="-12"/>
        </w:rPr>
        <w:t> </w:t>
      </w:r>
      <w:r>
        <w:rPr/>
        <w:t>de</w:t>
      </w:r>
      <w:r>
        <w:rPr>
          <w:spacing w:val="-9"/>
        </w:rPr>
        <w:t> </w:t>
      </w:r>
      <w:r>
        <w:rPr/>
        <w:t>la</w:t>
      </w:r>
      <w:r>
        <w:rPr>
          <w:spacing w:val="-12"/>
        </w:rPr>
        <w:t> </w:t>
      </w:r>
      <w:r>
        <w:rPr/>
        <w:t>planta</w:t>
      </w:r>
      <w:r>
        <w:rPr>
          <w:spacing w:val="-12"/>
        </w:rPr>
        <w:t> </w:t>
      </w:r>
      <w:r>
        <w:rPr/>
        <w:t>y</w:t>
      </w:r>
      <w:r>
        <w:rPr>
          <w:spacing w:val="-13"/>
        </w:rPr>
        <w:t> </w:t>
      </w:r>
      <w:r>
        <w:rPr/>
        <w:t>peso</w:t>
      </w:r>
      <w:r>
        <w:rPr>
          <w:spacing w:val="-9"/>
        </w:rPr>
        <w:t> </w:t>
      </w:r>
      <w:r>
        <w:rPr/>
        <w:t>seco</w:t>
      </w:r>
      <w:r>
        <w:rPr>
          <w:spacing w:val="-12"/>
        </w:rPr>
        <w:t> </w:t>
      </w:r>
      <w:r>
        <w:rPr/>
        <w:t>total</w:t>
      </w:r>
      <w:r>
        <w:rPr>
          <w:spacing w:val="-13"/>
        </w:rPr>
        <w:t> </w:t>
      </w:r>
      <w:r>
        <w:rPr/>
        <w:t>de</w:t>
      </w:r>
      <w:r>
        <w:rPr>
          <w:spacing w:val="-12"/>
        </w:rPr>
        <w:t> </w:t>
      </w:r>
      <w:r>
        <w:rPr/>
        <w:t>plantas.</w:t>
      </w:r>
      <w:r>
        <w:rPr>
          <w:spacing w:val="-12"/>
        </w:rPr>
        <w:t> </w:t>
      </w:r>
      <w:r>
        <w:rPr/>
        <w:t>Mientras</w:t>
      </w:r>
      <w:r>
        <w:rPr>
          <w:spacing w:val="-13"/>
        </w:rPr>
        <w:t> </w:t>
      </w:r>
      <w:r>
        <w:rPr/>
        <w:t>que</w:t>
      </w:r>
      <w:r>
        <w:rPr>
          <w:spacing w:val="-9"/>
        </w:rPr>
        <w:t> </w:t>
      </w:r>
      <w:r>
        <w:rPr/>
        <w:t>la</w:t>
      </w:r>
      <w:r>
        <w:rPr>
          <w:spacing w:val="-12"/>
        </w:rPr>
        <w:t> </w:t>
      </w:r>
      <w:r>
        <w:rPr/>
        <w:t>aportación de 0 o 20 mM de K incidió en la mayor fotosíntesis neta registrada en las hojas jóvenes (Barrera-Aguilar </w:t>
      </w:r>
      <w:r>
        <w:rPr>
          <w:i/>
        </w:rPr>
        <w:t>et al</w:t>
      </w:r>
      <w:r>
        <w:rPr/>
        <w:t>., 2012). También Rubí </w:t>
      </w:r>
      <w:r>
        <w:rPr>
          <w:i/>
        </w:rPr>
        <w:t>et al</w:t>
      </w:r>
      <w:r>
        <w:rPr/>
        <w:t>., (2009), indica que en </w:t>
      </w:r>
      <w:r>
        <w:rPr>
          <w:i/>
        </w:rPr>
        <w:t>Lilium </w:t>
      </w:r>
      <w:r>
        <w:rPr/>
        <w:t>un tratamiento con microorganismos rizosféricos, </w:t>
      </w:r>
      <w:r>
        <w:rPr>
          <w:i/>
        </w:rPr>
        <w:t>Glomus fasciculatum </w:t>
      </w:r>
      <w:r>
        <w:rPr/>
        <w:t>con 22 µg/ml de fosforo y </w:t>
      </w:r>
      <w:r>
        <w:rPr>
          <w:i/>
        </w:rPr>
        <w:t>Bacillus subtilis</w:t>
      </w:r>
      <w:r>
        <w:rPr/>
        <w:t>, interactúan positivamente para el desarrollo de la</w:t>
      </w:r>
      <w:r>
        <w:rPr>
          <w:spacing w:val="-5"/>
        </w:rPr>
        <w:t> </w:t>
      </w:r>
      <w:r>
        <w:rPr/>
        <w:t>planta.</w:t>
      </w:r>
    </w:p>
    <w:p>
      <w:pPr>
        <w:pStyle w:val="BodyText"/>
        <w:spacing w:line="480" w:lineRule="auto" w:before="5"/>
        <w:ind w:left="101" w:right="114"/>
        <w:jc w:val="both"/>
      </w:pPr>
      <w:r>
        <w:rPr/>
        <w:t>En </w:t>
      </w:r>
      <w:r>
        <w:rPr>
          <w:i/>
        </w:rPr>
        <w:t>Lilium </w:t>
      </w:r>
      <w:r>
        <w:rPr/>
        <w:t>'Merostar ' la concentración de NPK 10:10:15 favorece el crecimiento y rendimiento de la planta, mayor altura de planta, área foliar, peso fresco y seco de las</w:t>
      </w:r>
      <w:r>
        <w:rPr>
          <w:spacing w:val="-5"/>
        </w:rPr>
        <w:t> </w:t>
      </w:r>
      <w:r>
        <w:rPr/>
        <w:t>plantas,</w:t>
      </w:r>
      <w:r>
        <w:rPr>
          <w:spacing w:val="-7"/>
        </w:rPr>
        <w:t> </w:t>
      </w:r>
      <w:r>
        <w:rPr/>
        <w:t>número</w:t>
      </w:r>
      <w:r>
        <w:rPr>
          <w:spacing w:val="-7"/>
        </w:rPr>
        <w:t> </w:t>
      </w:r>
      <w:r>
        <w:rPr/>
        <w:t>de</w:t>
      </w:r>
      <w:r>
        <w:rPr>
          <w:spacing w:val="-9"/>
        </w:rPr>
        <w:t> </w:t>
      </w:r>
      <w:r>
        <w:rPr/>
        <w:t>flores</w:t>
      </w:r>
      <w:r>
        <w:rPr>
          <w:spacing w:val="-5"/>
        </w:rPr>
        <w:t> </w:t>
      </w:r>
      <w:r>
        <w:rPr/>
        <w:t>por</w:t>
      </w:r>
      <w:r>
        <w:rPr>
          <w:spacing w:val="-6"/>
        </w:rPr>
        <w:t> </w:t>
      </w:r>
      <w:r>
        <w:rPr/>
        <w:t>planta,</w:t>
      </w:r>
      <w:r>
        <w:rPr>
          <w:spacing w:val="-5"/>
        </w:rPr>
        <w:t> </w:t>
      </w:r>
      <w:r>
        <w:rPr/>
        <w:t>diámetro</w:t>
      </w:r>
      <w:r>
        <w:rPr>
          <w:spacing w:val="-4"/>
        </w:rPr>
        <w:t> </w:t>
      </w:r>
      <w:r>
        <w:rPr/>
        <w:t>del</w:t>
      </w:r>
      <w:r>
        <w:rPr>
          <w:spacing w:val="-6"/>
        </w:rPr>
        <w:t> </w:t>
      </w:r>
      <w:r>
        <w:rPr/>
        <w:t>tallo,</w:t>
      </w:r>
      <w:r>
        <w:rPr>
          <w:spacing w:val="-5"/>
        </w:rPr>
        <w:t> </w:t>
      </w:r>
      <w:r>
        <w:rPr/>
        <w:t>días</w:t>
      </w:r>
      <w:r>
        <w:rPr>
          <w:spacing w:val="-5"/>
        </w:rPr>
        <w:t> </w:t>
      </w:r>
      <w:r>
        <w:rPr/>
        <w:t>a</w:t>
      </w:r>
      <w:r>
        <w:rPr>
          <w:spacing w:val="-9"/>
        </w:rPr>
        <w:t> </w:t>
      </w:r>
      <w:r>
        <w:rPr/>
        <w:t>floración,</w:t>
      </w:r>
      <w:r>
        <w:rPr>
          <w:spacing w:val="-5"/>
        </w:rPr>
        <w:t> </w:t>
      </w:r>
      <w:r>
        <w:rPr/>
        <w:t>tamaño y peso (Ferdosi </w:t>
      </w:r>
      <w:r>
        <w:rPr>
          <w:i/>
        </w:rPr>
        <w:t>et al</w:t>
      </w:r>
      <w:r>
        <w:rPr/>
        <w:t>.,</w:t>
      </w:r>
      <w:r>
        <w:rPr>
          <w:spacing w:val="-14"/>
        </w:rPr>
        <w:t> </w:t>
      </w:r>
      <w:r>
        <w:rPr/>
        <w:t>2014).</w:t>
      </w:r>
    </w:p>
    <w:p>
      <w:pPr>
        <w:pStyle w:val="BodyText"/>
        <w:spacing w:line="480" w:lineRule="auto" w:before="199"/>
        <w:ind w:left="101" w:right="116"/>
        <w:jc w:val="both"/>
      </w:pPr>
      <w:r>
        <w:rPr/>
        <w:t>En gladiolo (</w:t>
      </w:r>
      <w:r>
        <w:rPr>
          <w:i/>
        </w:rPr>
        <w:t>Gladiolus hortulanus L</w:t>
      </w:r>
      <w:r>
        <w:rPr/>
        <w:t>.) cv. Wind Song al aportar 10:10:5 g</w:t>
      </w:r>
      <w:r>
        <w:rPr>
          <w:position w:val="8"/>
          <w:sz w:val="16"/>
        </w:rPr>
        <w:t>.</w:t>
      </w:r>
      <w:r>
        <w:rPr/>
        <w:t>maceta</w:t>
      </w:r>
      <w:r>
        <w:rPr>
          <w:position w:val="8"/>
          <w:sz w:val="16"/>
        </w:rPr>
        <w:t>-1 </w:t>
      </w:r>
      <w:r>
        <w:rPr/>
        <w:t>NPK, respectivamente, después de 30 y 45 días después de plantado incrementó el crecimiento de la planta y las características florales. Se observó un incremento en altura de la planta, número de hojas, longitud de hojas y longitud de la espiga floral. Una dosis moderada de 5:5:5 g</w:t>
      </w:r>
      <w:r>
        <w:rPr>
          <w:position w:val="8"/>
          <w:sz w:val="16"/>
        </w:rPr>
        <w:t>.</w:t>
      </w:r>
      <w:r>
        <w:rPr/>
        <w:t>maceta</w:t>
      </w:r>
      <w:r>
        <w:rPr>
          <w:position w:val="8"/>
          <w:sz w:val="16"/>
        </w:rPr>
        <w:t>-1 </w:t>
      </w:r>
      <w:r>
        <w:rPr/>
        <w:t>NPK favoreció la emergencia de la espiga, la apertura del primero y último florete, mayor diámetro y peso del cormo (Khan </w:t>
      </w:r>
      <w:r>
        <w:rPr>
          <w:i/>
        </w:rPr>
        <w:t>et al.</w:t>
      </w:r>
      <w:r>
        <w:rPr/>
        <w:t>, 2004)</w:t>
      </w:r>
    </w:p>
    <w:p>
      <w:pPr>
        <w:spacing w:after="0" w:line="480" w:lineRule="auto"/>
        <w:jc w:val="both"/>
        <w:sectPr>
          <w:pgSz w:w="12240" w:h="15840"/>
          <w:pgMar w:header="0" w:footer="1005" w:top="1360" w:bottom="1200" w:left="1600" w:right="1580"/>
        </w:sectPr>
      </w:pPr>
    </w:p>
    <w:p>
      <w:pPr>
        <w:pStyle w:val="Heading1"/>
        <w:numPr>
          <w:ilvl w:val="2"/>
          <w:numId w:val="6"/>
        </w:numPr>
        <w:tabs>
          <w:tab w:pos="1480" w:val="left" w:leader="none"/>
        </w:tabs>
        <w:spacing w:line="240" w:lineRule="auto" w:before="54" w:after="0"/>
        <w:ind w:left="1479" w:right="0" w:hanging="670"/>
        <w:jc w:val="left"/>
      </w:pPr>
      <w:bookmarkStart w:name="_TOC_250029" w:id="10"/>
      <w:bookmarkEnd w:id="10"/>
      <w:r>
        <w:rPr/>
        <w:t>Micronutrimentos</w:t>
      </w:r>
    </w:p>
    <w:p>
      <w:pPr>
        <w:pStyle w:val="BodyText"/>
        <w:spacing w:before="2"/>
        <w:rPr>
          <w:b/>
          <w:sz w:val="29"/>
        </w:rPr>
      </w:pPr>
    </w:p>
    <w:p>
      <w:pPr>
        <w:pStyle w:val="BodyText"/>
        <w:spacing w:line="480" w:lineRule="auto"/>
        <w:ind w:left="101" w:right="117"/>
        <w:jc w:val="both"/>
      </w:pPr>
      <w:r>
        <w:rPr/>
        <w:t>Los micronutrimentos tienen un papel importante como constituyentes de estructuras orgánicas, son componentes o activadores de enzimas, transporte de electrones o en la osmoregulación, regulación del metabolismo, reproducción y protección de estrés contra factores bióticos y abióticos (Benton, 2012).</w:t>
      </w:r>
    </w:p>
    <w:p>
      <w:pPr>
        <w:pStyle w:val="BodyText"/>
        <w:spacing w:before="207"/>
        <w:ind w:left="101"/>
        <w:jc w:val="both"/>
      </w:pPr>
      <w:r>
        <w:rPr>
          <w:w w:val="100"/>
        </w:rPr>
        <w:t>.</w:t>
      </w:r>
    </w:p>
    <w:p>
      <w:pPr>
        <w:pStyle w:val="BodyText"/>
        <w:spacing w:before="4"/>
        <w:rPr>
          <w:sz w:val="29"/>
        </w:rPr>
      </w:pPr>
    </w:p>
    <w:p>
      <w:pPr>
        <w:pStyle w:val="Heading1"/>
        <w:numPr>
          <w:ilvl w:val="3"/>
          <w:numId w:val="6"/>
        </w:numPr>
        <w:tabs>
          <w:tab w:pos="2387" w:val="left" w:leader="none"/>
        </w:tabs>
        <w:spacing w:line="240" w:lineRule="auto" w:before="1" w:after="0"/>
        <w:ind w:left="2386" w:right="0" w:hanging="869"/>
        <w:jc w:val="left"/>
      </w:pPr>
      <w:bookmarkStart w:name="_TOC_250028" w:id="11"/>
      <w:bookmarkEnd w:id="11"/>
      <w:r>
        <w:rPr/>
        <w:t>Zinc</w:t>
      </w:r>
    </w:p>
    <w:p>
      <w:pPr>
        <w:pStyle w:val="BodyText"/>
        <w:rPr>
          <w:b/>
        </w:rPr>
      </w:pPr>
    </w:p>
    <w:p>
      <w:pPr>
        <w:pStyle w:val="BodyText"/>
        <w:spacing w:line="477" w:lineRule="auto" w:before="199"/>
        <w:ind w:left="101" w:right="116"/>
        <w:jc w:val="both"/>
        <w:rPr>
          <w:sz w:val="16"/>
        </w:rPr>
      </w:pPr>
      <w:r>
        <w:rPr/>
        <w:t>El</w:t>
      </w:r>
      <w:r>
        <w:rPr>
          <w:spacing w:val="-13"/>
        </w:rPr>
        <w:t> </w:t>
      </w:r>
      <w:r>
        <w:rPr/>
        <w:t>zinc</w:t>
      </w:r>
      <w:r>
        <w:rPr>
          <w:spacing w:val="-13"/>
        </w:rPr>
        <w:t> </w:t>
      </w:r>
      <w:r>
        <w:rPr/>
        <w:t>tiene</w:t>
      </w:r>
      <w:r>
        <w:rPr>
          <w:spacing w:val="-14"/>
        </w:rPr>
        <w:t> </w:t>
      </w:r>
      <w:r>
        <w:rPr/>
        <w:t>efectos</w:t>
      </w:r>
      <w:r>
        <w:rPr>
          <w:spacing w:val="-13"/>
        </w:rPr>
        <w:t> </w:t>
      </w:r>
      <w:r>
        <w:rPr/>
        <w:t>sobre</w:t>
      </w:r>
      <w:r>
        <w:rPr>
          <w:spacing w:val="-12"/>
        </w:rPr>
        <w:t> </w:t>
      </w:r>
      <w:r>
        <w:rPr/>
        <w:t>la</w:t>
      </w:r>
      <w:r>
        <w:rPr>
          <w:spacing w:val="-14"/>
        </w:rPr>
        <w:t> </w:t>
      </w:r>
      <w:r>
        <w:rPr/>
        <w:t>estructura</w:t>
      </w:r>
      <w:r>
        <w:rPr>
          <w:spacing w:val="-12"/>
        </w:rPr>
        <w:t> </w:t>
      </w:r>
      <w:r>
        <w:rPr/>
        <w:t>de</w:t>
      </w:r>
      <w:r>
        <w:rPr>
          <w:spacing w:val="-12"/>
        </w:rPr>
        <w:t> </w:t>
      </w:r>
      <w:r>
        <w:rPr/>
        <w:t>la</w:t>
      </w:r>
      <w:r>
        <w:rPr>
          <w:spacing w:val="-16"/>
        </w:rPr>
        <w:t> </w:t>
      </w:r>
      <w:r>
        <w:rPr/>
        <w:t>membrana</w:t>
      </w:r>
      <w:r>
        <w:rPr>
          <w:spacing w:val="-12"/>
        </w:rPr>
        <w:t> </w:t>
      </w:r>
      <w:r>
        <w:rPr/>
        <w:t>celular</w:t>
      </w:r>
      <w:r>
        <w:rPr>
          <w:spacing w:val="-13"/>
        </w:rPr>
        <w:t> </w:t>
      </w:r>
      <w:r>
        <w:rPr/>
        <w:t>y</w:t>
      </w:r>
      <w:r>
        <w:rPr>
          <w:spacing w:val="-15"/>
        </w:rPr>
        <w:t> </w:t>
      </w:r>
      <w:r>
        <w:rPr/>
        <w:t>su</w:t>
      </w:r>
      <w:r>
        <w:rPr>
          <w:spacing w:val="-14"/>
        </w:rPr>
        <w:t> </w:t>
      </w:r>
      <w:r>
        <w:rPr/>
        <w:t>función</w:t>
      </w:r>
      <w:r>
        <w:rPr>
          <w:spacing w:val="-12"/>
        </w:rPr>
        <w:t> </w:t>
      </w:r>
      <w:r>
        <w:rPr/>
        <w:t>pudiera ser indirecta para prevenir la generación y desintoxicación efectiva de especies reactivas</w:t>
      </w:r>
      <w:r>
        <w:rPr>
          <w:spacing w:val="-18"/>
        </w:rPr>
        <w:t> </w:t>
      </w:r>
      <w:r>
        <w:rPr/>
        <w:t>de</w:t>
      </w:r>
      <w:r>
        <w:rPr>
          <w:spacing w:val="-20"/>
        </w:rPr>
        <w:t> </w:t>
      </w:r>
      <w:r>
        <w:rPr/>
        <w:t>oxigeno</w:t>
      </w:r>
      <w:r>
        <w:rPr>
          <w:spacing w:val="-17"/>
        </w:rPr>
        <w:t> </w:t>
      </w:r>
      <w:r>
        <w:rPr/>
        <w:t>(Cakmak,</w:t>
      </w:r>
      <w:r>
        <w:rPr>
          <w:spacing w:val="-20"/>
        </w:rPr>
        <w:t> </w:t>
      </w:r>
      <w:r>
        <w:rPr/>
        <w:t>2000).</w:t>
      </w:r>
      <w:r>
        <w:rPr>
          <w:spacing w:val="-20"/>
        </w:rPr>
        <w:t> </w:t>
      </w:r>
      <w:r>
        <w:rPr/>
        <w:t>La</w:t>
      </w:r>
      <w:r>
        <w:rPr>
          <w:spacing w:val="-20"/>
        </w:rPr>
        <w:t> </w:t>
      </w:r>
      <w:r>
        <w:rPr/>
        <w:t>acumulación</w:t>
      </w:r>
      <w:r>
        <w:rPr>
          <w:spacing w:val="-20"/>
        </w:rPr>
        <w:t> </w:t>
      </w:r>
      <w:r>
        <w:rPr/>
        <w:t>de</w:t>
      </w:r>
      <w:r>
        <w:rPr>
          <w:spacing w:val="-17"/>
        </w:rPr>
        <w:t> </w:t>
      </w:r>
      <w:r>
        <w:rPr/>
        <w:t>radicales</w:t>
      </w:r>
      <w:r>
        <w:rPr>
          <w:spacing w:val="-23"/>
        </w:rPr>
        <w:t> </w:t>
      </w:r>
      <w:r>
        <w:rPr/>
        <w:t>superoxidos</w:t>
      </w:r>
      <w:r>
        <w:rPr>
          <w:spacing w:val="-18"/>
        </w:rPr>
        <w:t> </w:t>
      </w:r>
      <w:r>
        <w:rPr/>
        <w:t>(O</w:t>
      </w:r>
      <w:r>
        <w:rPr>
          <w:position w:val="8"/>
          <w:sz w:val="16"/>
        </w:rPr>
        <w:t>2-</w:t>
      </w:r>
    </w:p>
    <w:p>
      <w:pPr>
        <w:pStyle w:val="BodyText"/>
        <w:spacing w:line="480" w:lineRule="auto" w:before="2"/>
        <w:ind w:left="101" w:right="114"/>
        <w:jc w:val="both"/>
      </w:pPr>
      <w:r>
        <w:rPr>
          <w:position w:val="1"/>
        </w:rPr>
        <w:t>) y su reacción con H</w:t>
      </w:r>
      <w:r>
        <w:rPr>
          <w:sz w:val="16"/>
        </w:rPr>
        <w:t>2</w:t>
      </w:r>
      <w:r>
        <w:rPr>
          <w:position w:val="1"/>
        </w:rPr>
        <w:t>O</w:t>
      </w:r>
      <w:r>
        <w:rPr>
          <w:sz w:val="16"/>
        </w:rPr>
        <w:t>2 </w:t>
      </w:r>
      <w:r>
        <w:rPr>
          <w:position w:val="1"/>
        </w:rPr>
        <w:t>(reacción Haber-Weiss) permite la producción de más </w:t>
      </w:r>
      <w:r>
        <w:rPr/>
        <w:t>especies tóxicas del oxígeno como el OH</w:t>
      </w:r>
      <w:r>
        <w:rPr>
          <w:position w:val="8"/>
          <w:sz w:val="16"/>
        </w:rPr>
        <w:t>-</w:t>
      </w:r>
      <w:r>
        <w:rPr/>
        <w:t>, el cual daña la membrana celular, enzimas y el ADN (Sharma, 2006). Por otra parte, el zinc junto con el manganeso (Mn) participa en la activación de enzimas, en combinación con Mn y molibdeno (Mo)</w:t>
      </w:r>
      <w:r>
        <w:rPr>
          <w:spacing w:val="-15"/>
        </w:rPr>
        <w:t> </w:t>
      </w:r>
      <w:r>
        <w:rPr/>
        <w:t>en</w:t>
      </w:r>
      <w:r>
        <w:rPr>
          <w:spacing w:val="-13"/>
        </w:rPr>
        <w:t> </w:t>
      </w:r>
      <w:r>
        <w:rPr/>
        <w:t>la</w:t>
      </w:r>
      <w:r>
        <w:rPr>
          <w:spacing w:val="-13"/>
        </w:rPr>
        <w:t> </w:t>
      </w:r>
      <w:r>
        <w:rPr/>
        <w:t>tolerancia</w:t>
      </w:r>
      <w:r>
        <w:rPr>
          <w:spacing w:val="-13"/>
        </w:rPr>
        <w:t> </w:t>
      </w:r>
      <w:r>
        <w:rPr/>
        <w:t>al</w:t>
      </w:r>
      <w:r>
        <w:rPr>
          <w:spacing w:val="-19"/>
        </w:rPr>
        <w:t> </w:t>
      </w:r>
      <w:r>
        <w:rPr/>
        <w:t>estrés</w:t>
      </w:r>
      <w:r>
        <w:rPr>
          <w:spacing w:val="-14"/>
        </w:rPr>
        <w:t> </w:t>
      </w:r>
      <w:r>
        <w:rPr/>
        <w:t>y</w:t>
      </w:r>
      <w:r>
        <w:rPr>
          <w:spacing w:val="-16"/>
        </w:rPr>
        <w:t> </w:t>
      </w:r>
      <w:r>
        <w:rPr/>
        <w:t>junto</w:t>
      </w:r>
      <w:r>
        <w:rPr>
          <w:spacing w:val="-15"/>
        </w:rPr>
        <w:t> </w:t>
      </w:r>
      <w:r>
        <w:rPr/>
        <w:t>con</w:t>
      </w:r>
      <w:r>
        <w:rPr>
          <w:spacing w:val="-15"/>
        </w:rPr>
        <w:t> </w:t>
      </w:r>
      <w:r>
        <w:rPr/>
        <w:t>Mn,</w:t>
      </w:r>
      <w:r>
        <w:rPr>
          <w:spacing w:val="-18"/>
        </w:rPr>
        <w:t> </w:t>
      </w:r>
      <w:r>
        <w:rPr/>
        <w:t>cobre</w:t>
      </w:r>
      <w:r>
        <w:rPr>
          <w:spacing w:val="-13"/>
        </w:rPr>
        <w:t> </w:t>
      </w:r>
      <w:r>
        <w:rPr/>
        <w:t>(Cu)</w:t>
      </w:r>
      <w:r>
        <w:rPr>
          <w:spacing w:val="-17"/>
        </w:rPr>
        <w:t> </w:t>
      </w:r>
      <w:r>
        <w:rPr/>
        <w:t>y</w:t>
      </w:r>
      <w:r>
        <w:rPr>
          <w:spacing w:val="-16"/>
        </w:rPr>
        <w:t> </w:t>
      </w:r>
      <w:r>
        <w:rPr/>
        <w:t>boro</w:t>
      </w:r>
      <w:r>
        <w:rPr>
          <w:spacing w:val="-15"/>
        </w:rPr>
        <w:t> </w:t>
      </w:r>
      <w:r>
        <w:rPr/>
        <w:t>(B)</w:t>
      </w:r>
      <w:r>
        <w:rPr>
          <w:spacing w:val="-15"/>
        </w:rPr>
        <w:t> </w:t>
      </w:r>
      <w:r>
        <w:rPr/>
        <w:t>en</w:t>
      </w:r>
      <w:r>
        <w:rPr>
          <w:spacing w:val="-13"/>
        </w:rPr>
        <w:t> </w:t>
      </w:r>
      <w:r>
        <w:rPr/>
        <w:t>el</w:t>
      </w:r>
      <w:r>
        <w:rPr>
          <w:spacing w:val="-17"/>
        </w:rPr>
        <w:t> </w:t>
      </w:r>
      <w:r>
        <w:rPr/>
        <w:t>crecimiento reproductivo (inducción de la floración, polinización, establecimiento del fruto), además,</w:t>
      </w:r>
      <w:r>
        <w:rPr>
          <w:spacing w:val="-12"/>
        </w:rPr>
        <w:t> </w:t>
      </w:r>
      <w:r>
        <w:rPr/>
        <w:t>junto</w:t>
      </w:r>
      <w:r>
        <w:rPr>
          <w:spacing w:val="-12"/>
        </w:rPr>
        <w:t> </w:t>
      </w:r>
      <w:r>
        <w:rPr/>
        <w:t>con</w:t>
      </w:r>
      <w:r>
        <w:rPr>
          <w:spacing w:val="-12"/>
        </w:rPr>
        <w:t> </w:t>
      </w:r>
      <w:r>
        <w:rPr/>
        <w:t>el</w:t>
      </w:r>
      <w:r>
        <w:rPr>
          <w:spacing w:val="-13"/>
        </w:rPr>
        <w:t> </w:t>
      </w:r>
      <w:r>
        <w:rPr/>
        <w:t>B,</w:t>
      </w:r>
      <w:r>
        <w:rPr>
          <w:spacing w:val="-10"/>
        </w:rPr>
        <w:t> </w:t>
      </w:r>
      <w:r>
        <w:rPr/>
        <w:t>es</w:t>
      </w:r>
      <w:r>
        <w:rPr>
          <w:spacing w:val="-13"/>
        </w:rPr>
        <w:t> </w:t>
      </w:r>
      <w:r>
        <w:rPr/>
        <w:t>constituyente</w:t>
      </w:r>
      <w:r>
        <w:rPr>
          <w:spacing w:val="-12"/>
        </w:rPr>
        <w:t> </w:t>
      </w:r>
      <w:r>
        <w:rPr/>
        <w:t>de</w:t>
      </w:r>
      <w:r>
        <w:rPr>
          <w:spacing w:val="-12"/>
        </w:rPr>
        <w:t> </w:t>
      </w:r>
      <w:r>
        <w:rPr/>
        <w:t>membranas</w:t>
      </w:r>
      <w:r>
        <w:rPr>
          <w:spacing w:val="-13"/>
        </w:rPr>
        <w:t> </w:t>
      </w:r>
      <w:r>
        <w:rPr/>
        <w:t>y</w:t>
      </w:r>
      <w:r>
        <w:rPr>
          <w:spacing w:val="-13"/>
        </w:rPr>
        <w:t> </w:t>
      </w:r>
      <w:r>
        <w:rPr/>
        <w:t>paredes</w:t>
      </w:r>
      <w:r>
        <w:rPr>
          <w:spacing w:val="-13"/>
        </w:rPr>
        <w:t> </w:t>
      </w:r>
      <w:r>
        <w:rPr/>
        <w:t>celulares</w:t>
      </w:r>
      <w:r>
        <w:rPr>
          <w:spacing w:val="-10"/>
        </w:rPr>
        <w:t> </w:t>
      </w:r>
      <w:r>
        <w:rPr/>
        <w:t>(Kirkby &amp; Römheld,</w:t>
      </w:r>
      <w:r>
        <w:rPr>
          <w:spacing w:val="-8"/>
        </w:rPr>
        <w:t> </w:t>
      </w:r>
      <w:r>
        <w:rPr/>
        <w:t>2007).</w:t>
      </w:r>
    </w:p>
    <w:p>
      <w:pPr>
        <w:pStyle w:val="BodyText"/>
        <w:spacing w:line="480" w:lineRule="auto" w:before="207"/>
        <w:ind w:left="101" w:right="117"/>
        <w:jc w:val="both"/>
      </w:pPr>
      <w:r>
        <w:rPr/>
        <w:t>El zinc es constituyente de diferentes enzimas. Es un cofactor de la anhidrasa </w:t>
      </w:r>
      <w:r>
        <w:rPr>
          <w:position w:val="1"/>
        </w:rPr>
        <w:t>carbónica, es indispensable para la fotosíntesis en plantas C</w:t>
      </w:r>
      <w:r>
        <w:rPr>
          <w:sz w:val="16"/>
        </w:rPr>
        <w:t>4 </w:t>
      </w:r>
      <w:r>
        <w:rPr>
          <w:position w:val="1"/>
        </w:rPr>
        <w:t>(Sharma, 2006). La </w:t>
      </w:r>
      <w:r>
        <w:rPr/>
        <w:t>enzima alcohol deshidrogenasa contiene zinc y tiene una función estructural y catalítica de la oxidación del acetaldehído a etanol; la actividad de esta enzima  se</w:t>
      </w:r>
    </w:p>
    <w:p>
      <w:pPr>
        <w:spacing w:after="0" w:line="480" w:lineRule="auto"/>
        <w:jc w:val="both"/>
        <w:sectPr>
          <w:pgSz w:w="12240" w:h="15840"/>
          <w:pgMar w:header="0" w:footer="1005" w:top="1360" w:bottom="1200" w:left="1600" w:right="1580"/>
        </w:sectPr>
      </w:pPr>
    </w:p>
    <w:p>
      <w:pPr>
        <w:pStyle w:val="BodyText"/>
        <w:spacing w:line="480" w:lineRule="auto" w:before="51"/>
        <w:ind w:left="101" w:right="118"/>
        <w:jc w:val="both"/>
      </w:pPr>
      <w:r>
        <w:rPr/>
        <w:t>incrementa en respuesta al estrés anaeróbico, tal como ocurre en caso de inundaciones en las raíces de las plantas (Gibbs &amp; Greenway, 2003; Ravichandran &amp; Pathmanabhan, 2004, citados por Sharma, 2006).</w:t>
      </w:r>
    </w:p>
    <w:p>
      <w:pPr>
        <w:pStyle w:val="BodyText"/>
        <w:spacing w:line="480" w:lineRule="auto" w:before="207"/>
        <w:ind w:left="101" w:right="117"/>
        <w:jc w:val="both"/>
      </w:pPr>
      <w:r>
        <w:rPr/>
        <w:t>Por otro lado, la enzima carboxipeptidasa en la planta, cataliza la hidrolisis de proteínas de reserva de las semillas; de tal manera que las proteínas llamadas “dedos de zinc”, interactúa con el ADN y en el control de la expresión de los genes (Benton,</w:t>
      </w:r>
      <w:r>
        <w:rPr>
          <w:spacing w:val="-5"/>
        </w:rPr>
        <w:t> </w:t>
      </w:r>
      <w:r>
        <w:rPr/>
        <w:t>2012).</w:t>
      </w:r>
      <w:r>
        <w:rPr>
          <w:spacing w:val="-7"/>
        </w:rPr>
        <w:t> </w:t>
      </w:r>
      <w:r>
        <w:rPr/>
        <w:t>Bettger</w:t>
      </w:r>
      <w:r>
        <w:rPr>
          <w:spacing w:val="-6"/>
        </w:rPr>
        <w:t> </w:t>
      </w:r>
      <w:r>
        <w:rPr/>
        <w:t>&amp;</w:t>
      </w:r>
      <w:r>
        <w:rPr>
          <w:spacing w:val="-5"/>
        </w:rPr>
        <w:t> </w:t>
      </w:r>
      <w:r>
        <w:rPr/>
        <w:t>O´Dell</w:t>
      </w:r>
      <w:r>
        <w:rPr>
          <w:spacing w:val="-6"/>
        </w:rPr>
        <w:t> </w:t>
      </w:r>
      <w:r>
        <w:rPr/>
        <w:t>(1981),</w:t>
      </w:r>
      <w:r>
        <w:rPr>
          <w:spacing w:val="-5"/>
        </w:rPr>
        <w:t> </w:t>
      </w:r>
      <w:r>
        <w:rPr/>
        <w:t>citados</w:t>
      </w:r>
      <w:r>
        <w:rPr>
          <w:spacing w:val="-5"/>
        </w:rPr>
        <w:t> </w:t>
      </w:r>
      <w:r>
        <w:rPr/>
        <w:t>por</w:t>
      </w:r>
      <w:r>
        <w:rPr>
          <w:spacing w:val="-6"/>
        </w:rPr>
        <w:t> </w:t>
      </w:r>
      <w:r>
        <w:rPr/>
        <w:t>Sharma,</w:t>
      </w:r>
      <w:r>
        <w:rPr>
          <w:spacing w:val="-5"/>
        </w:rPr>
        <w:t> </w:t>
      </w:r>
      <w:r>
        <w:rPr/>
        <w:t>(2006)</w:t>
      </w:r>
      <w:r>
        <w:rPr>
          <w:spacing w:val="-8"/>
        </w:rPr>
        <w:t> </w:t>
      </w:r>
      <w:r>
        <w:rPr/>
        <w:t>demuestran</w:t>
      </w:r>
      <w:r>
        <w:rPr>
          <w:spacing w:val="-4"/>
        </w:rPr>
        <w:t> </w:t>
      </w:r>
      <w:r>
        <w:rPr/>
        <w:t>la importancia del zinc en el mantenimiento y la integridad estructural de la biomembrana.</w:t>
      </w:r>
    </w:p>
    <w:p>
      <w:pPr>
        <w:pStyle w:val="BodyText"/>
        <w:spacing w:line="480" w:lineRule="auto" w:before="204"/>
        <w:ind w:left="101" w:right="117"/>
        <w:jc w:val="both"/>
      </w:pPr>
      <w:r>
        <w:rPr/>
        <w:t>Este micronutrimento interviene en la síntesis de las auxinas y en el proceso de crecimiento</w:t>
      </w:r>
      <w:r>
        <w:rPr>
          <w:spacing w:val="-7"/>
        </w:rPr>
        <w:t> </w:t>
      </w:r>
      <w:r>
        <w:rPr/>
        <w:t>vegetal.</w:t>
      </w:r>
      <w:r>
        <w:rPr>
          <w:spacing w:val="-7"/>
        </w:rPr>
        <w:t> </w:t>
      </w:r>
      <w:r>
        <w:rPr/>
        <w:t>Su</w:t>
      </w:r>
      <w:r>
        <w:rPr>
          <w:spacing w:val="-7"/>
        </w:rPr>
        <w:t> </w:t>
      </w:r>
      <w:r>
        <w:rPr/>
        <w:t>carencia</w:t>
      </w:r>
      <w:r>
        <w:rPr>
          <w:spacing w:val="-7"/>
        </w:rPr>
        <w:t> </w:t>
      </w:r>
      <w:r>
        <w:rPr/>
        <w:t>en</w:t>
      </w:r>
      <w:r>
        <w:rPr>
          <w:spacing w:val="-7"/>
        </w:rPr>
        <w:t> </w:t>
      </w:r>
      <w:r>
        <w:rPr/>
        <w:t>la</w:t>
      </w:r>
      <w:r>
        <w:rPr>
          <w:spacing w:val="-9"/>
        </w:rPr>
        <w:t> </w:t>
      </w:r>
      <w:r>
        <w:rPr/>
        <w:t>planta,</w:t>
      </w:r>
      <w:r>
        <w:rPr>
          <w:spacing w:val="-7"/>
        </w:rPr>
        <w:t> </w:t>
      </w:r>
      <w:r>
        <w:rPr/>
        <w:t>se</w:t>
      </w:r>
      <w:r>
        <w:rPr>
          <w:spacing w:val="-9"/>
        </w:rPr>
        <w:t> </w:t>
      </w:r>
      <w:r>
        <w:rPr/>
        <w:t>manifiesta</w:t>
      </w:r>
      <w:r>
        <w:rPr>
          <w:spacing w:val="-9"/>
        </w:rPr>
        <w:t> </w:t>
      </w:r>
      <w:r>
        <w:rPr/>
        <w:t>con</w:t>
      </w:r>
      <w:r>
        <w:rPr>
          <w:spacing w:val="-9"/>
        </w:rPr>
        <w:t> </w:t>
      </w:r>
      <w:r>
        <w:rPr/>
        <w:t>un</w:t>
      </w:r>
      <w:r>
        <w:rPr>
          <w:spacing w:val="-9"/>
        </w:rPr>
        <w:t> </w:t>
      </w:r>
      <w:r>
        <w:rPr/>
        <w:t>acortamiento</w:t>
      </w:r>
      <w:r>
        <w:rPr>
          <w:spacing w:val="-9"/>
        </w:rPr>
        <w:t> </w:t>
      </w:r>
      <w:r>
        <w:rPr/>
        <w:t>de los entrenudos, por lo que las hojas terminales aparecen más pequeñas, amarillas y adoptan un aspecto de roseta. Juega un papel importante en la reducción de nitratos y en la fosforilación (Alpi &amp; Tognoni, 1999). En plantas de maíz y trigo la deficiencia</w:t>
      </w:r>
      <w:r>
        <w:rPr>
          <w:spacing w:val="-16"/>
        </w:rPr>
        <w:t> </w:t>
      </w:r>
      <w:r>
        <w:rPr/>
        <w:t>de</w:t>
      </w:r>
      <w:r>
        <w:rPr>
          <w:spacing w:val="-15"/>
        </w:rPr>
        <w:t> </w:t>
      </w:r>
      <w:r>
        <w:rPr/>
        <w:t>zinc</w:t>
      </w:r>
      <w:r>
        <w:rPr>
          <w:spacing w:val="-15"/>
        </w:rPr>
        <w:t> </w:t>
      </w:r>
      <w:r>
        <w:rPr/>
        <w:t>reduce</w:t>
      </w:r>
      <w:r>
        <w:rPr>
          <w:spacing w:val="-16"/>
        </w:rPr>
        <w:t> </w:t>
      </w:r>
      <w:r>
        <w:rPr/>
        <w:t>el</w:t>
      </w:r>
      <w:r>
        <w:rPr>
          <w:spacing w:val="-15"/>
        </w:rPr>
        <w:t> </w:t>
      </w:r>
      <w:r>
        <w:rPr/>
        <w:t>tamaño</w:t>
      </w:r>
      <w:r>
        <w:rPr>
          <w:spacing w:val="-15"/>
        </w:rPr>
        <w:t> </w:t>
      </w:r>
      <w:r>
        <w:rPr/>
        <w:t>de</w:t>
      </w:r>
      <w:r>
        <w:rPr>
          <w:spacing w:val="-15"/>
        </w:rPr>
        <w:t> </w:t>
      </w:r>
      <w:r>
        <w:rPr/>
        <w:t>las</w:t>
      </w:r>
      <w:r>
        <w:rPr>
          <w:spacing w:val="-17"/>
        </w:rPr>
        <w:t> </w:t>
      </w:r>
      <w:r>
        <w:rPr/>
        <w:t>anteras</w:t>
      </w:r>
      <w:r>
        <w:rPr>
          <w:spacing w:val="-17"/>
        </w:rPr>
        <w:t> </w:t>
      </w:r>
      <w:r>
        <w:rPr/>
        <w:t>y</w:t>
      </w:r>
      <w:r>
        <w:rPr>
          <w:spacing w:val="-17"/>
        </w:rPr>
        <w:t> </w:t>
      </w:r>
      <w:r>
        <w:rPr/>
        <w:t>un</w:t>
      </w:r>
      <w:r>
        <w:rPr>
          <w:spacing w:val="-16"/>
        </w:rPr>
        <w:t> </w:t>
      </w:r>
      <w:r>
        <w:rPr/>
        <w:t>desarrollo</w:t>
      </w:r>
      <w:r>
        <w:rPr>
          <w:spacing w:val="-15"/>
        </w:rPr>
        <w:t> </w:t>
      </w:r>
      <w:r>
        <w:rPr/>
        <w:t>limitado</w:t>
      </w:r>
      <w:r>
        <w:rPr>
          <w:spacing w:val="-16"/>
        </w:rPr>
        <w:t> </w:t>
      </w:r>
      <w:r>
        <w:rPr/>
        <w:t>del</w:t>
      </w:r>
      <w:r>
        <w:rPr>
          <w:spacing w:val="-18"/>
        </w:rPr>
        <w:t> </w:t>
      </w:r>
      <w:r>
        <w:rPr/>
        <w:t>tejido esporogeneo (Sharma </w:t>
      </w:r>
      <w:r>
        <w:rPr>
          <w:i/>
        </w:rPr>
        <w:t>et al</w:t>
      </w:r>
      <w:r>
        <w:rPr/>
        <w:t>., 1979, 1987,1990), citados por Sharma</w:t>
      </w:r>
      <w:r>
        <w:rPr>
          <w:spacing w:val="-41"/>
        </w:rPr>
        <w:t> </w:t>
      </w:r>
      <w:r>
        <w:rPr/>
        <w:t>(2006)</w:t>
      </w:r>
      <w:r>
        <w:rPr>
          <w:color w:val="2E5396"/>
        </w:rPr>
        <w:t>.</w:t>
      </w:r>
    </w:p>
    <w:p>
      <w:pPr>
        <w:pStyle w:val="BodyText"/>
      </w:pPr>
    </w:p>
    <w:p>
      <w:pPr>
        <w:pStyle w:val="BodyText"/>
      </w:pPr>
    </w:p>
    <w:p>
      <w:pPr>
        <w:pStyle w:val="BodyText"/>
        <w:spacing w:before="6"/>
        <w:rPr>
          <w:sz w:val="35"/>
        </w:rPr>
      </w:pPr>
    </w:p>
    <w:p>
      <w:pPr>
        <w:pStyle w:val="Heading1"/>
        <w:numPr>
          <w:ilvl w:val="3"/>
          <w:numId w:val="6"/>
        </w:numPr>
        <w:tabs>
          <w:tab w:pos="2387" w:val="left" w:leader="none"/>
        </w:tabs>
        <w:spacing w:line="240" w:lineRule="auto" w:before="0" w:after="0"/>
        <w:ind w:left="2386" w:right="0" w:hanging="869"/>
        <w:jc w:val="left"/>
      </w:pPr>
      <w:bookmarkStart w:name="_TOC_250027" w:id="12"/>
      <w:bookmarkEnd w:id="12"/>
      <w:r>
        <w:rPr/>
        <w:t>Magnesio</w:t>
      </w:r>
    </w:p>
    <w:p>
      <w:pPr>
        <w:pStyle w:val="BodyText"/>
        <w:rPr>
          <w:b/>
        </w:rPr>
      </w:pPr>
    </w:p>
    <w:p>
      <w:pPr>
        <w:pStyle w:val="BodyText"/>
        <w:spacing w:line="482" w:lineRule="auto" w:before="199"/>
        <w:ind w:left="101" w:right="118"/>
        <w:jc w:val="both"/>
      </w:pPr>
      <w:r>
        <w:rPr/>
        <w:t>Es el único elemento mineral presente en la molécula de la clorofila, por lo que se infiere su gran importancia para la fotosíntesis (Devlin, 1976). Es necesario para la</w:t>
      </w:r>
    </w:p>
    <w:p>
      <w:pPr>
        <w:spacing w:after="0" w:line="482" w:lineRule="auto"/>
        <w:jc w:val="both"/>
        <w:sectPr>
          <w:pgSz w:w="12240" w:h="15840"/>
          <w:pgMar w:header="0" w:footer="1005" w:top="1360" w:bottom="1200" w:left="1600" w:right="1580"/>
        </w:sectPr>
      </w:pPr>
    </w:p>
    <w:p>
      <w:pPr>
        <w:pStyle w:val="BodyText"/>
        <w:spacing w:line="480" w:lineRule="auto" w:before="51"/>
        <w:ind w:left="101" w:right="116"/>
        <w:jc w:val="both"/>
      </w:pPr>
      <w:r>
        <w:rPr/>
        <w:t>formación de carotenoides y otros pigmentos; realiza un papel fundamental en el metabolismo de las grasas y de los compuestos fosforados. Activador de muchas reacciones enzimáticas como la fosforilación, componente de la estructura de ATP o</w:t>
      </w:r>
      <w:r>
        <w:rPr>
          <w:spacing w:val="-12"/>
        </w:rPr>
        <w:t> </w:t>
      </w:r>
      <w:r>
        <w:rPr/>
        <w:t>ADP</w:t>
      </w:r>
      <w:r>
        <w:rPr>
          <w:spacing w:val="-12"/>
        </w:rPr>
        <w:t> </w:t>
      </w:r>
      <w:r>
        <w:rPr/>
        <w:t>(Benton.</w:t>
      </w:r>
      <w:r>
        <w:rPr>
          <w:spacing w:val="-12"/>
        </w:rPr>
        <w:t> </w:t>
      </w:r>
      <w:r>
        <w:rPr/>
        <w:t>2012).</w:t>
      </w:r>
      <w:r>
        <w:rPr>
          <w:spacing w:val="-14"/>
        </w:rPr>
        <w:t> </w:t>
      </w:r>
      <w:r>
        <w:rPr/>
        <w:t>Tiene</w:t>
      </w:r>
      <w:r>
        <w:rPr>
          <w:spacing w:val="-12"/>
        </w:rPr>
        <w:t> </w:t>
      </w:r>
      <w:r>
        <w:rPr/>
        <w:t>gran</w:t>
      </w:r>
      <w:r>
        <w:rPr>
          <w:spacing w:val="-12"/>
        </w:rPr>
        <w:t> </w:t>
      </w:r>
      <w:r>
        <w:rPr/>
        <w:t>movilidad</w:t>
      </w:r>
      <w:r>
        <w:rPr>
          <w:spacing w:val="-12"/>
        </w:rPr>
        <w:t> </w:t>
      </w:r>
      <w:r>
        <w:rPr/>
        <w:t>en</w:t>
      </w:r>
      <w:r>
        <w:rPr>
          <w:spacing w:val="-12"/>
        </w:rPr>
        <w:t> </w:t>
      </w:r>
      <w:r>
        <w:rPr/>
        <w:t>el</w:t>
      </w:r>
      <w:r>
        <w:rPr>
          <w:spacing w:val="-13"/>
        </w:rPr>
        <w:t> </w:t>
      </w:r>
      <w:r>
        <w:rPr/>
        <w:t>interior</w:t>
      </w:r>
      <w:r>
        <w:rPr>
          <w:spacing w:val="-13"/>
        </w:rPr>
        <w:t> </w:t>
      </w:r>
      <w:r>
        <w:rPr/>
        <w:t>de</w:t>
      </w:r>
      <w:r>
        <w:rPr>
          <w:spacing w:val="-12"/>
        </w:rPr>
        <w:t> </w:t>
      </w:r>
      <w:r>
        <w:rPr/>
        <w:t>la</w:t>
      </w:r>
      <w:r>
        <w:rPr>
          <w:spacing w:val="-12"/>
        </w:rPr>
        <w:t> </w:t>
      </w:r>
      <w:r>
        <w:rPr/>
        <w:t>planta,</w:t>
      </w:r>
      <w:r>
        <w:rPr>
          <w:spacing w:val="-12"/>
        </w:rPr>
        <w:t> </w:t>
      </w:r>
      <w:r>
        <w:rPr/>
        <w:t>es</w:t>
      </w:r>
      <w:r>
        <w:rPr>
          <w:spacing w:val="-13"/>
        </w:rPr>
        <w:t> </w:t>
      </w:r>
      <w:r>
        <w:rPr/>
        <w:t>traslocado de los tejidos más viejos a los más jóvenes. Por tanto, la deficiencia de magnesio en</w:t>
      </w:r>
      <w:r>
        <w:rPr>
          <w:spacing w:val="-7"/>
        </w:rPr>
        <w:t> </w:t>
      </w:r>
      <w:r>
        <w:rPr/>
        <w:t>las</w:t>
      </w:r>
      <w:r>
        <w:rPr>
          <w:spacing w:val="-10"/>
        </w:rPr>
        <w:t> </w:t>
      </w:r>
      <w:r>
        <w:rPr/>
        <w:t>plantas</w:t>
      </w:r>
      <w:r>
        <w:rPr>
          <w:spacing w:val="-8"/>
        </w:rPr>
        <w:t> </w:t>
      </w:r>
      <w:r>
        <w:rPr/>
        <w:t>se</w:t>
      </w:r>
      <w:r>
        <w:rPr>
          <w:spacing w:val="-9"/>
        </w:rPr>
        <w:t> </w:t>
      </w:r>
      <w:r>
        <w:rPr/>
        <w:t>manifiesta</w:t>
      </w:r>
      <w:r>
        <w:rPr>
          <w:spacing w:val="-7"/>
        </w:rPr>
        <w:t> </w:t>
      </w:r>
      <w:r>
        <w:rPr/>
        <w:t>en</w:t>
      </w:r>
      <w:r>
        <w:rPr>
          <w:spacing w:val="-7"/>
        </w:rPr>
        <w:t> </w:t>
      </w:r>
      <w:r>
        <w:rPr/>
        <w:t>las</w:t>
      </w:r>
      <w:r>
        <w:rPr>
          <w:spacing w:val="-8"/>
        </w:rPr>
        <w:t> </w:t>
      </w:r>
      <w:r>
        <w:rPr/>
        <w:t>hojas</w:t>
      </w:r>
      <w:r>
        <w:rPr>
          <w:spacing w:val="-10"/>
        </w:rPr>
        <w:t> </w:t>
      </w:r>
      <w:r>
        <w:rPr/>
        <w:t>más</w:t>
      </w:r>
      <w:r>
        <w:rPr>
          <w:spacing w:val="-10"/>
        </w:rPr>
        <w:t> </w:t>
      </w:r>
      <w:r>
        <w:rPr/>
        <w:t>viejas</w:t>
      </w:r>
      <w:r>
        <w:rPr>
          <w:spacing w:val="-8"/>
        </w:rPr>
        <w:t> </w:t>
      </w:r>
      <w:r>
        <w:rPr/>
        <w:t>que</w:t>
      </w:r>
      <w:r>
        <w:rPr>
          <w:spacing w:val="-7"/>
        </w:rPr>
        <w:t> </w:t>
      </w:r>
      <w:r>
        <w:rPr/>
        <w:t>presentan</w:t>
      </w:r>
      <w:r>
        <w:rPr>
          <w:spacing w:val="-7"/>
        </w:rPr>
        <w:t> </w:t>
      </w:r>
      <w:r>
        <w:rPr/>
        <w:t>zonas</w:t>
      </w:r>
      <w:r>
        <w:rPr>
          <w:spacing w:val="-8"/>
        </w:rPr>
        <w:t> </w:t>
      </w:r>
      <w:r>
        <w:rPr/>
        <w:t>cloróticas entre las nerviaciones, que conservan el color verde (Alpi &amp; Tognoni, 1999). La </w:t>
      </w:r>
      <w:r>
        <w:rPr>
          <w:position w:val="1"/>
        </w:rPr>
        <w:t>absorción de Mg</w:t>
      </w:r>
      <w:r>
        <w:rPr>
          <w:position w:val="9"/>
          <w:sz w:val="16"/>
        </w:rPr>
        <w:t>2+ </w:t>
      </w:r>
      <w:r>
        <w:rPr>
          <w:position w:val="1"/>
        </w:rPr>
        <w:t>se ve favorecida por los iones NO</w:t>
      </w:r>
      <w:r>
        <w:rPr>
          <w:sz w:val="16"/>
        </w:rPr>
        <w:t>3</w:t>
      </w:r>
      <w:r>
        <w:rPr>
          <w:position w:val="1"/>
        </w:rPr>
        <w:t>, pero es inhibido por otros cationes como NH</w:t>
      </w:r>
      <w:r>
        <w:rPr>
          <w:sz w:val="16"/>
        </w:rPr>
        <w:t>4</w:t>
      </w:r>
      <w:r>
        <w:rPr>
          <w:position w:val="1"/>
        </w:rPr>
        <w:t>, K y Ca (Benton, 2012). Las funciones del Mg</w:t>
      </w:r>
      <w:r>
        <w:rPr>
          <w:position w:val="9"/>
          <w:sz w:val="16"/>
        </w:rPr>
        <w:t>2+ </w:t>
      </w:r>
      <w:r>
        <w:rPr>
          <w:position w:val="1"/>
        </w:rPr>
        <w:t>en las plantas </w:t>
      </w:r>
      <w:r>
        <w:rPr/>
        <w:t>son muchas y las más importantes son como activador de enzimas y como componente de las moléculas de clorofila, por lo que está activamente involucrado en la fotosíntesis. El Mg</w:t>
      </w:r>
      <w:r>
        <w:rPr>
          <w:position w:val="8"/>
          <w:sz w:val="16"/>
        </w:rPr>
        <w:t>2+ </w:t>
      </w:r>
      <w:r>
        <w:rPr/>
        <w:t>es un auxiliar en el metabolismo del fosfato, respiración de la planta y la activación de varios sistemas enzimáticos involucrados en el metabolismo energético (Fageria &amp; Gheyi,</w:t>
      </w:r>
      <w:r>
        <w:rPr>
          <w:spacing w:val="-25"/>
        </w:rPr>
        <w:t> </w:t>
      </w:r>
      <w:r>
        <w:rPr/>
        <w:t>1999).</w:t>
      </w:r>
    </w:p>
    <w:p>
      <w:pPr>
        <w:pStyle w:val="BodyText"/>
        <w:spacing w:line="480" w:lineRule="auto" w:before="204"/>
        <w:ind w:left="101" w:right="116"/>
        <w:jc w:val="both"/>
      </w:pPr>
      <w:r>
        <w:rPr/>
        <w:t>Este mineral es componente en la estructura de tejidos, participa en procesos bioquímicos</w:t>
      </w:r>
      <w:r>
        <w:rPr>
          <w:spacing w:val="-14"/>
        </w:rPr>
        <w:t> </w:t>
      </w:r>
      <w:r>
        <w:rPr/>
        <w:t>y</w:t>
      </w:r>
      <w:r>
        <w:rPr>
          <w:spacing w:val="-15"/>
        </w:rPr>
        <w:t> </w:t>
      </w:r>
      <w:r>
        <w:rPr/>
        <w:t>funciones</w:t>
      </w:r>
      <w:r>
        <w:rPr>
          <w:spacing w:val="-14"/>
        </w:rPr>
        <w:t> </w:t>
      </w:r>
      <w:r>
        <w:rPr/>
        <w:t>fisiológicas,</w:t>
      </w:r>
      <w:r>
        <w:rPr>
          <w:spacing w:val="-13"/>
        </w:rPr>
        <w:t> </w:t>
      </w:r>
      <w:r>
        <w:rPr/>
        <w:t>constituyente</w:t>
      </w:r>
      <w:r>
        <w:rPr>
          <w:spacing w:val="-14"/>
        </w:rPr>
        <w:t> </w:t>
      </w:r>
      <w:r>
        <w:rPr/>
        <w:t>de</w:t>
      </w:r>
      <w:r>
        <w:rPr>
          <w:spacing w:val="-13"/>
        </w:rPr>
        <w:t> </w:t>
      </w:r>
      <w:r>
        <w:rPr/>
        <w:t>la</w:t>
      </w:r>
      <w:r>
        <w:rPr>
          <w:spacing w:val="-13"/>
        </w:rPr>
        <w:t> </w:t>
      </w:r>
      <w:r>
        <w:rPr/>
        <w:t>lámina</w:t>
      </w:r>
      <w:r>
        <w:rPr>
          <w:spacing w:val="-14"/>
        </w:rPr>
        <w:t> </w:t>
      </w:r>
      <w:r>
        <w:rPr/>
        <w:t>media;</w:t>
      </w:r>
      <w:r>
        <w:rPr>
          <w:spacing w:val="-13"/>
        </w:rPr>
        <w:t> </w:t>
      </w:r>
      <w:r>
        <w:rPr/>
        <w:t>es</w:t>
      </w:r>
      <w:r>
        <w:rPr>
          <w:spacing w:val="-14"/>
        </w:rPr>
        <w:t> </w:t>
      </w:r>
      <w:r>
        <w:rPr/>
        <w:t>necesario para</w:t>
      </w:r>
      <w:r>
        <w:rPr>
          <w:spacing w:val="-14"/>
        </w:rPr>
        <w:t> </w:t>
      </w:r>
      <w:r>
        <w:rPr/>
        <w:t>mantener</w:t>
      </w:r>
      <w:r>
        <w:rPr>
          <w:spacing w:val="-13"/>
        </w:rPr>
        <w:t> </w:t>
      </w:r>
      <w:r>
        <w:rPr/>
        <w:t>integra</w:t>
      </w:r>
      <w:r>
        <w:rPr>
          <w:spacing w:val="-12"/>
        </w:rPr>
        <w:t> </w:t>
      </w:r>
      <w:r>
        <w:rPr/>
        <w:t>la</w:t>
      </w:r>
      <w:r>
        <w:rPr>
          <w:spacing w:val="-12"/>
        </w:rPr>
        <w:t> </w:t>
      </w:r>
      <w:r>
        <w:rPr/>
        <w:t>estructura</w:t>
      </w:r>
      <w:r>
        <w:rPr>
          <w:spacing w:val="-14"/>
        </w:rPr>
        <w:t> </w:t>
      </w:r>
      <w:r>
        <w:rPr/>
        <w:t>de</w:t>
      </w:r>
      <w:r>
        <w:rPr>
          <w:spacing w:val="-12"/>
        </w:rPr>
        <w:t> </w:t>
      </w:r>
      <w:r>
        <w:rPr/>
        <w:t>los</w:t>
      </w:r>
      <w:r>
        <w:rPr>
          <w:spacing w:val="-15"/>
        </w:rPr>
        <w:t> </w:t>
      </w:r>
      <w:r>
        <w:rPr/>
        <w:t>ribosomas</w:t>
      </w:r>
      <w:r>
        <w:rPr>
          <w:spacing w:val="-15"/>
        </w:rPr>
        <w:t> </w:t>
      </w:r>
      <w:r>
        <w:rPr/>
        <w:t>(en</w:t>
      </w:r>
      <w:r>
        <w:rPr>
          <w:spacing w:val="-14"/>
        </w:rPr>
        <w:t> </w:t>
      </w:r>
      <w:r>
        <w:rPr/>
        <w:t>ellos</w:t>
      </w:r>
      <w:r>
        <w:rPr>
          <w:spacing w:val="-13"/>
        </w:rPr>
        <w:t> </w:t>
      </w:r>
      <w:r>
        <w:rPr/>
        <w:t>se</w:t>
      </w:r>
      <w:r>
        <w:rPr>
          <w:spacing w:val="-14"/>
        </w:rPr>
        <w:t> </w:t>
      </w:r>
      <w:r>
        <w:rPr/>
        <w:t>encuentra</w:t>
      </w:r>
      <w:r>
        <w:rPr>
          <w:spacing w:val="-14"/>
        </w:rPr>
        <w:t> </w:t>
      </w:r>
      <w:r>
        <w:rPr/>
        <w:t>más</w:t>
      </w:r>
      <w:r>
        <w:rPr>
          <w:spacing w:val="-13"/>
        </w:rPr>
        <w:t> </w:t>
      </w:r>
      <w:r>
        <w:rPr/>
        <w:t>del 90 % del Mg celular). Se asocia con un rápido crecimiento, actividad de la mitosis, altos</w:t>
      </w:r>
      <w:r>
        <w:rPr>
          <w:spacing w:val="-10"/>
        </w:rPr>
        <w:t> </w:t>
      </w:r>
      <w:r>
        <w:rPr/>
        <w:t>niveles</w:t>
      </w:r>
      <w:r>
        <w:rPr>
          <w:spacing w:val="-10"/>
        </w:rPr>
        <w:t> </w:t>
      </w:r>
      <w:r>
        <w:rPr/>
        <w:t>de</w:t>
      </w:r>
      <w:r>
        <w:rPr>
          <w:spacing w:val="-9"/>
        </w:rPr>
        <w:t> </w:t>
      </w:r>
      <w:r>
        <w:rPr/>
        <w:t>proteínas,</w:t>
      </w:r>
      <w:r>
        <w:rPr>
          <w:spacing w:val="-9"/>
        </w:rPr>
        <w:t> </w:t>
      </w:r>
      <w:r>
        <w:rPr/>
        <w:t>metabolismo</w:t>
      </w:r>
      <w:r>
        <w:rPr>
          <w:spacing w:val="-9"/>
        </w:rPr>
        <w:t> </w:t>
      </w:r>
      <w:r>
        <w:rPr/>
        <w:t>de</w:t>
      </w:r>
      <w:r>
        <w:rPr>
          <w:spacing w:val="-9"/>
        </w:rPr>
        <w:t> </w:t>
      </w:r>
      <w:r>
        <w:rPr/>
        <w:t>los</w:t>
      </w:r>
      <w:r>
        <w:rPr>
          <w:spacing w:val="-10"/>
        </w:rPr>
        <w:t> </w:t>
      </w:r>
      <w:r>
        <w:rPr/>
        <w:t>carbohidratos,</w:t>
      </w:r>
      <w:r>
        <w:rPr>
          <w:spacing w:val="-11"/>
        </w:rPr>
        <w:t> </w:t>
      </w:r>
      <w:r>
        <w:rPr/>
        <w:t>fosforilación</w:t>
      </w:r>
      <w:r>
        <w:rPr>
          <w:spacing w:val="-9"/>
        </w:rPr>
        <w:t> </w:t>
      </w:r>
      <w:r>
        <w:rPr/>
        <w:t>oxidativa en células jóvenes. Bioquímicamente en reacciones de transferencia de energía involucra grupos reactivos de fosfatos. Actúa como cofactor de muchas enzimas incluyendo transfosforilasa, deshidrogenasa, carboxilasa; respiración y formación de</w:t>
      </w:r>
      <w:r>
        <w:rPr>
          <w:spacing w:val="-16"/>
        </w:rPr>
        <w:t> </w:t>
      </w:r>
      <w:r>
        <w:rPr/>
        <w:t>ADN</w:t>
      </w:r>
      <w:r>
        <w:rPr>
          <w:spacing w:val="-18"/>
        </w:rPr>
        <w:t> </w:t>
      </w:r>
      <w:r>
        <w:rPr/>
        <w:t>y</w:t>
      </w:r>
      <w:r>
        <w:rPr>
          <w:spacing w:val="-20"/>
        </w:rPr>
        <w:t> </w:t>
      </w:r>
      <w:r>
        <w:rPr/>
        <w:t>ARN.</w:t>
      </w:r>
      <w:r>
        <w:rPr>
          <w:spacing w:val="-17"/>
        </w:rPr>
        <w:t> </w:t>
      </w:r>
      <w:r>
        <w:rPr/>
        <w:t>El</w:t>
      </w:r>
      <w:r>
        <w:rPr>
          <w:spacing w:val="-18"/>
        </w:rPr>
        <w:t> </w:t>
      </w:r>
      <w:r>
        <w:rPr/>
        <w:t>Mg</w:t>
      </w:r>
      <w:r>
        <w:rPr>
          <w:spacing w:val="-19"/>
        </w:rPr>
        <w:t> </w:t>
      </w:r>
      <w:r>
        <w:rPr/>
        <w:t>también</w:t>
      </w:r>
      <w:r>
        <w:rPr>
          <w:spacing w:val="-16"/>
        </w:rPr>
        <w:t> </w:t>
      </w:r>
      <w:r>
        <w:rPr/>
        <w:t>estimula</w:t>
      </w:r>
      <w:r>
        <w:rPr>
          <w:spacing w:val="-16"/>
        </w:rPr>
        <w:t> </w:t>
      </w:r>
      <w:r>
        <w:rPr/>
        <w:t>el</w:t>
      </w:r>
      <w:r>
        <w:rPr>
          <w:spacing w:val="-18"/>
        </w:rPr>
        <w:t> </w:t>
      </w:r>
      <w:r>
        <w:rPr/>
        <w:t>desarrollo</w:t>
      </w:r>
      <w:r>
        <w:rPr>
          <w:spacing w:val="-16"/>
        </w:rPr>
        <w:t> </w:t>
      </w:r>
      <w:r>
        <w:rPr/>
        <w:t>de</w:t>
      </w:r>
      <w:r>
        <w:rPr>
          <w:spacing w:val="-16"/>
        </w:rPr>
        <w:t> </w:t>
      </w:r>
      <w:r>
        <w:rPr/>
        <w:t>microorganismos</w:t>
      </w:r>
      <w:r>
        <w:rPr>
          <w:spacing w:val="-20"/>
        </w:rPr>
        <w:t> </w:t>
      </w:r>
      <w:r>
        <w:rPr/>
        <w:t>favorables</w:t>
      </w:r>
    </w:p>
    <w:p>
      <w:pPr>
        <w:spacing w:after="0" w:line="480" w:lineRule="auto"/>
        <w:jc w:val="both"/>
        <w:sectPr>
          <w:pgSz w:w="12240" w:h="15840"/>
          <w:pgMar w:header="0" w:footer="1005" w:top="1360" w:bottom="1200" w:left="1600" w:right="1580"/>
        </w:sectPr>
      </w:pPr>
    </w:p>
    <w:p>
      <w:pPr>
        <w:pStyle w:val="BodyText"/>
        <w:spacing w:line="480" w:lineRule="auto" w:before="49"/>
        <w:ind w:left="101" w:right="117"/>
        <w:jc w:val="both"/>
      </w:pPr>
      <w:r>
        <w:rPr/>
        <w:t>a</w:t>
      </w:r>
      <w:r>
        <w:rPr>
          <w:spacing w:val="-12"/>
        </w:rPr>
        <w:t> </w:t>
      </w:r>
      <w:r>
        <w:rPr/>
        <w:t>la</w:t>
      </w:r>
      <w:r>
        <w:rPr>
          <w:spacing w:val="-12"/>
        </w:rPr>
        <w:t> </w:t>
      </w:r>
      <w:r>
        <w:rPr/>
        <w:t>planta,</w:t>
      </w:r>
      <w:r>
        <w:rPr>
          <w:spacing w:val="-12"/>
        </w:rPr>
        <w:t> </w:t>
      </w:r>
      <w:r>
        <w:rPr/>
        <w:t>participa</w:t>
      </w:r>
      <w:r>
        <w:rPr>
          <w:spacing w:val="-12"/>
        </w:rPr>
        <w:t> </w:t>
      </w:r>
      <w:r>
        <w:rPr/>
        <w:t>en</w:t>
      </w:r>
      <w:r>
        <w:rPr>
          <w:spacing w:val="-14"/>
        </w:rPr>
        <w:t> </w:t>
      </w:r>
      <w:r>
        <w:rPr/>
        <w:t>el</w:t>
      </w:r>
      <w:r>
        <w:rPr>
          <w:spacing w:val="-13"/>
        </w:rPr>
        <w:t> </w:t>
      </w:r>
      <w:r>
        <w:rPr/>
        <w:t>crecimiento</w:t>
      </w:r>
      <w:r>
        <w:rPr>
          <w:spacing w:val="-12"/>
        </w:rPr>
        <w:t> </w:t>
      </w:r>
      <w:r>
        <w:rPr/>
        <w:t>de</w:t>
      </w:r>
      <w:r>
        <w:rPr>
          <w:spacing w:val="-12"/>
        </w:rPr>
        <w:t> </w:t>
      </w:r>
      <w:r>
        <w:rPr/>
        <w:t>la</w:t>
      </w:r>
      <w:r>
        <w:rPr>
          <w:spacing w:val="-12"/>
        </w:rPr>
        <w:t> </w:t>
      </w:r>
      <w:r>
        <w:rPr/>
        <w:t>ecología</w:t>
      </w:r>
      <w:r>
        <w:rPr>
          <w:spacing w:val="-12"/>
        </w:rPr>
        <w:t> </w:t>
      </w:r>
      <w:r>
        <w:rPr/>
        <w:t>microbiana</w:t>
      </w:r>
      <w:r>
        <w:rPr>
          <w:spacing w:val="-12"/>
        </w:rPr>
        <w:t> </w:t>
      </w:r>
      <w:r>
        <w:rPr/>
        <w:t>(García-Ávila</w:t>
      </w:r>
      <w:r>
        <w:rPr>
          <w:spacing w:val="-12"/>
        </w:rPr>
        <w:t> </w:t>
      </w:r>
      <w:r>
        <w:rPr>
          <w:i/>
        </w:rPr>
        <w:t>et</w:t>
      </w:r>
      <w:r>
        <w:rPr>
          <w:i/>
          <w:spacing w:val="-12"/>
        </w:rPr>
        <w:t> </w:t>
      </w:r>
      <w:r>
        <w:rPr>
          <w:i/>
        </w:rPr>
        <w:t>al</w:t>
      </w:r>
      <w:r>
        <w:rPr/>
        <w:t>., 2012; Datnoff, </w:t>
      </w:r>
      <w:r>
        <w:rPr>
          <w:i/>
        </w:rPr>
        <w:t>et al</w:t>
      </w:r>
      <w:r>
        <w:rPr/>
        <w:t>., 2013; Xiao </w:t>
      </w:r>
      <w:r>
        <w:rPr>
          <w:i/>
        </w:rPr>
        <w:t>et al</w:t>
      </w:r>
      <w:r>
        <w:rPr/>
        <w:t>.,</w:t>
      </w:r>
      <w:r>
        <w:rPr>
          <w:spacing w:val="-24"/>
        </w:rPr>
        <w:t> </w:t>
      </w:r>
      <w:r>
        <w:rPr/>
        <w:t>2014).</w:t>
      </w:r>
    </w:p>
    <w:p>
      <w:pPr>
        <w:pStyle w:val="BodyText"/>
      </w:pPr>
    </w:p>
    <w:p>
      <w:pPr>
        <w:pStyle w:val="BodyText"/>
        <w:spacing w:before="1"/>
        <w:rPr>
          <w:sz w:val="25"/>
        </w:rPr>
      </w:pPr>
    </w:p>
    <w:p>
      <w:pPr>
        <w:pStyle w:val="Heading1"/>
        <w:numPr>
          <w:ilvl w:val="1"/>
          <w:numId w:val="6"/>
        </w:numPr>
        <w:tabs>
          <w:tab w:pos="772" w:val="left" w:leader="none"/>
        </w:tabs>
        <w:spacing w:line="240" w:lineRule="auto" w:before="0" w:after="0"/>
        <w:ind w:left="771" w:right="0" w:hanging="468"/>
        <w:jc w:val="left"/>
      </w:pPr>
      <w:bookmarkStart w:name="_TOC_250026" w:id="13"/>
      <w:r>
        <w:rPr/>
        <w:t>Soluciones</w:t>
      </w:r>
      <w:r>
        <w:rPr>
          <w:spacing w:val="-15"/>
        </w:rPr>
        <w:t> </w:t>
      </w:r>
      <w:bookmarkEnd w:id="13"/>
      <w:r>
        <w:rPr/>
        <w:t>nutritivas</w:t>
      </w:r>
    </w:p>
    <w:p>
      <w:pPr>
        <w:pStyle w:val="BodyText"/>
        <w:rPr>
          <w:b/>
        </w:rPr>
      </w:pPr>
    </w:p>
    <w:p>
      <w:pPr>
        <w:pStyle w:val="BodyText"/>
        <w:spacing w:line="480" w:lineRule="auto" w:before="199"/>
        <w:ind w:left="101" w:right="116"/>
        <w:jc w:val="both"/>
      </w:pPr>
      <w:r>
        <w:rPr>
          <w:color w:val="221E1F"/>
        </w:rPr>
        <w:t>Las soluciones nutritivas aportan nutrimentos para el óptimo desarrollo de los cultivos</w:t>
      </w:r>
      <w:r>
        <w:rPr>
          <w:color w:val="221E1F"/>
          <w:spacing w:val="-10"/>
        </w:rPr>
        <w:t> </w:t>
      </w:r>
      <w:r>
        <w:rPr>
          <w:color w:val="221E1F"/>
        </w:rPr>
        <w:t>(Favela</w:t>
      </w:r>
      <w:r>
        <w:rPr>
          <w:color w:val="221E1F"/>
          <w:spacing w:val="-9"/>
        </w:rPr>
        <w:t> </w:t>
      </w:r>
      <w:r>
        <w:rPr>
          <w:i/>
          <w:color w:val="221E1F"/>
        </w:rPr>
        <w:t>et</w:t>
      </w:r>
      <w:r>
        <w:rPr>
          <w:i/>
          <w:color w:val="221E1F"/>
          <w:spacing w:val="-10"/>
        </w:rPr>
        <w:t> </w:t>
      </w:r>
      <w:r>
        <w:rPr>
          <w:i/>
          <w:color w:val="221E1F"/>
        </w:rPr>
        <w:t>al</w:t>
      </w:r>
      <w:r>
        <w:rPr>
          <w:color w:val="221E1F"/>
        </w:rPr>
        <w:t>.,</w:t>
      </w:r>
      <w:r>
        <w:rPr>
          <w:color w:val="221E1F"/>
          <w:spacing w:val="-10"/>
        </w:rPr>
        <w:t> </w:t>
      </w:r>
      <w:r>
        <w:rPr>
          <w:color w:val="221E1F"/>
        </w:rPr>
        <w:t>2006).</w:t>
      </w:r>
      <w:r>
        <w:rPr>
          <w:color w:val="221E1F"/>
          <w:spacing w:val="-10"/>
        </w:rPr>
        <w:t> </w:t>
      </w:r>
      <w:r>
        <w:rPr>
          <w:color w:val="221E1F"/>
        </w:rPr>
        <w:t>Actualmente,</w:t>
      </w:r>
      <w:r>
        <w:rPr>
          <w:color w:val="221E1F"/>
          <w:spacing w:val="-12"/>
        </w:rPr>
        <w:t> </w:t>
      </w:r>
      <w:r>
        <w:rPr>
          <w:color w:val="221E1F"/>
        </w:rPr>
        <w:t>el</w:t>
      </w:r>
      <w:r>
        <w:rPr>
          <w:color w:val="221E1F"/>
          <w:spacing w:val="-11"/>
        </w:rPr>
        <w:t> </w:t>
      </w:r>
      <w:r>
        <w:rPr>
          <w:color w:val="221E1F"/>
        </w:rPr>
        <w:t>cultivo</w:t>
      </w:r>
      <w:r>
        <w:rPr>
          <w:color w:val="221E1F"/>
          <w:spacing w:val="-9"/>
        </w:rPr>
        <w:t> </w:t>
      </w:r>
      <w:r>
        <w:rPr>
          <w:color w:val="221E1F"/>
        </w:rPr>
        <w:t>con</w:t>
      </w:r>
      <w:r>
        <w:rPr>
          <w:color w:val="221E1F"/>
          <w:spacing w:val="-9"/>
        </w:rPr>
        <w:t> </w:t>
      </w:r>
      <w:r>
        <w:rPr>
          <w:color w:val="221E1F"/>
        </w:rPr>
        <w:t>soluciones</w:t>
      </w:r>
      <w:r>
        <w:rPr>
          <w:color w:val="221E1F"/>
          <w:spacing w:val="-13"/>
        </w:rPr>
        <w:t> </w:t>
      </w:r>
      <w:r>
        <w:rPr>
          <w:color w:val="221E1F"/>
        </w:rPr>
        <w:t>nutritivas</w:t>
      </w:r>
      <w:r>
        <w:rPr>
          <w:color w:val="221E1F"/>
          <w:spacing w:val="-10"/>
        </w:rPr>
        <w:t> </w:t>
      </w:r>
      <w:r>
        <w:rPr>
          <w:color w:val="221E1F"/>
        </w:rPr>
        <w:t>es</w:t>
      </w:r>
      <w:r>
        <w:rPr>
          <w:color w:val="221E1F"/>
          <w:spacing w:val="-10"/>
        </w:rPr>
        <w:t> </w:t>
      </w:r>
      <w:r>
        <w:rPr>
          <w:color w:val="221E1F"/>
        </w:rPr>
        <w:t>útil para la investigación, ya que elimina el efecto del sustrato o posible contaminación de la solución con los elementos que provienen del mismo. Son importantes en el desarrollo, rendimiento y calidad de las plantas </w:t>
      </w:r>
      <w:r>
        <w:rPr/>
        <w:t>(Favela </w:t>
      </w:r>
      <w:r>
        <w:rPr>
          <w:i/>
        </w:rPr>
        <w:t>et al</w:t>
      </w:r>
      <w:r>
        <w:rPr/>
        <w:t>., 2006). Particularmente,</w:t>
      </w:r>
      <w:r>
        <w:rPr>
          <w:spacing w:val="-14"/>
        </w:rPr>
        <w:t> </w:t>
      </w:r>
      <w:r>
        <w:rPr/>
        <w:t>en</w:t>
      </w:r>
      <w:r>
        <w:rPr>
          <w:spacing w:val="-13"/>
        </w:rPr>
        <w:t> </w:t>
      </w:r>
      <w:r>
        <w:rPr/>
        <w:t>los</w:t>
      </w:r>
      <w:r>
        <w:rPr>
          <w:spacing w:val="-15"/>
        </w:rPr>
        <w:t> </w:t>
      </w:r>
      <w:r>
        <w:rPr/>
        <w:t>años</w:t>
      </w:r>
      <w:r>
        <w:rPr>
          <w:spacing w:val="-15"/>
        </w:rPr>
        <w:t> </w:t>
      </w:r>
      <w:r>
        <w:rPr/>
        <w:t>recientes</w:t>
      </w:r>
      <w:r>
        <w:rPr>
          <w:spacing w:val="-14"/>
        </w:rPr>
        <w:t> </w:t>
      </w:r>
      <w:r>
        <w:rPr>
          <w:color w:val="221E1F"/>
        </w:rPr>
        <w:t>se</w:t>
      </w:r>
      <w:r>
        <w:rPr>
          <w:color w:val="221E1F"/>
          <w:spacing w:val="-13"/>
        </w:rPr>
        <w:t> </w:t>
      </w:r>
      <w:r>
        <w:rPr>
          <w:color w:val="221E1F"/>
        </w:rPr>
        <w:t>ha</w:t>
      </w:r>
      <w:r>
        <w:rPr>
          <w:color w:val="221E1F"/>
          <w:spacing w:val="-13"/>
        </w:rPr>
        <w:t> </w:t>
      </w:r>
      <w:r>
        <w:rPr>
          <w:color w:val="221E1F"/>
        </w:rPr>
        <w:t>evaluado</w:t>
      </w:r>
      <w:r>
        <w:rPr>
          <w:color w:val="221E1F"/>
          <w:spacing w:val="-13"/>
        </w:rPr>
        <w:t> </w:t>
      </w:r>
      <w:r>
        <w:rPr>
          <w:color w:val="221E1F"/>
        </w:rPr>
        <w:t>en</w:t>
      </w:r>
      <w:r>
        <w:rPr>
          <w:color w:val="221E1F"/>
          <w:spacing w:val="-13"/>
        </w:rPr>
        <w:t> </w:t>
      </w:r>
      <w:r>
        <w:rPr>
          <w:color w:val="221E1F"/>
        </w:rPr>
        <w:t>lilium</w:t>
      </w:r>
      <w:r>
        <w:rPr>
          <w:color w:val="221E1F"/>
          <w:spacing w:val="-14"/>
        </w:rPr>
        <w:t> </w:t>
      </w:r>
      <w:r>
        <w:rPr>
          <w:color w:val="221E1F"/>
        </w:rPr>
        <w:t>el</w:t>
      </w:r>
      <w:r>
        <w:rPr>
          <w:color w:val="221E1F"/>
          <w:spacing w:val="-14"/>
        </w:rPr>
        <w:t> </w:t>
      </w:r>
      <w:r>
        <w:rPr>
          <w:color w:val="221E1F"/>
        </w:rPr>
        <w:t>uso</w:t>
      </w:r>
      <w:r>
        <w:rPr>
          <w:color w:val="221E1F"/>
          <w:spacing w:val="-14"/>
        </w:rPr>
        <w:t> </w:t>
      </w:r>
      <w:r>
        <w:rPr>
          <w:color w:val="221E1F"/>
        </w:rPr>
        <w:t>de</w:t>
      </w:r>
      <w:r>
        <w:rPr>
          <w:color w:val="221E1F"/>
          <w:spacing w:val="-13"/>
        </w:rPr>
        <w:t> </w:t>
      </w:r>
      <w:r>
        <w:rPr>
          <w:color w:val="221E1F"/>
        </w:rPr>
        <w:t>soluciones nutritivas comprobado su importancia (</w:t>
      </w:r>
      <w:r>
        <w:rPr/>
        <w:t>Betancourt-Olvera </w:t>
      </w:r>
      <w:r>
        <w:rPr>
          <w:i/>
        </w:rPr>
        <w:t>et al., </w:t>
      </w:r>
      <w:r>
        <w:rPr/>
        <w:t>2005; García-Ávila </w:t>
      </w:r>
      <w:r>
        <w:rPr>
          <w:i/>
        </w:rPr>
        <w:t>et al</w:t>
      </w:r>
      <w:r>
        <w:rPr/>
        <w:t>., </w:t>
      </w:r>
      <w:r>
        <w:rPr>
          <w:color w:val="221E1F"/>
        </w:rPr>
        <w:t>2015; Rodríguez-Mendoza </w:t>
      </w:r>
      <w:r>
        <w:rPr>
          <w:i/>
          <w:color w:val="221E1F"/>
        </w:rPr>
        <w:t>et al</w:t>
      </w:r>
      <w:r>
        <w:rPr>
          <w:color w:val="221E1F"/>
        </w:rPr>
        <w:t>.,</w:t>
      </w:r>
      <w:r>
        <w:rPr>
          <w:color w:val="221E1F"/>
          <w:spacing w:val="-24"/>
        </w:rPr>
        <w:t> </w:t>
      </w:r>
      <w:r>
        <w:rPr>
          <w:color w:val="221E1F"/>
        </w:rPr>
        <w:t>2011).</w:t>
      </w:r>
    </w:p>
    <w:p>
      <w:pPr>
        <w:pStyle w:val="BodyText"/>
        <w:spacing w:line="480" w:lineRule="auto" w:before="10"/>
        <w:ind w:left="101" w:right="117"/>
        <w:jc w:val="both"/>
      </w:pPr>
      <w:r>
        <w:rPr>
          <w:color w:val="221E1F"/>
        </w:rPr>
        <w:t>Según Steiner (1961) en la preparación y manejo de una solución nutritiva es indispensable conocer aspectos fundamentales como: pH, la concentración única total (presión osmótica), determinada mediante la conductividad eléctrica; la relación mutua entre aniones y cationes, la concentración de amonio, temperatura y el oxígeno disuelto. Dicho autor, al igual que otros expertos enfatizan que las concentraciones de nutrimentos requeridos para satisfacer las demandas internas de</w:t>
      </w:r>
      <w:r>
        <w:rPr>
          <w:color w:val="221E1F"/>
          <w:spacing w:val="-7"/>
        </w:rPr>
        <w:t> </w:t>
      </w:r>
      <w:r>
        <w:rPr>
          <w:color w:val="221E1F"/>
        </w:rPr>
        <w:t>las</w:t>
      </w:r>
      <w:r>
        <w:rPr>
          <w:color w:val="221E1F"/>
          <w:spacing w:val="-8"/>
        </w:rPr>
        <w:t> </w:t>
      </w:r>
      <w:r>
        <w:rPr>
          <w:color w:val="221E1F"/>
        </w:rPr>
        <w:t>plantas</w:t>
      </w:r>
      <w:r>
        <w:rPr>
          <w:color w:val="221E1F"/>
          <w:spacing w:val="-10"/>
        </w:rPr>
        <w:t> </w:t>
      </w:r>
      <w:r>
        <w:rPr>
          <w:color w:val="221E1F"/>
        </w:rPr>
        <w:t>difieren</w:t>
      </w:r>
      <w:r>
        <w:rPr>
          <w:color w:val="221E1F"/>
          <w:spacing w:val="-9"/>
        </w:rPr>
        <w:t> </w:t>
      </w:r>
      <w:r>
        <w:rPr>
          <w:color w:val="221E1F"/>
        </w:rPr>
        <w:t>de</w:t>
      </w:r>
      <w:r>
        <w:rPr>
          <w:color w:val="221E1F"/>
          <w:spacing w:val="-7"/>
        </w:rPr>
        <w:t> </w:t>
      </w:r>
      <w:r>
        <w:rPr>
          <w:color w:val="221E1F"/>
        </w:rPr>
        <w:t>acuerdo</w:t>
      </w:r>
      <w:r>
        <w:rPr>
          <w:color w:val="221E1F"/>
          <w:spacing w:val="-7"/>
        </w:rPr>
        <w:t> </w:t>
      </w:r>
      <w:r>
        <w:rPr>
          <w:color w:val="221E1F"/>
        </w:rPr>
        <w:t>con</w:t>
      </w:r>
      <w:r>
        <w:rPr>
          <w:color w:val="221E1F"/>
          <w:spacing w:val="-7"/>
        </w:rPr>
        <w:t> </w:t>
      </w:r>
      <w:r>
        <w:rPr>
          <w:color w:val="221E1F"/>
        </w:rPr>
        <w:t>la</w:t>
      </w:r>
      <w:r>
        <w:rPr>
          <w:color w:val="221E1F"/>
          <w:spacing w:val="-7"/>
        </w:rPr>
        <w:t> </w:t>
      </w:r>
      <w:r>
        <w:rPr>
          <w:color w:val="221E1F"/>
        </w:rPr>
        <w:t>especie.</w:t>
      </w:r>
      <w:r>
        <w:rPr>
          <w:color w:val="221E1F"/>
          <w:spacing w:val="-7"/>
        </w:rPr>
        <w:t> </w:t>
      </w:r>
      <w:r>
        <w:rPr>
          <w:color w:val="221E1F"/>
        </w:rPr>
        <w:t>(Favela</w:t>
      </w:r>
      <w:r>
        <w:rPr>
          <w:color w:val="221E1F"/>
          <w:spacing w:val="-7"/>
        </w:rPr>
        <w:t> </w:t>
      </w:r>
      <w:r>
        <w:rPr>
          <w:i/>
          <w:color w:val="221E1F"/>
        </w:rPr>
        <w:t>et</w:t>
      </w:r>
      <w:r>
        <w:rPr>
          <w:i/>
          <w:color w:val="221E1F"/>
          <w:spacing w:val="-7"/>
        </w:rPr>
        <w:t> </w:t>
      </w:r>
      <w:r>
        <w:rPr>
          <w:i/>
          <w:color w:val="221E1F"/>
        </w:rPr>
        <w:t>al</w:t>
      </w:r>
      <w:r>
        <w:rPr>
          <w:color w:val="221E1F"/>
        </w:rPr>
        <w:t>.,</w:t>
      </w:r>
      <w:r>
        <w:rPr>
          <w:color w:val="221E1F"/>
          <w:spacing w:val="-7"/>
        </w:rPr>
        <w:t> </w:t>
      </w:r>
      <w:r>
        <w:rPr>
          <w:color w:val="221E1F"/>
        </w:rPr>
        <w:t>2006;</w:t>
      </w:r>
      <w:r>
        <w:rPr>
          <w:color w:val="221E1F"/>
          <w:spacing w:val="-7"/>
        </w:rPr>
        <w:t> </w:t>
      </w:r>
      <w:r>
        <w:rPr>
          <w:color w:val="221E1F"/>
        </w:rPr>
        <w:t>Juárez</w:t>
      </w:r>
      <w:r>
        <w:rPr>
          <w:color w:val="221E1F"/>
          <w:spacing w:val="-10"/>
        </w:rPr>
        <w:t> </w:t>
      </w:r>
      <w:r>
        <w:rPr>
          <w:i/>
          <w:color w:val="221E1F"/>
        </w:rPr>
        <w:t>et</w:t>
      </w:r>
      <w:r>
        <w:rPr>
          <w:i/>
          <w:color w:val="221E1F"/>
          <w:spacing w:val="-7"/>
        </w:rPr>
        <w:t> </w:t>
      </w:r>
      <w:r>
        <w:rPr>
          <w:i/>
          <w:color w:val="221E1F"/>
        </w:rPr>
        <w:t>al</w:t>
      </w:r>
      <w:r>
        <w:rPr>
          <w:color w:val="221E1F"/>
        </w:rPr>
        <w:t>., 2006).</w:t>
      </w:r>
      <w:r>
        <w:rPr>
          <w:color w:val="221E1F"/>
          <w:spacing w:val="-10"/>
        </w:rPr>
        <w:t> </w:t>
      </w:r>
      <w:r>
        <w:rPr>
          <w:color w:val="221E1F"/>
        </w:rPr>
        <w:t>Por</w:t>
      </w:r>
      <w:r>
        <w:rPr>
          <w:color w:val="221E1F"/>
          <w:spacing w:val="-11"/>
        </w:rPr>
        <w:t> </w:t>
      </w:r>
      <w:r>
        <w:rPr>
          <w:color w:val="221E1F"/>
        </w:rPr>
        <w:t>lo</w:t>
      </w:r>
      <w:r>
        <w:rPr>
          <w:color w:val="221E1F"/>
          <w:spacing w:val="-12"/>
        </w:rPr>
        <w:t> </w:t>
      </w:r>
      <w:r>
        <w:rPr>
          <w:color w:val="221E1F"/>
        </w:rPr>
        <w:t>tanto,</w:t>
      </w:r>
      <w:r>
        <w:rPr>
          <w:color w:val="221E1F"/>
          <w:spacing w:val="-12"/>
        </w:rPr>
        <w:t> </w:t>
      </w:r>
      <w:r>
        <w:rPr>
          <w:color w:val="221E1F"/>
        </w:rPr>
        <w:t>no</w:t>
      </w:r>
      <w:r>
        <w:rPr>
          <w:color w:val="221E1F"/>
          <w:spacing w:val="-14"/>
        </w:rPr>
        <w:t> </w:t>
      </w:r>
      <w:r>
        <w:rPr>
          <w:color w:val="221E1F"/>
        </w:rPr>
        <w:t>puede</w:t>
      </w:r>
      <w:r>
        <w:rPr>
          <w:color w:val="221E1F"/>
          <w:spacing w:val="-12"/>
        </w:rPr>
        <w:t> </w:t>
      </w:r>
      <w:r>
        <w:rPr>
          <w:color w:val="221E1F"/>
        </w:rPr>
        <w:t>haber</w:t>
      </w:r>
      <w:r>
        <w:rPr>
          <w:color w:val="221E1F"/>
          <w:spacing w:val="-11"/>
        </w:rPr>
        <w:t> </w:t>
      </w:r>
      <w:r>
        <w:rPr>
          <w:color w:val="221E1F"/>
        </w:rPr>
        <w:t>una</w:t>
      </w:r>
      <w:r>
        <w:rPr>
          <w:color w:val="221E1F"/>
          <w:spacing w:val="-9"/>
        </w:rPr>
        <w:t> </w:t>
      </w:r>
      <w:r>
        <w:rPr>
          <w:color w:val="221E1F"/>
        </w:rPr>
        <w:t>solución</w:t>
      </w:r>
      <w:r>
        <w:rPr>
          <w:color w:val="221E1F"/>
          <w:spacing w:val="-9"/>
        </w:rPr>
        <w:t> </w:t>
      </w:r>
      <w:r>
        <w:rPr>
          <w:color w:val="221E1F"/>
        </w:rPr>
        <w:t>nutritiva</w:t>
      </w:r>
      <w:r>
        <w:rPr>
          <w:color w:val="221E1F"/>
          <w:spacing w:val="-9"/>
        </w:rPr>
        <w:t> </w:t>
      </w:r>
      <w:r>
        <w:rPr>
          <w:color w:val="221E1F"/>
        </w:rPr>
        <w:t>única</w:t>
      </w:r>
      <w:r>
        <w:rPr>
          <w:color w:val="221E1F"/>
          <w:spacing w:val="-9"/>
        </w:rPr>
        <w:t> </w:t>
      </w:r>
      <w:r>
        <w:rPr>
          <w:color w:val="221E1F"/>
        </w:rPr>
        <w:t>con</w:t>
      </w:r>
      <w:r>
        <w:rPr>
          <w:color w:val="221E1F"/>
          <w:spacing w:val="-12"/>
        </w:rPr>
        <w:t> </w:t>
      </w:r>
      <w:r>
        <w:rPr>
          <w:color w:val="221E1F"/>
        </w:rPr>
        <w:t>que</w:t>
      </w:r>
      <w:r>
        <w:rPr>
          <w:color w:val="221E1F"/>
          <w:spacing w:val="-9"/>
        </w:rPr>
        <w:t> </w:t>
      </w:r>
      <w:r>
        <w:rPr>
          <w:color w:val="221E1F"/>
        </w:rPr>
        <w:t>se</w:t>
      </w:r>
      <w:r>
        <w:rPr>
          <w:color w:val="221E1F"/>
          <w:spacing w:val="-9"/>
        </w:rPr>
        <w:t> </w:t>
      </w:r>
      <w:r>
        <w:rPr>
          <w:color w:val="221E1F"/>
        </w:rPr>
        <w:t>tendrían resultados satisfactorios para todas ellas (Juárez </w:t>
      </w:r>
      <w:r>
        <w:rPr>
          <w:i/>
          <w:color w:val="221E1F"/>
        </w:rPr>
        <w:t>et al</w:t>
      </w:r>
      <w:r>
        <w:rPr>
          <w:color w:val="221E1F"/>
        </w:rPr>
        <w:t>.,</w:t>
      </w:r>
      <w:r>
        <w:rPr>
          <w:color w:val="221E1F"/>
          <w:spacing w:val="-29"/>
        </w:rPr>
        <w:t> </w:t>
      </w:r>
      <w:r>
        <w:rPr>
          <w:color w:val="221E1F"/>
        </w:rPr>
        <w:t>2006).</w:t>
      </w:r>
    </w:p>
    <w:p>
      <w:pPr>
        <w:spacing w:after="0" w:line="480" w:lineRule="auto"/>
        <w:jc w:val="both"/>
        <w:sectPr>
          <w:pgSz w:w="12240" w:h="15840"/>
          <w:pgMar w:header="0" w:footer="1005" w:top="1360" w:bottom="1200" w:left="1600" w:right="1580"/>
        </w:sectPr>
      </w:pPr>
    </w:p>
    <w:p>
      <w:pPr>
        <w:pStyle w:val="Heading1"/>
        <w:numPr>
          <w:ilvl w:val="2"/>
          <w:numId w:val="6"/>
        </w:numPr>
        <w:tabs>
          <w:tab w:pos="1480" w:val="left" w:leader="none"/>
        </w:tabs>
        <w:spacing w:line="240" w:lineRule="auto" w:before="54" w:after="0"/>
        <w:ind w:left="1479" w:right="0" w:hanging="670"/>
        <w:jc w:val="left"/>
      </w:pPr>
      <w:bookmarkStart w:name="_TOC_250025" w:id="14"/>
      <w:r>
        <w:rPr/>
        <w:t>Solución</w:t>
      </w:r>
      <w:r>
        <w:rPr>
          <w:spacing w:val="-9"/>
        </w:rPr>
        <w:t> </w:t>
      </w:r>
      <w:bookmarkEnd w:id="14"/>
      <w:r>
        <w:rPr/>
        <w:t>Steiner</w:t>
      </w:r>
    </w:p>
    <w:p>
      <w:pPr>
        <w:pStyle w:val="BodyText"/>
        <w:spacing w:before="2"/>
        <w:rPr>
          <w:b/>
          <w:sz w:val="29"/>
        </w:rPr>
      </w:pPr>
    </w:p>
    <w:p>
      <w:pPr>
        <w:pStyle w:val="BodyText"/>
        <w:spacing w:line="480" w:lineRule="auto"/>
        <w:ind w:left="101" w:right="117"/>
        <w:jc w:val="both"/>
      </w:pPr>
      <w:r>
        <w:rPr/>
        <w:pict>
          <v:shape style="position:absolute;margin-left:521.039795pt;margin-top:.790736pt;width:2.7pt;height:8.0500pt;mso-position-horizontal-relative:page;mso-position-vertical-relative:paragraph;z-index:-85384" type="#_x0000_t202" filled="false" stroked="false">
            <v:textbox inset="0,0,0,0">
              <w:txbxContent>
                <w:p>
                  <w:pPr>
                    <w:spacing w:line="161" w:lineRule="exact" w:before="0"/>
                    <w:ind w:left="0" w:right="0" w:firstLine="0"/>
                    <w:jc w:val="left"/>
                    <w:rPr>
                      <w:sz w:val="16"/>
                    </w:rPr>
                  </w:pPr>
                  <w:r>
                    <w:rPr>
                      <w:color w:val="221E1F"/>
                      <w:w w:val="100"/>
                      <w:sz w:val="16"/>
                    </w:rPr>
                    <w:t>-</w:t>
                  </w:r>
                </w:p>
              </w:txbxContent>
            </v:textbox>
            <w10:wrap type="none"/>
          </v:shape>
        </w:pict>
      </w:r>
      <w:r>
        <w:rPr/>
        <w:pict>
          <v:shape style="position:absolute;margin-left:159.959930pt;margin-top:28.390724pt;width:204.3pt;height:8.0500pt;mso-position-horizontal-relative:page;mso-position-vertical-relative:paragraph;z-index:-85360" type="#_x0000_t202" filled="false" stroked="false">
            <v:textbox inset="0,0,0,0">
              <w:txbxContent>
                <w:p>
                  <w:pPr>
                    <w:tabs>
                      <w:tab w:pos="2591" w:val="left" w:leader="none"/>
                      <w:tab w:pos="3129" w:val="left" w:leader="none"/>
                      <w:tab w:pos="3902" w:val="left" w:leader="none"/>
                    </w:tabs>
                    <w:spacing w:line="161" w:lineRule="exact" w:before="0"/>
                    <w:ind w:left="0" w:right="0" w:firstLine="0"/>
                    <w:jc w:val="left"/>
                    <w:rPr>
                      <w:sz w:val="16"/>
                    </w:rPr>
                  </w:pPr>
                  <w:r>
                    <w:rPr>
                      <w:color w:val="221E1F"/>
                      <w:sz w:val="16"/>
                    </w:rPr>
                    <w:t>2-</w:t>
                    <w:tab/>
                    <w:t>+</w:t>
                    <w:tab/>
                    <w:t>2+</w:t>
                    <w:tab/>
                    <w:t>2+</w:t>
                  </w:r>
                </w:p>
              </w:txbxContent>
            </v:textbox>
            <w10:wrap type="none"/>
          </v:shape>
        </w:pict>
      </w:r>
      <w:r>
        <w:rPr>
          <w:color w:val="221E1F"/>
          <w:position w:val="1"/>
        </w:rPr>
        <w:t>Steiner (1961) estableció el concepto de relación mutua entre los aniones NO</w:t>
      </w:r>
      <w:r>
        <w:rPr>
          <w:color w:val="221E1F"/>
          <w:sz w:val="16"/>
        </w:rPr>
        <w:t>3 </w:t>
      </w:r>
      <w:r>
        <w:rPr>
          <w:color w:val="221E1F"/>
          <w:position w:val="1"/>
        </w:rPr>
        <w:t>, H</w:t>
      </w:r>
      <w:r>
        <w:rPr>
          <w:color w:val="221E1F"/>
          <w:sz w:val="16"/>
        </w:rPr>
        <w:t>2</w:t>
      </w:r>
      <w:r>
        <w:rPr>
          <w:color w:val="221E1F"/>
          <w:position w:val="1"/>
        </w:rPr>
        <w:t>PO</w:t>
      </w:r>
      <w:r>
        <w:rPr>
          <w:color w:val="221E1F"/>
          <w:sz w:val="16"/>
        </w:rPr>
        <w:t>4 </w:t>
      </w:r>
      <w:r>
        <w:rPr>
          <w:color w:val="221E1F"/>
          <w:position w:val="9"/>
          <w:sz w:val="16"/>
        </w:rPr>
        <w:t>- </w:t>
      </w:r>
      <w:r>
        <w:rPr>
          <w:color w:val="221E1F"/>
          <w:position w:val="1"/>
        </w:rPr>
        <w:t>y SO</w:t>
      </w:r>
      <w:r>
        <w:rPr>
          <w:color w:val="221E1F"/>
          <w:sz w:val="16"/>
        </w:rPr>
        <w:t>4 </w:t>
      </w:r>
      <w:r>
        <w:rPr>
          <w:color w:val="221E1F"/>
          <w:position w:val="1"/>
        </w:rPr>
        <w:t>, y entre los cationes K , Ca y Mg . Se basó en que una solución </w:t>
      </w:r>
      <w:r>
        <w:rPr>
          <w:color w:val="221E1F"/>
        </w:rPr>
        <w:t>nutritiva debe estar regulada en sus macronutrimentos contenidos en los iones mencionados (N, P, K, Ca, etc.). La regulación nutritiva consiste no solo en la cantidad absoluta de cada elemento aportado sino, además, en la relación cuantitativa que se establece entre los aniones por una parte y los cationes por la otra.</w:t>
      </w:r>
    </w:p>
    <w:p>
      <w:pPr>
        <w:pStyle w:val="BodyText"/>
      </w:pPr>
    </w:p>
    <w:p>
      <w:pPr>
        <w:pStyle w:val="BodyText"/>
      </w:pPr>
    </w:p>
    <w:p>
      <w:pPr>
        <w:pStyle w:val="ListParagraph"/>
        <w:numPr>
          <w:ilvl w:val="1"/>
          <w:numId w:val="6"/>
        </w:numPr>
        <w:tabs>
          <w:tab w:pos="572" w:val="left" w:leader="none"/>
        </w:tabs>
        <w:spacing w:line="240" w:lineRule="auto" w:before="168" w:after="0"/>
        <w:ind w:left="572" w:right="0" w:hanging="471"/>
        <w:jc w:val="both"/>
        <w:rPr>
          <w:b/>
          <w:i/>
          <w:sz w:val="24"/>
        </w:rPr>
      </w:pPr>
      <w:r>
        <w:rPr>
          <w:b/>
          <w:sz w:val="24"/>
        </w:rPr>
        <w:t>Calidad en</w:t>
      </w:r>
      <w:r>
        <w:rPr>
          <w:b/>
          <w:spacing w:val="-9"/>
          <w:sz w:val="24"/>
        </w:rPr>
        <w:t> </w:t>
      </w:r>
      <w:r>
        <w:rPr>
          <w:b/>
          <w:i/>
          <w:sz w:val="24"/>
        </w:rPr>
        <w:t>Lilium</w:t>
      </w:r>
    </w:p>
    <w:p>
      <w:pPr>
        <w:pStyle w:val="BodyText"/>
        <w:rPr>
          <w:b/>
          <w:i/>
          <w:sz w:val="28"/>
        </w:rPr>
      </w:pPr>
    </w:p>
    <w:p>
      <w:pPr>
        <w:pStyle w:val="BodyText"/>
        <w:rPr>
          <w:b/>
          <w:i/>
          <w:sz w:val="28"/>
        </w:rPr>
      </w:pPr>
    </w:p>
    <w:p>
      <w:pPr>
        <w:pStyle w:val="BodyText"/>
        <w:spacing w:before="11"/>
        <w:rPr>
          <w:b/>
          <w:i/>
          <w:sz w:val="29"/>
        </w:rPr>
      </w:pPr>
    </w:p>
    <w:p>
      <w:pPr>
        <w:pStyle w:val="Heading1"/>
        <w:numPr>
          <w:ilvl w:val="2"/>
          <w:numId w:val="6"/>
        </w:numPr>
        <w:tabs>
          <w:tab w:pos="1480" w:val="left" w:leader="none"/>
        </w:tabs>
        <w:spacing w:line="240" w:lineRule="auto" w:before="0" w:after="0"/>
        <w:ind w:left="1479" w:right="0" w:hanging="670"/>
        <w:jc w:val="left"/>
      </w:pPr>
      <w:r>
        <w:rPr>
          <w:spacing w:val="-3"/>
        </w:rPr>
        <w:t>Verdor </w:t>
      </w:r>
      <w:r>
        <w:rPr/>
        <w:t>de las</w:t>
      </w:r>
      <w:r>
        <w:rPr>
          <w:spacing w:val="-4"/>
        </w:rPr>
        <w:t> </w:t>
      </w:r>
      <w:r>
        <w:rPr/>
        <w:t>hojas</w:t>
      </w:r>
    </w:p>
    <w:p>
      <w:pPr>
        <w:pStyle w:val="BodyText"/>
        <w:spacing w:before="9"/>
        <w:rPr>
          <w:b/>
          <w:sz w:val="23"/>
        </w:rPr>
      </w:pPr>
    </w:p>
    <w:p>
      <w:pPr>
        <w:pStyle w:val="BodyText"/>
        <w:spacing w:line="480" w:lineRule="auto"/>
        <w:ind w:left="101" w:right="117"/>
        <w:jc w:val="both"/>
      </w:pPr>
      <w:r>
        <w:rPr/>
        <w:t>El verde de las hojas se debe principalmente al contenido de clorofila, de tal forma que el contenido de ésta y la absorción de nitrógeno se han correlacionado con las unidades SPAD en diversas condiciones ambientales como la intensidad</w:t>
      </w:r>
      <w:r>
        <w:rPr>
          <w:spacing w:val="-45"/>
        </w:rPr>
        <w:t> </w:t>
      </w:r>
      <w:r>
        <w:rPr/>
        <w:t>luminosa, temperatura,</w:t>
      </w:r>
      <w:r>
        <w:rPr>
          <w:spacing w:val="-13"/>
        </w:rPr>
        <w:t> </w:t>
      </w:r>
      <w:r>
        <w:rPr/>
        <w:t>humedad</w:t>
      </w:r>
      <w:r>
        <w:rPr>
          <w:spacing w:val="-13"/>
        </w:rPr>
        <w:t> </w:t>
      </w:r>
      <w:r>
        <w:rPr/>
        <w:t>relativa,</w:t>
      </w:r>
      <w:r>
        <w:rPr>
          <w:spacing w:val="-13"/>
        </w:rPr>
        <w:t> </w:t>
      </w:r>
      <w:r>
        <w:rPr/>
        <w:t>plagas,</w:t>
      </w:r>
      <w:r>
        <w:rPr>
          <w:spacing w:val="-13"/>
        </w:rPr>
        <w:t> </w:t>
      </w:r>
      <w:r>
        <w:rPr/>
        <w:t>densidad</w:t>
      </w:r>
      <w:r>
        <w:rPr>
          <w:spacing w:val="-13"/>
        </w:rPr>
        <w:t> </w:t>
      </w:r>
      <w:r>
        <w:rPr/>
        <w:t>de</w:t>
      </w:r>
      <w:r>
        <w:rPr>
          <w:spacing w:val="-13"/>
        </w:rPr>
        <w:t> </w:t>
      </w:r>
      <w:r>
        <w:rPr/>
        <w:t>población,</w:t>
      </w:r>
      <w:r>
        <w:rPr>
          <w:spacing w:val="-15"/>
        </w:rPr>
        <w:t> </w:t>
      </w:r>
      <w:r>
        <w:rPr/>
        <w:t>fuente</w:t>
      </w:r>
      <w:r>
        <w:rPr>
          <w:spacing w:val="-13"/>
        </w:rPr>
        <w:t> </w:t>
      </w:r>
      <w:r>
        <w:rPr/>
        <w:t>de</w:t>
      </w:r>
      <w:r>
        <w:rPr>
          <w:spacing w:val="-13"/>
        </w:rPr>
        <w:t> </w:t>
      </w:r>
      <w:r>
        <w:rPr/>
        <w:t>nitrógeno, etc. (Hiderman </w:t>
      </w:r>
      <w:r>
        <w:rPr>
          <w:i/>
        </w:rPr>
        <w:t>et al., </w:t>
      </w:r>
      <w:r>
        <w:rPr/>
        <w:t>1992; Piekielek &amp; Fox, 1992; citados por Rodríguez </w:t>
      </w:r>
      <w:r>
        <w:rPr>
          <w:i/>
        </w:rPr>
        <w:t>et al.</w:t>
      </w:r>
      <w:r>
        <w:rPr/>
        <w:t>, 1998).</w:t>
      </w:r>
    </w:p>
    <w:p>
      <w:pPr>
        <w:pStyle w:val="BodyText"/>
        <w:spacing w:line="480" w:lineRule="auto" w:before="8"/>
        <w:ind w:left="101" w:right="117"/>
        <w:jc w:val="both"/>
      </w:pPr>
      <w:r>
        <w:rPr/>
        <w:t>Las lecturas SPAD son un indicador confiable para diagnosticar el estado de nitrógeno total en el tejido vegetal, ya que un nivel crítico menor de 48.5 indica que el cultivo tiene concentraciones menores de 3% de nitrógeno. En consecuencia, es una</w:t>
      </w:r>
      <w:r>
        <w:rPr>
          <w:spacing w:val="-7"/>
        </w:rPr>
        <w:t> </w:t>
      </w:r>
      <w:r>
        <w:rPr/>
        <w:t>condición</w:t>
      </w:r>
      <w:r>
        <w:rPr>
          <w:spacing w:val="-7"/>
        </w:rPr>
        <w:t> </w:t>
      </w:r>
      <w:r>
        <w:rPr/>
        <w:t>de</w:t>
      </w:r>
      <w:r>
        <w:rPr>
          <w:spacing w:val="-7"/>
        </w:rPr>
        <w:t> </w:t>
      </w:r>
      <w:r>
        <w:rPr/>
        <w:t>deficiencia</w:t>
      </w:r>
      <w:r>
        <w:rPr>
          <w:spacing w:val="-7"/>
        </w:rPr>
        <w:t> </w:t>
      </w:r>
      <w:r>
        <w:rPr/>
        <w:t>nutrimental</w:t>
      </w:r>
      <w:r>
        <w:rPr>
          <w:spacing w:val="-8"/>
        </w:rPr>
        <w:t> </w:t>
      </w:r>
      <w:r>
        <w:rPr/>
        <w:t>respecto</w:t>
      </w:r>
      <w:r>
        <w:rPr>
          <w:spacing w:val="-7"/>
        </w:rPr>
        <w:t> </w:t>
      </w:r>
      <w:r>
        <w:rPr/>
        <w:t>a</w:t>
      </w:r>
      <w:r>
        <w:rPr>
          <w:spacing w:val="-9"/>
        </w:rPr>
        <w:t> </w:t>
      </w:r>
      <w:r>
        <w:rPr/>
        <w:t>ese</w:t>
      </w:r>
      <w:r>
        <w:rPr>
          <w:spacing w:val="-9"/>
        </w:rPr>
        <w:t> </w:t>
      </w:r>
      <w:r>
        <w:rPr/>
        <w:t>elemento</w:t>
      </w:r>
      <w:r>
        <w:rPr>
          <w:spacing w:val="-7"/>
        </w:rPr>
        <w:t> </w:t>
      </w:r>
      <w:r>
        <w:rPr/>
        <w:t>(De</w:t>
      </w:r>
      <w:r>
        <w:rPr>
          <w:spacing w:val="-7"/>
        </w:rPr>
        <w:t> </w:t>
      </w:r>
      <w:r>
        <w:rPr/>
        <w:t>la</w:t>
      </w:r>
      <w:r>
        <w:rPr>
          <w:spacing w:val="-7"/>
        </w:rPr>
        <w:t> </w:t>
      </w:r>
      <w:r>
        <w:rPr/>
        <w:t>Cruz</w:t>
      </w:r>
      <w:r>
        <w:rPr>
          <w:spacing w:val="-10"/>
        </w:rPr>
        <w:t> </w:t>
      </w:r>
      <w:r>
        <w:rPr>
          <w:i/>
        </w:rPr>
        <w:t>et</w:t>
      </w:r>
      <w:r>
        <w:rPr>
          <w:i/>
          <w:spacing w:val="-7"/>
        </w:rPr>
        <w:t> </w:t>
      </w:r>
      <w:r>
        <w:rPr>
          <w:i/>
        </w:rPr>
        <w:t>al</w:t>
      </w:r>
      <w:r>
        <w:rPr/>
        <w:t>., 2011).</w:t>
      </w:r>
    </w:p>
    <w:p>
      <w:pPr>
        <w:spacing w:after="0" w:line="480" w:lineRule="auto"/>
        <w:jc w:val="both"/>
        <w:sectPr>
          <w:pgSz w:w="12240" w:h="15840"/>
          <w:pgMar w:header="0" w:footer="1005" w:top="1360" w:bottom="1200" w:left="1600" w:right="1580"/>
        </w:sectPr>
      </w:pPr>
    </w:p>
    <w:p>
      <w:pPr>
        <w:pStyle w:val="BodyText"/>
        <w:spacing w:line="480" w:lineRule="auto" w:before="51"/>
        <w:ind w:left="101" w:right="114"/>
        <w:jc w:val="both"/>
      </w:pPr>
      <w:r>
        <w:rPr/>
        <w:t>Los</w:t>
      </w:r>
      <w:r>
        <w:rPr>
          <w:spacing w:val="-7"/>
        </w:rPr>
        <w:t> </w:t>
      </w:r>
      <w:r>
        <w:rPr/>
        <w:t>valores</w:t>
      </w:r>
      <w:r>
        <w:rPr>
          <w:spacing w:val="-7"/>
        </w:rPr>
        <w:t> </w:t>
      </w:r>
      <w:r>
        <w:rPr/>
        <w:t>SPAD</w:t>
      </w:r>
      <w:r>
        <w:rPr>
          <w:spacing w:val="-7"/>
        </w:rPr>
        <w:t> </w:t>
      </w:r>
      <w:r>
        <w:rPr/>
        <w:t>se</w:t>
      </w:r>
      <w:r>
        <w:rPr>
          <w:spacing w:val="-8"/>
        </w:rPr>
        <w:t> </w:t>
      </w:r>
      <w:r>
        <w:rPr/>
        <w:t>basan</w:t>
      </w:r>
      <w:r>
        <w:rPr>
          <w:spacing w:val="-8"/>
        </w:rPr>
        <w:t> </w:t>
      </w:r>
      <w:r>
        <w:rPr/>
        <w:t>en</w:t>
      </w:r>
      <w:r>
        <w:rPr>
          <w:spacing w:val="-8"/>
        </w:rPr>
        <w:t> </w:t>
      </w:r>
      <w:r>
        <w:rPr/>
        <w:t>el</w:t>
      </w:r>
      <w:r>
        <w:rPr>
          <w:spacing w:val="-7"/>
        </w:rPr>
        <w:t> </w:t>
      </w:r>
      <w:r>
        <w:rPr/>
        <w:t>principio</w:t>
      </w:r>
      <w:r>
        <w:rPr>
          <w:spacing w:val="-8"/>
        </w:rPr>
        <w:t> </w:t>
      </w:r>
      <w:r>
        <w:rPr/>
        <w:t>de</w:t>
      </w:r>
      <w:r>
        <w:rPr>
          <w:spacing w:val="-11"/>
        </w:rPr>
        <w:t> </w:t>
      </w:r>
      <w:r>
        <w:rPr/>
        <w:t>que</w:t>
      </w:r>
      <w:r>
        <w:rPr>
          <w:spacing w:val="-6"/>
        </w:rPr>
        <w:t> </w:t>
      </w:r>
      <w:r>
        <w:rPr/>
        <w:t>parte</w:t>
      </w:r>
      <w:r>
        <w:rPr>
          <w:spacing w:val="-8"/>
        </w:rPr>
        <w:t> </w:t>
      </w:r>
      <w:r>
        <w:rPr/>
        <w:t>de</w:t>
      </w:r>
      <w:r>
        <w:rPr>
          <w:spacing w:val="-8"/>
        </w:rPr>
        <w:t> </w:t>
      </w:r>
      <w:r>
        <w:rPr/>
        <w:t>la</w:t>
      </w:r>
      <w:r>
        <w:rPr>
          <w:spacing w:val="-6"/>
        </w:rPr>
        <w:t> </w:t>
      </w:r>
      <w:r>
        <w:rPr/>
        <w:t>luz</w:t>
      </w:r>
      <w:r>
        <w:rPr>
          <w:spacing w:val="-9"/>
        </w:rPr>
        <w:t> </w:t>
      </w:r>
      <w:r>
        <w:rPr/>
        <w:t>que</w:t>
      </w:r>
      <w:r>
        <w:rPr>
          <w:spacing w:val="-8"/>
        </w:rPr>
        <w:t> </w:t>
      </w:r>
      <w:r>
        <w:rPr/>
        <w:t>llega</w:t>
      </w:r>
      <w:r>
        <w:rPr>
          <w:spacing w:val="-6"/>
        </w:rPr>
        <w:t> </w:t>
      </w:r>
      <w:r>
        <w:rPr/>
        <w:t>a</w:t>
      </w:r>
      <w:r>
        <w:rPr>
          <w:spacing w:val="-6"/>
        </w:rPr>
        <w:t> </w:t>
      </w:r>
      <w:r>
        <w:rPr/>
        <w:t>la</w:t>
      </w:r>
      <w:r>
        <w:rPr>
          <w:spacing w:val="-8"/>
        </w:rPr>
        <w:t> </w:t>
      </w:r>
      <w:r>
        <w:rPr/>
        <w:t>hoja es absorbida por la clorofila y el resto que se refleja entra en contacto con la celda detectora del SPAD y es convertida en una señal eléctrica. La cantidad de luz captada</w:t>
      </w:r>
      <w:r>
        <w:rPr>
          <w:spacing w:val="-7"/>
        </w:rPr>
        <w:t> </w:t>
      </w:r>
      <w:r>
        <w:rPr/>
        <w:t>por</w:t>
      </w:r>
      <w:r>
        <w:rPr>
          <w:spacing w:val="-6"/>
        </w:rPr>
        <w:t> </w:t>
      </w:r>
      <w:r>
        <w:rPr/>
        <w:t>la</w:t>
      </w:r>
      <w:r>
        <w:rPr>
          <w:spacing w:val="-7"/>
        </w:rPr>
        <w:t> </w:t>
      </w:r>
      <w:r>
        <w:rPr/>
        <w:t>celda</w:t>
      </w:r>
      <w:r>
        <w:rPr>
          <w:spacing w:val="-4"/>
        </w:rPr>
        <w:t> </w:t>
      </w:r>
      <w:r>
        <w:rPr/>
        <w:t>es</w:t>
      </w:r>
      <w:r>
        <w:rPr>
          <w:spacing w:val="-5"/>
        </w:rPr>
        <w:t> </w:t>
      </w:r>
      <w:r>
        <w:rPr/>
        <w:t>inversamente</w:t>
      </w:r>
      <w:r>
        <w:rPr>
          <w:spacing w:val="-7"/>
        </w:rPr>
        <w:t> </w:t>
      </w:r>
      <w:r>
        <w:rPr/>
        <w:t>proporcional</w:t>
      </w:r>
      <w:r>
        <w:rPr>
          <w:spacing w:val="-6"/>
        </w:rPr>
        <w:t> </w:t>
      </w:r>
      <w:r>
        <w:rPr/>
        <w:t>a</w:t>
      </w:r>
      <w:r>
        <w:rPr>
          <w:spacing w:val="-7"/>
        </w:rPr>
        <w:t> </w:t>
      </w:r>
      <w:r>
        <w:rPr/>
        <w:t>la</w:t>
      </w:r>
      <w:r>
        <w:rPr>
          <w:spacing w:val="-4"/>
        </w:rPr>
        <w:t> </w:t>
      </w:r>
      <w:r>
        <w:rPr/>
        <w:t>cantidad</w:t>
      </w:r>
      <w:r>
        <w:rPr>
          <w:spacing w:val="-7"/>
        </w:rPr>
        <w:t> </w:t>
      </w:r>
      <w:r>
        <w:rPr/>
        <w:t>de</w:t>
      </w:r>
      <w:r>
        <w:rPr>
          <w:spacing w:val="-7"/>
        </w:rPr>
        <w:t> </w:t>
      </w:r>
      <w:r>
        <w:rPr/>
        <w:t>luz</w:t>
      </w:r>
      <w:r>
        <w:rPr>
          <w:spacing w:val="-8"/>
        </w:rPr>
        <w:t> </w:t>
      </w:r>
      <w:r>
        <w:rPr/>
        <w:t>utilizada</w:t>
      </w:r>
      <w:r>
        <w:rPr>
          <w:spacing w:val="-4"/>
        </w:rPr>
        <w:t> </w:t>
      </w:r>
      <w:r>
        <w:rPr/>
        <w:t>por la clorofila, la señal es procesada, y la absorbancia es cuantificada en valores dimensionales</w:t>
      </w:r>
      <w:r>
        <w:rPr>
          <w:spacing w:val="-10"/>
        </w:rPr>
        <w:t> </w:t>
      </w:r>
      <w:r>
        <w:rPr/>
        <w:t>que</w:t>
      </w:r>
      <w:r>
        <w:rPr>
          <w:spacing w:val="-12"/>
        </w:rPr>
        <w:t> </w:t>
      </w:r>
      <w:r>
        <w:rPr/>
        <w:t>van</w:t>
      </w:r>
      <w:r>
        <w:rPr>
          <w:spacing w:val="-9"/>
        </w:rPr>
        <w:t> </w:t>
      </w:r>
      <w:r>
        <w:rPr/>
        <w:t>de</w:t>
      </w:r>
      <w:r>
        <w:rPr>
          <w:spacing w:val="-12"/>
        </w:rPr>
        <w:t> </w:t>
      </w:r>
      <w:r>
        <w:rPr/>
        <w:t>0</w:t>
      </w:r>
      <w:r>
        <w:rPr>
          <w:spacing w:val="-12"/>
        </w:rPr>
        <w:t> </w:t>
      </w:r>
      <w:r>
        <w:rPr/>
        <w:t>a</w:t>
      </w:r>
      <w:r>
        <w:rPr>
          <w:spacing w:val="-9"/>
        </w:rPr>
        <w:t> </w:t>
      </w:r>
      <w:r>
        <w:rPr/>
        <w:t>199,</w:t>
      </w:r>
      <w:r>
        <w:rPr>
          <w:spacing w:val="-12"/>
        </w:rPr>
        <w:t> </w:t>
      </w:r>
      <w:r>
        <w:rPr/>
        <w:t>por</w:t>
      </w:r>
      <w:r>
        <w:rPr>
          <w:spacing w:val="-11"/>
        </w:rPr>
        <w:t> </w:t>
      </w:r>
      <w:r>
        <w:rPr/>
        <w:t>lo</w:t>
      </w:r>
      <w:r>
        <w:rPr>
          <w:spacing w:val="-9"/>
        </w:rPr>
        <w:t> </w:t>
      </w:r>
      <w:r>
        <w:rPr/>
        <w:t>que</w:t>
      </w:r>
      <w:r>
        <w:rPr>
          <w:spacing w:val="-14"/>
        </w:rPr>
        <w:t> </w:t>
      </w:r>
      <w:r>
        <w:rPr/>
        <w:t>las</w:t>
      </w:r>
      <w:r>
        <w:rPr>
          <w:spacing w:val="-10"/>
        </w:rPr>
        <w:t> </w:t>
      </w:r>
      <w:r>
        <w:rPr/>
        <w:t>unidades</w:t>
      </w:r>
      <w:r>
        <w:rPr>
          <w:spacing w:val="-10"/>
        </w:rPr>
        <w:t> </w:t>
      </w:r>
      <w:r>
        <w:rPr/>
        <w:t>SPAD</w:t>
      </w:r>
      <w:r>
        <w:rPr>
          <w:spacing w:val="-11"/>
        </w:rPr>
        <w:t> </w:t>
      </w:r>
      <w:r>
        <w:rPr/>
        <w:t>serán</w:t>
      </w:r>
      <w:r>
        <w:rPr>
          <w:spacing w:val="-9"/>
        </w:rPr>
        <w:t> </w:t>
      </w:r>
      <w:r>
        <w:rPr/>
        <w:t>siempre</w:t>
      </w:r>
      <w:r>
        <w:rPr>
          <w:spacing w:val="-12"/>
        </w:rPr>
        <w:t> </w:t>
      </w:r>
      <w:r>
        <w:rPr/>
        <w:t>las mismas de acuerdo con el tono verde de las hojas (Krugh </w:t>
      </w:r>
      <w:r>
        <w:rPr>
          <w:i/>
        </w:rPr>
        <w:t>et al.,</w:t>
      </w:r>
      <w:r>
        <w:rPr>
          <w:i/>
          <w:spacing w:val="-31"/>
        </w:rPr>
        <w:t> </w:t>
      </w:r>
      <w:r>
        <w:rPr/>
        <w:t>1994).</w:t>
      </w:r>
    </w:p>
    <w:p>
      <w:pPr>
        <w:pStyle w:val="BodyText"/>
        <w:spacing w:line="480" w:lineRule="auto" w:before="8"/>
        <w:ind w:left="101" w:right="117"/>
        <w:jc w:val="both"/>
      </w:pPr>
      <w:r>
        <w:rPr/>
        <w:t>Para el caso de </w:t>
      </w:r>
      <w:r>
        <w:rPr>
          <w:i/>
        </w:rPr>
        <w:t>Lilium</w:t>
      </w:r>
      <w:r>
        <w:rPr/>
        <w:t>, De Lucia &amp; Ventrelli (2003) reporta lecturas SPAD en un intervalos de 58 a 69, Betancourt-Olvera </w:t>
      </w:r>
      <w:r>
        <w:rPr>
          <w:i/>
        </w:rPr>
        <w:t>et al. </w:t>
      </w:r>
      <w:r>
        <w:rPr/>
        <w:t>(2005) encontró en promedio 63 unidades SPAD, mientras que Rodríguez-Landero </w:t>
      </w:r>
      <w:r>
        <w:rPr>
          <w:i/>
        </w:rPr>
        <w:t>et al. </w:t>
      </w:r>
      <w:r>
        <w:rPr/>
        <w:t>(2012) reporta valores promedio de 53.</w:t>
      </w:r>
    </w:p>
    <w:p>
      <w:pPr>
        <w:pStyle w:val="BodyText"/>
      </w:pPr>
    </w:p>
    <w:p>
      <w:pPr>
        <w:pStyle w:val="BodyText"/>
        <w:spacing w:before="7"/>
      </w:pPr>
    </w:p>
    <w:p>
      <w:pPr>
        <w:pStyle w:val="Heading1"/>
        <w:numPr>
          <w:ilvl w:val="2"/>
          <w:numId w:val="6"/>
        </w:numPr>
        <w:tabs>
          <w:tab w:pos="1480" w:val="left" w:leader="none"/>
        </w:tabs>
        <w:spacing w:line="240" w:lineRule="auto" w:before="1" w:after="0"/>
        <w:ind w:left="1479" w:right="0" w:hanging="670"/>
        <w:jc w:val="left"/>
      </w:pPr>
      <w:bookmarkStart w:name="_TOC_250024" w:id="15"/>
      <w:bookmarkEnd w:id="15"/>
      <w:r>
        <w:rPr/>
        <w:t>Tamaño</w:t>
      </w:r>
    </w:p>
    <w:p>
      <w:pPr>
        <w:pStyle w:val="BodyText"/>
        <w:rPr>
          <w:b/>
        </w:rPr>
      </w:pPr>
    </w:p>
    <w:p>
      <w:pPr>
        <w:pStyle w:val="BodyText"/>
        <w:rPr>
          <w:b/>
        </w:rPr>
      </w:pPr>
    </w:p>
    <w:p>
      <w:pPr>
        <w:pStyle w:val="BodyText"/>
        <w:rPr>
          <w:b/>
        </w:rPr>
      </w:pPr>
    </w:p>
    <w:p>
      <w:pPr>
        <w:pStyle w:val="Heading1"/>
        <w:numPr>
          <w:ilvl w:val="3"/>
          <w:numId w:val="6"/>
        </w:numPr>
        <w:tabs>
          <w:tab w:pos="2387" w:val="left" w:leader="none"/>
        </w:tabs>
        <w:spacing w:line="240" w:lineRule="auto" w:before="0" w:after="0"/>
        <w:ind w:left="2386" w:right="0" w:hanging="869"/>
        <w:jc w:val="left"/>
      </w:pPr>
      <w:bookmarkStart w:name="_TOC_250023" w:id="16"/>
      <w:r>
        <w:rPr/>
        <w:t>Diámetro y altura del</w:t>
      </w:r>
      <w:r>
        <w:rPr>
          <w:spacing w:val="-11"/>
        </w:rPr>
        <w:t> </w:t>
      </w:r>
      <w:bookmarkEnd w:id="16"/>
      <w:r>
        <w:rPr/>
        <w:t>tallo</w:t>
      </w:r>
    </w:p>
    <w:p>
      <w:pPr>
        <w:pStyle w:val="BodyText"/>
        <w:spacing w:before="9"/>
        <w:rPr>
          <w:b/>
          <w:sz w:val="23"/>
        </w:rPr>
      </w:pPr>
    </w:p>
    <w:p>
      <w:pPr>
        <w:pStyle w:val="BodyText"/>
        <w:spacing w:line="480" w:lineRule="auto"/>
        <w:ind w:left="101" w:right="116"/>
        <w:jc w:val="both"/>
      </w:pPr>
      <w:r>
        <w:rPr/>
        <w:t>En</w:t>
      </w:r>
      <w:r>
        <w:rPr>
          <w:spacing w:val="-10"/>
        </w:rPr>
        <w:t> </w:t>
      </w:r>
      <w:r>
        <w:rPr>
          <w:i/>
        </w:rPr>
        <w:t>Lilium,</w:t>
      </w:r>
      <w:r>
        <w:rPr>
          <w:i/>
          <w:spacing w:val="-8"/>
        </w:rPr>
        <w:t> </w:t>
      </w:r>
      <w:r>
        <w:rPr/>
        <w:t>el</w:t>
      </w:r>
      <w:r>
        <w:rPr>
          <w:spacing w:val="-9"/>
        </w:rPr>
        <w:t> </w:t>
      </w:r>
      <w:r>
        <w:rPr/>
        <w:t>diámetro</w:t>
      </w:r>
      <w:r>
        <w:rPr>
          <w:spacing w:val="-13"/>
        </w:rPr>
        <w:t> </w:t>
      </w:r>
      <w:r>
        <w:rPr/>
        <w:t>y</w:t>
      </w:r>
      <w:r>
        <w:rPr>
          <w:spacing w:val="-11"/>
        </w:rPr>
        <w:t> </w:t>
      </w:r>
      <w:r>
        <w:rPr/>
        <w:t>altura</w:t>
      </w:r>
      <w:r>
        <w:rPr>
          <w:spacing w:val="-8"/>
        </w:rPr>
        <w:t> </w:t>
      </w:r>
      <w:r>
        <w:rPr/>
        <w:t>del</w:t>
      </w:r>
      <w:r>
        <w:rPr>
          <w:spacing w:val="-9"/>
        </w:rPr>
        <w:t> </w:t>
      </w:r>
      <w:r>
        <w:rPr/>
        <w:t>tallo</w:t>
      </w:r>
      <w:r>
        <w:rPr>
          <w:spacing w:val="-8"/>
        </w:rPr>
        <w:t> </w:t>
      </w:r>
      <w:r>
        <w:rPr/>
        <w:t>son</w:t>
      </w:r>
      <w:r>
        <w:rPr>
          <w:spacing w:val="-10"/>
        </w:rPr>
        <w:t> </w:t>
      </w:r>
      <w:r>
        <w:rPr/>
        <w:t>parámetro</w:t>
      </w:r>
      <w:r>
        <w:rPr>
          <w:spacing w:val="-10"/>
        </w:rPr>
        <w:t> </w:t>
      </w:r>
      <w:r>
        <w:rPr/>
        <w:t>de</w:t>
      </w:r>
      <w:r>
        <w:rPr>
          <w:spacing w:val="-8"/>
        </w:rPr>
        <w:t> </w:t>
      </w:r>
      <w:r>
        <w:rPr/>
        <w:t>calidad,</w:t>
      </w:r>
      <w:r>
        <w:rPr>
          <w:spacing w:val="-8"/>
        </w:rPr>
        <w:t> </w:t>
      </w:r>
      <w:r>
        <w:rPr/>
        <w:t>condicionados</w:t>
      </w:r>
      <w:r>
        <w:rPr>
          <w:spacing w:val="-11"/>
        </w:rPr>
        <w:t> </w:t>
      </w:r>
      <w:r>
        <w:rPr/>
        <w:t>por la oferta y demanda, época del cultivo y variedad cultivada (Bañón </w:t>
      </w:r>
      <w:r>
        <w:rPr>
          <w:i/>
        </w:rPr>
        <w:t>et al</w:t>
      </w:r>
      <w:r>
        <w:rPr/>
        <w:t>., 1993). Para estos indicadores de calidad en </w:t>
      </w:r>
      <w:r>
        <w:rPr>
          <w:i/>
        </w:rPr>
        <w:t>Lilium </w:t>
      </w:r>
      <w:r>
        <w:rPr/>
        <w:t>‘Stargazer’, se ha investigado sobre el beneficio de aplicar una fertilización foliar con miel de abeja al 2 % + 100 % de fertilización al suelo, en donde se obtuvo un diámetro basal y apical de 0.92 cm  </w:t>
      </w:r>
      <w:r>
        <w:rPr>
          <w:spacing w:val="32"/>
        </w:rPr>
        <w:t> </w:t>
      </w:r>
      <w:r>
        <w:rPr/>
        <w:t>y</w:t>
      </w:r>
    </w:p>
    <w:p>
      <w:pPr>
        <w:pStyle w:val="BodyText"/>
        <w:spacing w:line="480" w:lineRule="auto" w:before="8"/>
        <w:ind w:left="101" w:right="116"/>
        <w:jc w:val="both"/>
      </w:pPr>
      <w:r>
        <w:rPr/>
        <w:t>0.83 cm respectivamente y la altura promedio del tallo fue de 71 cm (Betancourt- Olvera </w:t>
      </w:r>
      <w:r>
        <w:rPr>
          <w:i/>
        </w:rPr>
        <w:t>et al</w:t>
      </w:r>
      <w:r>
        <w:rPr/>
        <w:t>., 2005). Otras investigaciones reportan una relación mutualista entre la planta y microorganismos rizosférico; </w:t>
      </w:r>
      <w:r>
        <w:rPr>
          <w:i/>
        </w:rPr>
        <w:t>Glomus fasciculatum </w:t>
      </w:r>
      <w:r>
        <w:rPr/>
        <w:t>con 22 µg/ml de fosforo</w:t>
      </w:r>
    </w:p>
    <w:p>
      <w:pPr>
        <w:spacing w:after="0" w:line="480" w:lineRule="auto"/>
        <w:jc w:val="both"/>
        <w:sectPr>
          <w:pgSz w:w="12240" w:h="15840"/>
          <w:pgMar w:header="0" w:footer="1005" w:top="1360" w:bottom="1200" w:left="1600" w:right="1580"/>
        </w:sectPr>
      </w:pPr>
    </w:p>
    <w:p>
      <w:pPr>
        <w:pStyle w:val="BodyText"/>
        <w:spacing w:line="480" w:lineRule="auto" w:before="49"/>
        <w:ind w:left="101" w:right="120"/>
        <w:jc w:val="both"/>
      </w:pPr>
      <w:r>
        <w:rPr/>
        <w:t>y </w:t>
      </w:r>
      <w:r>
        <w:rPr>
          <w:i/>
        </w:rPr>
        <w:t>Bacillus subtilis </w:t>
      </w:r>
      <w:r>
        <w:rPr/>
        <w:t>interactúan positivamente para incrementar la altura y desarrollo de la planta en </w:t>
      </w:r>
      <w:r>
        <w:rPr>
          <w:i/>
        </w:rPr>
        <w:t>Lilium </w:t>
      </w:r>
      <w:r>
        <w:rPr/>
        <w:t>oriental ‘Showwinner’ (Rubí </w:t>
      </w:r>
      <w:r>
        <w:rPr>
          <w:i/>
        </w:rPr>
        <w:t>et al</w:t>
      </w:r>
      <w:r>
        <w:rPr/>
        <w:t>., 2009).</w:t>
      </w:r>
    </w:p>
    <w:p>
      <w:pPr>
        <w:pStyle w:val="BodyText"/>
      </w:pPr>
    </w:p>
    <w:p>
      <w:pPr>
        <w:pStyle w:val="BodyText"/>
        <w:spacing w:before="10"/>
      </w:pPr>
    </w:p>
    <w:p>
      <w:pPr>
        <w:pStyle w:val="Heading1"/>
        <w:numPr>
          <w:ilvl w:val="2"/>
          <w:numId w:val="6"/>
        </w:numPr>
        <w:tabs>
          <w:tab w:pos="1480" w:val="left" w:leader="none"/>
        </w:tabs>
        <w:spacing w:line="240" w:lineRule="auto" w:before="0" w:after="0"/>
        <w:ind w:left="1479" w:right="0" w:hanging="670"/>
        <w:jc w:val="left"/>
      </w:pPr>
      <w:bookmarkStart w:name="_TOC_250022" w:id="17"/>
      <w:r>
        <w:rPr/>
        <w:t>Número de</w:t>
      </w:r>
      <w:r>
        <w:rPr>
          <w:spacing w:val="-10"/>
        </w:rPr>
        <w:t> </w:t>
      </w:r>
      <w:bookmarkEnd w:id="17"/>
      <w:r>
        <w:rPr/>
        <w:t>flores</w:t>
      </w:r>
    </w:p>
    <w:p>
      <w:pPr>
        <w:pStyle w:val="BodyText"/>
        <w:spacing w:before="9"/>
        <w:rPr>
          <w:b/>
          <w:sz w:val="23"/>
        </w:rPr>
      </w:pPr>
    </w:p>
    <w:p>
      <w:pPr>
        <w:pStyle w:val="BodyText"/>
        <w:spacing w:line="480" w:lineRule="auto"/>
        <w:ind w:left="101" w:right="116"/>
        <w:jc w:val="both"/>
      </w:pPr>
      <w:r>
        <w:rPr/>
        <w:t>Otro parámetro de calidad en </w:t>
      </w:r>
      <w:r>
        <w:rPr>
          <w:i/>
        </w:rPr>
        <w:t>Lilium, </w:t>
      </w:r>
      <w:r>
        <w:rPr/>
        <w:t>es el número de flores por tallo a punto de corte. Si los tallos presentan 9, 7, 5 y 4 flores por tallo se clasifican como súper extra, extra, primera y segunda, respectivamente (Bañón </w:t>
      </w:r>
      <w:r>
        <w:rPr>
          <w:i/>
        </w:rPr>
        <w:t>et al</w:t>
      </w:r>
      <w:r>
        <w:rPr/>
        <w:t>., 1993).</w:t>
      </w:r>
    </w:p>
    <w:p>
      <w:pPr>
        <w:pStyle w:val="BodyText"/>
      </w:pPr>
    </w:p>
    <w:p>
      <w:pPr>
        <w:pStyle w:val="BodyText"/>
        <w:spacing w:before="10"/>
      </w:pPr>
    </w:p>
    <w:p>
      <w:pPr>
        <w:pStyle w:val="Heading1"/>
        <w:numPr>
          <w:ilvl w:val="2"/>
          <w:numId w:val="6"/>
        </w:numPr>
        <w:tabs>
          <w:tab w:pos="1480" w:val="left" w:leader="none"/>
        </w:tabs>
        <w:spacing w:line="240" w:lineRule="auto" w:before="0" w:after="0"/>
        <w:ind w:left="1479" w:right="0" w:hanging="670"/>
        <w:jc w:val="left"/>
      </w:pPr>
      <w:bookmarkStart w:name="_TOC_250021" w:id="18"/>
      <w:bookmarkEnd w:id="18"/>
      <w:r>
        <w:rPr/>
        <w:t>Color</w:t>
      </w:r>
    </w:p>
    <w:p>
      <w:pPr>
        <w:pStyle w:val="BodyText"/>
        <w:rPr>
          <w:b/>
        </w:rPr>
      </w:pPr>
    </w:p>
    <w:p>
      <w:pPr>
        <w:pStyle w:val="BodyText"/>
        <w:spacing w:line="480" w:lineRule="auto"/>
        <w:ind w:left="101" w:right="116"/>
        <w:jc w:val="both"/>
      </w:pPr>
      <w:r>
        <w:rPr>
          <w:color w:val="212121"/>
        </w:rPr>
        <w:t>El color en una gran cantidad flores, principalmente aquellas que van del rojo al morado intenso, se debe a la formación de complejos de antocianina y copigmento que son influenciados por el pH (Griesbach, 2005; citado por Burchi, 2010). </w:t>
      </w:r>
      <w:r>
        <w:rPr/>
        <w:t>Las antocianinas son compuestos fenólicos pertenecientes al grupo de los flavonoides que se encuentran principalmente en frutos, flores y hojas de las plantas (Leguizamón </w:t>
      </w:r>
      <w:r>
        <w:rPr>
          <w:i/>
        </w:rPr>
        <w:t>et al</w:t>
      </w:r>
      <w:r>
        <w:rPr/>
        <w:t>., 2005). Su síntesis de produce a partir de la ruta del ácido shiquímico, vía el metabolismo del fenilpropanoide, y se acumulan en las vacuolas de</w:t>
      </w:r>
      <w:r>
        <w:rPr>
          <w:spacing w:val="-4"/>
        </w:rPr>
        <w:t> </w:t>
      </w:r>
      <w:r>
        <w:rPr/>
        <w:t>las</w:t>
      </w:r>
      <w:r>
        <w:rPr>
          <w:spacing w:val="-5"/>
        </w:rPr>
        <w:t> </w:t>
      </w:r>
      <w:r>
        <w:rPr/>
        <w:t>células</w:t>
      </w:r>
      <w:r>
        <w:rPr>
          <w:spacing w:val="-5"/>
        </w:rPr>
        <w:t> </w:t>
      </w:r>
      <w:r>
        <w:rPr/>
        <w:t>epidérmicas</w:t>
      </w:r>
      <w:r>
        <w:rPr>
          <w:spacing w:val="-5"/>
        </w:rPr>
        <w:t> </w:t>
      </w:r>
      <w:r>
        <w:rPr/>
        <w:t>y</w:t>
      </w:r>
      <w:r>
        <w:rPr>
          <w:spacing w:val="-8"/>
        </w:rPr>
        <w:t> </w:t>
      </w:r>
      <w:r>
        <w:rPr/>
        <w:t>mesofílicas</w:t>
      </w:r>
      <w:r>
        <w:rPr>
          <w:spacing w:val="-5"/>
        </w:rPr>
        <w:t> </w:t>
      </w:r>
      <w:r>
        <w:rPr/>
        <w:t>especialmente</w:t>
      </w:r>
      <w:r>
        <w:rPr>
          <w:spacing w:val="-4"/>
        </w:rPr>
        <w:t> </w:t>
      </w:r>
      <w:r>
        <w:rPr/>
        <w:t>(Schmitzer</w:t>
      </w:r>
      <w:r>
        <w:rPr>
          <w:spacing w:val="-6"/>
        </w:rPr>
        <w:t> </w:t>
      </w:r>
      <w:r>
        <w:rPr>
          <w:i/>
        </w:rPr>
        <w:t>et</w:t>
      </w:r>
      <w:r>
        <w:rPr>
          <w:i/>
          <w:spacing w:val="-5"/>
        </w:rPr>
        <w:t> </w:t>
      </w:r>
      <w:r>
        <w:rPr>
          <w:i/>
        </w:rPr>
        <w:t>al</w:t>
      </w:r>
      <w:r>
        <w:rPr/>
        <w:t>.,</w:t>
      </w:r>
      <w:r>
        <w:rPr>
          <w:spacing w:val="-5"/>
        </w:rPr>
        <w:t> </w:t>
      </w:r>
      <w:r>
        <w:rPr/>
        <w:t>2009).</w:t>
      </w:r>
      <w:r>
        <w:rPr>
          <w:spacing w:val="-7"/>
        </w:rPr>
        <w:t> </w:t>
      </w:r>
      <w:r>
        <w:rPr/>
        <w:t>En la</w:t>
      </w:r>
      <w:r>
        <w:rPr>
          <w:spacing w:val="-9"/>
        </w:rPr>
        <w:t> </w:t>
      </w:r>
      <w:r>
        <w:rPr/>
        <w:t>mayoría</w:t>
      </w:r>
      <w:r>
        <w:rPr>
          <w:spacing w:val="-9"/>
        </w:rPr>
        <w:t> </w:t>
      </w:r>
      <w:r>
        <w:rPr/>
        <w:t>de</w:t>
      </w:r>
      <w:r>
        <w:rPr>
          <w:spacing w:val="-9"/>
        </w:rPr>
        <w:t> </w:t>
      </w:r>
      <w:r>
        <w:rPr/>
        <w:t>las</w:t>
      </w:r>
      <w:r>
        <w:rPr>
          <w:spacing w:val="-13"/>
        </w:rPr>
        <w:t> </w:t>
      </w:r>
      <w:r>
        <w:rPr/>
        <w:t>plantas,</w:t>
      </w:r>
      <w:r>
        <w:rPr>
          <w:spacing w:val="-10"/>
        </w:rPr>
        <w:t> </w:t>
      </w:r>
      <w:r>
        <w:rPr/>
        <w:t>la</w:t>
      </w:r>
      <w:r>
        <w:rPr>
          <w:spacing w:val="-12"/>
        </w:rPr>
        <w:t> </w:t>
      </w:r>
      <w:r>
        <w:rPr/>
        <w:t>síntesis</w:t>
      </w:r>
      <w:r>
        <w:rPr>
          <w:spacing w:val="-13"/>
        </w:rPr>
        <w:t> </w:t>
      </w:r>
      <w:r>
        <w:rPr/>
        <w:t>de</w:t>
      </w:r>
      <w:r>
        <w:rPr>
          <w:spacing w:val="-12"/>
        </w:rPr>
        <w:t> </w:t>
      </w:r>
      <w:r>
        <w:rPr/>
        <w:t>antocianinas</w:t>
      </w:r>
      <w:r>
        <w:rPr>
          <w:spacing w:val="-13"/>
        </w:rPr>
        <w:t> </w:t>
      </w:r>
      <w:r>
        <w:rPr/>
        <w:t>en</w:t>
      </w:r>
      <w:r>
        <w:rPr>
          <w:spacing w:val="-12"/>
        </w:rPr>
        <w:t> </w:t>
      </w:r>
      <w:r>
        <w:rPr/>
        <w:t>las</w:t>
      </w:r>
      <w:r>
        <w:rPr>
          <w:spacing w:val="-15"/>
        </w:rPr>
        <w:t> </w:t>
      </w:r>
      <w:r>
        <w:rPr/>
        <w:t>flores</w:t>
      </w:r>
      <w:r>
        <w:rPr>
          <w:spacing w:val="-13"/>
        </w:rPr>
        <w:t> </w:t>
      </w:r>
      <w:r>
        <w:rPr/>
        <w:t>se</w:t>
      </w:r>
      <w:r>
        <w:rPr>
          <w:spacing w:val="-12"/>
        </w:rPr>
        <w:t> </w:t>
      </w:r>
      <w:r>
        <w:rPr/>
        <w:t>encuentra</w:t>
      </w:r>
      <w:r>
        <w:rPr>
          <w:spacing w:val="-12"/>
        </w:rPr>
        <w:t> </w:t>
      </w:r>
      <w:r>
        <w:rPr/>
        <w:t>bajo regulación ambiental y su acumulación coincide con el crecimiento de los pétalos (Mol </w:t>
      </w:r>
      <w:r>
        <w:rPr>
          <w:i/>
        </w:rPr>
        <w:t>et al</w:t>
      </w:r>
      <w:r>
        <w:rPr/>
        <w:t>.,</w:t>
      </w:r>
      <w:r>
        <w:rPr>
          <w:spacing w:val="-8"/>
        </w:rPr>
        <w:t> </w:t>
      </w:r>
      <w:r>
        <w:rPr/>
        <w:t>1996).</w:t>
      </w:r>
    </w:p>
    <w:p>
      <w:pPr>
        <w:pStyle w:val="BodyText"/>
        <w:spacing w:line="480" w:lineRule="auto" w:before="8"/>
        <w:ind w:left="101" w:right="114"/>
        <w:jc w:val="both"/>
      </w:pPr>
      <w:r>
        <w:rPr/>
        <w:t>El color de la flor en </w:t>
      </w:r>
      <w:r>
        <w:rPr>
          <w:i/>
        </w:rPr>
        <w:t>Lilium</w:t>
      </w:r>
      <w:r>
        <w:rPr/>
        <w:t>, es una característica importante biológicamente y comercialmente, se basa en cuatro pigmentos naturales, los flavonoides, carotenoides, betalaínas y clorofilas (Davies &amp; Schwinn, 1997; citados por Burchi, 2010). </w:t>
      </w:r>
      <w:r>
        <w:rPr>
          <w:color w:val="212121"/>
        </w:rPr>
        <w:t>Además estos pigmentos son influenciados por f</w:t>
      </w:r>
      <w:r>
        <w:rPr/>
        <w:t>actores externos como    la</w:t>
      </w:r>
    </w:p>
    <w:p>
      <w:pPr>
        <w:spacing w:after="0" w:line="480" w:lineRule="auto"/>
        <w:jc w:val="both"/>
        <w:sectPr>
          <w:pgSz w:w="12240" w:h="15840"/>
          <w:pgMar w:header="0" w:footer="1005" w:top="1360" w:bottom="1200" w:left="1600" w:right="1580"/>
        </w:sectPr>
      </w:pPr>
    </w:p>
    <w:p>
      <w:pPr>
        <w:pStyle w:val="BodyText"/>
        <w:spacing w:line="480" w:lineRule="auto" w:before="51"/>
        <w:ind w:left="101" w:right="118"/>
        <w:jc w:val="both"/>
      </w:pPr>
      <w:r>
        <w:rPr/>
        <w:t>temperatura, luz, nutrición así como la adición de azúcar, sal o metales al agua de conservación (Griesbach, 2005; citado por Burchi, 2010).</w:t>
      </w:r>
    </w:p>
    <w:p>
      <w:pPr>
        <w:pStyle w:val="BodyText"/>
        <w:spacing w:line="480" w:lineRule="auto" w:before="5"/>
        <w:ind w:left="101" w:right="117"/>
        <w:jc w:val="both"/>
      </w:pPr>
      <w:r>
        <w:rPr>
          <w:color w:val="212121"/>
        </w:rPr>
        <w:t>La</w:t>
      </w:r>
      <w:r>
        <w:rPr>
          <w:color w:val="212121"/>
          <w:spacing w:val="-4"/>
        </w:rPr>
        <w:t> </w:t>
      </w:r>
      <w:r>
        <w:rPr>
          <w:color w:val="212121"/>
        </w:rPr>
        <w:t>intensidad</w:t>
      </w:r>
      <w:r>
        <w:rPr>
          <w:color w:val="212121"/>
          <w:spacing w:val="-4"/>
        </w:rPr>
        <w:t> </w:t>
      </w:r>
      <w:r>
        <w:rPr>
          <w:color w:val="212121"/>
        </w:rPr>
        <w:t>luminosa</w:t>
      </w:r>
      <w:r>
        <w:rPr>
          <w:color w:val="212121"/>
          <w:spacing w:val="-7"/>
        </w:rPr>
        <w:t> </w:t>
      </w:r>
      <w:r>
        <w:rPr>
          <w:color w:val="212121"/>
        </w:rPr>
        <w:t>afecta</w:t>
      </w:r>
      <w:r>
        <w:rPr>
          <w:color w:val="212121"/>
          <w:spacing w:val="-4"/>
        </w:rPr>
        <w:t> </w:t>
      </w:r>
      <w:r>
        <w:rPr>
          <w:color w:val="212121"/>
        </w:rPr>
        <w:t>la</w:t>
      </w:r>
      <w:r>
        <w:rPr>
          <w:color w:val="212121"/>
          <w:spacing w:val="-4"/>
        </w:rPr>
        <w:t> </w:t>
      </w:r>
      <w:r>
        <w:rPr>
          <w:color w:val="212121"/>
        </w:rPr>
        <w:t>calidad</w:t>
      </w:r>
      <w:r>
        <w:rPr>
          <w:color w:val="212121"/>
          <w:spacing w:val="-7"/>
        </w:rPr>
        <w:t> </w:t>
      </w:r>
      <w:r>
        <w:rPr>
          <w:color w:val="212121"/>
        </w:rPr>
        <w:t>de</w:t>
      </w:r>
      <w:r>
        <w:rPr>
          <w:color w:val="212121"/>
          <w:spacing w:val="-4"/>
        </w:rPr>
        <w:t> </w:t>
      </w:r>
      <w:r>
        <w:rPr>
          <w:color w:val="212121"/>
        </w:rPr>
        <w:t>las</w:t>
      </w:r>
      <w:r>
        <w:rPr>
          <w:color w:val="212121"/>
          <w:spacing w:val="-5"/>
        </w:rPr>
        <w:t> </w:t>
      </w:r>
      <w:r>
        <w:rPr>
          <w:color w:val="212121"/>
        </w:rPr>
        <w:t>flore</w:t>
      </w:r>
      <w:r>
        <w:rPr>
          <w:color w:val="212121"/>
          <w:spacing w:val="-7"/>
        </w:rPr>
        <w:t> </w:t>
      </w:r>
      <w:r>
        <w:rPr>
          <w:color w:val="212121"/>
        </w:rPr>
        <w:t>de</w:t>
      </w:r>
      <w:r>
        <w:rPr>
          <w:color w:val="212121"/>
          <w:spacing w:val="-4"/>
        </w:rPr>
        <w:t> </w:t>
      </w:r>
      <w:r>
        <w:rPr>
          <w:i/>
          <w:color w:val="212121"/>
        </w:rPr>
        <w:t>Lilium</w:t>
      </w:r>
      <w:r>
        <w:rPr>
          <w:color w:val="212121"/>
        </w:rPr>
        <w:t>,</w:t>
      </w:r>
      <w:r>
        <w:rPr>
          <w:color w:val="212121"/>
          <w:spacing w:val="-5"/>
        </w:rPr>
        <w:t> </w:t>
      </w:r>
      <w:r>
        <w:rPr>
          <w:color w:val="212121"/>
        </w:rPr>
        <w:t>baja</w:t>
      </w:r>
      <w:r>
        <w:rPr>
          <w:color w:val="212121"/>
          <w:spacing w:val="-4"/>
        </w:rPr>
        <w:t> </w:t>
      </w:r>
      <w:r>
        <w:rPr>
          <w:color w:val="212121"/>
        </w:rPr>
        <w:t>radiación</w:t>
      </w:r>
      <w:r>
        <w:rPr>
          <w:color w:val="212121"/>
          <w:spacing w:val="-4"/>
        </w:rPr>
        <w:t> </w:t>
      </w:r>
      <w:r>
        <w:rPr>
          <w:color w:val="212121"/>
        </w:rPr>
        <w:t>causa aborto</w:t>
      </w:r>
      <w:r>
        <w:rPr>
          <w:color w:val="212121"/>
          <w:spacing w:val="-8"/>
        </w:rPr>
        <w:t> </w:t>
      </w:r>
      <w:r>
        <w:rPr>
          <w:color w:val="212121"/>
        </w:rPr>
        <w:t>de</w:t>
      </w:r>
      <w:r>
        <w:rPr>
          <w:color w:val="212121"/>
          <w:spacing w:val="-8"/>
        </w:rPr>
        <w:t> </w:t>
      </w:r>
      <w:r>
        <w:rPr>
          <w:color w:val="212121"/>
        </w:rPr>
        <w:t>flores,</w:t>
      </w:r>
      <w:r>
        <w:rPr>
          <w:color w:val="212121"/>
          <w:spacing w:val="-8"/>
        </w:rPr>
        <w:t> </w:t>
      </w:r>
      <w:r>
        <w:rPr>
          <w:color w:val="212121"/>
        </w:rPr>
        <w:t>hojas</w:t>
      </w:r>
      <w:r>
        <w:rPr>
          <w:color w:val="212121"/>
          <w:spacing w:val="-10"/>
        </w:rPr>
        <w:t> </w:t>
      </w:r>
      <w:r>
        <w:rPr>
          <w:color w:val="212121"/>
        </w:rPr>
        <w:t>amarillentas</w:t>
      </w:r>
      <w:r>
        <w:rPr>
          <w:color w:val="212121"/>
          <w:spacing w:val="-6"/>
        </w:rPr>
        <w:t> </w:t>
      </w:r>
      <w:r>
        <w:rPr>
          <w:color w:val="212121"/>
        </w:rPr>
        <w:t>y</w:t>
      </w:r>
      <w:r>
        <w:rPr>
          <w:color w:val="212121"/>
          <w:spacing w:val="-9"/>
        </w:rPr>
        <w:t> </w:t>
      </w:r>
      <w:r>
        <w:rPr>
          <w:color w:val="212121"/>
        </w:rPr>
        <w:t>decoloración</w:t>
      </w:r>
      <w:r>
        <w:rPr>
          <w:color w:val="212121"/>
          <w:spacing w:val="-8"/>
        </w:rPr>
        <w:t> </w:t>
      </w:r>
      <w:r>
        <w:rPr>
          <w:color w:val="212121"/>
        </w:rPr>
        <w:t>de</w:t>
      </w:r>
      <w:r>
        <w:rPr>
          <w:color w:val="212121"/>
          <w:spacing w:val="-8"/>
        </w:rPr>
        <w:t> </w:t>
      </w:r>
      <w:r>
        <w:rPr>
          <w:color w:val="212121"/>
        </w:rPr>
        <w:t>tépalos</w:t>
      </w:r>
      <w:r>
        <w:rPr>
          <w:color w:val="212121"/>
          <w:spacing w:val="-9"/>
        </w:rPr>
        <w:t> </w:t>
      </w:r>
      <w:r>
        <w:rPr>
          <w:color w:val="212121"/>
        </w:rPr>
        <w:t>durante</w:t>
      </w:r>
      <w:r>
        <w:rPr>
          <w:color w:val="212121"/>
          <w:spacing w:val="-5"/>
        </w:rPr>
        <w:t> </w:t>
      </w:r>
      <w:r>
        <w:rPr>
          <w:color w:val="212121"/>
        </w:rPr>
        <w:t>la</w:t>
      </w:r>
      <w:r>
        <w:rPr>
          <w:color w:val="212121"/>
          <w:spacing w:val="-8"/>
        </w:rPr>
        <w:t> </w:t>
      </w:r>
      <w:r>
        <w:rPr>
          <w:color w:val="212121"/>
        </w:rPr>
        <w:t>temporada invernal. Por otra parte temperaturas elevadas durante el verano puede reducir la biosíntesis de pigmentos y la intensidad del color de los tépalos durante el verano (Birán &amp; Halevy, 1974; Kawabata </w:t>
      </w:r>
      <w:r>
        <w:rPr>
          <w:i/>
          <w:color w:val="212121"/>
        </w:rPr>
        <w:t>et al</w:t>
      </w:r>
      <w:r>
        <w:rPr>
          <w:color w:val="212121"/>
        </w:rPr>
        <w:t>., 1999; Koyama &amp; Uda, 1994; Maekawa, 1975; Shisa &amp; Takano, 1964; citados por Burchi,</w:t>
      </w:r>
      <w:r>
        <w:rPr>
          <w:color w:val="212121"/>
          <w:spacing w:val="-27"/>
        </w:rPr>
        <w:t> </w:t>
      </w:r>
      <w:r>
        <w:rPr>
          <w:color w:val="212121"/>
        </w:rPr>
        <w:t>2010).</w:t>
      </w:r>
    </w:p>
    <w:p>
      <w:pPr>
        <w:pStyle w:val="BodyText"/>
        <w:spacing w:line="480" w:lineRule="auto" w:before="8"/>
        <w:ind w:left="101" w:right="117"/>
        <w:jc w:val="both"/>
      </w:pPr>
      <w:r>
        <w:rPr/>
        <w:t>La luz induce en la acumulación de antocianinas en tejidos verdes y suspensiones celulares a través de la activación y expresión de los genes responsables de su biosíntesis, por lo tanto plantas crecidas con baja intensidad lumínica desarrollan flores pálidas con bajo nivel de éstos pigmentos (Biran &amp; Halevy 1974, Griesbach, 1992). Sin embargo, el efecto que tiene la radiación UV sobre la pigmentación de los pétalos y, por lo tanto, en la síntesis de antocianinas depende de la especie vegetal, ya que en algunas es requerida y en otras no tiene ningún efecto (Weiss, 2000).</w:t>
      </w:r>
    </w:p>
    <w:p>
      <w:pPr>
        <w:pStyle w:val="BodyText"/>
        <w:spacing w:line="480" w:lineRule="auto" w:before="8"/>
        <w:ind w:left="101" w:right="114"/>
        <w:jc w:val="both"/>
      </w:pPr>
      <w:r>
        <w:rPr/>
        <w:t>El color es el aspecto de la percepción visual por el cual un observador puede distinguir diferencias entre dos campos de visión del mismo tamaño, forma y estructura, causadas por diferencias en la composición espectral de la energía radiante</w:t>
      </w:r>
      <w:r>
        <w:rPr>
          <w:spacing w:val="-12"/>
        </w:rPr>
        <w:t> </w:t>
      </w:r>
      <w:r>
        <w:rPr/>
        <w:t>implicada</w:t>
      </w:r>
      <w:r>
        <w:rPr>
          <w:spacing w:val="-12"/>
        </w:rPr>
        <w:t> </w:t>
      </w:r>
      <w:r>
        <w:rPr/>
        <w:t>(Wyszecki</w:t>
      </w:r>
      <w:r>
        <w:rPr>
          <w:spacing w:val="-13"/>
        </w:rPr>
        <w:t> </w:t>
      </w:r>
      <w:r>
        <w:rPr/>
        <w:t>&amp;</w:t>
      </w:r>
      <w:r>
        <w:rPr>
          <w:spacing w:val="-12"/>
        </w:rPr>
        <w:t> </w:t>
      </w:r>
      <w:r>
        <w:rPr/>
        <w:t>Stiles,</w:t>
      </w:r>
      <w:r>
        <w:rPr>
          <w:spacing w:val="-12"/>
        </w:rPr>
        <w:t> </w:t>
      </w:r>
      <w:r>
        <w:rPr/>
        <w:t>1982).</w:t>
      </w:r>
      <w:r>
        <w:rPr>
          <w:spacing w:val="-14"/>
        </w:rPr>
        <w:t> </w:t>
      </w:r>
      <w:r>
        <w:rPr/>
        <w:t>El</w:t>
      </w:r>
      <w:r>
        <w:rPr>
          <w:spacing w:val="-13"/>
        </w:rPr>
        <w:t> </w:t>
      </w:r>
      <w:r>
        <w:rPr/>
        <w:t>estímulo</w:t>
      </w:r>
      <w:r>
        <w:rPr>
          <w:spacing w:val="-12"/>
        </w:rPr>
        <w:t> </w:t>
      </w:r>
      <w:r>
        <w:rPr/>
        <w:t>cromático</w:t>
      </w:r>
      <w:r>
        <w:rPr>
          <w:spacing w:val="-14"/>
        </w:rPr>
        <w:t> </w:t>
      </w:r>
      <w:r>
        <w:rPr/>
        <w:t>está</w:t>
      </w:r>
      <w:r>
        <w:rPr>
          <w:spacing w:val="-12"/>
        </w:rPr>
        <w:t> </w:t>
      </w:r>
      <w:r>
        <w:rPr/>
        <w:t>compuesto por</w:t>
      </w:r>
      <w:r>
        <w:rPr>
          <w:spacing w:val="-13"/>
        </w:rPr>
        <w:t> </w:t>
      </w:r>
      <w:r>
        <w:rPr/>
        <w:t>tres</w:t>
      </w:r>
      <w:r>
        <w:rPr>
          <w:spacing w:val="-13"/>
        </w:rPr>
        <w:t> </w:t>
      </w:r>
      <w:r>
        <w:rPr/>
        <w:t>sensaciones</w:t>
      </w:r>
      <w:r>
        <w:rPr>
          <w:spacing w:val="-13"/>
        </w:rPr>
        <w:t> </w:t>
      </w:r>
      <w:r>
        <w:rPr/>
        <w:t>bien</w:t>
      </w:r>
      <w:r>
        <w:rPr>
          <w:spacing w:val="-12"/>
        </w:rPr>
        <w:t> </w:t>
      </w:r>
      <w:r>
        <w:rPr/>
        <w:t>diferenciadas,</w:t>
      </w:r>
      <w:r>
        <w:rPr>
          <w:spacing w:val="-12"/>
        </w:rPr>
        <w:t> </w:t>
      </w:r>
      <w:r>
        <w:rPr/>
        <w:t>que</w:t>
      </w:r>
      <w:r>
        <w:rPr>
          <w:spacing w:val="-14"/>
        </w:rPr>
        <w:t> </w:t>
      </w:r>
      <w:r>
        <w:rPr/>
        <w:t>dan</w:t>
      </w:r>
      <w:r>
        <w:rPr>
          <w:spacing w:val="-14"/>
        </w:rPr>
        <w:t> </w:t>
      </w:r>
      <w:r>
        <w:rPr/>
        <w:t>al</w:t>
      </w:r>
      <w:r>
        <w:rPr>
          <w:spacing w:val="-13"/>
        </w:rPr>
        <w:t> </w:t>
      </w:r>
      <w:r>
        <w:rPr/>
        <w:t>color</w:t>
      </w:r>
      <w:r>
        <w:rPr>
          <w:spacing w:val="-13"/>
        </w:rPr>
        <w:t> </w:t>
      </w:r>
      <w:r>
        <w:rPr/>
        <w:t>su</w:t>
      </w:r>
      <w:r>
        <w:rPr>
          <w:spacing w:val="-12"/>
        </w:rPr>
        <w:t> </w:t>
      </w:r>
      <w:r>
        <w:rPr/>
        <w:t>carácter</w:t>
      </w:r>
      <w:r>
        <w:rPr>
          <w:spacing w:val="-13"/>
        </w:rPr>
        <w:t> </w:t>
      </w:r>
      <w:r>
        <w:rPr/>
        <w:t>tridimensional: El matiz o tono (hue): atributo fundamental y cualitativo del color. El brillo o luminosidad  característica  por  la  que  un  color  puede  clasificarse,  en</w:t>
      </w:r>
      <w:r>
        <w:rPr>
          <w:spacing w:val="-3"/>
        </w:rPr>
        <w:t> </w:t>
      </w:r>
      <w:r>
        <w:rPr/>
        <w:t>términos</w:t>
      </w:r>
    </w:p>
    <w:p>
      <w:pPr>
        <w:spacing w:after="0" w:line="480" w:lineRule="auto"/>
        <w:jc w:val="both"/>
        <w:sectPr>
          <w:pgSz w:w="12240" w:h="15840"/>
          <w:pgMar w:header="0" w:footer="1005" w:top="1360" w:bottom="1200" w:left="1600" w:right="1580"/>
        </w:sectPr>
      </w:pPr>
    </w:p>
    <w:p>
      <w:pPr>
        <w:pStyle w:val="BodyText"/>
        <w:spacing w:line="482" w:lineRule="auto" w:before="49"/>
        <w:ind w:left="101" w:right="118"/>
        <w:jc w:val="both"/>
      </w:pPr>
      <w:r>
        <w:rPr/>
        <w:t>generales, como claro u oscuro. La saturación o pureza (</w:t>
      </w:r>
      <w:r>
        <w:rPr>
          <w:i/>
        </w:rPr>
        <w:t>Chroma</w:t>
      </w:r>
      <w:r>
        <w:rPr/>
        <w:t>), que determina para cada matiz su grado de diferencia frente al gris del mismo brillo.</w:t>
      </w:r>
    </w:p>
    <w:p>
      <w:pPr>
        <w:pStyle w:val="BodyText"/>
        <w:spacing w:line="480" w:lineRule="auto" w:before="5"/>
        <w:ind w:left="101" w:right="116"/>
        <w:jc w:val="both"/>
      </w:pPr>
      <w:r>
        <w:rPr/>
        <w:t>Actualmente,</w:t>
      </w:r>
      <w:r>
        <w:rPr>
          <w:spacing w:val="-7"/>
        </w:rPr>
        <w:t> </w:t>
      </w:r>
      <w:r>
        <w:rPr/>
        <w:t>todas</w:t>
      </w:r>
      <w:r>
        <w:rPr>
          <w:spacing w:val="-5"/>
        </w:rPr>
        <w:t> </w:t>
      </w:r>
      <w:r>
        <w:rPr/>
        <w:t>las</w:t>
      </w:r>
      <w:r>
        <w:rPr>
          <w:spacing w:val="-8"/>
        </w:rPr>
        <w:t> </w:t>
      </w:r>
      <w:r>
        <w:rPr/>
        <w:t>teorías</w:t>
      </w:r>
      <w:r>
        <w:rPr>
          <w:spacing w:val="-5"/>
        </w:rPr>
        <w:t> </w:t>
      </w:r>
      <w:r>
        <w:rPr/>
        <w:t>y</w:t>
      </w:r>
      <w:r>
        <w:rPr>
          <w:spacing w:val="-8"/>
        </w:rPr>
        <w:t> </w:t>
      </w:r>
      <w:r>
        <w:rPr/>
        <w:t>sistemas</w:t>
      </w:r>
      <w:r>
        <w:rPr>
          <w:spacing w:val="-8"/>
        </w:rPr>
        <w:t> </w:t>
      </w:r>
      <w:r>
        <w:rPr/>
        <w:t>de</w:t>
      </w:r>
      <w:r>
        <w:rPr>
          <w:spacing w:val="-7"/>
        </w:rPr>
        <w:t> </w:t>
      </w:r>
      <w:r>
        <w:rPr/>
        <w:t>color</w:t>
      </w:r>
      <w:r>
        <w:rPr>
          <w:spacing w:val="-6"/>
        </w:rPr>
        <w:t> </w:t>
      </w:r>
      <w:r>
        <w:rPr/>
        <w:t>son</w:t>
      </w:r>
      <w:r>
        <w:rPr>
          <w:spacing w:val="-7"/>
        </w:rPr>
        <w:t> </w:t>
      </w:r>
      <w:r>
        <w:rPr/>
        <w:t>canalizados</w:t>
      </w:r>
      <w:r>
        <w:rPr>
          <w:spacing w:val="-8"/>
        </w:rPr>
        <w:t> </w:t>
      </w:r>
      <w:r>
        <w:rPr/>
        <w:t>por</w:t>
      </w:r>
      <w:r>
        <w:rPr>
          <w:spacing w:val="-6"/>
        </w:rPr>
        <w:t> </w:t>
      </w:r>
      <w:r>
        <w:rPr/>
        <w:t>la</w:t>
      </w:r>
      <w:r>
        <w:rPr>
          <w:spacing w:val="-4"/>
        </w:rPr>
        <w:t> </w:t>
      </w:r>
      <w:r>
        <w:rPr/>
        <w:t>Comisión Internacional de Iluminación, C.I.E. (</w:t>
      </w:r>
      <w:r>
        <w:rPr>
          <w:i/>
        </w:rPr>
        <w:t>Commission Internationale de l'Eclairage</w:t>
      </w:r>
      <w:r>
        <w:rPr/>
        <w:t>). El CIEL*a*b* (CIELAB) es el modelo cromático usado normalmente para describir todos los colores que puede percibir el ojo humano (Calvo,</w:t>
      </w:r>
      <w:r>
        <w:rPr>
          <w:spacing w:val="-32"/>
        </w:rPr>
        <w:t> </w:t>
      </w:r>
      <w:r>
        <w:rPr/>
        <w:t>1989).</w:t>
      </w:r>
    </w:p>
    <w:p>
      <w:pPr>
        <w:pStyle w:val="BodyText"/>
        <w:spacing w:line="480" w:lineRule="auto" w:before="8"/>
        <w:ind w:left="101" w:right="117"/>
        <w:jc w:val="both"/>
      </w:pPr>
      <w:r>
        <w:rPr/>
        <w:t>De esta manera el color se determina teniendo en cuenta los valores L*, a* y b*, arrojados por un colorímetro óptico y definido a través de ecuaci3ones específicas. El</w:t>
      </w:r>
      <w:r>
        <w:rPr>
          <w:spacing w:val="-7"/>
        </w:rPr>
        <w:t> </w:t>
      </w:r>
      <w:r>
        <w:rPr/>
        <w:t>parámetro</w:t>
      </w:r>
      <w:r>
        <w:rPr>
          <w:spacing w:val="-5"/>
        </w:rPr>
        <w:t> </w:t>
      </w:r>
      <w:r>
        <w:rPr/>
        <w:t>colorimétrico</w:t>
      </w:r>
      <w:r>
        <w:rPr>
          <w:spacing w:val="-5"/>
        </w:rPr>
        <w:t> </w:t>
      </w:r>
      <w:r>
        <w:rPr/>
        <w:t>L*</w:t>
      </w:r>
      <w:r>
        <w:rPr>
          <w:spacing w:val="-6"/>
        </w:rPr>
        <w:t> </w:t>
      </w:r>
      <w:r>
        <w:rPr/>
        <w:t>indica</w:t>
      </w:r>
      <w:r>
        <w:rPr>
          <w:spacing w:val="-5"/>
        </w:rPr>
        <w:t> </w:t>
      </w:r>
      <w:r>
        <w:rPr/>
        <w:t>brillantez</w:t>
      </w:r>
      <w:r>
        <w:rPr>
          <w:spacing w:val="-8"/>
        </w:rPr>
        <w:t> </w:t>
      </w:r>
      <w:r>
        <w:rPr/>
        <w:t>o</w:t>
      </w:r>
      <w:r>
        <w:rPr>
          <w:spacing w:val="-5"/>
        </w:rPr>
        <w:t> </w:t>
      </w:r>
      <w:r>
        <w:rPr/>
        <w:t>luminosidad</w:t>
      </w:r>
      <w:r>
        <w:rPr>
          <w:spacing w:val="-5"/>
        </w:rPr>
        <w:t> </w:t>
      </w:r>
      <w:r>
        <w:rPr/>
        <w:t>y</w:t>
      </w:r>
      <w:r>
        <w:rPr>
          <w:spacing w:val="-8"/>
        </w:rPr>
        <w:t> </w:t>
      </w:r>
      <w:r>
        <w:rPr/>
        <w:t>sus</w:t>
      </w:r>
      <w:r>
        <w:rPr>
          <w:spacing w:val="-6"/>
        </w:rPr>
        <w:t> </w:t>
      </w:r>
      <w:r>
        <w:rPr/>
        <w:t>valores</w:t>
      </w:r>
      <w:r>
        <w:rPr>
          <w:spacing w:val="-6"/>
        </w:rPr>
        <w:t> </w:t>
      </w:r>
      <w:r>
        <w:rPr/>
        <w:t>van</w:t>
      </w:r>
      <w:r>
        <w:rPr>
          <w:spacing w:val="-5"/>
        </w:rPr>
        <w:t> </w:t>
      </w:r>
      <w:r>
        <w:rPr/>
        <w:t>del</w:t>
      </w:r>
      <w:r>
        <w:rPr>
          <w:spacing w:val="-8"/>
        </w:rPr>
        <w:t> </w:t>
      </w:r>
      <w:r>
        <w:rPr/>
        <w:t>0 a</w:t>
      </w:r>
      <w:r>
        <w:rPr>
          <w:spacing w:val="-7"/>
        </w:rPr>
        <w:t> </w:t>
      </w:r>
      <w:r>
        <w:rPr/>
        <w:t>100,</w:t>
      </w:r>
      <w:r>
        <w:rPr>
          <w:spacing w:val="-7"/>
        </w:rPr>
        <w:t> </w:t>
      </w:r>
      <w:r>
        <w:rPr/>
        <w:t>en</w:t>
      </w:r>
      <w:r>
        <w:rPr>
          <w:spacing w:val="-8"/>
        </w:rPr>
        <w:t> </w:t>
      </w:r>
      <w:r>
        <w:rPr/>
        <w:t>donde</w:t>
      </w:r>
      <w:r>
        <w:rPr>
          <w:spacing w:val="-7"/>
        </w:rPr>
        <w:t> </w:t>
      </w:r>
      <w:r>
        <w:rPr/>
        <w:t>0</w:t>
      </w:r>
      <w:r>
        <w:rPr>
          <w:spacing w:val="-7"/>
        </w:rPr>
        <w:t> </w:t>
      </w:r>
      <w:r>
        <w:rPr/>
        <w:t>=</w:t>
      </w:r>
      <w:r>
        <w:rPr>
          <w:spacing w:val="-8"/>
        </w:rPr>
        <w:t> </w:t>
      </w:r>
      <w:r>
        <w:rPr/>
        <w:t>negro</w:t>
      </w:r>
      <w:r>
        <w:rPr>
          <w:spacing w:val="-4"/>
        </w:rPr>
        <w:t> </w:t>
      </w:r>
      <w:r>
        <w:rPr/>
        <w:t>y</w:t>
      </w:r>
      <w:r>
        <w:rPr>
          <w:spacing w:val="-9"/>
        </w:rPr>
        <w:t> </w:t>
      </w:r>
      <w:r>
        <w:rPr/>
        <w:t>100</w:t>
      </w:r>
      <w:r>
        <w:rPr>
          <w:spacing w:val="-7"/>
        </w:rPr>
        <w:t> </w:t>
      </w:r>
      <w:r>
        <w:rPr/>
        <w:t>=</w:t>
      </w:r>
      <w:r>
        <w:rPr>
          <w:spacing w:val="-8"/>
        </w:rPr>
        <w:t> </w:t>
      </w:r>
      <w:r>
        <w:rPr/>
        <w:t>blanco.</w:t>
      </w:r>
      <w:r>
        <w:rPr>
          <w:spacing w:val="-9"/>
        </w:rPr>
        <w:t> </w:t>
      </w:r>
      <w:r>
        <w:rPr/>
        <w:t>El</w:t>
      </w:r>
      <w:r>
        <w:rPr>
          <w:spacing w:val="-8"/>
        </w:rPr>
        <w:t> </w:t>
      </w:r>
      <w:r>
        <w:rPr/>
        <w:t>parámetro</w:t>
      </w:r>
      <w:r>
        <w:rPr>
          <w:spacing w:val="-7"/>
        </w:rPr>
        <w:t> </w:t>
      </w:r>
      <w:r>
        <w:rPr/>
        <w:t>colorimétrico</w:t>
      </w:r>
      <w:r>
        <w:rPr>
          <w:spacing w:val="-7"/>
        </w:rPr>
        <w:t> </w:t>
      </w:r>
      <w:r>
        <w:rPr/>
        <w:t>a*</w:t>
      </w:r>
      <w:r>
        <w:rPr>
          <w:spacing w:val="-8"/>
        </w:rPr>
        <w:t> </w:t>
      </w:r>
      <w:r>
        <w:rPr/>
        <w:t>representa colores rojos cuando el valor es positivo y colores azules cuando el valor es negativo. Mientras que el parámetro colorimétrico b* representa colores amarillos cuando el valor es positivo y verde cuando es negativo. Estos valores se utilizan para obtener el tono o ángulos de la matiz y pureza o croma del color (Jakopic </w:t>
      </w:r>
      <w:r>
        <w:rPr>
          <w:i/>
        </w:rPr>
        <w:t>et </w:t>
      </w:r>
      <w:r>
        <w:rPr>
          <w:i/>
        </w:rPr>
        <w:t>al</w:t>
      </w:r>
      <w:r>
        <w:rPr/>
        <w:t>.,</w:t>
      </w:r>
      <w:r>
        <w:rPr>
          <w:spacing w:val="-4"/>
        </w:rPr>
        <w:t> </w:t>
      </w:r>
      <w:r>
        <w:rPr/>
        <w:t>2007).</w:t>
      </w:r>
    </w:p>
    <w:p>
      <w:pPr>
        <w:pStyle w:val="BodyText"/>
      </w:pPr>
    </w:p>
    <w:p>
      <w:pPr>
        <w:pStyle w:val="BodyText"/>
        <w:spacing w:before="10"/>
      </w:pPr>
    </w:p>
    <w:p>
      <w:pPr>
        <w:pStyle w:val="Heading1"/>
        <w:numPr>
          <w:ilvl w:val="2"/>
          <w:numId w:val="6"/>
        </w:numPr>
        <w:tabs>
          <w:tab w:pos="1480" w:val="left" w:leader="none"/>
        </w:tabs>
        <w:spacing w:line="240" w:lineRule="auto" w:before="0" w:after="0"/>
        <w:ind w:left="1479" w:right="0" w:hanging="670"/>
        <w:jc w:val="left"/>
      </w:pPr>
      <w:bookmarkStart w:name="_TOC_250020" w:id="19"/>
      <w:r>
        <w:rPr/>
        <w:t>Vida</w:t>
      </w:r>
      <w:r>
        <w:rPr>
          <w:spacing w:val="-11"/>
        </w:rPr>
        <w:t> </w:t>
      </w:r>
      <w:bookmarkEnd w:id="19"/>
      <w:r>
        <w:rPr/>
        <w:t>postcosecha</w:t>
      </w:r>
    </w:p>
    <w:p>
      <w:pPr>
        <w:pStyle w:val="BodyText"/>
        <w:rPr>
          <w:b/>
        </w:rPr>
      </w:pPr>
    </w:p>
    <w:p>
      <w:pPr>
        <w:pStyle w:val="BodyText"/>
        <w:spacing w:line="480" w:lineRule="auto"/>
        <w:ind w:left="101" w:right="114"/>
        <w:jc w:val="both"/>
      </w:pPr>
      <w:r>
        <w:rPr/>
        <w:t>Se ha determinado que un tercio de la vida de la flor cortada está influenciada por el ambiente de precosecha, mientras que los dos tercios restantes por el manejo y las condiciones presentes después del corte (temperatura, humedad, iluminación, presencia de etileno) (De la Riva, 2011; </w:t>
      </w:r>
      <w:r>
        <w:rPr>
          <w:color w:val="212121"/>
        </w:rPr>
        <w:t>Ferrante </w:t>
      </w:r>
      <w:r>
        <w:rPr>
          <w:i/>
          <w:color w:val="212121"/>
        </w:rPr>
        <w:t>et al</w:t>
      </w:r>
      <w:r>
        <w:rPr>
          <w:color w:val="212121"/>
        </w:rPr>
        <w:t>., 2015).</w:t>
      </w:r>
    </w:p>
    <w:p>
      <w:pPr>
        <w:pStyle w:val="BodyText"/>
        <w:spacing w:line="480" w:lineRule="auto" w:before="10"/>
        <w:ind w:left="101" w:right="117"/>
        <w:jc w:val="both"/>
      </w:pPr>
      <w:r>
        <w:rPr/>
        <w:t>La</w:t>
      </w:r>
      <w:r>
        <w:rPr>
          <w:spacing w:val="-15"/>
        </w:rPr>
        <w:t> </w:t>
      </w:r>
      <w:r>
        <w:rPr/>
        <w:t>senescencia</w:t>
      </w:r>
      <w:r>
        <w:rPr>
          <w:spacing w:val="-17"/>
        </w:rPr>
        <w:t> </w:t>
      </w:r>
      <w:r>
        <w:rPr/>
        <w:t>de</w:t>
      </w:r>
      <w:r>
        <w:rPr>
          <w:spacing w:val="-15"/>
        </w:rPr>
        <w:t> </w:t>
      </w:r>
      <w:r>
        <w:rPr/>
        <w:t>la</w:t>
      </w:r>
      <w:r>
        <w:rPr>
          <w:spacing w:val="-17"/>
        </w:rPr>
        <w:t> </w:t>
      </w:r>
      <w:r>
        <w:rPr/>
        <w:t>flor</w:t>
      </w:r>
      <w:r>
        <w:rPr>
          <w:spacing w:val="-17"/>
        </w:rPr>
        <w:t> </w:t>
      </w:r>
      <w:r>
        <w:rPr/>
        <w:t>se</w:t>
      </w:r>
      <w:r>
        <w:rPr>
          <w:spacing w:val="-17"/>
        </w:rPr>
        <w:t> </w:t>
      </w:r>
      <w:r>
        <w:rPr/>
        <w:t>acelera</w:t>
      </w:r>
      <w:r>
        <w:rPr>
          <w:spacing w:val="-15"/>
        </w:rPr>
        <w:t> </w:t>
      </w:r>
      <w:r>
        <w:rPr/>
        <w:t>cuando</w:t>
      </w:r>
      <w:r>
        <w:rPr>
          <w:spacing w:val="-17"/>
        </w:rPr>
        <w:t> </w:t>
      </w:r>
      <w:r>
        <w:rPr/>
        <w:t>se</w:t>
      </w:r>
      <w:r>
        <w:rPr>
          <w:spacing w:val="-15"/>
        </w:rPr>
        <w:t> </w:t>
      </w:r>
      <w:r>
        <w:rPr/>
        <w:t>separa</w:t>
      </w:r>
      <w:r>
        <w:rPr>
          <w:spacing w:val="-17"/>
        </w:rPr>
        <w:t> </w:t>
      </w:r>
      <w:r>
        <w:rPr/>
        <w:t>de</w:t>
      </w:r>
      <w:r>
        <w:rPr>
          <w:spacing w:val="-15"/>
        </w:rPr>
        <w:t> </w:t>
      </w:r>
      <w:r>
        <w:rPr/>
        <w:t>la</w:t>
      </w:r>
      <w:r>
        <w:rPr>
          <w:spacing w:val="-17"/>
        </w:rPr>
        <w:t> </w:t>
      </w:r>
      <w:r>
        <w:rPr/>
        <w:t>planta,</w:t>
      </w:r>
      <w:r>
        <w:rPr>
          <w:spacing w:val="-15"/>
        </w:rPr>
        <w:t> </w:t>
      </w:r>
      <w:r>
        <w:rPr/>
        <w:t>lo</w:t>
      </w:r>
      <w:r>
        <w:rPr>
          <w:spacing w:val="-15"/>
        </w:rPr>
        <w:t> </w:t>
      </w:r>
      <w:r>
        <w:rPr/>
        <w:t>que</w:t>
      </w:r>
      <w:r>
        <w:rPr>
          <w:spacing w:val="-17"/>
        </w:rPr>
        <w:t> </w:t>
      </w:r>
      <w:r>
        <w:rPr/>
        <w:t>determina que en pocos días la flor pierda su valor comercial. Este proceso de senescencia está    programado    genéticamente    y    controlado    por    la    hormona</w:t>
      </w:r>
      <w:r>
        <w:rPr>
          <w:spacing w:val="50"/>
        </w:rPr>
        <w:t> </w:t>
      </w:r>
      <w:r>
        <w:rPr/>
        <w:t>etileno,</w:t>
      </w:r>
    </w:p>
    <w:p>
      <w:pPr>
        <w:spacing w:after="0" w:line="480" w:lineRule="auto"/>
        <w:jc w:val="both"/>
        <w:sectPr>
          <w:footerReference w:type="default" r:id="rId7"/>
          <w:pgSz w:w="12240" w:h="15840"/>
          <w:pgMar w:footer="1005" w:header="0" w:top="1360" w:bottom="1200" w:left="1600" w:right="1580"/>
          <w:pgNumType w:start="20"/>
        </w:sectPr>
      </w:pPr>
    </w:p>
    <w:p>
      <w:pPr>
        <w:pStyle w:val="BodyText"/>
        <w:spacing w:line="480" w:lineRule="auto" w:before="51"/>
        <w:ind w:left="101" w:right="117"/>
        <w:jc w:val="both"/>
      </w:pPr>
      <w:r>
        <w:rPr/>
        <w:t>produciéndose los cambios relacionados con él por la expresión de genes específicos (Van Alvorst &amp; Bovy, 1995). En </w:t>
      </w:r>
      <w:r>
        <w:rPr>
          <w:i/>
        </w:rPr>
        <w:t>Lilium </w:t>
      </w:r>
      <w:r>
        <w:rPr/>
        <w:t>depende de la etapa de crecimiento y de la variedad (Miller, 2014).</w:t>
      </w:r>
    </w:p>
    <w:p>
      <w:pPr>
        <w:pStyle w:val="BodyText"/>
      </w:pPr>
    </w:p>
    <w:p>
      <w:pPr>
        <w:pStyle w:val="BodyText"/>
        <w:spacing w:before="9"/>
        <w:rPr>
          <w:sz w:val="18"/>
        </w:rPr>
      </w:pPr>
    </w:p>
    <w:p>
      <w:pPr>
        <w:pStyle w:val="Heading1"/>
        <w:numPr>
          <w:ilvl w:val="3"/>
          <w:numId w:val="6"/>
        </w:numPr>
        <w:tabs>
          <w:tab w:pos="2387" w:val="left" w:leader="none"/>
        </w:tabs>
        <w:spacing w:line="240" w:lineRule="auto" w:before="0" w:after="0"/>
        <w:ind w:left="2386" w:right="0" w:hanging="869"/>
        <w:jc w:val="left"/>
      </w:pPr>
      <w:bookmarkStart w:name="_TOC_250019" w:id="20"/>
      <w:r>
        <w:rPr/>
        <w:t>Días en</w:t>
      </w:r>
      <w:r>
        <w:rPr>
          <w:spacing w:val="-8"/>
        </w:rPr>
        <w:t> </w:t>
      </w:r>
      <w:bookmarkEnd w:id="20"/>
      <w:r>
        <w:rPr/>
        <w:t>florero.</w:t>
      </w:r>
    </w:p>
    <w:p>
      <w:pPr>
        <w:pStyle w:val="BodyText"/>
        <w:spacing w:before="9"/>
        <w:rPr>
          <w:b/>
          <w:sz w:val="23"/>
        </w:rPr>
      </w:pPr>
    </w:p>
    <w:p>
      <w:pPr>
        <w:pStyle w:val="BodyText"/>
        <w:spacing w:line="480" w:lineRule="auto"/>
        <w:ind w:left="101" w:right="114"/>
        <w:jc w:val="both"/>
      </w:pPr>
      <w:r>
        <w:rPr/>
        <w:t>En </w:t>
      </w:r>
      <w:r>
        <w:rPr>
          <w:i/>
        </w:rPr>
        <w:t>Lilium </w:t>
      </w:r>
      <w:r>
        <w:rPr/>
        <w:t>los principales síntomas que limitan la vida en florero son la abscisión de botones florales, falta de apertura de la flor, marchitamiento de los tépalos y amarillamiento de las hojas (Van Doorn &amp; Han, 2011). Algunos trastornos provocados por el etileno en </w:t>
      </w:r>
      <w:r>
        <w:rPr>
          <w:i/>
        </w:rPr>
        <w:t>Lilium </w:t>
      </w:r>
      <w:r>
        <w:rPr/>
        <w:t>son reportados por Woltering &amp; Van Doorn (1988) y Elgar </w:t>
      </w:r>
      <w:r>
        <w:rPr>
          <w:i/>
        </w:rPr>
        <w:t>et al</w:t>
      </w:r>
      <w:r>
        <w:rPr/>
        <w:t>. (1999) cuando demostraron que a corto plazo (1 d, 20° C) el etileno tenía poco efecto en la vida de la flor, aunque sus flores abrieron más rápidamente. Se establecen 2 categorías de sensibilidad al etileno en la vida en florero,</w:t>
      </w:r>
      <w:r>
        <w:rPr>
          <w:spacing w:val="-5"/>
        </w:rPr>
        <w:t> </w:t>
      </w:r>
      <w:r>
        <w:rPr/>
        <w:t>de</w:t>
      </w:r>
      <w:r>
        <w:rPr>
          <w:spacing w:val="-4"/>
        </w:rPr>
        <w:t> </w:t>
      </w:r>
      <w:r>
        <w:rPr/>
        <w:t>0</w:t>
      </w:r>
      <w:r>
        <w:rPr>
          <w:spacing w:val="-4"/>
        </w:rPr>
        <w:t> </w:t>
      </w:r>
      <w:r>
        <w:rPr/>
        <w:t>a</w:t>
      </w:r>
      <w:r>
        <w:rPr>
          <w:spacing w:val="-6"/>
        </w:rPr>
        <w:t> </w:t>
      </w:r>
      <w:r>
        <w:rPr/>
        <w:t>1,</w:t>
      </w:r>
      <w:r>
        <w:rPr>
          <w:spacing w:val="-5"/>
        </w:rPr>
        <w:t> </w:t>
      </w:r>
      <w:r>
        <w:rPr/>
        <w:t>sin</w:t>
      </w:r>
      <w:r>
        <w:rPr>
          <w:spacing w:val="-6"/>
        </w:rPr>
        <w:t> </w:t>
      </w:r>
      <w:r>
        <w:rPr/>
        <w:t>efecto</w:t>
      </w:r>
      <w:r>
        <w:rPr>
          <w:spacing w:val="-4"/>
        </w:rPr>
        <w:t> </w:t>
      </w:r>
      <w:r>
        <w:rPr/>
        <w:t>del</w:t>
      </w:r>
      <w:r>
        <w:rPr>
          <w:spacing w:val="-5"/>
        </w:rPr>
        <w:t> </w:t>
      </w:r>
      <w:r>
        <w:rPr/>
        <w:t>etileno</w:t>
      </w:r>
      <w:r>
        <w:rPr>
          <w:spacing w:val="-4"/>
        </w:rPr>
        <w:t> </w:t>
      </w:r>
      <w:r>
        <w:rPr/>
        <w:t>[categoría</w:t>
      </w:r>
      <w:r>
        <w:rPr>
          <w:spacing w:val="-4"/>
        </w:rPr>
        <w:t> </w:t>
      </w:r>
      <w:r>
        <w:rPr/>
        <w:t>0],</w:t>
      </w:r>
      <w:r>
        <w:rPr>
          <w:spacing w:val="-5"/>
        </w:rPr>
        <w:t> </w:t>
      </w:r>
      <w:r>
        <w:rPr/>
        <w:t>para</w:t>
      </w:r>
      <w:r>
        <w:rPr>
          <w:spacing w:val="-6"/>
        </w:rPr>
        <w:t> </w:t>
      </w:r>
      <w:r>
        <w:rPr/>
        <w:t>una</w:t>
      </w:r>
      <w:r>
        <w:rPr>
          <w:spacing w:val="-4"/>
        </w:rPr>
        <w:t> </w:t>
      </w:r>
      <w:r>
        <w:rPr/>
        <w:t>reducción</w:t>
      </w:r>
      <w:r>
        <w:rPr>
          <w:spacing w:val="-4"/>
        </w:rPr>
        <w:t> </w:t>
      </w:r>
      <w:r>
        <w:rPr/>
        <w:t>de</w:t>
      </w:r>
      <w:r>
        <w:rPr>
          <w:spacing w:val="-6"/>
        </w:rPr>
        <w:t> </w:t>
      </w:r>
      <w:r>
        <w:rPr/>
        <w:t>33</w:t>
      </w:r>
      <w:r>
        <w:rPr>
          <w:spacing w:val="-4"/>
        </w:rPr>
        <w:t> </w:t>
      </w:r>
      <w:r>
        <w:rPr/>
        <w:t>%</w:t>
      </w:r>
      <w:r>
        <w:rPr>
          <w:spacing w:val="-7"/>
        </w:rPr>
        <w:t> </w:t>
      </w:r>
      <w:r>
        <w:rPr/>
        <w:t>de vida</w:t>
      </w:r>
      <w:r>
        <w:rPr>
          <w:spacing w:val="-9"/>
        </w:rPr>
        <w:t> </w:t>
      </w:r>
      <w:r>
        <w:rPr/>
        <w:t>útil</w:t>
      </w:r>
      <w:r>
        <w:rPr>
          <w:spacing w:val="-10"/>
        </w:rPr>
        <w:t> </w:t>
      </w:r>
      <w:r>
        <w:rPr/>
        <w:t>en</w:t>
      </w:r>
      <w:r>
        <w:rPr>
          <w:spacing w:val="-9"/>
        </w:rPr>
        <w:t> </w:t>
      </w:r>
      <w:r>
        <w:rPr/>
        <w:t>el</w:t>
      </w:r>
      <w:r>
        <w:rPr>
          <w:spacing w:val="-10"/>
        </w:rPr>
        <w:t> </w:t>
      </w:r>
      <w:r>
        <w:rPr/>
        <w:t>florero</w:t>
      </w:r>
      <w:r>
        <w:rPr>
          <w:spacing w:val="-11"/>
        </w:rPr>
        <w:t> </w:t>
      </w:r>
      <w:r>
        <w:rPr/>
        <w:t>[categoría</w:t>
      </w:r>
      <w:r>
        <w:rPr>
          <w:spacing w:val="-9"/>
        </w:rPr>
        <w:t> </w:t>
      </w:r>
      <w:r>
        <w:rPr/>
        <w:t>1].</w:t>
      </w:r>
      <w:r>
        <w:rPr>
          <w:spacing w:val="-10"/>
        </w:rPr>
        <w:t> </w:t>
      </w:r>
      <w:r>
        <w:rPr/>
        <w:t>Esto</w:t>
      </w:r>
      <w:r>
        <w:rPr>
          <w:spacing w:val="-9"/>
        </w:rPr>
        <w:t> </w:t>
      </w:r>
      <w:r>
        <w:rPr/>
        <w:t>indica</w:t>
      </w:r>
      <w:r>
        <w:rPr>
          <w:spacing w:val="-11"/>
        </w:rPr>
        <w:t> </w:t>
      </w:r>
      <w:r>
        <w:rPr/>
        <w:t>que</w:t>
      </w:r>
      <w:r>
        <w:rPr>
          <w:spacing w:val="-9"/>
        </w:rPr>
        <w:t> </w:t>
      </w:r>
      <w:r>
        <w:rPr/>
        <w:t>a</w:t>
      </w:r>
      <w:r>
        <w:rPr>
          <w:spacing w:val="-9"/>
        </w:rPr>
        <w:t> </w:t>
      </w:r>
      <w:r>
        <w:rPr/>
        <w:t>corto</w:t>
      </w:r>
      <w:r>
        <w:rPr>
          <w:spacing w:val="-9"/>
        </w:rPr>
        <w:t> </w:t>
      </w:r>
      <w:r>
        <w:rPr/>
        <w:t>plazo</w:t>
      </w:r>
      <w:r>
        <w:rPr>
          <w:spacing w:val="-9"/>
        </w:rPr>
        <w:t> </w:t>
      </w:r>
      <w:r>
        <w:rPr/>
        <w:t>los</w:t>
      </w:r>
      <w:r>
        <w:rPr>
          <w:spacing w:val="-10"/>
        </w:rPr>
        <w:t> </w:t>
      </w:r>
      <w:r>
        <w:rPr/>
        <w:t>tallos</w:t>
      </w:r>
      <w:r>
        <w:rPr>
          <w:spacing w:val="-10"/>
        </w:rPr>
        <w:t> </w:t>
      </w:r>
      <w:r>
        <w:rPr/>
        <w:t>adultos</w:t>
      </w:r>
      <w:r>
        <w:rPr>
          <w:spacing w:val="-10"/>
        </w:rPr>
        <w:t> </w:t>
      </w:r>
      <w:r>
        <w:rPr/>
        <w:t>de lilium son menos sensibles al etileno que especies como </w:t>
      </w:r>
      <w:r>
        <w:rPr>
          <w:i/>
        </w:rPr>
        <w:t>Delphinium </w:t>
      </w:r>
      <w:r>
        <w:rPr/>
        <w:t>y</w:t>
      </w:r>
      <w:r>
        <w:rPr>
          <w:spacing w:val="-39"/>
        </w:rPr>
        <w:t> </w:t>
      </w:r>
      <w:r>
        <w:rPr>
          <w:i/>
        </w:rPr>
        <w:t>Dianthus</w:t>
      </w:r>
      <w:r>
        <w:rPr/>
        <w:t>.</w:t>
      </w:r>
    </w:p>
    <w:p>
      <w:pPr>
        <w:pStyle w:val="BodyText"/>
        <w:spacing w:line="480" w:lineRule="auto" w:before="8"/>
        <w:ind w:left="101" w:right="117"/>
        <w:jc w:val="both"/>
      </w:pPr>
      <w:r>
        <w:rPr/>
        <w:t>Sin embargo, los </w:t>
      </w:r>
      <w:r>
        <w:rPr>
          <w:i/>
        </w:rPr>
        <w:t>Lilium </w:t>
      </w:r>
      <w:r>
        <w:rPr/>
        <w:t>en fases de brotación, son de moderado a altamente sensibles al etileno; los periodos de exposición de etileno deben ser generalmente más de 1 día (Miller 2014). Filios &amp; Miller (2012) mostraron que la exposición por 4 días</w:t>
      </w:r>
      <w:r>
        <w:rPr>
          <w:spacing w:val="-9"/>
        </w:rPr>
        <w:t> </w:t>
      </w:r>
      <w:r>
        <w:rPr/>
        <w:t>de</w:t>
      </w:r>
      <w:r>
        <w:rPr>
          <w:spacing w:val="-8"/>
        </w:rPr>
        <w:t> </w:t>
      </w:r>
      <w:r>
        <w:rPr/>
        <w:t>0.25</w:t>
      </w:r>
      <w:r>
        <w:rPr>
          <w:spacing w:val="-8"/>
        </w:rPr>
        <w:t> </w:t>
      </w:r>
      <w:r>
        <w:rPr/>
        <w:t>ppm</w:t>
      </w:r>
      <w:r>
        <w:rPr>
          <w:spacing w:val="-7"/>
        </w:rPr>
        <w:t> </w:t>
      </w:r>
      <w:r>
        <w:rPr/>
        <w:t>etileno</w:t>
      </w:r>
      <w:r>
        <w:rPr>
          <w:spacing w:val="-8"/>
        </w:rPr>
        <w:t> </w:t>
      </w:r>
      <w:r>
        <w:rPr/>
        <w:t>era</w:t>
      </w:r>
      <w:r>
        <w:rPr>
          <w:spacing w:val="-8"/>
        </w:rPr>
        <w:t> </w:t>
      </w:r>
      <w:r>
        <w:rPr/>
        <w:t>suficiente</w:t>
      </w:r>
      <w:r>
        <w:rPr>
          <w:spacing w:val="-11"/>
        </w:rPr>
        <w:t> </w:t>
      </w:r>
      <w:r>
        <w:rPr/>
        <w:t>para</w:t>
      </w:r>
      <w:r>
        <w:rPr>
          <w:spacing w:val="-11"/>
        </w:rPr>
        <w:t> </w:t>
      </w:r>
      <w:r>
        <w:rPr/>
        <w:t>causar</w:t>
      </w:r>
      <w:r>
        <w:rPr>
          <w:spacing w:val="-10"/>
        </w:rPr>
        <w:t> </w:t>
      </w:r>
      <w:r>
        <w:rPr/>
        <w:t>&gt;</w:t>
      </w:r>
      <w:r>
        <w:rPr>
          <w:spacing w:val="-10"/>
        </w:rPr>
        <w:t> </w:t>
      </w:r>
      <w:r>
        <w:rPr/>
        <w:t>80%</w:t>
      </w:r>
      <w:r>
        <w:rPr>
          <w:spacing w:val="-9"/>
        </w:rPr>
        <w:t> </w:t>
      </w:r>
      <w:r>
        <w:rPr/>
        <w:t>aborto</w:t>
      </w:r>
      <w:r>
        <w:rPr>
          <w:spacing w:val="-11"/>
        </w:rPr>
        <w:t> </w:t>
      </w:r>
      <w:r>
        <w:rPr/>
        <w:t>floral</w:t>
      </w:r>
      <w:r>
        <w:rPr>
          <w:spacing w:val="-10"/>
        </w:rPr>
        <w:t> </w:t>
      </w:r>
      <w:r>
        <w:rPr/>
        <w:t>en</w:t>
      </w:r>
      <w:r>
        <w:rPr>
          <w:spacing w:val="-8"/>
        </w:rPr>
        <w:t> </w:t>
      </w:r>
      <w:r>
        <w:rPr/>
        <w:t>el</w:t>
      </w:r>
      <w:r>
        <w:rPr>
          <w:spacing w:val="-10"/>
        </w:rPr>
        <w:t> </w:t>
      </w:r>
      <w:r>
        <w:rPr/>
        <w:t>híbrido asiático ‘Pixie Pink’. Concentraciones más altas (9.75 ppm) causaron &gt; 90% lesiones</w:t>
      </w:r>
      <w:r>
        <w:rPr>
          <w:spacing w:val="-12"/>
        </w:rPr>
        <w:t> </w:t>
      </w:r>
      <w:r>
        <w:rPr/>
        <w:t>en</w:t>
      </w:r>
      <w:r>
        <w:rPr>
          <w:spacing w:val="-11"/>
        </w:rPr>
        <w:t> </w:t>
      </w:r>
      <w:r>
        <w:rPr/>
        <w:t>4</w:t>
      </w:r>
      <w:r>
        <w:rPr>
          <w:spacing w:val="-11"/>
        </w:rPr>
        <w:t> </w:t>
      </w:r>
      <w:r>
        <w:rPr/>
        <w:t>días</w:t>
      </w:r>
      <w:r>
        <w:rPr>
          <w:spacing w:val="-12"/>
        </w:rPr>
        <w:t> </w:t>
      </w:r>
      <w:r>
        <w:rPr/>
        <w:t>y</w:t>
      </w:r>
      <w:r>
        <w:rPr>
          <w:spacing w:val="-14"/>
        </w:rPr>
        <w:t> </w:t>
      </w:r>
      <w:r>
        <w:rPr/>
        <w:t>el</w:t>
      </w:r>
      <w:r>
        <w:rPr>
          <w:spacing w:val="-12"/>
        </w:rPr>
        <w:t> </w:t>
      </w:r>
      <w:r>
        <w:rPr/>
        <w:t>daño</w:t>
      </w:r>
      <w:r>
        <w:rPr>
          <w:spacing w:val="-13"/>
        </w:rPr>
        <w:t> </w:t>
      </w:r>
      <w:r>
        <w:rPr/>
        <w:t>fue</w:t>
      </w:r>
      <w:r>
        <w:rPr>
          <w:spacing w:val="-13"/>
        </w:rPr>
        <w:t> </w:t>
      </w:r>
      <w:r>
        <w:rPr/>
        <w:t>de</w:t>
      </w:r>
      <w:r>
        <w:rPr>
          <w:spacing w:val="-11"/>
        </w:rPr>
        <w:t> </w:t>
      </w:r>
      <w:r>
        <w:rPr/>
        <w:t>100%</w:t>
      </w:r>
      <w:r>
        <w:rPr>
          <w:spacing w:val="-11"/>
        </w:rPr>
        <w:t> </w:t>
      </w:r>
      <w:r>
        <w:rPr/>
        <w:t>cuando</w:t>
      </w:r>
      <w:r>
        <w:rPr>
          <w:spacing w:val="-11"/>
        </w:rPr>
        <w:t> </w:t>
      </w:r>
      <w:r>
        <w:rPr/>
        <w:t>se</w:t>
      </w:r>
      <w:r>
        <w:rPr>
          <w:spacing w:val="-13"/>
        </w:rPr>
        <w:t> </w:t>
      </w:r>
      <w:r>
        <w:rPr/>
        <w:t>expusieron</w:t>
      </w:r>
      <w:r>
        <w:rPr>
          <w:spacing w:val="-11"/>
        </w:rPr>
        <w:t> </w:t>
      </w:r>
      <w:r>
        <w:rPr/>
        <w:t>durante</w:t>
      </w:r>
      <w:r>
        <w:rPr>
          <w:spacing w:val="-13"/>
        </w:rPr>
        <w:t> </w:t>
      </w:r>
      <w:r>
        <w:rPr/>
        <w:t>7</w:t>
      </w:r>
      <w:r>
        <w:rPr>
          <w:spacing w:val="-11"/>
        </w:rPr>
        <w:t> </w:t>
      </w:r>
      <w:r>
        <w:rPr/>
        <w:t>días.</w:t>
      </w:r>
      <w:r>
        <w:rPr>
          <w:spacing w:val="-11"/>
        </w:rPr>
        <w:t> </w:t>
      </w:r>
      <w:r>
        <w:rPr/>
        <w:t>Con etileno 1 ppm, </w:t>
      </w:r>
      <w:r>
        <w:rPr>
          <w:i/>
        </w:rPr>
        <w:t>L. longiflorum </w:t>
      </w:r>
      <w:r>
        <w:rPr/>
        <w:t>presentaron 100% de aborto de flores con una exposición</w:t>
      </w:r>
      <w:r>
        <w:rPr>
          <w:spacing w:val="-5"/>
        </w:rPr>
        <w:t> </w:t>
      </w:r>
      <w:r>
        <w:rPr/>
        <w:t>de</w:t>
      </w:r>
      <w:r>
        <w:rPr>
          <w:spacing w:val="-5"/>
        </w:rPr>
        <w:t> </w:t>
      </w:r>
      <w:r>
        <w:rPr/>
        <w:t>2</w:t>
      </w:r>
      <w:r>
        <w:rPr>
          <w:spacing w:val="-8"/>
        </w:rPr>
        <w:t> </w:t>
      </w:r>
      <w:r>
        <w:rPr/>
        <w:t>días</w:t>
      </w:r>
      <w:r>
        <w:rPr>
          <w:spacing w:val="-6"/>
        </w:rPr>
        <w:t> </w:t>
      </w:r>
      <w:r>
        <w:rPr/>
        <w:t>en</w:t>
      </w:r>
      <w:r>
        <w:rPr>
          <w:spacing w:val="-5"/>
        </w:rPr>
        <w:t> </w:t>
      </w:r>
      <w:r>
        <w:rPr/>
        <w:t>brote</w:t>
      </w:r>
      <w:r>
        <w:rPr>
          <w:spacing w:val="-5"/>
        </w:rPr>
        <w:t> </w:t>
      </w:r>
      <w:r>
        <w:rPr/>
        <w:t>visible.</w:t>
      </w:r>
      <w:r>
        <w:rPr>
          <w:spacing w:val="-6"/>
        </w:rPr>
        <w:t> </w:t>
      </w:r>
      <w:r>
        <w:rPr/>
        <w:t>La</w:t>
      </w:r>
      <w:r>
        <w:rPr>
          <w:spacing w:val="-8"/>
        </w:rPr>
        <w:t> </w:t>
      </w:r>
      <w:r>
        <w:rPr/>
        <w:t>aplicación</w:t>
      </w:r>
      <w:r>
        <w:rPr>
          <w:spacing w:val="-5"/>
        </w:rPr>
        <w:t> </w:t>
      </w:r>
      <w:r>
        <w:rPr/>
        <w:t>de</w:t>
      </w:r>
      <w:r>
        <w:rPr>
          <w:spacing w:val="-5"/>
        </w:rPr>
        <w:t> </w:t>
      </w:r>
      <w:r>
        <w:rPr/>
        <w:t>una</w:t>
      </w:r>
      <w:r>
        <w:rPr>
          <w:spacing w:val="-8"/>
        </w:rPr>
        <w:t> </w:t>
      </w:r>
      <w:r>
        <w:rPr/>
        <w:t>formulación</w:t>
      </w:r>
      <w:r>
        <w:rPr>
          <w:spacing w:val="-5"/>
        </w:rPr>
        <w:t> </w:t>
      </w:r>
      <w:r>
        <w:rPr/>
        <w:t>pulverizable de</w:t>
      </w:r>
      <w:r>
        <w:rPr>
          <w:spacing w:val="52"/>
        </w:rPr>
        <w:t> </w:t>
      </w:r>
      <w:r>
        <w:rPr/>
        <w:t>1-metilciclopropeno</w:t>
      </w:r>
      <w:r>
        <w:rPr>
          <w:spacing w:val="52"/>
        </w:rPr>
        <w:t> </w:t>
      </w:r>
      <w:r>
        <w:rPr/>
        <w:t>proporcionan</w:t>
      </w:r>
      <w:r>
        <w:rPr>
          <w:spacing w:val="52"/>
        </w:rPr>
        <w:t> </w:t>
      </w:r>
      <w:r>
        <w:rPr/>
        <w:t>protección</w:t>
      </w:r>
      <w:r>
        <w:rPr>
          <w:spacing w:val="52"/>
        </w:rPr>
        <w:t> </w:t>
      </w:r>
      <w:r>
        <w:rPr/>
        <w:t>casi</w:t>
      </w:r>
      <w:r>
        <w:rPr>
          <w:spacing w:val="50"/>
        </w:rPr>
        <w:t> </w:t>
      </w:r>
      <w:r>
        <w:rPr/>
        <w:t>total</w:t>
      </w:r>
      <w:r>
        <w:rPr>
          <w:spacing w:val="50"/>
        </w:rPr>
        <w:t> </w:t>
      </w:r>
      <w:r>
        <w:rPr/>
        <w:t>de</w:t>
      </w:r>
      <w:r>
        <w:rPr>
          <w:spacing w:val="52"/>
        </w:rPr>
        <w:t> </w:t>
      </w:r>
      <w:r>
        <w:rPr/>
        <w:t>un</w:t>
      </w:r>
      <w:r>
        <w:rPr>
          <w:spacing w:val="49"/>
        </w:rPr>
        <w:t> </w:t>
      </w:r>
      <w:r>
        <w:rPr/>
        <w:t>tratamiento</w:t>
      </w:r>
      <w:r>
        <w:rPr>
          <w:spacing w:val="49"/>
        </w:rPr>
        <w:t> </w:t>
      </w:r>
      <w:r>
        <w:rPr/>
        <w:t>de</w:t>
      </w:r>
    </w:p>
    <w:p>
      <w:pPr>
        <w:spacing w:after="0" w:line="480" w:lineRule="auto"/>
        <w:jc w:val="both"/>
        <w:sectPr>
          <w:pgSz w:w="12240" w:h="15840"/>
          <w:pgMar w:header="0" w:footer="1005" w:top="1360" w:bottom="1200" w:left="1600" w:right="1580"/>
        </w:sectPr>
      </w:pPr>
    </w:p>
    <w:p>
      <w:pPr>
        <w:pStyle w:val="BodyText"/>
        <w:spacing w:line="480" w:lineRule="auto" w:before="49"/>
        <w:ind w:left="101" w:right="116"/>
        <w:jc w:val="both"/>
      </w:pPr>
      <w:r>
        <w:rPr/>
        <w:t>etileno mayor a 100 ppm (Filios &amp; Miller, 2012). Rodríguez-Landero </w:t>
      </w:r>
      <w:r>
        <w:rPr>
          <w:i/>
        </w:rPr>
        <w:t>et al. </w:t>
      </w:r>
      <w:r>
        <w:rPr/>
        <w:t>(2012) sugiere</w:t>
      </w:r>
      <w:r>
        <w:rPr>
          <w:spacing w:val="-4"/>
        </w:rPr>
        <w:t> </w:t>
      </w:r>
      <w:r>
        <w:rPr/>
        <w:t>la</w:t>
      </w:r>
      <w:r>
        <w:rPr>
          <w:spacing w:val="-4"/>
        </w:rPr>
        <w:t> </w:t>
      </w:r>
      <w:r>
        <w:rPr/>
        <w:t>aplicación</w:t>
      </w:r>
      <w:r>
        <w:rPr>
          <w:spacing w:val="-7"/>
        </w:rPr>
        <w:t> </w:t>
      </w:r>
      <w:r>
        <w:rPr/>
        <w:t>de</w:t>
      </w:r>
      <w:r>
        <w:rPr>
          <w:spacing w:val="-4"/>
        </w:rPr>
        <w:t> </w:t>
      </w:r>
      <w:r>
        <w:rPr/>
        <w:t>500</w:t>
      </w:r>
      <w:r>
        <w:rPr>
          <w:spacing w:val="-7"/>
        </w:rPr>
        <w:t> </w:t>
      </w:r>
      <w:r>
        <w:rPr/>
        <w:t>nL</w:t>
      </w:r>
      <w:r>
        <w:rPr>
          <w:spacing w:val="-7"/>
        </w:rPr>
        <w:t> </w:t>
      </w:r>
      <w:r>
        <w:rPr/>
        <w:t>L</w:t>
      </w:r>
      <w:r>
        <w:rPr>
          <w:position w:val="8"/>
          <w:sz w:val="16"/>
        </w:rPr>
        <w:t>-1</w:t>
      </w:r>
      <w:r>
        <w:rPr>
          <w:spacing w:val="14"/>
          <w:position w:val="8"/>
          <w:sz w:val="16"/>
        </w:rPr>
        <w:t> </w:t>
      </w:r>
      <w:r>
        <w:rPr/>
        <w:t>1-MCP</w:t>
      </w:r>
      <w:r>
        <w:rPr>
          <w:spacing w:val="-5"/>
        </w:rPr>
        <w:t> </w:t>
      </w:r>
      <w:r>
        <w:rPr/>
        <w:t>durante</w:t>
      </w:r>
      <w:r>
        <w:rPr>
          <w:spacing w:val="-7"/>
        </w:rPr>
        <w:t> </w:t>
      </w:r>
      <w:r>
        <w:rPr/>
        <w:t>8</w:t>
      </w:r>
      <w:r>
        <w:rPr>
          <w:spacing w:val="-7"/>
        </w:rPr>
        <w:t> </w:t>
      </w:r>
      <w:r>
        <w:rPr/>
        <w:t>h</w:t>
      </w:r>
      <w:r>
        <w:rPr>
          <w:spacing w:val="-7"/>
        </w:rPr>
        <w:t> </w:t>
      </w:r>
      <w:r>
        <w:rPr/>
        <w:t>para</w:t>
      </w:r>
      <w:r>
        <w:rPr>
          <w:spacing w:val="-7"/>
        </w:rPr>
        <w:t> </w:t>
      </w:r>
      <w:r>
        <w:rPr>
          <w:i/>
        </w:rPr>
        <w:t>Lilium</w:t>
      </w:r>
      <w:r>
        <w:rPr>
          <w:i/>
          <w:spacing w:val="-8"/>
        </w:rPr>
        <w:t> </w:t>
      </w:r>
      <w:r>
        <w:rPr/>
        <w:t>‘Bright</w:t>
      </w:r>
      <w:r>
        <w:rPr>
          <w:spacing w:val="-5"/>
        </w:rPr>
        <w:t> </w:t>
      </w:r>
      <w:r>
        <w:rPr/>
        <w:t>Diamond’, para aumentar hasta 3 días la vida</w:t>
      </w:r>
      <w:r>
        <w:rPr>
          <w:spacing w:val="-22"/>
        </w:rPr>
        <w:t> </w:t>
      </w:r>
      <w:r>
        <w:rPr/>
        <w:t>postcosecha.</w:t>
      </w:r>
    </w:p>
    <w:p>
      <w:pPr>
        <w:spacing w:after="0" w:line="480" w:lineRule="auto"/>
        <w:jc w:val="both"/>
        <w:sectPr>
          <w:pgSz w:w="12240" w:h="15840"/>
          <w:pgMar w:header="0" w:footer="1005" w:top="1360" w:bottom="1200" w:left="1600" w:right="1580"/>
        </w:sectPr>
      </w:pPr>
    </w:p>
    <w:p>
      <w:pPr>
        <w:pStyle w:val="Heading1"/>
        <w:numPr>
          <w:ilvl w:val="0"/>
          <w:numId w:val="5"/>
        </w:numPr>
        <w:tabs>
          <w:tab w:pos="3121" w:val="left" w:leader="none"/>
        </w:tabs>
        <w:spacing w:line="240" w:lineRule="auto" w:before="54" w:after="0"/>
        <w:ind w:left="3120" w:right="0" w:hanging="268"/>
        <w:jc w:val="left"/>
      </w:pPr>
      <w:bookmarkStart w:name="_TOC_250018" w:id="21"/>
      <w:r>
        <w:rPr/>
        <w:t>MATERIALES Y</w:t>
      </w:r>
      <w:r>
        <w:rPr>
          <w:spacing w:val="-11"/>
        </w:rPr>
        <w:t> </w:t>
      </w:r>
      <w:bookmarkEnd w:id="21"/>
      <w:r>
        <w:rPr/>
        <w:t>MÉTODOS</w:t>
      </w:r>
    </w:p>
    <w:p>
      <w:pPr>
        <w:pStyle w:val="BodyText"/>
        <w:rPr>
          <w:b/>
        </w:rPr>
      </w:pPr>
    </w:p>
    <w:p>
      <w:pPr>
        <w:pStyle w:val="BodyText"/>
        <w:rPr>
          <w:b/>
        </w:rPr>
      </w:pPr>
    </w:p>
    <w:p>
      <w:pPr>
        <w:pStyle w:val="BodyText"/>
        <w:spacing w:before="10"/>
        <w:rPr>
          <w:b/>
          <w:sz w:val="30"/>
        </w:rPr>
      </w:pPr>
    </w:p>
    <w:p>
      <w:pPr>
        <w:pStyle w:val="BodyText"/>
        <w:spacing w:line="480" w:lineRule="auto"/>
        <w:ind w:left="101" w:right="117"/>
        <w:jc w:val="both"/>
      </w:pPr>
      <w:r>
        <w:rPr/>
        <w:t>En la Facultad de Ciencias Agrícolas de la Universidad Autónoma del Estado de México, México, ubicada a los 19° 24′ 29.32” norte y 99° 41′ 22.39” oeste, se estableció</w:t>
      </w:r>
      <w:r>
        <w:rPr>
          <w:spacing w:val="-9"/>
        </w:rPr>
        <w:t> </w:t>
      </w:r>
      <w:r>
        <w:rPr/>
        <w:t>lilis</w:t>
      </w:r>
      <w:r>
        <w:rPr>
          <w:spacing w:val="-10"/>
        </w:rPr>
        <w:t> </w:t>
      </w:r>
      <w:r>
        <w:rPr/>
        <w:t>‘Acapulco’,</w:t>
      </w:r>
      <w:r>
        <w:rPr>
          <w:spacing w:val="-10"/>
        </w:rPr>
        <w:t> </w:t>
      </w:r>
      <w:r>
        <w:rPr/>
        <w:t>calibre</w:t>
      </w:r>
      <w:r>
        <w:rPr>
          <w:spacing w:val="-12"/>
        </w:rPr>
        <w:t> </w:t>
      </w:r>
      <w:r>
        <w:rPr/>
        <w:t>18-20,</w:t>
      </w:r>
      <w:r>
        <w:rPr>
          <w:spacing w:val="-12"/>
        </w:rPr>
        <w:t> </w:t>
      </w:r>
      <w:r>
        <w:rPr/>
        <w:t>del</w:t>
      </w:r>
      <w:r>
        <w:rPr>
          <w:spacing w:val="-11"/>
        </w:rPr>
        <w:t> </w:t>
      </w:r>
      <w:r>
        <w:rPr/>
        <w:t>20</w:t>
      </w:r>
      <w:r>
        <w:rPr>
          <w:spacing w:val="-9"/>
        </w:rPr>
        <w:t> </w:t>
      </w:r>
      <w:r>
        <w:rPr/>
        <w:t>de</w:t>
      </w:r>
      <w:r>
        <w:rPr>
          <w:spacing w:val="-12"/>
        </w:rPr>
        <w:t> </w:t>
      </w:r>
      <w:r>
        <w:rPr/>
        <w:t>abril</w:t>
      </w:r>
      <w:r>
        <w:rPr>
          <w:spacing w:val="-11"/>
        </w:rPr>
        <w:t> </w:t>
      </w:r>
      <w:r>
        <w:rPr/>
        <w:t>al</w:t>
      </w:r>
      <w:r>
        <w:rPr>
          <w:spacing w:val="-13"/>
        </w:rPr>
        <w:t> </w:t>
      </w:r>
      <w:r>
        <w:rPr/>
        <w:t>3</w:t>
      </w:r>
      <w:r>
        <w:rPr>
          <w:spacing w:val="-12"/>
        </w:rPr>
        <w:t> </w:t>
      </w:r>
      <w:r>
        <w:rPr/>
        <w:t>de</w:t>
      </w:r>
      <w:r>
        <w:rPr>
          <w:spacing w:val="-12"/>
        </w:rPr>
        <w:t> </w:t>
      </w:r>
      <w:r>
        <w:rPr/>
        <w:t>agosto</w:t>
      </w:r>
      <w:r>
        <w:rPr>
          <w:spacing w:val="-9"/>
        </w:rPr>
        <w:t> </w:t>
      </w:r>
      <w:r>
        <w:rPr/>
        <w:t>de</w:t>
      </w:r>
      <w:r>
        <w:rPr>
          <w:spacing w:val="-12"/>
        </w:rPr>
        <w:t> </w:t>
      </w:r>
      <w:r>
        <w:rPr/>
        <w:t>2012;</w:t>
      </w:r>
      <w:r>
        <w:rPr>
          <w:spacing w:val="-10"/>
        </w:rPr>
        <w:t> </w:t>
      </w:r>
      <w:r>
        <w:rPr/>
        <w:t>y</w:t>
      </w:r>
      <w:r>
        <w:rPr>
          <w:spacing w:val="-13"/>
        </w:rPr>
        <w:t> </w:t>
      </w:r>
      <w:r>
        <w:rPr/>
        <w:t>lilis ‘Serrada’ calibre 14-16, de octubre 12 al 30 de diciembre de 2013. El sustrato utilizado</w:t>
      </w:r>
      <w:r>
        <w:rPr>
          <w:spacing w:val="-17"/>
        </w:rPr>
        <w:t> </w:t>
      </w:r>
      <w:r>
        <w:rPr/>
        <w:t>para</w:t>
      </w:r>
      <w:r>
        <w:rPr>
          <w:spacing w:val="-20"/>
        </w:rPr>
        <w:t> </w:t>
      </w:r>
      <w:r>
        <w:rPr/>
        <w:t>ambos</w:t>
      </w:r>
      <w:r>
        <w:rPr>
          <w:spacing w:val="-18"/>
        </w:rPr>
        <w:t> </w:t>
      </w:r>
      <w:r>
        <w:rPr/>
        <w:t>cultivares</w:t>
      </w:r>
      <w:r>
        <w:rPr>
          <w:spacing w:val="-18"/>
        </w:rPr>
        <w:t> </w:t>
      </w:r>
      <w:r>
        <w:rPr/>
        <w:t>fue</w:t>
      </w:r>
      <w:r>
        <w:rPr>
          <w:spacing w:val="-20"/>
        </w:rPr>
        <w:t> </w:t>
      </w:r>
      <w:r>
        <w:rPr/>
        <w:t>agrolita,</w:t>
      </w:r>
      <w:r>
        <w:rPr>
          <w:spacing w:val="-18"/>
        </w:rPr>
        <w:t> </w:t>
      </w:r>
      <w:r>
        <w:rPr/>
        <w:t>el</w:t>
      </w:r>
      <w:r>
        <w:rPr>
          <w:spacing w:val="-21"/>
        </w:rPr>
        <w:t> </w:t>
      </w:r>
      <w:r>
        <w:rPr/>
        <w:t>cual</w:t>
      </w:r>
      <w:r>
        <w:rPr>
          <w:spacing w:val="-19"/>
        </w:rPr>
        <w:t> </w:t>
      </w:r>
      <w:r>
        <w:rPr/>
        <w:t>se</w:t>
      </w:r>
      <w:r>
        <w:rPr>
          <w:spacing w:val="-17"/>
        </w:rPr>
        <w:t> </w:t>
      </w:r>
      <w:r>
        <w:rPr/>
        <w:t>colocó</w:t>
      </w:r>
      <w:r>
        <w:rPr>
          <w:spacing w:val="-20"/>
        </w:rPr>
        <w:t> </w:t>
      </w:r>
      <w:r>
        <w:rPr/>
        <w:t>en</w:t>
      </w:r>
      <w:r>
        <w:rPr>
          <w:spacing w:val="-20"/>
        </w:rPr>
        <w:t> </w:t>
      </w:r>
      <w:r>
        <w:rPr/>
        <w:t>bolsas</w:t>
      </w:r>
      <w:r>
        <w:rPr>
          <w:spacing w:val="-18"/>
        </w:rPr>
        <w:t> </w:t>
      </w:r>
      <w:r>
        <w:rPr/>
        <w:t>de</w:t>
      </w:r>
      <w:r>
        <w:rPr>
          <w:spacing w:val="-17"/>
        </w:rPr>
        <w:t> </w:t>
      </w:r>
      <w:r>
        <w:rPr/>
        <w:t>polietileno color</w:t>
      </w:r>
      <w:r>
        <w:rPr>
          <w:spacing w:val="-5"/>
        </w:rPr>
        <w:t> </w:t>
      </w:r>
      <w:r>
        <w:rPr/>
        <w:t>negro</w:t>
      </w:r>
      <w:r>
        <w:rPr>
          <w:spacing w:val="-3"/>
        </w:rPr>
        <w:t> </w:t>
      </w:r>
      <w:r>
        <w:rPr/>
        <w:t>con</w:t>
      </w:r>
      <w:r>
        <w:rPr>
          <w:spacing w:val="-3"/>
        </w:rPr>
        <w:t> </w:t>
      </w:r>
      <w:r>
        <w:rPr/>
        <w:t>dimensiones</w:t>
      </w:r>
      <w:r>
        <w:rPr>
          <w:spacing w:val="-4"/>
        </w:rPr>
        <w:t> </w:t>
      </w:r>
      <w:r>
        <w:rPr/>
        <w:t>de</w:t>
      </w:r>
      <w:r>
        <w:rPr>
          <w:spacing w:val="-6"/>
        </w:rPr>
        <w:t> </w:t>
      </w:r>
      <w:r>
        <w:rPr/>
        <w:t>0.3</w:t>
      </w:r>
      <w:r>
        <w:rPr>
          <w:spacing w:val="-3"/>
        </w:rPr>
        <w:t> </w:t>
      </w:r>
      <w:r>
        <w:rPr/>
        <w:t>x</w:t>
      </w:r>
      <w:r>
        <w:rPr>
          <w:spacing w:val="-7"/>
        </w:rPr>
        <w:t> </w:t>
      </w:r>
      <w:r>
        <w:rPr/>
        <w:t>0.3</w:t>
      </w:r>
      <w:r>
        <w:rPr>
          <w:spacing w:val="-3"/>
        </w:rPr>
        <w:t> </w:t>
      </w:r>
      <w:r>
        <w:rPr/>
        <w:t>m;</w:t>
      </w:r>
      <w:r>
        <w:rPr>
          <w:spacing w:val="-6"/>
        </w:rPr>
        <w:t> </w:t>
      </w:r>
      <w:r>
        <w:rPr/>
        <w:t>en</w:t>
      </w:r>
      <w:r>
        <w:rPr>
          <w:spacing w:val="-3"/>
        </w:rPr>
        <w:t> </w:t>
      </w:r>
      <w:r>
        <w:rPr/>
        <w:t>cada</w:t>
      </w:r>
      <w:r>
        <w:rPr>
          <w:spacing w:val="-3"/>
        </w:rPr>
        <w:t> </w:t>
      </w:r>
      <w:r>
        <w:rPr/>
        <w:t>bolsa</w:t>
      </w:r>
      <w:r>
        <w:rPr>
          <w:spacing w:val="-3"/>
        </w:rPr>
        <w:t> </w:t>
      </w:r>
      <w:r>
        <w:rPr/>
        <w:t>se</w:t>
      </w:r>
      <w:r>
        <w:rPr>
          <w:spacing w:val="-6"/>
        </w:rPr>
        <w:t> </w:t>
      </w:r>
      <w:r>
        <w:rPr/>
        <w:t>plantó</w:t>
      </w:r>
      <w:r>
        <w:rPr>
          <w:spacing w:val="-3"/>
        </w:rPr>
        <w:t> </w:t>
      </w:r>
      <w:r>
        <w:rPr/>
        <w:t>un</w:t>
      </w:r>
      <w:r>
        <w:rPr>
          <w:spacing w:val="-3"/>
        </w:rPr>
        <w:t> </w:t>
      </w:r>
      <w:r>
        <w:rPr/>
        <w:t>bulbo</w:t>
      </w:r>
      <w:r>
        <w:rPr>
          <w:spacing w:val="-3"/>
        </w:rPr>
        <w:t> </w:t>
      </w:r>
      <w:r>
        <w:rPr/>
        <w:t>para cv. Acapulco y 2 bulbos para cv. Serrada. Se emplearon bulbos vernalizados que se</w:t>
      </w:r>
      <w:r>
        <w:rPr>
          <w:spacing w:val="-15"/>
        </w:rPr>
        <w:t> </w:t>
      </w:r>
      <w:r>
        <w:rPr/>
        <w:t>adquirieron</w:t>
      </w:r>
      <w:r>
        <w:rPr>
          <w:spacing w:val="-17"/>
        </w:rPr>
        <w:t> </w:t>
      </w:r>
      <w:r>
        <w:rPr/>
        <w:t>en</w:t>
      </w:r>
      <w:r>
        <w:rPr>
          <w:spacing w:val="-15"/>
        </w:rPr>
        <w:t> </w:t>
      </w:r>
      <w:r>
        <w:rPr/>
        <w:t>la</w:t>
      </w:r>
      <w:r>
        <w:rPr>
          <w:spacing w:val="-17"/>
        </w:rPr>
        <w:t> </w:t>
      </w:r>
      <w:r>
        <w:rPr/>
        <w:t>empresa</w:t>
      </w:r>
      <w:r>
        <w:rPr>
          <w:spacing w:val="-15"/>
        </w:rPr>
        <w:t> </w:t>
      </w:r>
      <w:r>
        <w:rPr/>
        <w:t>“Bulbos</w:t>
      </w:r>
      <w:r>
        <w:rPr>
          <w:spacing w:val="-18"/>
        </w:rPr>
        <w:t> </w:t>
      </w:r>
      <w:r>
        <w:rPr/>
        <w:t>de</w:t>
      </w:r>
      <w:r>
        <w:rPr>
          <w:spacing w:val="-17"/>
        </w:rPr>
        <w:t> </w:t>
      </w:r>
      <w:r>
        <w:rPr/>
        <w:t>Holanda”.</w:t>
      </w:r>
      <w:r>
        <w:rPr>
          <w:spacing w:val="-15"/>
        </w:rPr>
        <w:t> </w:t>
      </w:r>
      <w:r>
        <w:rPr/>
        <w:t>Previo</w:t>
      </w:r>
      <w:r>
        <w:rPr>
          <w:spacing w:val="-17"/>
        </w:rPr>
        <w:t> </w:t>
      </w:r>
      <w:r>
        <w:rPr/>
        <w:t>a</w:t>
      </w:r>
      <w:r>
        <w:rPr>
          <w:spacing w:val="-15"/>
        </w:rPr>
        <w:t> </w:t>
      </w:r>
      <w:r>
        <w:rPr/>
        <w:t>la</w:t>
      </w:r>
      <w:r>
        <w:rPr>
          <w:spacing w:val="-17"/>
        </w:rPr>
        <w:t> </w:t>
      </w:r>
      <w:r>
        <w:rPr/>
        <w:t>plantación,</w:t>
      </w:r>
      <w:r>
        <w:rPr>
          <w:spacing w:val="-18"/>
        </w:rPr>
        <w:t> </w:t>
      </w:r>
      <w:r>
        <w:rPr/>
        <w:t>los</w:t>
      </w:r>
      <w:r>
        <w:rPr>
          <w:spacing w:val="-18"/>
        </w:rPr>
        <w:t> </w:t>
      </w:r>
      <w:r>
        <w:rPr/>
        <w:t>bulbos se desinfestaron con una solución de Orthodifolathan (Captan) 1 </w:t>
      </w:r>
      <w:r>
        <w:rPr>
          <w:color w:val="221E1F"/>
        </w:rPr>
        <w:t>g·litro</w:t>
      </w:r>
      <w:r>
        <w:rPr>
          <w:color w:val="221E1F"/>
          <w:position w:val="8"/>
          <w:sz w:val="16"/>
        </w:rPr>
        <w:t>-1 </w:t>
      </w:r>
      <w:r>
        <w:rPr/>
        <w:t>durante 5 min. El diseño del invernadero (Rodríguez-Landero </w:t>
      </w:r>
      <w:r>
        <w:rPr>
          <w:i/>
        </w:rPr>
        <w:t>et al</w:t>
      </w:r>
      <w:r>
        <w:rPr/>
        <w:t>., 2012) y la disposición de las macetas en ambos ciclos de cultivo permitió que el diseño experimental, en ambos ciclos, fuera completamente al</w:t>
      </w:r>
      <w:r>
        <w:rPr>
          <w:spacing w:val="-21"/>
        </w:rPr>
        <w:t> </w:t>
      </w:r>
      <w:r>
        <w:rPr/>
        <w:t>azar.</w:t>
      </w:r>
    </w:p>
    <w:p>
      <w:pPr>
        <w:pStyle w:val="BodyText"/>
        <w:spacing w:line="480" w:lineRule="auto" w:before="8"/>
        <w:ind w:left="101" w:right="116"/>
        <w:jc w:val="both"/>
      </w:pPr>
      <w:r>
        <w:rPr/>
        <w:t>La</w:t>
      </w:r>
      <w:r>
        <w:rPr>
          <w:spacing w:val="-11"/>
        </w:rPr>
        <w:t> </w:t>
      </w:r>
      <w:r>
        <w:rPr/>
        <w:t>fertilización</w:t>
      </w:r>
      <w:r>
        <w:rPr>
          <w:spacing w:val="-9"/>
        </w:rPr>
        <w:t> </w:t>
      </w:r>
      <w:r>
        <w:rPr/>
        <w:t>al</w:t>
      </w:r>
      <w:r>
        <w:rPr>
          <w:spacing w:val="-11"/>
        </w:rPr>
        <w:t> </w:t>
      </w:r>
      <w:r>
        <w:rPr/>
        <w:t>suelo</w:t>
      </w:r>
      <w:r>
        <w:rPr>
          <w:spacing w:val="-11"/>
        </w:rPr>
        <w:t> </w:t>
      </w:r>
      <w:r>
        <w:rPr/>
        <w:t>en</w:t>
      </w:r>
      <w:r>
        <w:rPr>
          <w:spacing w:val="-9"/>
        </w:rPr>
        <w:t> </w:t>
      </w:r>
      <w:r>
        <w:rPr/>
        <w:t>ambos</w:t>
      </w:r>
      <w:r>
        <w:rPr>
          <w:spacing w:val="-10"/>
        </w:rPr>
        <w:t> </w:t>
      </w:r>
      <w:r>
        <w:rPr/>
        <w:t>cultivos</w:t>
      </w:r>
      <w:r>
        <w:rPr>
          <w:spacing w:val="-10"/>
        </w:rPr>
        <w:t> </w:t>
      </w:r>
      <w:r>
        <w:rPr/>
        <w:t>se</w:t>
      </w:r>
      <w:r>
        <w:rPr>
          <w:spacing w:val="-11"/>
        </w:rPr>
        <w:t> </w:t>
      </w:r>
      <w:r>
        <w:rPr/>
        <w:t>basó</w:t>
      </w:r>
      <w:r>
        <w:rPr>
          <w:spacing w:val="-9"/>
        </w:rPr>
        <w:t> </w:t>
      </w:r>
      <w:r>
        <w:rPr/>
        <w:t>en</w:t>
      </w:r>
      <w:r>
        <w:rPr>
          <w:spacing w:val="-9"/>
        </w:rPr>
        <w:t> </w:t>
      </w:r>
      <w:r>
        <w:rPr/>
        <w:t>la</w:t>
      </w:r>
      <w:r>
        <w:rPr>
          <w:spacing w:val="-9"/>
        </w:rPr>
        <w:t> </w:t>
      </w:r>
      <w:r>
        <w:rPr/>
        <w:t>solución</w:t>
      </w:r>
      <w:r>
        <w:rPr>
          <w:spacing w:val="-9"/>
        </w:rPr>
        <w:t> </w:t>
      </w:r>
      <w:r>
        <w:rPr/>
        <w:t>nutritiva</w:t>
      </w:r>
      <w:r>
        <w:rPr>
          <w:spacing w:val="-9"/>
        </w:rPr>
        <w:t> </w:t>
      </w:r>
      <w:r>
        <w:rPr/>
        <w:t>de</w:t>
      </w:r>
      <w:r>
        <w:rPr>
          <w:spacing w:val="-9"/>
        </w:rPr>
        <w:t> </w:t>
      </w:r>
      <w:r>
        <w:rPr/>
        <w:t>Steiner (1961) (Cuadro 2), que se aumentó 40 veces más para igualar la fertilización nitrogenada</w:t>
      </w:r>
      <w:r>
        <w:rPr>
          <w:spacing w:val="-13"/>
        </w:rPr>
        <w:t> </w:t>
      </w:r>
      <w:r>
        <w:rPr/>
        <w:t>sugerida</w:t>
      </w:r>
      <w:r>
        <w:rPr>
          <w:spacing w:val="-15"/>
        </w:rPr>
        <w:t> </w:t>
      </w:r>
      <w:r>
        <w:rPr/>
        <w:t>para</w:t>
      </w:r>
      <w:r>
        <w:rPr>
          <w:spacing w:val="-13"/>
        </w:rPr>
        <w:t> </w:t>
      </w:r>
      <w:r>
        <w:rPr>
          <w:i/>
        </w:rPr>
        <w:t>Lilium</w:t>
      </w:r>
      <w:r>
        <w:rPr>
          <w:i/>
          <w:spacing w:val="-17"/>
        </w:rPr>
        <w:t> </w:t>
      </w:r>
      <w:r>
        <w:rPr/>
        <w:t>(Franco</w:t>
      </w:r>
      <w:r>
        <w:rPr>
          <w:spacing w:val="-15"/>
        </w:rPr>
        <w:t> </w:t>
      </w:r>
      <w:r>
        <w:rPr>
          <w:i/>
        </w:rPr>
        <w:t>et</w:t>
      </w:r>
      <w:r>
        <w:rPr>
          <w:i/>
          <w:spacing w:val="-15"/>
        </w:rPr>
        <w:t> </w:t>
      </w:r>
      <w:r>
        <w:rPr>
          <w:i/>
        </w:rPr>
        <w:t>al</w:t>
      </w:r>
      <w:r>
        <w:rPr/>
        <w:t>.,</w:t>
      </w:r>
      <w:r>
        <w:rPr>
          <w:spacing w:val="-13"/>
        </w:rPr>
        <w:t> </w:t>
      </w:r>
      <w:r>
        <w:rPr/>
        <w:t>2009).</w:t>
      </w:r>
      <w:r>
        <w:rPr>
          <w:spacing w:val="-18"/>
        </w:rPr>
        <w:t> </w:t>
      </w:r>
      <w:r>
        <w:rPr/>
        <w:t>Además,</w:t>
      </w:r>
      <w:r>
        <w:rPr>
          <w:spacing w:val="-15"/>
        </w:rPr>
        <w:t> </w:t>
      </w:r>
      <w:r>
        <w:rPr/>
        <w:t>de</w:t>
      </w:r>
      <w:r>
        <w:rPr>
          <w:spacing w:val="-15"/>
        </w:rPr>
        <w:t> </w:t>
      </w:r>
      <w:r>
        <w:rPr/>
        <w:t>manera</w:t>
      </w:r>
      <w:r>
        <w:rPr>
          <w:spacing w:val="-15"/>
        </w:rPr>
        <w:t> </w:t>
      </w:r>
      <w:r>
        <w:rPr/>
        <w:t>general, y por tanto no involucrados en el análisis experimental, se aportó foliarmente Ca (130 m</w:t>
      </w:r>
      <w:r>
        <w:rPr>
          <w:color w:val="221E1F"/>
        </w:rPr>
        <w:t>g·litro</w:t>
      </w:r>
      <w:r>
        <w:rPr>
          <w:color w:val="221E1F"/>
          <w:position w:val="8"/>
          <w:sz w:val="16"/>
        </w:rPr>
        <w:t>-1</w:t>
      </w:r>
      <w:r>
        <w:rPr>
          <w:color w:val="221E1F"/>
        </w:rPr>
        <w:t>) </w:t>
      </w:r>
      <w:r>
        <w:rPr/>
        <w:t>y B (30 mg</w:t>
      </w:r>
      <w:r>
        <w:rPr>
          <w:color w:val="221E1F"/>
        </w:rPr>
        <w:t>·litro</w:t>
      </w:r>
      <w:r>
        <w:rPr>
          <w:color w:val="221E1F"/>
          <w:position w:val="8"/>
          <w:sz w:val="16"/>
        </w:rPr>
        <w:t>-1</w:t>
      </w:r>
      <w:r>
        <w:rPr>
          <w:color w:val="221E1F"/>
        </w:rPr>
        <w:t>)</w:t>
      </w:r>
      <w:r>
        <w:rPr/>
        <w:t>, cada quince días; (Rodríguez-Landeros </w:t>
      </w:r>
      <w:r>
        <w:rPr>
          <w:i/>
        </w:rPr>
        <w:t>et al</w:t>
      </w:r>
      <w:r>
        <w:rPr/>
        <w:t>., 2012), esta aplicación no coincidió con la fecha de aplicación de Zn y Mg, micronutrimentos</w:t>
      </w:r>
      <w:r>
        <w:rPr>
          <w:spacing w:val="-15"/>
        </w:rPr>
        <w:t> </w:t>
      </w:r>
      <w:r>
        <w:rPr/>
        <w:t>en</w:t>
      </w:r>
      <w:r>
        <w:rPr>
          <w:spacing w:val="-14"/>
        </w:rPr>
        <w:t> </w:t>
      </w:r>
      <w:r>
        <w:rPr/>
        <w:t>experimentación.</w:t>
      </w:r>
      <w:r>
        <w:rPr>
          <w:spacing w:val="-14"/>
        </w:rPr>
        <w:t> </w:t>
      </w:r>
      <w:r>
        <w:rPr/>
        <w:t>Los</w:t>
      </w:r>
      <w:r>
        <w:rPr>
          <w:spacing w:val="-15"/>
        </w:rPr>
        <w:t> </w:t>
      </w:r>
      <w:r>
        <w:rPr/>
        <w:t>riegos</w:t>
      </w:r>
      <w:r>
        <w:rPr>
          <w:spacing w:val="-15"/>
        </w:rPr>
        <w:t> </w:t>
      </w:r>
      <w:r>
        <w:rPr/>
        <w:t>por</w:t>
      </w:r>
      <w:r>
        <w:rPr>
          <w:spacing w:val="-16"/>
        </w:rPr>
        <w:t> </w:t>
      </w:r>
      <w:r>
        <w:rPr/>
        <w:t>maceta</w:t>
      </w:r>
      <w:r>
        <w:rPr>
          <w:spacing w:val="-16"/>
        </w:rPr>
        <w:t> </w:t>
      </w:r>
      <w:r>
        <w:rPr/>
        <w:t>fueron</w:t>
      </w:r>
      <w:r>
        <w:rPr>
          <w:spacing w:val="-14"/>
        </w:rPr>
        <w:t> </w:t>
      </w:r>
      <w:r>
        <w:rPr/>
        <w:t>de</w:t>
      </w:r>
      <w:r>
        <w:rPr>
          <w:spacing w:val="-16"/>
        </w:rPr>
        <w:t> </w:t>
      </w:r>
      <w:r>
        <w:rPr/>
        <w:t>100</w:t>
      </w:r>
      <w:r>
        <w:rPr>
          <w:spacing w:val="-16"/>
        </w:rPr>
        <w:t> </w:t>
      </w:r>
      <w:r>
        <w:rPr/>
        <w:t>ml</w:t>
      </w:r>
      <w:r>
        <w:rPr>
          <w:spacing w:val="-15"/>
        </w:rPr>
        <w:t> </w:t>
      </w:r>
      <w:r>
        <w:rPr/>
        <w:t>cada tercer</w:t>
      </w:r>
      <w:r>
        <w:rPr>
          <w:spacing w:val="-11"/>
        </w:rPr>
        <w:t> </w:t>
      </w:r>
      <w:r>
        <w:rPr/>
        <w:t>día</w:t>
      </w:r>
      <w:r>
        <w:rPr>
          <w:spacing w:val="-12"/>
        </w:rPr>
        <w:t> </w:t>
      </w:r>
      <w:r>
        <w:rPr/>
        <w:t>hasta</w:t>
      </w:r>
      <w:r>
        <w:rPr>
          <w:spacing w:val="-9"/>
        </w:rPr>
        <w:t> </w:t>
      </w:r>
      <w:r>
        <w:rPr/>
        <w:t>la</w:t>
      </w:r>
      <w:r>
        <w:rPr>
          <w:spacing w:val="-12"/>
        </w:rPr>
        <w:t> </w:t>
      </w:r>
      <w:r>
        <w:rPr/>
        <w:t>cosecha</w:t>
      </w:r>
      <w:r>
        <w:rPr>
          <w:spacing w:val="-12"/>
        </w:rPr>
        <w:t> </w:t>
      </w:r>
      <w:r>
        <w:rPr/>
        <w:t>para</w:t>
      </w:r>
      <w:r>
        <w:rPr>
          <w:spacing w:val="-12"/>
        </w:rPr>
        <w:t> </w:t>
      </w:r>
      <w:r>
        <w:rPr/>
        <w:t>el</w:t>
      </w:r>
      <w:r>
        <w:rPr>
          <w:spacing w:val="-13"/>
        </w:rPr>
        <w:t> </w:t>
      </w:r>
      <w:r>
        <w:rPr/>
        <w:t>cv.</w:t>
      </w:r>
      <w:r>
        <w:rPr>
          <w:spacing w:val="-10"/>
        </w:rPr>
        <w:t> </w:t>
      </w:r>
      <w:r>
        <w:rPr/>
        <w:t>Serrada.</w:t>
      </w:r>
      <w:r>
        <w:rPr>
          <w:spacing w:val="-10"/>
        </w:rPr>
        <w:t> </w:t>
      </w:r>
      <w:r>
        <w:rPr/>
        <w:t>En</w:t>
      </w:r>
      <w:r>
        <w:rPr>
          <w:spacing w:val="-12"/>
        </w:rPr>
        <w:t> </w:t>
      </w:r>
      <w:r>
        <w:rPr/>
        <w:t>el</w:t>
      </w:r>
      <w:r>
        <w:rPr>
          <w:spacing w:val="-11"/>
        </w:rPr>
        <w:t> </w:t>
      </w:r>
      <w:r>
        <w:rPr/>
        <w:t>caso</w:t>
      </w:r>
      <w:r>
        <w:rPr>
          <w:spacing w:val="-12"/>
        </w:rPr>
        <w:t> </w:t>
      </w:r>
      <w:r>
        <w:rPr/>
        <w:t>del</w:t>
      </w:r>
      <w:r>
        <w:rPr>
          <w:spacing w:val="-11"/>
        </w:rPr>
        <w:t> </w:t>
      </w:r>
      <w:r>
        <w:rPr/>
        <w:t>cv.</w:t>
      </w:r>
      <w:r>
        <w:rPr>
          <w:spacing w:val="-10"/>
        </w:rPr>
        <w:t> </w:t>
      </w:r>
      <w:r>
        <w:rPr/>
        <w:t>Acapulco,</w:t>
      </w:r>
      <w:r>
        <w:rPr>
          <w:spacing w:val="-10"/>
        </w:rPr>
        <w:t> </w:t>
      </w:r>
      <w:r>
        <w:rPr/>
        <w:t>el</w:t>
      </w:r>
      <w:r>
        <w:rPr>
          <w:spacing w:val="-13"/>
        </w:rPr>
        <w:t> </w:t>
      </w:r>
      <w:r>
        <w:rPr/>
        <w:t>riego fue</w:t>
      </w:r>
      <w:r>
        <w:rPr>
          <w:spacing w:val="-15"/>
        </w:rPr>
        <w:t> </w:t>
      </w:r>
      <w:r>
        <w:rPr/>
        <w:t>de</w:t>
      </w:r>
      <w:r>
        <w:rPr>
          <w:spacing w:val="-15"/>
        </w:rPr>
        <w:t> </w:t>
      </w:r>
      <w:r>
        <w:rPr/>
        <w:t>100</w:t>
      </w:r>
      <w:r>
        <w:rPr>
          <w:spacing w:val="-15"/>
        </w:rPr>
        <w:t> </w:t>
      </w:r>
      <w:r>
        <w:rPr/>
        <w:t>ml</w:t>
      </w:r>
      <w:r>
        <w:rPr>
          <w:spacing w:val="-17"/>
        </w:rPr>
        <w:t> </w:t>
      </w:r>
      <w:r>
        <w:rPr/>
        <w:t>por</w:t>
      </w:r>
      <w:r>
        <w:rPr>
          <w:spacing w:val="-17"/>
        </w:rPr>
        <w:t> </w:t>
      </w:r>
      <w:r>
        <w:rPr/>
        <w:t>maceta,</w:t>
      </w:r>
      <w:r>
        <w:rPr>
          <w:spacing w:val="-16"/>
        </w:rPr>
        <w:t> </w:t>
      </w:r>
      <w:r>
        <w:rPr/>
        <w:t>cada</w:t>
      </w:r>
      <w:r>
        <w:rPr>
          <w:spacing w:val="-15"/>
        </w:rPr>
        <w:t> </w:t>
      </w:r>
      <w:r>
        <w:rPr/>
        <w:t>tercer</w:t>
      </w:r>
      <w:r>
        <w:rPr>
          <w:spacing w:val="-17"/>
        </w:rPr>
        <w:t> </w:t>
      </w:r>
      <w:r>
        <w:rPr/>
        <w:t>día</w:t>
      </w:r>
      <w:r>
        <w:rPr>
          <w:spacing w:val="-13"/>
        </w:rPr>
        <w:t> </w:t>
      </w:r>
      <w:r>
        <w:rPr/>
        <w:t>hasta</w:t>
      </w:r>
      <w:r>
        <w:rPr>
          <w:spacing w:val="-13"/>
        </w:rPr>
        <w:t> </w:t>
      </w:r>
      <w:r>
        <w:rPr/>
        <w:t>la</w:t>
      </w:r>
      <w:r>
        <w:rPr>
          <w:spacing w:val="-15"/>
        </w:rPr>
        <w:t> </w:t>
      </w:r>
      <w:r>
        <w:rPr/>
        <w:t>aparición</w:t>
      </w:r>
      <w:r>
        <w:rPr>
          <w:spacing w:val="-15"/>
        </w:rPr>
        <w:t> </w:t>
      </w:r>
      <w:r>
        <w:rPr/>
        <w:t>de</w:t>
      </w:r>
      <w:r>
        <w:rPr>
          <w:spacing w:val="-15"/>
        </w:rPr>
        <w:t> </w:t>
      </w:r>
      <w:r>
        <w:rPr/>
        <w:t>los</w:t>
      </w:r>
      <w:r>
        <w:rPr>
          <w:spacing w:val="-19"/>
        </w:rPr>
        <w:t> </w:t>
      </w:r>
      <w:r>
        <w:rPr/>
        <w:t>primeros</w:t>
      </w:r>
      <w:r>
        <w:rPr>
          <w:spacing w:val="-16"/>
        </w:rPr>
        <w:t> </w:t>
      </w:r>
      <w:r>
        <w:rPr/>
        <w:t>botones</w:t>
      </w:r>
    </w:p>
    <w:p>
      <w:pPr>
        <w:spacing w:after="0" w:line="480" w:lineRule="auto"/>
        <w:jc w:val="both"/>
        <w:sectPr>
          <w:pgSz w:w="12240" w:h="15840"/>
          <w:pgMar w:header="0" w:footer="1005" w:top="1360" w:bottom="1200" w:left="1600" w:right="1580"/>
        </w:sectPr>
      </w:pPr>
    </w:p>
    <w:p>
      <w:pPr>
        <w:pStyle w:val="BodyText"/>
        <w:spacing w:line="480" w:lineRule="auto" w:before="51"/>
        <w:ind w:left="121" w:right="116"/>
        <w:jc w:val="both"/>
      </w:pPr>
      <w:r>
        <w:rPr/>
        <w:t>florales; posteriormente, y hasta la cosecha se aumentó a 200 ml por maceta cada tercer</w:t>
      </w:r>
      <w:r>
        <w:rPr>
          <w:spacing w:val="-19"/>
        </w:rPr>
        <w:t> </w:t>
      </w:r>
      <w:r>
        <w:rPr/>
        <w:t>día.</w:t>
      </w:r>
      <w:r>
        <w:rPr>
          <w:spacing w:val="-18"/>
        </w:rPr>
        <w:t> </w:t>
      </w:r>
      <w:r>
        <w:rPr/>
        <w:t>El</w:t>
      </w:r>
      <w:r>
        <w:rPr>
          <w:spacing w:val="-19"/>
        </w:rPr>
        <w:t> </w:t>
      </w:r>
      <w:r>
        <w:rPr/>
        <w:t>cultivo</w:t>
      </w:r>
      <w:r>
        <w:rPr>
          <w:spacing w:val="-18"/>
        </w:rPr>
        <w:t> </w:t>
      </w:r>
      <w:r>
        <w:rPr/>
        <w:t>se</w:t>
      </w:r>
      <w:r>
        <w:rPr>
          <w:spacing w:val="-16"/>
        </w:rPr>
        <w:t> </w:t>
      </w:r>
      <w:r>
        <w:rPr/>
        <w:t>cubrió</w:t>
      </w:r>
      <w:r>
        <w:rPr>
          <w:spacing w:val="-18"/>
        </w:rPr>
        <w:t> </w:t>
      </w:r>
      <w:r>
        <w:rPr/>
        <w:t>con</w:t>
      </w:r>
      <w:r>
        <w:rPr>
          <w:spacing w:val="-20"/>
        </w:rPr>
        <w:t> </w:t>
      </w:r>
      <w:r>
        <w:rPr/>
        <w:t>malla</w:t>
      </w:r>
      <w:r>
        <w:rPr>
          <w:spacing w:val="-18"/>
        </w:rPr>
        <w:t> </w:t>
      </w:r>
      <w:r>
        <w:rPr/>
        <w:t>sombra</w:t>
      </w:r>
      <w:r>
        <w:rPr>
          <w:spacing w:val="-18"/>
        </w:rPr>
        <w:t> </w:t>
      </w:r>
      <w:r>
        <w:rPr/>
        <w:t>para</w:t>
      </w:r>
      <w:r>
        <w:rPr>
          <w:spacing w:val="-18"/>
        </w:rPr>
        <w:t> </w:t>
      </w:r>
      <w:r>
        <w:rPr/>
        <w:t>evitar</w:t>
      </w:r>
      <w:r>
        <w:rPr>
          <w:spacing w:val="-19"/>
        </w:rPr>
        <w:t> </w:t>
      </w:r>
      <w:r>
        <w:rPr/>
        <w:t>daños</w:t>
      </w:r>
      <w:r>
        <w:rPr>
          <w:spacing w:val="-21"/>
        </w:rPr>
        <w:t> </w:t>
      </w:r>
      <w:r>
        <w:rPr/>
        <w:t>por</w:t>
      </w:r>
      <w:r>
        <w:rPr>
          <w:spacing w:val="-22"/>
        </w:rPr>
        <w:t> </w:t>
      </w:r>
      <w:r>
        <w:rPr/>
        <w:t>alta</w:t>
      </w:r>
      <w:r>
        <w:rPr>
          <w:spacing w:val="-18"/>
        </w:rPr>
        <w:t> </w:t>
      </w:r>
      <w:r>
        <w:rPr/>
        <w:t>intensidad luminosa. Los dos ciclos de cultivo se monitorearon adecuadamente para evitar el ataque de plagas y enfermedades y que pudieran modificar los datos</w:t>
      </w:r>
      <w:r>
        <w:rPr>
          <w:spacing w:val="-40"/>
        </w:rPr>
        <w:t> </w:t>
      </w:r>
      <w:r>
        <w:rPr/>
        <w:t>obtenidos.</w:t>
      </w:r>
    </w:p>
    <w:p>
      <w:pPr>
        <w:pStyle w:val="BodyText"/>
      </w:pPr>
    </w:p>
    <w:p>
      <w:pPr>
        <w:pStyle w:val="BodyText"/>
        <w:spacing w:before="7"/>
      </w:pPr>
    </w:p>
    <w:p>
      <w:pPr>
        <w:pStyle w:val="BodyText"/>
        <w:spacing w:before="1"/>
        <w:ind w:left="121"/>
        <w:jc w:val="both"/>
      </w:pPr>
      <w:r>
        <w:rPr/>
        <w:t>Cuadro 2. Solución de Steiner modificada y aplicada al sustrato en cultivo de </w:t>
      </w:r>
      <w:r>
        <w:rPr>
          <w:i/>
        </w:rPr>
        <w:t>Lilium</w:t>
      </w:r>
      <w:r>
        <w:rPr/>
        <w:t>.</w:t>
      </w:r>
    </w:p>
    <w:p>
      <w:pPr>
        <w:pStyle w:val="BodyText"/>
        <w:rPr>
          <w:sz w:val="9"/>
        </w:rPr>
      </w:pPr>
      <w:r>
        <w:rPr/>
        <w:pict>
          <v:group style="position:absolute;margin-left:84.830002pt;margin-top:7.166834pt;width:441.9pt;height:.5pt;mso-position-horizontal-relative:page;mso-position-vertical-relative:paragraph;z-index:1240;mso-wrap-distance-left:0;mso-wrap-distance-right:0" coordorigin="1697,143" coordsize="8838,10">
            <v:line style="position:absolute" from="1702,148" to="4642,148" stroked="true" strokeweight=".48pt" strokecolor="#000000"/>
            <v:line style="position:absolute" from="4642,148" to="4651,148" stroked="true" strokeweight=".48pt" strokecolor="#000000"/>
            <v:line style="position:absolute" from="4651,148" to="7586,148" stroked="true" strokeweight=".48pt" strokecolor="#000000"/>
            <v:line style="position:absolute" from="7586,148" to="7596,148" stroked="true" strokeweight=".48pt" strokecolor="#000000"/>
            <v:line style="position:absolute" from="7596,148" to="10529,148" stroked="true" strokeweight=".48pt" strokecolor="#000000"/>
            <w10:wrap type="topAndBottom"/>
          </v:group>
        </w:pict>
      </w:r>
    </w:p>
    <w:p>
      <w:pPr>
        <w:pStyle w:val="BodyText"/>
        <w:tabs>
          <w:tab w:pos="4304" w:val="left" w:leader="none"/>
          <w:tab w:pos="7182" w:val="left" w:leader="none"/>
        </w:tabs>
        <w:ind w:left="6313" w:right="378" w:hanging="6084"/>
      </w:pPr>
      <w:r>
        <w:rPr/>
        <w:t>Compuesto</w:t>
      </w:r>
      <w:r>
        <w:rPr>
          <w:spacing w:val="-1"/>
        </w:rPr>
        <w:t> </w:t>
      </w:r>
      <w:r>
        <w:rPr/>
        <w:t>(sal)</w:t>
        <w:tab/>
        <w:t>ppm</w:t>
        <w:tab/>
        <w:tab/>
      </w:r>
      <w:r>
        <w:rPr>
          <w:color w:val="221E1F"/>
        </w:rPr>
        <w:t>g·litro</w:t>
      </w:r>
      <w:r>
        <w:rPr>
          <w:color w:val="221E1F"/>
          <w:position w:val="8"/>
          <w:sz w:val="16"/>
        </w:rPr>
        <w:t>-1 </w:t>
      </w:r>
      <w:r>
        <w:rPr>
          <w:color w:val="221E1F"/>
        </w:rPr>
        <w:t>(aumentada 40</w:t>
      </w:r>
      <w:r>
        <w:rPr>
          <w:color w:val="221E1F"/>
          <w:spacing w:val="-12"/>
        </w:rPr>
        <w:t> </w:t>
      </w:r>
      <w:r>
        <w:rPr>
          <w:color w:val="221E1F"/>
        </w:rPr>
        <w:t>veces)</w:t>
      </w:r>
    </w:p>
    <w:p>
      <w:pPr>
        <w:spacing w:after="0"/>
        <w:sectPr>
          <w:pgSz w:w="12240" w:h="15840"/>
          <w:pgMar w:header="0" w:footer="1005" w:top="1360" w:bottom="1200" w:left="1580" w:right="1580"/>
        </w:sectPr>
      </w:pPr>
    </w:p>
    <w:p>
      <w:pPr>
        <w:spacing w:line="535" w:lineRule="auto" w:before="129"/>
        <w:ind w:left="229" w:right="0" w:firstLine="0"/>
        <w:jc w:val="left"/>
        <w:rPr>
          <w:sz w:val="24"/>
        </w:rPr>
      </w:pPr>
      <w:r>
        <w:rPr/>
        <w:pict>
          <v:shape style="position:absolute;margin-left:85.080002pt;margin-top:6.325674pt;width:441.4pt;height:.1pt;mso-position-horizontal-relative:page;mso-position-vertical-relative:paragraph;z-index:1288" coordorigin="1702,127" coordsize="8828,0" path="m1702,127l4642,127m4642,127l4651,127m4651,127l7586,127m7586,127l7596,127m7596,127l10529,127e" filled="false" stroked="true" strokeweight=".48pt" strokecolor="#000000">
            <v:path arrowok="t"/>
            <w10:wrap type="none"/>
          </v:shape>
        </w:pict>
      </w:r>
      <w:r>
        <w:rPr/>
        <w:pict>
          <v:shape style="position:absolute;margin-left:140.639938pt;margin-top:7.240756pt;width:2.25pt;height:8.0500pt;mso-position-horizontal-relative:page;mso-position-vertical-relative:paragraph;z-index:-85264"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ict>
          <v:shape style="position:absolute;margin-left:129.599945pt;margin-top:37.960743pt;width:2.25pt;height:8.0500pt;mso-position-horizontal-relative:page;mso-position-vertical-relative:paragraph;z-index:-85240"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ict>
          <v:shape style="position:absolute;margin-left:88.729965pt;margin-top:64.426865pt;width:380.9pt;height:52.75pt;mso-position-horizontal-relative:page;mso-position-vertical-relative:paragraph;z-index:14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9"/>
                    <w:gridCol w:w="3330"/>
                    <w:gridCol w:w="1857"/>
                  </w:tblGrid>
                  <w:tr>
                    <w:trPr>
                      <w:trHeight w:val="527" w:hRule="exact"/>
                    </w:trPr>
                    <w:tc>
                      <w:tcPr>
                        <w:tcW w:w="2429" w:type="dxa"/>
                      </w:tcPr>
                      <w:p>
                        <w:pPr>
                          <w:pStyle w:val="TableParagraph"/>
                          <w:spacing w:before="69"/>
                          <w:ind w:left="35"/>
                          <w:rPr>
                            <w:sz w:val="16"/>
                          </w:rPr>
                        </w:pPr>
                        <w:r>
                          <w:rPr>
                            <w:position w:val="1"/>
                            <w:sz w:val="24"/>
                          </w:rPr>
                          <w:t>KNO</w:t>
                        </w:r>
                        <w:r>
                          <w:rPr>
                            <w:sz w:val="16"/>
                          </w:rPr>
                          <w:t>3</w:t>
                        </w:r>
                      </w:p>
                    </w:tc>
                    <w:tc>
                      <w:tcPr>
                        <w:tcW w:w="3330" w:type="dxa"/>
                      </w:tcPr>
                      <w:p>
                        <w:pPr>
                          <w:pStyle w:val="TableParagraph"/>
                          <w:spacing w:before="69"/>
                          <w:ind w:right="1218"/>
                          <w:jc w:val="right"/>
                          <w:rPr>
                            <w:sz w:val="24"/>
                          </w:rPr>
                        </w:pPr>
                        <w:r>
                          <w:rPr>
                            <w:w w:val="95"/>
                            <w:sz w:val="24"/>
                          </w:rPr>
                          <w:t>100</w:t>
                        </w:r>
                      </w:p>
                    </w:tc>
                    <w:tc>
                      <w:tcPr>
                        <w:tcW w:w="1857" w:type="dxa"/>
                      </w:tcPr>
                      <w:p>
                        <w:pPr>
                          <w:pStyle w:val="TableParagraph"/>
                          <w:spacing w:before="69"/>
                          <w:ind w:right="100"/>
                          <w:jc w:val="right"/>
                          <w:rPr>
                            <w:sz w:val="24"/>
                          </w:rPr>
                        </w:pPr>
                        <w:r>
                          <w:rPr>
                            <w:sz w:val="24"/>
                          </w:rPr>
                          <w:t>4.00</w:t>
                        </w:r>
                      </w:p>
                    </w:tc>
                  </w:tr>
                  <w:tr>
                    <w:trPr>
                      <w:trHeight w:val="527" w:hRule="exact"/>
                    </w:trPr>
                    <w:tc>
                      <w:tcPr>
                        <w:tcW w:w="2429" w:type="dxa"/>
                      </w:tcPr>
                      <w:p>
                        <w:pPr>
                          <w:pStyle w:val="TableParagraph"/>
                          <w:spacing w:before="156"/>
                          <w:ind w:left="35"/>
                          <w:rPr>
                            <w:sz w:val="16"/>
                          </w:rPr>
                        </w:pPr>
                        <w:r>
                          <w:rPr>
                            <w:position w:val="1"/>
                            <w:sz w:val="24"/>
                          </w:rPr>
                          <w:t>K</w:t>
                        </w:r>
                        <w:r>
                          <w:rPr>
                            <w:sz w:val="16"/>
                          </w:rPr>
                          <w:t>2</w:t>
                        </w:r>
                        <w:r>
                          <w:rPr>
                            <w:position w:val="1"/>
                            <w:sz w:val="24"/>
                          </w:rPr>
                          <w:t>SO</w:t>
                        </w:r>
                        <w:r>
                          <w:rPr>
                            <w:sz w:val="16"/>
                          </w:rPr>
                          <w:t>4</w:t>
                        </w:r>
                      </w:p>
                    </w:tc>
                    <w:tc>
                      <w:tcPr>
                        <w:tcW w:w="3330" w:type="dxa"/>
                      </w:tcPr>
                      <w:p>
                        <w:pPr>
                          <w:pStyle w:val="TableParagraph"/>
                          <w:spacing w:before="157"/>
                          <w:ind w:right="1218"/>
                          <w:jc w:val="right"/>
                          <w:rPr>
                            <w:sz w:val="24"/>
                          </w:rPr>
                        </w:pPr>
                        <w:r>
                          <w:rPr>
                            <w:w w:val="95"/>
                            <w:sz w:val="24"/>
                          </w:rPr>
                          <w:t>350</w:t>
                        </w:r>
                      </w:p>
                    </w:tc>
                    <w:tc>
                      <w:tcPr>
                        <w:tcW w:w="1857" w:type="dxa"/>
                      </w:tcPr>
                      <w:p>
                        <w:pPr>
                          <w:pStyle w:val="TableParagraph"/>
                          <w:spacing w:before="157"/>
                          <w:ind w:right="33"/>
                          <w:jc w:val="right"/>
                          <w:rPr>
                            <w:sz w:val="24"/>
                          </w:rPr>
                        </w:pPr>
                        <w:r>
                          <w:rPr>
                            <w:sz w:val="24"/>
                          </w:rPr>
                          <w:t>14.00</w:t>
                        </w:r>
                      </w:p>
                    </w:tc>
                  </w:tr>
                </w:tbl>
                <w:p>
                  <w:pPr>
                    <w:pStyle w:val="BodyText"/>
                  </w:pPr>
                </w:p>
              </w:txbxContent>
            </v:textbox>
            <w10:wrap type="none"/>
          </v:shape>
        </w:pict>
      </w:r>
      <w:r>
        <w:rPr>
          <w:position w:val="1"/>
          <w:sz w:val="24"/>
        </w:rPr>
        <w:t>Ca(NO</w:t>
      </w:r>
      <w:r>
        <w:rPr>
          <w:sz w:val="16"/>
        </w:rPr>
        <w:t>3</w:t>
      </w:r>
      <w:r>
        <w:rPr>
          <w:position w:val="1"/>
          <w:sz w:val="24"/>
        </w:rPr>
        <w:t>)</w:t>
      </w:r>
      <w:r>
        <w:rPr>
          <w:sz w:val="16"/>
        </w:rPr>
        <w:t>2 </w:t>
      </w:r>
      <w:r>
        <w:rPr>
          <w:position w:val="1"/>
          <w:sz w:val="24"/>
        </w:rPr>
        <w:t>4H</w:t>
      </w:r>
      <w:r>
        <w:rPr>
          <w:sz w:val="16"/>
        </w:rPr>
        <w:t>2</w:t>
      </w:r>
      <w:r>
        <w:rPr>
          <w:position w:val="1"/>
          <w:sz w:val="24"/>
        </w:rPr>
        <w:t>O Mg S0</w:t>
      </w:r>
      <w:r>
        <w:rPr>
          <w:sz w:val="16"/>
        </w:rPr>
        <w:t>4 </w:t>
      </w:r>
      <w:r>
        <w:rPr>
          <w:position w:val="1"/>
          <w:sz w:val="24"/>
        </w:rPr>
        <w:t>7H</w:t>
      </w:r>
      <w:r>
        <w:rPr>
          <w:sz w:val="16"/>
        </w:rPr>
        <w:t>2</w:t>
      </w:r>
      <w:r>
        <w:rPr>
          <w:position w:val="1"/>
          <w:sz w:val="24"/>
        </w:rPr>
        <w:t>O</w:t>
      </w:r>
    </w:p>
    <w:p>
      <w:pPr>
        <w:spacing w:before="129"/>
        <w:ind w:left="229" w:right="-18" w:firstLine="0"/>
        <w:jc w:val="left"/>
        <w:rPr>
          <w:sz w:val="24"/>
        </w:rPr>
      </w:pPr>
      <w:r>
        <w:rPr/>
        <w:br w:type="column"/>
      </w:r>
      <w:r>
        <w:rPr>
          <w:sz w:val="24"/>
        </w:rPr>
        <w:t>989</w:t>
      </w:r>
    </w:p>
    <w:p>
      <w:pPr>
        <w:pStyle w:val="BodyText"/>
        <w:spacing w:before="4"/>
        <w:rPr>
          <w:sz w:val="29"/>
        </w:rPr>
      </w:pPr>
    </w:p>
    <w:p>
      <w:pPr>
        <w:pStyle w:val="BodyText"/>
        <w:spacing w:before="1"/>
        <w:ind w:left="229" w:right="-18"/>
      </w:pPr>
      <w:r>
        <w:rPr/>
        <w:t>494</w:t>
      </w:r>
    </w:p>
    <w:p>
      <w:pPr>
        <w:pStyle w:val="BodyText"/>
        <w:spacing w:before="129"/>
        <w:ind w:left="229"/>
      </w:pPr>
      <w:r>
        <w:rPr/>
        <w:br w:type="column"/>
      </w:r>
      <w:r>
        <w:rPr/>
        <w:t>39.56</w:t>
      </w:r>
    </w:p>
    <w:p>
      <w:pPr>
        <w:pStyle w:val="BodyText"/>
        <w:spacing w:before="4"/>
        <w:rPr>
          <w:sz w:val="29"/>
        </w:rPr>
      </w:pPr>
    </w:p>
    <w:p>
      <w:pPr>
        <w:pStyle w:val="BodyText"/>
        <w:spacing w:before="1"/>
        <w:ind w:left="229"/>
      </w:pPr>
      <w:r>
        <w:rPr/>
        <w:t>19.76</w:t>
      </w:r>
    </w:p>
    <w:p>
      <w:pPr>
        <w:spacing w:after="0"/>
        <w:sectPr>
          <w:type w:val="continuous"/>
          <w:pgSz w:w="12240" w:h="15840"/>
          <w:pgMar w:top="1360" w:bottom="280" w:left="1580" w:right="1580"/>
          <w:cols w:num="3" w:equalWidth="0">
            <w:col w:w="1929" w:space="2173"/>
            <w:col w:w="632" w:space="2212"/>
            <w:col w:w="213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after="0"/>
        <w:rPr>
          <w:sz w:val="20"/>
        </w:rPr>
        <w:sectPr>
          <w:type w:val="continuous"/>
          <w:pgSz w:w="12240" w:h="15840"/>
          <w:pgMar w:top="1360" w:bottom="280" w:left="1580" w:right="1580"/>
        </w:sectPr>
      </w:pPr>
    </w:p>
    <w:p>
      <w:pPr>
        <w:spacing w:line="532" w:lineRule="auto" w:before="84"/>
        <w:ind w:left="229" w:right="-19" w:firstLine="0"/>
        <w:jc w:val="left"/>
        <w:rPr>
          <w:sz w:val="16"/>
        </w:rPr>
      </w:pPr>
      <w:r>
        <w:rPr/>
        <w:pict>
          <v:shape style="position:absolute;margin-left:127.679947pt;margin-top:4.990733pt;width:2.25pt;height:8.0500pt;mso-position-horizontal-relative:page;mso-position-vertical-relative:paragraph;z-index:-85216"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ict>
          <v:shape style="position:absolute;margin-left:143.159943pt;margin-top:66.310707pt;width:2.25pt;height:8.0500pt;mso-position-horizontal-relative:page;mso-position-vertical-relative:paragraph;z-index:-85192"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ict>
          <v:shape style="position:absolute;margin-left:128.999954pt;margin-top:97.030693pt;width:2.25pt;height:8.0500pt;mso-position-horizontal-relative:page;mso-position-vertical-relative:paragraph;z-index:-85168"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osition w:val="1"/>
          <w:sz w:val="24"/>
        </w:rPr>
        <w:t>CuSO</w:t>
      </w:r>
      <w:r>
        <w:rPr>
          <w:sz w:val="16"/>
        </w:rPr>
        <w:t>4 </w:t>
      </w:r>
      <w:r>
        <w:rPr>
          <w:position w:val="1"/>
          <w:sz w:val="24"/>
        </w:rPr>
        <w:t>5H</w:t>
      </w:r>
      <w:r>
        <w:rPr>
          <w:sz w:val="16"/>
        </w:rPr>
        <w:t>2</w:t>
      </w:r>
      <w:r>
        <w:rPr>
          <w:position w:val="1"/>
          <w:sz w:val="24"/>
        </w:rPr>
        <w:t>O H</w:t>
      </w:r>
      <w:r>
        <w:rPr>
          <w:sz w:val="16"/>
        </w:rPr>
        <w:t>3</w:t>
      </w:r>
      <w:r>
        <w:rPr>
          <w:position w:val="1"/>
          <w:sz w:val="24"/>
        </w:rPr>
        <w:t>BO</w:t>
      </w:r>
      <w:r>
        <w:rPr>
          <w:sz w:val="16"/>
        </w:rPr>
        <w:t>3 </w:t>
      </w:r>
      <w:r>
        <w:rPr>
          <w:position w:val="1"/>
          <w:sz w:val="24"/>
        </w:rPr>
        <w:t>Fe</w:t>
      </w:r>
      <w:r>
        <w:rPr>
          <w:sz w:val="16"/>
        </w:rPr>
        <w:t>2</w:t>
      </w:r>
      <w:r>
        <w:rPr>
          <w:position w:val="1"/>
          <w:sz w:val="24"/>
        </w:rPr>
        <w:t>(SO</w:t>
      </w:r>
      <w:r>
        <w:rPr>
          <w:sz w:val="16"/>
        </w:rPr>
        <w:t>4</w:t>
      </w:r>
      <w:r>
        <w:rPr>
          <w:position w:val="1"/>
          <w:sz w:val="24"/>
        </w:rPr>
        <w:t>)</w:t>
      </w:r>
      <w:r>
        <w:rPr>
          <w:sz w:val="16"/>
        </w:rPr>
        <w:t>3 </w:t>
      </w:r>
      <w:r>
        <w:rPr>
          <w:position w:val="1"/>
          <w:sz w:val="24"/>
        </w:rPr>
        <w:t>H</w:t>
      </w:r>
      <w:r>
        <w:rPr>
          <w:sz w:val="16"/>
        </w:rPr>
        <w:t>2</w:t>
      </w:r>
      <w:r>
        <w:rPr>
          <w:position w:val="1"/>
          <w:sz w:val="24"/>
        </w:rPr>
        <w:t>O MnSO</w:t>
      </w:r>
      <w:r>
        <w:rPr>
          <w:sz w:val="16"/>
        </w:rPr>
        <w:t>4 </w:t>
      </w:r>
      <w:r>
        <w:rPr>
          <w:position w:val="1"/>
          <w:sz w:val="24"/>
        </w:rPr>
        <w:t>H</w:t>
      </w:r>
      <w:r>
        <w:rPr>
          <w:sz w:val="16"/>
        </w:rPr>
        <w:t>2</w:t>
      </w:r>
      <w:r>
        <w:rPr>
          <w:position w:val="1"/>
          <w:sz w:val="24"/>
        </w:rPr>
        <w:t>O H</w:t>
      </w:r>
      <w:r>
        <w:rPr>
          <w:sz w:val="16"/>
        </w:rPr>
        <w:t>2</w:t>
      </w:r>
      <w:r>
        <w:rPr>
          <w:position w:val="1"/>
          <w:sz w:val="24"/>
        </w:rPr>
        <w:t>Mo</w:t>
      </w:r>
      <w:r>
        <w:rPr>
          <w:sz w:val="16"/>
        </w:rPr>
        <w:t>4 </w:t>
      </w:r>
      <w:r>
        <w:rPr>
          <w:position w:val="1"/>
          <w:sz w:val="24"/>
        </w:rPr>
        <w:t>.H</w:t>
      </w:r>
      <w:r>
        <w:rPr>
          <w:sz w:val="16"/>
        </w:rPr>
        <w:t>2</w:t>
      </w:r>
      <w:r>
        <w:rPr>
          <w:position w:val="1"/>
          <w:sz w:val="24"/>
        </w:rPr>
        <w:t>O ZnSO</w:t>
      </w:r>
      <w:r>
        <w:rPr>
          <w:sz w:val="16"/>
        </w:rPr>
        <w:t>4 </w:t>
      </w:r>
      <w:r>
        <w:rPr>
          <w:position w:val="1"/>
          <w:sz w:val="24"/>
        </w:rPr>
        <w:t>. 7H</w:t>
      </w:r>
      <w:r>
        <w:rPr>
          <w:sz w:val="16"/>
        </w:rPr>
        <w:t>2</w:t>
      </w:r>
      <w:r>
        <w:rPr>
          <w:position w:val="1"/>
          <w:sz w:val="24"/>
        </w:rPr>
        <w:t>O KH</w:t>
      </w:r>
      <w:r>
        <w:rPr>
          <w:sz w:val="16"/>
        </w:rPr>
        <w:t>2</w:t>
      </w:r>
      <w:r>
        <w:rPr>
          <w:position w:val="1"/>
          <w:sz w:val="24"/>
        </w:rPr>
        <w:t>PO</w:t>
      </w:r>
      <w:r>
        <w:rPr>
          <w:sz w:val="16"/>
        </w:rPr>
        <w:t>4</w:t>
      </w:r>
    </w:p>
    <w:p>
      <w:pPr>
        <w:spacing w:before="85"/>
        <w:ind w:left="229" w:right="0" w:firstLine="0"/>
        <w:jc w:val="center"/>
        <w:rPr>
          <w:sz w:val="24"/>
        </w:rPr>
      </w:pPr>
      <w:r>
        <w:rPr/>
        <w:br w:type="column"/>
      </w:r>
      <w:r>
        <w:rPr>
          <w:sz w:val="24"/>
        </w:rPr>
        <w:t>0.1</w:t>
      </w:r>
    </w:p>
    <w:p>
      <w:pPr>
        <w:pStyle w:val="BodyText"/>
        <w:spacing w:before="2"/>
        <w:rPr>
          <w:sz w:val="29"/>
        </w:rPr>
      </w:pPr>
    </w:p>
    <w:p>
      <w:pPr>
        <w:pStyle w:val="BodyText"/>
        <w:ind w:left="229"/>
        <w:jc w:val="center"/>
      </w:pPr>
      <w:r>
        <w:rPr/>
        <w:t>2.5</w:t>
      </w:r>
    </w:p>
    <w:p>
      <w:pPr>
        <w:pStyle w:val="BodyText"/>
        <w:spacing w:before="4"/>
        <w:rPr>
          <w:sz w:val="29"/>
        </w:rPr>
      </w:pPr>
    </w:p>
    <w:p>
      <w:pPr>
        <w:pStyle w:val="BodyText"/>
        <w:spacing w:before="1"/>
        <w:ind w:left="229"/>
        <w:jc w:val="center"/>
      </w:pPr>
      <w:r>
        <w:rPr/>
        <w:t>12</w:t>
      </w:r>
    </w:p>
    <w:p>
      <w:pPr>
        <w:pStyle w:val="BodyText"/>
        <w:spacing w:before="4"/>
        <w:rPr>
          <w:sz w:val="29"/>
        </w:rPr>
      </w:pPr>
    </w:p>
    <w:p>
      <w:pPr>
        <w:pStyle w:val="BodyText"/>
        <w:spacing w:before="1"/>
        <w:ind w:left="229"/>
        <w:jc w:val="center"/>
      </w:pPr>
      <w:r>
        <w:rPr>
          <w:w w:val="99"/>
        </w:rPr>
        <w:t>6</w:t>
      </w:r>
    </w:p>
    <w:p>
      <w:pPr>
        <w:pStyle w:val="BodyText"/>
        <w:spacing w:before="4"/>
        <w:rPr>
          <w:sz w:val="29"/>
        </w:rPr>
      </w:pPr>
    </w:p>
    <w:p>
      <w:pPr>
        <w:pStyle w:val="BodyText"/>
        <w:spacing w:before="1"/>
        <w:ind w:left="229"/>
        <w:jc w:val="center"/>
      </w:pPr>
      <w:r>
        <w:rPr/>
        <w:t>0.02</w:t>
      </w:r>
    </w:p>
    <w:p>
      <w:pPr>
        <w:pStyle w:val="BodyText"/>
        <w:spacing w:before="4"/>
        <w:rPr>
          <w:sz w:val="29"/>
        </w:rPr>
      </w:pPr>
    </w:p>
    <w:p>
      <w:pPr>
        <w:pStyle w:val="BodyText"/>
        <w:spacing w:before="1"/>
        <w:ind w:left="229"/>
        <w:jc w:val="center"/>
      </w:pPr>
      <w:r>
        <w:rPr>
          <w:w w:val="99"/>
        </w:rPr>
        <w:t>1</w:t>
      </w:r>
    </w:p>
    <w:p>
      <w:pPr>
        <w:pStyle w:val="BodyText"/>
        <w:spacing w:before="2"/>
        <w:rPr>
          <w:sz w:val="29"/>
        </w:rPr>
      </w:pPr>
    </w:p>
    <w:p>
      <w:pPr>
        <w:pStyle w:val="BodyText"/>
        <w:ind w:left="229"/>
        <w:jc w:val="center"/>
      </w:pPr>
      <w:r>
        <w:rPr/>
        <w:t>136</w:t>
      </w:r>
    </w:p>
    <w:p>
      <w:pPr>
        <w:pStyle w:val="BodyText"/>
        <w:spacing w:before="85"/>
        <w:ind w:left="211" w:right="1215"/>
        <w:jc w:val="center"/>
      </w:pPr>
      <w:r>
        <w:rPr/>
        <w:br w:type="column"/>
      </w:r>
      <w:r>
        <w:rPr/>
        <w:t>0.004</w:t>
      </w:r>
    </w:p>
    <w:p>
      <w:pPr>
        <w:pStyle w:val="BodyText"/>
        <w:spacing w:before="2"/>
        <w:rPr>
          <w:sz w:val="29"/>
        </w:rPr>
      </w:pPr>
    </w:p>
    <w:p>
      <w:pPr>
        <w:pStyle w:val="BodyText"/>
        <w:ind w:left="209" w:right="1215"/>
        <w:jc w:val="center"/>
      </w:pPr>
      <w:r>
        <w:rPr/>
        <w:t>0.1</w:t>
      </w:r>
    </w:p>
    <w:p>
      <w:pPr>
        <w:pStyle w:val="BodyText"/>
        <w:spacing w:before="4"/>
        <w:rPr>
          <w:sz w:val="29"/>
        </w:rPr>
      </w:pPr>
    </w:p>
    <w:p>
      <w:pPr>
        <w:pStyle w:val="BodyText"/>
        <w:spacing w:before="1"/>
        <w:ind w:left="209" w:right="1215"/>
        <w:jc w:val="center"/>
      </w:pPr>
      <w:r>
        <w:rPr/>
        <w:t>0.48</w:t>
      </w:r>
    </w:p>
    <w:p>
      <w:pPr>
        <w:pStyle w:val="BodyText"/>
        <w:spacing w:before="4"/>
        <w:rPr>
          <w:sz w:val="29"/>
        </w:rPr>
      </w:pPr>
    </w:p>
    <w:p>
      <w:pPr>
        <w:pStyle w:val="BodyText"/>
        <w:spacing w:before="1"/>
        <w:ind w:left="209" w:right="1215"/>
        <w:jc w:val="center"/>
      </w:pPr>
      <w:r>
        <w:rPr/>
        <w:t>0.24</w:t>
      </w:r>
    </w:p>
    <w:p>
      <w:pPr>
        <w:pStyle w:val="BodyText"/>
        <w:spacing w:before="4"/>
        <w:rPr>
          <w:sz w:val="29"/>
        </w:rPr>
      </w:pPr>
    </w:p>
    <w:p>
      <w:pPr>
        <w:pStyle w:val="BodyText"/>
        <w:spacing w:before="1"/>
        <w:ind w:left="211" w:right="1215"/>
        <w:jc w:val="center"/>
      </w:pPr>
      <w:r>
        <w:rPr/>
        <w:t>0.0008</w:t>
      </w:r>
    </w:p>
    <w:p>
      <w:pPr>
        <w:pStyle w:val="BodyText"/>
        <w:spacing w:before="4"/>
        <w:rPr>
          <w:sz w:val="29"/>
        </w:rPr>
      </w:pPr>
    </w:p>
    <w:p>
      <w:pPr>
        <w:pStyle w:val="BodyText"/>
        <w:spacing w:before="1"/>
        <w:ind w:left="209" w:right="1215"/>
        <w:jc w:val="center"/>
      </w:pPr>
      <w:r>
        <w:rPr/>
        <w:t>0.04</w:t>
      </w:r>
    </w:p>
    <w:p>
      <w:pPr>
        <w:pStyle w:val="BodyText"/>
        <w:spacing w:before="2"/>
        <w:rPr>
          <w:sz w:val="29"/>
        </w:rPr>
      </w:pPr>
    </w:p>
    <w:p>
      <w:pPr>
        <w:pStyle w:val="BodyText"/>
        <w:ind w:left="209" w:right="1215"/>
        <w:jc w:val="center"/>
      </w:pPr>
      <w:r>
        <w:rPr/>
        <w:t>5.44</w:t>
      </w:r>
    </w:p>
    <w:p>
      <w:pPr>
        <w:spacing w:after="0"/>
        <w:jc w:val="center"/>
        <w:sectPr>
          <w:type w:val="continuous"/>
          <w:pgSz w:w="12240" w:h="15840"/>
          <w:pgMar w:top="1360" w:bottom="280" w:left="1580" w:right="1580"/>
          <w:cols w:num="3" w:equalWidth="0">
            <w:col w:w="1778" w:space="2290"/>
            <w:col w:w="700" w:space="2111"/>
            <w:col w:w="2201"/>
          </w:cols>
        </w:sectPr>
      </w:pPr>
    </w:p>
    <w:p>
      <w:pPr>
        <w:pStyle w:val="BodyText"/>
        <w:spacing w:line="20" w:lineRule="exact"/>
        <w:ind w:left="102"/>
        <w:rPr>
          <w:sz w:val="2"/>
        </w:rPr>
      </w:pPr>
      <w:r>
        <w:rPr>
          <w:sz w:val="2"/>
        </w:rPr>
        <w:pict>
          <v:group style="width:442.6pt;height:.5pt;mso-position-horizontal-relative:char;mso-position-vertical-relative:line" coordorigin="0,0" coordsize="8852,10">
            <v:line style="position:absolute" from="5,5" to="2959,5" stroked="true" strokeweight=".48pt" strokecolor="#000000"/>
            <v:line style="position:absolute" from="2945,5" to="2955,5" stroked="true" strokeweight=".48pt" strokecolor="#000000"/>
            <v:line style="position:absolute" from="2955,5" to="5904,5" stroked="true" strokeweight=".48pt" strokecolor="#000000"/>
            <v:line style="position:absolute" from="5890,5" to="5899,5" stroked="true" strokeweight=".48pt" strokecolor="#000000"/>
            <v:line style="position:absolute" from="5899,5" to="8847,5" stroked="true" strokeweight=".48pt" strokecolor="#000000"/>
          </v:group>
        </w:pict>
      </w:r>
      <w:r>
        <w:rPr>
          <w:sz w:val="2"/>
        </w:rPr>
      </w:r>
    </w:p>
    <w:p>
      <w:pPr>
        <w:pStyle w:val="BodyText"/>
        <w:spacing w:before="1"/>
        <w:ind w:left="121" w:right="378"/>
      </w:pPr>
      <w:r>
        <w:rPr/>
        <w:t>Steiner (1961).</w:t>
      </w:r>
    </w:p>
    <w:p>
      <w:pPr>
        <w:spacing w:after="0"/>
        <w:sectPr>
          <w:type w:val="continuous"/>
          <w:pgSz w:w="12240" w:h="15840"/>
          <w:pgMar w:top="1360" w:bottom="280" w:left="1580" w:right="1580"/>
        </w:sectPr>
      </w:pPr>
    </w:p>
    <w:p>
      <w:pPr>
        <w:pStyle w:val="Heading1"/>
        <w:numPr>
          <w:ilvl w:val="1"/>
          <w:numId w:val="7"/>
        </w:numPr>
        <w:tabs>
          <w:tab w:pos="772" w:val="left" w:leader="none"/>
        </w:tabs>
        <w:spacing w:line="240" w:lineRule="auto" w:before="54" w:after="0"/>
        <w:ind w:left="771" w:right="0" w:hanging="468"/>
        <w:jc w:val="left"/>
      </w:pPr>
      <w:bookmarkStart w:name="_TOC_250017" w:id="22"/>
      <w:r>
        <w:rPr/>
        <w:t>Cv.</w:t>
      </w:r>
      <w:r>
        <w:rPr>
          <w:spacing w:val="-10"/>
        </w:rPr>
        <w:t> </w:t>
      </w:r>
      <w:bookmarkEnd w:id="22"/>
      <w:r>
        <w:rPr/>
        <w:t>Acapulco</w:t>
      </w:r>
    </w:p>
    <w:p>
      <w:pPr>
        <w:pStyle w:val="BodyText"/>
        <w:rPr>
          <w:b/>
        </w:rPr>
      </w:pPr>
    </w:p>
    <w:p>
      <w:pPr>
        <w:pStyle w:val="BodyText"/>
        <w:spacing w:line="480" w:lineRule="auto" w:before="199"/>
        <w:ind w:left="101" w:right="115"/>
        <w:jc w:val="both"/>
      </w:pPr>
      <w:r>
        <w:rPr/>
        <w:t>Durante</w:t>
      </w:r>
      <w:r>
        <w:rPr>
          <w:spacing w:val="-15"/>
        </w:rPr>
        <w:t> </w:t>
      </w:r>
      <w:r>
        <w:rPr/>
        <w:t>el</w:t>
      </w:r>
      <w:r>
        <w:rPr>
          <w:spacing w:val="-14"/>
        </w:rPr>
        <w:t> </w:t>
      </w:r>
      <w:r>
        <w:rPr/>
        <w:t>crecimiento</w:t>
      </w:r>
      <w:r>
        <w:rPr>
          <w:spacing w:val="-16"/>
        </w:rPr>
        <w:t> </w:t>
      </w:r>
      <w:r>
        <w:rPr/>
        <w:t>y</w:t>
      </w:r>
      <w:r>
        <w:rPr>
          <w:spacing w:val="-16"/>
        </w:rPr>
        <w:t> </w:t>
      </w:r>
      <w:r>
        <w:rPr/>
        <w:t>desarrollo</w:t>
      </w:r>
      <w:r>
        <w:rPr>
          <w:spacing w:val="-13"/>
        </w:rPr>
        <w:t> </w:t>
      </w:r>
      <w:r>
        <w:rPr/>
        <w:t>del</w:t>
      </w:r>
      <w:r>
        <w:rPr>
          <w:spacing w:val="-14"/>
        </w:rPr>
        <w:t> </w:t>
      </w:r>
      <w:r>
        <w:rPr/>
        <w:t>cultivo,</w:t>
      </w:r>
      <w:r>
        <w:rPr>
          <w:spacing w:val="-15"/>
        </w:rPr>
        <w:t> </w:t>
      </w:r>
      <w:r>
        <w:rPr/>
        <w:t>el</w:t>
      </w:r>
      <w:r>
        <w:rPr>
          <w:spacing w:val="-16"/>
        </w:rPr>
        <w:t> </w:t>
      </w:r>
      <w:r>
        <w:rPr/>
        <w:t>experimento</w:t>
      </w:r>
      <w:r>
        <w:rPr>
          <w:spacing w:val="-13"/>
        </w:rPr>
        <w:t> </w:t>
      </w:r>
      <w:r>
        <w:rPr/>
        <w:t>involucro</w:t>
      </w:r>
      <w:r>
        <w:rPr>
          <w:spacing w:val="-13"/>
        </w:rPr>
        <w:t> </w:t>
      </w:r>
      <w:r>
        <w:rPr/>
        <w:t>dos</w:t>
      </w:r>
      <w:r>
        <w:rPr>
          <w:spacing w:val="-17"/>
        </w:rPr>
        <w:t> </w:t>
      </w:r>
      <w:r>
        <w:rPr/>
        <w:t>factores siendo</w:t>
      </w:r>
      <w:r>
        <w:rPr>
          <w:spacing w:val="-14"/>
        </w:rPr>
        <w:t> </w:t>
      </w:r>
      <w:r>
        <w:rPr/>
        <w:t>ellos</w:t>
      </w:r>
      <w:r>
        <w:rPr>
          <w:spacing w:val="-13"/>
        </w:rPr>
        <w:t> </w:t>
      </w:r>
      <w:r>
        <w:rPr/>
        <w:t>la</w:t>
      </w:r>
      <w:r>
        <w:rPr>
          <w:spacing w:val="-14"/>
        </w:rPr>
        <w:t> </w:t>
      </w:r>
      <w:r>
        <w:rPr/>
        <w:t>solución</w:t>
      </w:r>
      <w:r>
        <w:rPr>
          <w:spacing w:val="-14"/>
        </w:rPr>
        <w:t> </w:t>
      </w:r>
      <w:r>
        <w:rPr/>
        <w:t>nutritiva</w:t>
      </w:r>
      <w:r>
        <w:rPr>
          <w:spacing w:val="-12"/>
        </w:rPr>
        <w:t> </w:t>
      </w:r>
      <w:r>
        <w:rPr/>
        <w:t>y</w:t>
      </w:r>
      <w:r>
        <w:rPr>
          <w:spacing w:val="-15"/>
        </w:rPr>
        <w:t> </w:t>
      </w:r>
      <w:r>
        <w:rPr/>
        <w:t>la</w:t>
      </w:r>
      <w:r>
        <w:rPr>
          <w:spacing w:val="-12"/>
        </w:rPr>
        <w:t> </w:t>
      </w:r>
      <w:r>
        <w:rPr/>
        <w:t>fertilización</w:t>
      </w:r>
      <w:r>
        <w:rPr>
          <w:spacing w:val="-14"/>
        </w:rPr>
        <w:t> </w:t>
      </w:r>
      <w:r>
        <w:rPr/>
        <w:t>foliar</w:t>
      </w:r>
      <w:r>
        <w:rPr>
          <w:spacing w:val="-13"/>
        </w:rPr>
        <w:t> </w:t>
      </w:r>
      <w:r>
        <w:rPr/>
        <w:t>(Cuadro</w:t>
      </w:r>
      <w:r>
        <w:rPr>
          <w:spacing w:val="-12"/>
        </w:rPr>
        <w:t> </w:t>
      </w:r>
      <w:r>
        <w:rPr/>
        <w:t>3).</w:t>
      </w:r>
      <w:r>
        <w:rPr>
          <w:spacing w:val="-14"/>
        </w:rPr>
        <w:t> </w:t>
      </w:r>
      <w:r>
        <w:rPr/>
        <w:t>Se</w:t>
      </w:r>
      <w:r>
        <w:rPr>
          <w:spacing w:val="-16"/>
        </w:rPr>
        <w:t> </w:t>
      </w:r>
      <w:r>
        <w:rPr/>
        <w:t>emplearon</w:t>
      </w:r>
      <w:r>
        <w:rPr>
          <w:spacing w:val="-14"/>
        </w:rPr>
        <w:t> </w:t>
      </w:r>
      <w:r>
        <w:rPr/>
        <w:t>dos dosis de solución nutritiva Steiner modificada, 10 y 20 ml por maceta, y tres dosis de fertilización foliar a base de Zn y Mg 0-0, 72-80 y 144-160 mg·litro</w:t>
      </w:r>
      <w:r>
        <w:rPr>
          <w:position w:val="8"/>
          <w:sz w:val="16"/>
        </w:rPr>
        <w:t>-1</w:t>
      </w:r>
      <w:r>
        <w:rPr/>
        <w:t>, respectivamente; es </w:t>
      </w:r>
      <w:r>
        <w:rPr>
          <w:spacing w:val="-4"/>
        </w:rPr>
        <w:t>decir, </w:t>
      </w:r>
      <w:r>
        <w:rPr/>
        <w:t>en total se evaluaron 6 tratamientos. La fertilización al sustrato inició a los 20 días después de la plantación (DDP) y posteriormente se aplicó a intervalos de 10 días durante todo el ciclo de la planta, hasta su cosecha. La</w:t>
      </w:r>
      <w:r>
        <w:rPr>
          <w:spacing w:val="-12"/>
        </w:rPr>
        <w:t> </w:t>
      </w:r>
      <w:r>
        <w:rPr/>
        <w:t>aplicación</w:t>
      </w:r>
      <w:r>
        <w:rPr>
          <w:spacing w:val="-12"/>
        </w:rPr>
        <w:t> </w:t>
      </w:r>
      <w:r>
        <w:rPr/>
        <w:t>de</w:t>
      </w:r>
      <w:r>
        <w:rPr>
          <w:spacing w:val="-12"/>
        </w:rPr>
        <w:t> </w:t>
      </w:r>
      <w:r>
        <w:rPr/>
        <w:t>los</w:t>
      </w:r>
      <w:r>
        <w:rPr>
          <w:spacing w:val="-13"/>
        </w:rPr>
        <w:t> </w:t>
      </w:r>
      <w:r>
        <w:rPr/>
        <w:t>nutrimentos</w:t>
      </w:r>
      <w:r>
        <w:rPr>
          <w:spacing w:val="-13"/>
        </w:rPr>
        <w:t> </w:t>
      </w:r>
      <w:r>
        <w:rPr/>
        <w:t>foliares</w:t>
      </w:r>
      <w:r>
        <w:rPr>
          <w:spacing w:val="-13"/>
        </w:rPr>
        <w:t> </w:t>
      </w:r>
      <w:r>
        <w:rPr/>
        <w:t>en</w:t>
      </w:r>
      <w:r>
        <w:rPr>
          <w:spacing w:val="-14"/>
        </w:rPr>
        <w:t> </w:t>
      </w:r>
      <w:r>
        <w:rPr/>
        <w:t>experimentación</w:t>
      </w:r>
      <w:r>
        <w:rPr>
          <w:spacing w:val="-12"/>
        </w:rPr>
        <w:t> </w:t>
      </w:r>
      <w:r>
        <w:rPr/>
        <w:t>(Zn</w:t>
      </w:r>
      <w:r>
        <w:rPr>
          <w:spacing w:val="-9"/>
        </w:rPr>
        <w:t> </w:t>
      </w:r>
      <w:r>
        <w:rPr/>
        <w:t>y</w:t>
      </w:r>
      <w:r>
        <w:rPr>
          <w:spacing w:val="-13"/>
        </w:rPr>
        <w:t> </w:t>
      </w:r>
      <w:r>
        <w:rPr>
          <w:spacing w:val="-2"/>
        </w:rPr>
        <w:t>Mg)</w:t>
      </w:r>
      <w:r>
        <w:rPr>
          <w:spacing w:val="-11"/>
        </w:rPr>
        <w:t> </w:t>
      </w:r>
      <w:r>
        <w:rPr/>
        <w:t>se</w:t>
      </w:r>
      <w:r>
        <w:rPr>
          <w:spacing w:val="-9"/>
        </w:rPr>
        <w:t> </w:t>
      </w:r>
      <w:r>
        <w:rPr/>
        <w:t>programó para realizarse a partir de los 35 </w:t>
      </w:r>
      <w:r>
        <w:rPr>
          <w:spacing w:val="-9"/>
        </w:rPr>
        <w:t>DDP, </w:t>
      </w:r>
      <w:r>
        <w:rPr/>
        <w:t>cuando las hojas empezaban a expandirse, de manera alternada cada 15 d durante todo el ciclo del cultivo. La aplicación del fertilizante</w:t>
      </w:r>
      <w:r>
        <w:rPr>
          <w:spacing w:val="-9"/>
        </w:rPr>
        <w:t> </w:t>
      </w:r>
      <w:r>
        <w:rPr/>
        <w:t>foliar</w:t>
      </w:r>
      <w:r>
        <w:rPr>
          <w:spacing w:val="-13"/>
        </w:rPr>
        <w:t> </w:t>
      </w:r>
      <w:r>
        <w:rPr/>
        <w:t>fue</w:t>
      </w:r>
      <w:r>
        <w:rPr>
          <w:spacing w:val="-12"/>
        </w:rPr>
        <w:t> </w:t>
      </w:r>
      <w:r>
        <w:rPr/>
        <w:t>hasta</w:t>
      </w:r>
      <w:r>
        <w:rPr>
          <w:spacing w:val="-9"/>
        </w:rPr>
        <w:t> </w:t>
      </w:r>
      <w:r>
        <w:rPr/>
        <w:t>punto</w:t>
      </w:r>
      <w:r>
        <w:rPr>
          <w:spacing w:val="-12"/>
        </w:rPr>
        <w:t> </w:t>
      </w:r>
      <w:r>
        <w:rPr/>
        <w:t>de</w:t>
      </w:r>
      <w:r>
        <w:rPr>
          <w:spacing w:val="-9"/>
        </w:rPr>
        <w:t> </w:t>
      </w:r>
      <w:r>
        <w:rPr/>
        <w:t>goteo.</w:t>
      </w:r>
      <w:r>
        <w:rPr>
          <w:spacing w:val="-10"/>
        </w:rPr>
        <w:t> </w:t>
      </w:r>
      <w:r>
        <w:rPr/>
        <w:t>Cada</w:t>
      </w:r>
      <w:r>
        <w:rPr>
          <w:spacing w:val="-9"/>
        </w:rPr>
        <w:t> </w:t>
      </w:r>
      <w:r>
        <w:rPr/>
        <w:t>tratamiento</w:t>
      </w:r>
      <w:r>
        <w:rPr>
          <w:spacing w:val="-9"/>
        </w:rPr>
        <w:t> </w:t>
      </w:r>
      <w:r>
        <w:rPr/>
        <w:t>tuvo</w:t>
      </w:r>
      <w:r>
        <w:rPr>
          <w:spacing w:val="-9"/>
        </w:rPr>
        <w:t> </w:t>
      </w:r>
      <w:r>
        <w:rPr/>
        <w:t>más</w:t>
      </w:r>
      <w:r>
        <w:rPr>
          <w:spacing w:val="-10"/>
        </w:rPr>
        <w:t> </w:t>
      </w:r>
      <w:r>
        <w:rPr/>
        <w:t>de</w:t>
      </w:r>
      <w:r>
        <w:rPr>
          <w:spacing w:val="-9"/>
        </w:rPr>
        <w:t> </w:t>
      </w:r>
      <w:r>
        <w:rPr/>
        <w:t>50</w:t>
      </w:r>
      <w:r>
        <w:rPr>
          <w:spacing w:val="-9"/>
        </w:rPr>
        <w:t> </w:t>
      </w:r>
      <w:r>
        <w:rPr/>
        <w:t>plantas pero solo se tomaron datos de 10 de ellas, distribuidas aleatoriamente, durante el crecimiento.</w:t>
      </w:r>
    </w:p>
    <w:p>
      <w:pPr>
        <w:pStyle w:val="BodyText"/>
      </w:pPr>
    </w:p>
    <w:p>
      <w:pPr>
        <w:pStyle w:val="BodyText"/>
      </w:pPr>
    </w:p>
    <w:p>
      <w:pPr>
        <w:pStyle w:val="BodyText"/>
        <w:spacing w:before="6"/>
        <w:rPr>
          <w:sz w:val="35"/>
        </w:rPr>
      </w:pPr>
    </w:p>
    <w:p>
      <w:pPr>
        <w:pStyle w:val="Heading1"/>
        <w:numPr>
          <w:ilvl w:val="2"/>
          <w:numId w:val="7"/>
        </w:numPr>
        <w:tabs>
          <w:tab w:pos="1480" w:val="left" w:leader="none"/>
        </w:tabs>
        <w:spacing w:line="240" w:lineRule="auto" w:before="0" w:after="0"/>
        <w:ind w:left="1479" w:right="0" w:hanging="670"/>
        <w:jc w:val="left"/>
      </w:pPr>
      <w:bookmarkStart w:name="_TOC_250016" w:id="23"/>
      <w:bookmarkEnd w:id="23"/>
      <w:r>
        <w:rPr/>
        <w:t>Crecimiento</w:t>
      </w:r>
    </w:p>
    <w:p>
      <w:pPr>
        <w:pStyle w:val="BodyText"/>
        <w:rPr>
          <w:b/>
        </w:rPr>
      </w:pPr>
    </w:p>
    <w:p>
      <w:pPr>
        <w:pStyle w:val="BodyText"/>
        <w:spacing w:line="480" w:lineRule="auto" w:before="197"/>
        <w:ind w:left="101" w:right="116"/>
        <w:jc w:val="both"/>
      </w:pPr>
      <w:r>
        <w:rPr/>
        <w:t>A los 35, 55, 75 y 95 DDP, se realizaron cuantificaciones en la altura (cm) de 10 plantas por tratamiento con un flexómetro, midiendo desde la base del tallo (inicio del sistema radicular adventicio caulinar) hasta el ápice de la planta (incluyendo el botón floral, cuando se presentó).</w:t>
      </w:r>
    </w:p>
    <w:p>
      <w:pPr>
        <w:spacing w:after="0" w:line="480" w:lineRule="auto"/>
        <w:jc w:val="both"/>
        <w:sectPr>
          <w:pgSz w:w="12240" w:h="15840"/>
          <w:pgMar w:header="0" w:footer="1005" w:top="1360" w:bottom="1200" w:left="1600" w:right="1580"/>
        </w:sectPr>
      </w:pPr>
    </w:p>
    <w:p>
      <w:pPr>
        <w:pStyle w:val="Heading1"/>
        <w:spacing w:before="54"/>
        <w:ind w:left="829" w:right="378"/>
      </w:pPr>
      <w:bookmarkStart w:name="_TOC_250015" w:id="24"/>
      <w:bookmarkEnd w:id="24"/>
      <w:r>
        <w:rPr/>
        <w:t>3.1.2 Unidades SPAD</w:t>
      </w:r>
    </w:p>
    <w:p>
      <w:pPr>
        <w:pStyle w:val="BodyText"/>
        <w:spacing w:before="2"/>
        <w:rPr>
          <w:b/>
          <w:sz w:val="29"/>
        </w:rPr>
      </w:pPr>
    </w:p>
    <w:p>
      <w:pPr>
        <w:pStyle w:val="BodyText"/>
        <w:spacing w:line="480" w:lineRule="auto"/>
        <w:ind w:left="121" w:right="117"/>
        <w:jc w:val="both"/>
      </w:pPr>
      <w:r>
        <w:rPr/>
        <w:t>La lectura SPAD o índice de verdor se midió con un medidor SPAD (Mod. 502, Konica Minolta) en hojas completamente extendidas a los 43, 63, 83 y 103 DDP. Los valores se obtuvieron de 10 plantas (repeticiones) por tratamiento, en 5 hojas de la parte intermedia de cada tallo.</w:t>
      </w:r>
    </w:p>
    <w:p>
      <w:pPr>
        <w:pStyle w:val="BodyText"/>
      </w:pPr>
    </w:p>
    <w:p>
      <w:pPr>
        <w:pStyle w:val="BodyText"/>
      </w:pPr>
    </w:p>
    <w:p>
      <w:pPr>
        <w:pStyle w:val="BodyText"/>
        <w:spacing w:before="3"/>
        <w:rPr>
          <w:sz w:val="35"/>
        </w:rPr>
      </w:pPr>
    </w:p>
    <w:p>
      <w:pPr>
        <w:pStyle w:val="BodyText"/>
        <w:spacing w:before="1"/>
        <w:ind w:left="121"/>
        <w:jc w:val="both"/>
        <w:rPr>
          <w:i/>
        </w:rPr>
      </w:pPr>
      <w:r>
        <w:rPr/>
        <w:t>Cuadro 3. Fertilización Steiner al sustrato y foliar de zinc y magnesio en </w:t>
      </w:r>
      <w:r>
        <w:rPr>
          <w:i/>
        </w:rPr>
        <w:t>Lilium</w:t>
      </w:r>
    </w:p>
    <w:p>
      <w:pPr>
        <w:pStyle w:val="BodyText"/>
        <w:spacing w:before="139"/>
        <w:ind w:left="121"/>
        <w:jc w:val="both"/>
      </w:pPr>
      <w:r>
        <w:rPr/>
        <w:t>‘Acapulco’, en 2012.</w:t>
      </w:r>
    </w:p>
    <w:p>
      <w:pPr>
        <w:pStyle w:val="BodyText"/>
        <w:spacing w:before="6"/>
        <w:rPr>
          <w:sz w:val="29"/>
        </w:rPr>
      </w:pPr>
    </w:p>
    <w:p>
      <w:pPr>
        <w:pStyle w:val="BodyText"/>
        <w:spacing w:line="20" w:lineRule="exact"/>
        <w:ind w:left="116"/>
        <w:rPr>
          <w:sz w:val="2"/>
        </w:rPr>
      </w:pPr>
      <w:r>
        <w:rPr>
          <w:sz w:val="2"/>
        </w:rPr>
        <w:pict>
          <v:group style="width:442.5pt;height:.5pt;mso-position-horizontal-relative:char;mso-position-vertical-relative:line" coordorigin="0,0" coordsize="8850,10">
            <v:line style="position:absolute" from="5,5" to="2947,5" stroked="true" strokeweight=".48pt" strokecolor="#000000"/>
            <v:line style="position:absolute" from="2947,5" to="2957,5" stroked="true" strokeweight=".48pt" strokecolor="#000000"/>
            <v:line style="position:absolute" from="2957,5" to="5895,5" stroked="true" strokeweight=".48pt" strokecolor="#000000"/>
            <v:line style="position:absolute" from="5895,5" to="5904,5" stroked="true" strokeweight=".48pt" strokecolor="#000000"/>
            <v:line style="position:absolute" from="5904,5" to="8844,5" stroked="true" strokeweight=".48pt" strokecolor="#000000"/>
          </v:group>
        </w:pict>
      </w:r>
      <w:r>
        <w:rPr>
          <w:sz w:val="2"/>
        </w:rPr>
      </w:r>
    </w:p>
    <w:p>
      <w:pPr>
        <w:spacing w:after="0" w:line="20" w:lineRule="exact"/>
        <w:rPr>
          <w:sz w:val="2"/>
        </w:rPr>
        <w:sectPr>
          <w:pgSz w:w="12240" w:h="15840"/>
          <w:pgMar w:header="0" w:footer="1005" w:top="1360" w:bottom="1200" w:left="1580" w:right="1580"/>
        </w:sectPr>
      </w:pPr>
    </w:p>
    <w:p>
      <w:pPr>
        <w:pStyle w:val="BodyText"/>
        <w:spacing w:line="360" w:lineRule="auto"/>
        <w:ind w:left="697" w:right="-18" w:firstLine="400"/>
      </w:pPr>
      <w:r>
        <w:rPr/>
        <w:t>Sustrato Steiner × 40 (ml)</w:t>
      </w:r>
    </w:p>
    <w:p>
      <w:pPr>
        <w:pStyle w:val="BodyText"/>
        <w:spacing w:line="264" w:lineRule="exact"/>
        <w:ind w:left="2207" w:right="3154"/>
        <w:jc w:val="center"/>
      </w:pPr>
      <w:r>
        <w:rPr/>
        <w:br w:type="column"/>
      </w:r>
      <w:r>
        <w:rPr/>
        <w:t>Foliar</w:t>
      </w:r>
    </w:p>
    <w:p>
      <w:pPr>
        <w:pStyle w:val="BodyText"/>
        <w:tabs>
          <w:tab w:pos="3843" w:val="left" w:leader="none"/>
        </w:tabs>
        <w:spacing w:before="134"/>
        <w:ind w:left="697"/>
      </w:pPr>
      <w:r>
        <w:rPr/>
        <w:t>Zn</w:t>
      </w:r>
      <w:r>
        <w:rPr>
          <w:spacing w:val="-4"/>
        </w:rPr>
        <w:t> </w:t>
      </w:r>
      <w:r>
        <w:rPr/>
        <w:t>(mg</w:t>
      </w:r>
      <w:r>
        <w:rPr>
          <w:color w:val="221E1F"/>
        </w:rPr>
        <w:t>·litro</w:t>
      </w:r>
      <w:r>
        <w:rPr>
          <w:color w:val="221E1F"/>
          <w:position w:val="8"/>
          <w:sz w:val="16"/>
        </w:rPr>
        <w:t>-1</w:t>
      </w:r>
      <w:r>
        <w:rPr/>
        <w:t>)</w:t>
        <w:tab/>
        <w:t>Mg</w:t>
      </w:r>
      <w:r>
        <w:rPr>
          <w:spacing w:val="-8"/>
        </w:rPr>
        <w:t> </w:t>
      </w:r>
      <w:r>
        <w:rPr/>
        <w:t>(mg</w:t>
      </w:r>
      <w:r>
        <w:rPr>
          <w:color w:val="221E1F"/>
        </w:rPr>
        <w:t>·litro</w:t>
      </w:r>
      <w:r>
        <w:rPr>
          <w:color w:val="221E1F"/>
          <w:position w:val="8"/>
          <w:sz w:val="16"/>
        </w:rPr>
        <w:t>-1</w:t>
      </w:r>
      <w:r>
        <w:rPr/>
        <w:t>)</w:t>
      </w:r>
    </w:p>
    <w:p>
      <w:pPr>
        <w:spacing w:after="0"/>
        <w:sectPr>
          <w:type w:val="continuous"/>
          <w:pgSz w:w="12240" w:h="15840"/>
          <w:pgMar w:top="1360" w:bottom="280" w:left="1580" w:right="1580"/>
          <w:cols w:num="2" w:equalWidth="0">
            <w:col w:w="2480" w:space="597"/>
            <w:col w:w="6003"/>
          </w:cols>
        </w:sect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89"/>
        <w:gridCol w:w="2950"/>
      </w:tblGrid>
      <w:tr>
        <w:trPr>
          <w:trHeight w:val="361" w:hRule="exact"/>
        </w:trPr>
        <w:tc>
          <w:tcPr>
            <w:tcW w:w="5889" w:type="dxa"/>
            <w:tcBorders>
              <w:left w:val="nil"/>
              <w:bottom w:val="nil"/>
              <w:right w:val="nil"/>
            </w:tcBorders>
          </w:tcPr>
          <w:p>
            <w:pPr>
              <w:pStyle w:val="TableParagraph"/>
              <w:spacing w:line="274" w:lineRule="exact"/>
              <w:ind w:right="1404"/>
              <w:jc w:val="right"/>
              <w:rPr>
                <w:sz w:val="24"/>
              </w:rPr>
            </w:pPr>
            <w:r>
              <w:rPr>
                <w:w w:val="99"/>
                <w:sz w:val="24"/>
              </w:rPr>
              <w:t>0</w:t>
            </w:r>
          </w:p>
        </w:tc>
        <w:tc>
          <w:tcPr>
            <w:tcW w:w="2950" w:type="dxa"/>
            <w:tcBorders>
              <w:left w:val="nil"/>
              <w:bottom w:val="nil"/>
              <w:right w:val="nil"/>
            </w:tcBorders>
          </w:tcPr>
          <w:p>
            <w:pPr>
              <w:pStyle w:val="TableParagraph"/>
              <w:spacing w:line="274" w:lineRule="exact"/>
              <w:jc w:val="center"/>
              <w:rPr>
                <w:sz w:val="24"/>
              </w:rPr>
            </w:pPr>
            <w:r>
              <w:rPr>
                <w:w w:val="99"/>
                <w:sz w:val="24"/>
              </w:rPr>
              <w:t>0</w:t>
            </w:r>
          </w:p>
        </w:tc>
      </w:tr>
      <w:tr>
        <w:trPr>
          <w:trHeight w:val="414" w:hRule="exact"/>
        </w:trPr>
        <w:tc>
          <w:tcPr>
            <w:tcW w:w="5889" w:type="dxa"/>
            <w:tcBorders>
              <w:top w:val="nil"/>
              <w:left w:val="nil"/>
              <w:bottom w:val="nil"/>
              <w:right w:val="nil"/>
            </w:tcBorders>
          </w:tcPr>
          <w:p>
            <w:pPr>
              <w:pStyle w:val="TableParagraph"/>
              <w:spacing w:before="57"/>
              <w:ind w:right="1337"/>
              <w:jc w:val="right"/>
              <w:rPr>
                <w:sz w:val="24"/>
              </w:rPr>
            </w:pPr>
            <w:r>
              <w:rPr>
                <w:sz w:val="24"/>
              </w:rPr>
              <w:t>72</w:t>
            </w:r>
          </w:p>
        </w:tc>
        <w:tc>
          <w:tcPr>
            <w:tcW w:w="2950" w:type="dxa"/>
            <w:tcBorders>
              <w:top w:val="nil"/>
              <w:left w:val="nil"/>
              <w:bottom w:val="nil"/>
              <w:right w:val="nil"/>
            </w:tcBorders>
          </w:tcPr>
          <w:p>
            <w:pPr>
              <w:pStyle w:val="TableParagraph"/>
              <w:spacing w:before="57"/>
              <w:ind w:left="1254" w:right="1254"/>
              <w:jc w:val="center"/>
              <w:rPr>
                <w:sz w:val="24"/>
              </w:rPr>
            </w:pPr>
            <w:r>
              <w:rPr>
                <w:sz w:val="24"/>
              </w:rPr>
              <w:t>80</w:t>
            </w:r>
          </w:p>
        </w:tc>
      </w:tr>
      <w:tr>
        <w:trPr>
          <w:trHeight w:val="414" w:hRule="exact"/>
        </w:trPr>
        <w:tc>
          <w:tcPr>
            <w:tcW w:w="5889" w:type="dxa"/>
            <w:tcBorders>
              <w:top w:val="nil"/>
              <w:left w:val="nil"/>
              <w:bottom w:val="nil"/>
              <w:right w:val="nil"/>
            </w:tcBorders>
          </w:tcPr>
          <w:p>
            <w:pPr>
              <w:pStyle w:val="TableParagraph"/>
              <w:tabs>
                <w:tab w:pos="2877" w:val="left" w:leader="none"/>
              </w:tabs>
              <w:spacing w:line="332" w:lineRule="exact"/>
              <w:ind w:right="1270"/>
              <w:jc w:val="right"/>
              <w:rPr>
                <w:sz w:val="24"/>
              </w:rPr>
            </w:pPr>
            <w:r>
              <w:rPr>
                <w:position w:val="13"/>
                <w:sz w:val="24"/>
              </w:rPr>
              <w:t>10</w:t>
              <w:tab/>
            </w:r>
            <w:r>
              <w:rPr>
                <w:w w:val="95"/>
                <w:sz w:val="24"/>
              </w:rPr>
              <w:t>144</w:t>
            </w:r>
          </w:p>
        </w:tc>
        <w:tc>
          <w:tcPr>
            <w:tcW w:w="2950" w:type="dxa"/>
            <w:tcBorders>
              <w:top w:val="nil"/>
              <w:left w:val="nil"/>
              <w:bottom w:val="nil"/>
              <w:right w:val="nil"/>
            </w:tcBorders>
          </w:tcPr>
          <w:p>
            <w:pPr>
              <w:pStyle w:val="TableParagraph"/>
              <w:spacing w:before="56"/>
              <w:ind w:left="1254" w:right="1254"/>
              <w:jc w:val="center"/>
              <w:rPr>
                <w:sz w:val="24"/>
              </w:rPr>
            </w:pPr>
            <w:r>
              <w:rPr>
                <w:sz w:val="24"/>
              </w:rPr>
              <w:t>160</w:t>
            </w:r>
          </w:p>
        </w:tc>
      </w:tr>
      <w:tr>
        <w:trPr>
          <w:trHeight w:val="414" w:hRule="exact"/>
        </w:trPr>
        <w:tc>
          <w:tcPr>
            <w:tcW w:w="5889" w:type="dxa"/>
            <w:tcBorders>
              <w:top w:val="nil"/>
              <w:left w:val="nil"/>
              <w:bottom w:val="nil"/>
              <w:right w:val="nil"/>
            </w:tcBorders>
          </w:tcPr>
          <w:p>
            <w:pPr>
              <w:pStyle w:val="TableParagraph"/>
              <w:spacing w:before="57"/>
              <w:ind w:right="1404"/>
              <w:jc w:val="right"/>
              <w:rPr>
                <w:sz w:val="24"/>
              </w:rPr>
            </w:pPr>
            <w:r>
              <w:rPr>
                <w:w w:val="99"/>
                <w:sz w:val="24"/>
              </w:rPr>
              <w:t>0</w:t>
            </w:r>
          </w:p>
        </w:tc>
        <w:tc>
          <w:tcPr>
            <w:tcW w:w="2950" w:type="dxa"/>
            <w:tcBorders>
              <w:top w:val="nil"/>
              <w:left w:val="nil"/>
              <w:bottom w:val="nil"/>
              <w:right w:val="nil"/>
            </w:tcBorders>
          </w:tcPr>
          <w:p>
            <w:pPr>
              <w:pStyle w:val="TableParagraph"/>
              <w:spacing w:before="57"/>
              <w:jc w:val="center"/>
              <w:rPr>
                <w:sz w:val="24"/>
              </w:rPr>
            </w:pPr>
            <w:r>
              <w:rPr>
                <w:w w:val="99"/>
                <w:sz w:val="24"/>
              </w:rPr>
              <w:t>0</w:t>
            </w:r>
          </w:p>
        </w:tc>
      </w:tr>
      <w:tr>
        <w:trPr>
          <w:trHeight w:val="414" w:hRule="exact"/>
        </w:trPr>
        <w:tc>
          <w:tcPr>
            <w:tcW w:w="5889" w:type="dxa"/>
            <w:tcBorders>
              <w:top w:val="nil"/>
              <w:left w:val="nil"/>
              <w:bottom w:val="nil"/>
              <w:right w:val="nil"/>
            </w:tcBorders>
          </w:tcPr>
          <w:p>
            <w:pPr>
              <w:pStyle w:val="TableParagraph"/>
              <w:spacing w:before="56"/>
              <w:ind w:right="1337"/>
              <w:jc w:val="right"/>
              <w:rPr>
                <w:sz w:val="24"/>
              </w:rPr>
            </w:pPr>
            <w:r>
              <w:rPr>
                <w:sz w:val="24"/>
              </w:rPr>
              <w:t>72</w:t>
            </w:r>
          </w:p>
        </w:tc>
        <w:tc>
          <w:tcPr>
            <w:tcW w:w="2950" w:type="dxa"/>
            <w:tcBorders>
              <w:top w:val="nil"/>
              <w:left w:val="nil"/>
              <w:bottom w:val="nil"/>
              <w:right w:val="nil"/>
            </w:tcBorders>
          </w:tcPr>
          <w:p>
            <w:pPr>
              <w:pStyle w:val="TableParagraph"/>
              <w:spacing w:before="56"/>
              <w:ind w:left="1254" w:right="1254"/>
              <w:jc w:val="center"/>
              <w:rPr>
                <w:sz w:val="24"/>
              </w:rPr>
            </w:pPr>
            <w:r>
              <w:rPr>
                <w:sz w:val="24"/>
              </w:rPr>
              <w:t>80</w:t>
            </w:r>
          </w:p>
        </w:tc>
      </w:tr>
      <w:tr>
        <w:trPr>
          <w:trHeight w:val="477" w:hRule="exact"/>
        </w:trPr>
        <w:tc>
          <w:tcPr>
            <w:tcW w:w="5889" w:type="dxa"/>
            <w:tcBorders>
              <w:top w:val="nil"/>
              <w:left w:val="nil"/>
              <w:right w:val="nil"/>
            </w:tcBorders>
          </w:tcPr>
          <w:p>
            <w:pPr>
              <w:pStyle w:val="TableParagraph"/>
              <w:tabs>
                <w:tab w:pos="2877" w:val="left" w:leader="none"/>
              </w:tabs>
              <w:spacing w:line="333" w:lineRule="exact"/>
              <w:ind w:right="1270"/>
              <w:jc w:val="right"/>
              <w:rPr>
                <w:sz w:val="24"/>
              </w:rPr>
            </w:pPr>
            <w:r>
              <w:rPr>
                <w:position w:val="13"/>
                <w:sz w:val="24"/>
              </w:rPr>
              <w:t>20</w:t>
              <w:tab/>
            </w:r>
            <w:r>
              <w:rPr>
                <w:w w:val="95"/>
                <w:sz w:val="24"/>
              </w:rPr>
              <w:t>144</w:t>
            </w:r>
          </w:p>
        </w:tc>
        <w:tc>
          <w:tcPr>
            <w:tcW w:w="2950" w:type="dxa"/>
            <w:tcBorders>
              <w:top w:val="nil"/>
              <w:left w:val="nil"/>
              <w:right w:val="nil"/>
            </w:tcBorders>
          </w:tcPr>
          <w:p>
            <w:pPr>
              <w:pStyle w:val="TableParagraph"/>
              <w:spacing w:before="57"/>
              <w:ind w:left="1254" w:right="1254"/>
              <w:jc w:val="center"/>
              <w:rPr>
                <w:sz w:val="24"/>
              </w:rPr>
            </w:pPr>
            <w:r>
              <w:rPr>
                <w:sz w:val="24"/>
              </w:rPr>
              <w:t>160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Heading1"/>
        <w:numPr>
          <w:ilvl w:val="2"/>
          <w:numId w:val="8"/>
        </w:numPr>
        <w:tabs>
          <w:tab w:pos="1500" w:val="left" w:leader="none"/>
        </w:tabs>
        <w:spacing w:line="240" w:lineRule="auto" w:before="0" w:after="0"/>
        <w:ind w:left="1499" w:right="0" w:hanging="670"/>
        <w:jc w:val="left"/>
      </w:pPr>
      <w:bookmarkStart w:name="_TOC_250014" w:id="25"/>
      <w:bookmarkEnd w:id="25"/>
      <w:r>
        <w:rPr/>
        <w:t>Corte</w:t>
      </w:r>
    </w:p>
    <w:p>
      <w:pPr>
        <w:pStyle w:val="BodyText"/>
        <w:spacing w:before="2"/>
        <w:rPr>
          <w:b/>
          <w:sz w:val="29"/>
        </w:rPr>
      </w:pPr>
    </w:p>
    <w:p>
      <w:pPr>
        <w:pStyle w:val="BodyText"/>
        <w:spacing w:line="480" w:lineRule="auto"/>
        <w:ind w:left="121" w:right="117"/>
        <w:jc w:val="both"/>
      </w:pPr>
      <w:r>
        <w:rPr/>
        <w:t>La cosecha se realizó a punto de corte, cuando el botón floral central estaba pigmentado (Franco </w:t>
      </w:r>
      <w:r>
        <w:rPr>
          <w:i/>
        </w:rPr>
        <w:t>et al</w:t>
      </w:r>
      <w:r>
        <w:rPr/>
        <w:t>., 2009) y sin eclosionar las 2 primeras flores inferiores (Bañon </w:t>
      </w:r>
      <w:r>
        <w:rPr>
          <w:i/>
        </w:rPr>
        <w:t>et al., </w:t>
      </w:r>
      <w:r>
        <w:rPr/>
        <w:t>1993). Se determinó el número de flores por tallo.</w:t>
      </w:r>
    </w:p>
    <w:p>
      <w:pPr>
        <w:spacing w:after="0" w:line="480" w:lineRule="auto"/>
        <w:jc w:val="both"/>
        <w:sectPr>
          <w:type w:val="continuous"/>
          <w:pgSz w:w="12240" w:h="15840"/>
          <w:pgMar w:top="1360" w:bottom="280" w:left="1580" w:right="1580"/>
        </w:sectPr>
      </w:pPr>
    </w:p>
    <w:p>
      <w:pPr>
        <w:pStyle w:val="BodyText"/>
        <w:ind w:left="1100"/>
        <w:rPr>
          <w:sz w:val="20"/>
        </w:rPr>
      </w:pPr>
      <w:r>
        <w:rPr>
          <w:sz w:val="20"/>
        </w:rPr>
        <w:drawing>
          <wp:inline distT="0" distB="0" distL="0" distR="0">
            <wp:extent cx="4296462" cy="350596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8" cstate="print"/>
                    <a:stretch>
                      <a:fillRect/>
                    </a:stretch>
                  </pic:blipFill>
                  <pic:spPr>
                    <a:xfrm>
                      <a:off x="0" y="0"/>
                      <a:ext cx="4296462" cy="3505962"/>
                    </a:xfrm>
                    <a:prstGeom prst="rect">
                      <a:avLst/>
                    </a:prstGeom>
                  </pic:spPr>
                </pic:pic>
              </a:graphicData>
            </a:graphic>
          </wp:inline>
        </w:drawing>
      </w:r>
      <w:r>
        <w:rPr>
          <w:sz w:val="20"/>
        </w:rPr>
      </w:r>
    </w:p>
    <w:p>
      <w:pPr>
        <w:pStyle w:val="BodyText"/>
        <w:spacing w:before="5"/>
        <w:rPr>
          <w:sz w:val="25"/>
        </w:rPr>
      </w:pPr>
      <w:r>
        <w:rPr/>
        <w:drawing>
          <wp:anchor distT="0" distB="0" distL="0" distR="0" allowOverlap="1" layoutInCell="1" locked="0" behindDoc="0" simplePos="0" relativeHeight="1480">
            <wp:simplePos x="0" y="0"/>
            <wp:positionH relativeFrom="page">
              <wp:posOffset>1658111</wp:posOffset>
            </wp:positionH>
            <wp:positionV relativeFrom="paragraph">
              <wp:posOffset>211074</wp:posOffset>
            </wp:positionV>
            <wp:extent cx="4487676" cy="3365373"/>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9" cstate="print"/>
                    <a:stretch>
                      <a:fillRect/>
                    </a:stretch>
                  </pic:blipFill>
                  <pic:spPr>
                    <a:xfrm>
                      <a:off x="0" y="0"/>
                      <a:ext cx="4487676" cy="3365373"/>
                    </a:xfrm>
                    <a:prstGeom prst="rect">
                      <a:avLst/>
                    </a:prstGeom>
                  </pic:spPr>
                </pic:pic>
              </a:graphicData>
            </a:graphic>
          </wp:anchor>
        </w:drawing>
      </w:r>
    </w:p>
    <w:p>
      <w:pPr>
        <w:pStyle w:val="BodyText"/>
        <w:rPr>
          <w:sz w:val="20"/>
        </w:rPr>
      </w:pPr>
    </w:p>
    <w:p>
      <w:pPr>
        <w:pStyle w:val="BodyText"/>
        <w:rPr>
          <w:sz w:val="20"/>
        </w:rPr>
      </w:pPr>
    </w:p>
    <w:p>
      <w:pPr>
        <w:pStyle w:val="BodyText"/>
        <w:spacing w:before="2"/>
      </w:pPr>
    </w:p>
    <w:p>
      <w:pPr>
        <w:pStyle w:val="BodyText"/>
        <w:spacing w:line="360" w:lineRule="auto" w:before="70"/>
        <w:ind w:left="101"/>
      </w:pPr>
      <w:r>
        <w:rPr/>
        <w:t>Fig. 1. Punto de corte, cuando el botón floral central estaba pigmentado (Franco </w:t>
      </w:r>
      <w:r>
        <w:rPr>
          <w:i/>
        </w:rPr>
        <w:t>et </w:t>
      </w:r>
      <w:r>
        <w:rPr>
          <w:i/>
        </w:rPr>
        <w:t>al</w:t>
      </w:r>
      <w:r>
        <w:rPr/>
        <w:t>., 2009) y sin eclosionar las 2 primeras flores inferiores (Bañon </w:t>
      </w:r>
      <w:r>
        <w:rPr>
          <w:i/>
        </w:rPr>
        <w:t>et al., </w:t>
      </w:r>
      <w:r>
        <w:rPr/>
        <w:t>1993)</w:t>
      </w:r>
    </w:p>
    <w:p>
      <w:pPr>
        <w:spacing w:after="0" w:line="360" w:lineRule="auto"/>
        <w:sectPr>
          <w:pgSz w:w="12240" w:h="15840"/>
          <w:pgMar w:header="0" w:footer="1005" w:top="1420" w:bottom="1200" w:left="1600" w:right="1580"/>
        </w:sectPr>
      </w:pPr>
    </w:p>
    <w:p>
      <w:pPr>
        <w:pStyle w:val="Heading1"/>
        <w:numPr>
          <w:ilvl w:val="2"/>
          <w:numId w:val="8"/>
        </w:numPr>
        <w:tabs>
          <w:tab w:pos="1480" w:val="left" w:leader="none"/>
        </w:tabs>
        <w:spacing w:line="240" w:lineRule="auto" w:before="54" w:after="0"/>
        <w:ind w:left="1479" w:right="0" w:hanging="670"/>
        <w:jc w:val="left"/>
      </w:pPr>
      <w:bookmarkStart w:name="_TOC_250013" w:id="26"/>
      <w:bookmarkEnd w:id="26"/>
      <w:r>
        <w:rPr/>
        <w:t>Postcosecha</w:t>
      </w:r>
    </w:p>
    <w:p>
      <w:pPr>
        <w:pStyle w:val="BodyText"/>
        <w:spacing w:before="2"/>
        <w:rPr>
          <w:b/>
          <w:sz w:val="29"/>
        </w:rPr>
      </w:pPr>
    </w:p>
    <w:p>
      <w:pPr>
        <w:pStyle w:val="BodyText"/>
        <w:spacing w:line="480" w:lineRule="auto"/>
        <w:ind w:left="101" w:right="114"/>
        <w:jc w:val="both"/>
      </w:pPr>
      <w:r>
        <w:rPr/>
        <w:t>En poscosecha, para el cv. Acapulco se tomó datos de 3 plantas (repeticiones) por cada uno de los 6 tratamientos, se midieron en total 18 plantas. Para ‘Serrada’ fueron</w:t>
      </w:r>
      <w:r>
        <w:rPr>
          <w:spacing w:val="-14"/>
        </w:rPr>
        <w:t> </w:t>
      </w:r>
      <w:r>
        <w:rPr/>
        <w:t>4</w:t>
      </w:r>
      <w:r>
        <w:rPr>
          <w:spacing w:val="-14"/>
        </w:rPr>
        <w:t> </w:t>
      </w:r>
      <w:r>
        <w:rPr/>
        <w:t>plantas</w:t>
      </w:r>
      <w:r>
        <w:rPr>
          <w:spacing w:val="-13"/>
        </w:rPr>
        <w:t> </w:t>
      </w:r>
      <w:r>
        <w:rPr/>
        <w:t>(repeticiones)</w:t>
      </w:r>
      <w:r>
        <w:rPr>
          <w:spacing w:val="39"/>
        </w:rPr>
        <w:t> </w:t>
      </w:r>
      <w:r>
        <w:rPr/>
        <w:t>por</w:t>
      </w:r>
      <w:r>
        <w:rPr>
          <w:spacing w:val="-13"/>
        </w:rPr>
        <w:t> </w:t>
      </w:r>
      <w:r>
        <w:rPr/>
        <w:t>6</w:t>
      </w:r>
      <w:r>
        <w:rPr>
          <w:spacing w:val="-14"/>
        </w:rPr>
        <w:t> </w:t>
      </w:r>
      <w:r>
        <w:rPr/>
        <w:t>tratamientos</w:t>
      </w:r>
      <w:r>
        <w:rPr>
          <w:spacing w:val="-13"/>
        </w:rPr>
        <w:t> </w:t>
      </w:r>
      <w:r>
        <w:rPr/>
        <w:t>y</w:t>
      </w:r>
      <w:r>
        <w:rPr>
          <w:spacing w:val="-15"/>
        </w:rPr>
        <w:t> </w:t>
      </w:r>
      <w:r>
        <w:rPr/>
        <w:t>se</w:t>
      </w:r>
      <w:r>
        <w:rPr>
          <w:spacing w:val="-12"/>
        </w:rPr>
        <w:t> </w:t>
      </w:r>
      <w:r>
        <w:rPr/>
        <w:t>cuantificaron</w:t>
      </w:r>
      <w:r>
        <w:rPr>
          <w:spacing w:val="-14"/>
        </w:rPr>
        <w:t> </w:t>
      </w:r>
      <w:r>
        <w:rPr/>
        <w:t>24</w:t>
      </w:r>
      <w:r>
        <w:rPr>
          <w:spacing w:val="-12"/>
        </w:rPr>
        <w:t> </w:t>
      </w:r>
      <w:r>
        <w:rPr/>
        <w:t>plantas</w:t>
      </w:r>
      <w:r>
        <w:rPr>
          <w:spacing w:val="-13"/>
        </w:rPr>
        <w:t> </w:t>
      </w:r>
      <w:r>
        <w:rPr/>
        <w:t>para este</w:t>
      </w:r>
      <w:r>
        <w:rPr>
          <w:spacing w:val="-5"/>
        </w:rPr>
        <w:t> </w:t>
      </w:r>
      <w:r>
        <w:rPr/>
        <w:t>cultivar.</w:t>
      </w:r>
      <w:r>
        <w:rPr>
          <w:spacing w:val="-6"/>
        </w:rPr>
        <w:t> </w:t>
      </w:r>
      <w:r>
        <w:rPr/>
        <w:t>Los</w:t>
      </w:r>
      <w:r>
        <w:rPr>
          <w:spacing w:val="-6"/>
        </w:rPr>
        <w:t> </w:t>
      </w:r>
      <w:r>
        <w:rPr/>
        <w:t>tallos</w:t>
      </w:r>
      <w:r>
        <w:rPr>
          <w:spacing w:val="-8"/>
        </w:rPr>
        <w:t> </w:t>
      </w:r>
      <w:r>
        <w:rPr/>
        <w:t>se</w:t>
      </w:r>
      <w:r>
        <w:rPr>
          <w:spacing w:val="-5"/>
        </w:rPr>
        <w:t> </w:t>
      </w:r>
      <w:r>
        <w:rPr/>
        <w:t>homogenizaron</w:t>
      </w:r>
      <w:r>
        <w:rPr>
          <w:spacing w:val="-5"/>
        </w:rPr>
        <w:t> </w:t>
      </w:r>
      <w:r>
        <w:rPr/>
        <w:t>a</w:t>
      </w:r>
      <w:r>
        <w:rPr>
          <w:spacing w:val="-8"/>
        </w:rPr>
        <w:t> </w:t>
      </w:r>
      <w:r>
        <w:rPr/>
        <w:t>50</w:t>
      </w:r>
      <w:r>
        <w:rPr>
          <w:spacing w:val="-5"/>
        </w:rPr>
        <w:t> </w:t>
      </w:r>
      <w:r>
        <w:rPr/>
        <w:t>cm</w:t>
      </w:r>
      <w:r>
        <w:rPr>
          <w:spacing w:val="-7"/>
        </w:rPr>
        <w:t> </w:t>
      </w:r>
      <w:r>
        <w:rPr/>
        <w:t>de</w:t>
      </w:r>
      <w:r>
        <w:rPr>
          <w:spacing w:val="-8"/>
        </w:rPr>
        <w:t> </w:t>
      </w:r>
      <w:r>
        <w:rPr/>
        <w:t>altura</w:t>
      </w:r>
      <w:r>
        <w:rPr>
          <w:spacing w:val="-5"/>
        </w:rPr>
        <w:t> </w:t>
      </w:r>
      <w:r>
        <w:rPr/>
        <w:t>para</w:t>
      </w:r>
      <w:r>
        <w:rPr>
          <w:spacing w:val="-5"/>
        </w:rPr>
        <w:t> </w:t>
      </w:r>
      <w:r>
        <w:rPr/>
        <w:t>ambos</w:t>
      </w:r>
      <w:r>
        <w:rPr>
          <w:spacing w:val="-6"/>
        </w:rPr>
        <w:t> </w:t>
      </w:r>
      <w:r>
        <w:rPr/>
        <w:t>cultivares. Se consideró el día de la cosecha como día cero para la toma de datos y posteriormente cada 4, 8 y 12 días respectivamente, que fue el periodo que</w:t>
      </w:r>
      <w:r>
        <w:rPr>
          <w:spacing w:val="-46"/>
        </w:rPr>
        <w:t> </w:t>
      </w:r>
      <w:r>
        <w:rPr/>
        <w:t>duró el experimento en postcosecha. Durante esos días los tallos florales se mantuvieron en</w:t>
      </w:r>
      <w:r>
        <w:rPr>
          <w:spacing w:val="-4"/>
        </w:rPr>
        <w:t> </w:t>
      </w:r>
      <w:r>
        <w:rPr/>
        <w:t>recipientes</w:t>
      </w:r>
      <w:r>
        <w:rPr>
          <w:spacing w:val="-5"/>
        </w:rPr>
        <w:t> </w:t>
      </w:r>
      <w:r>
        <w:rPr/>
        <w:t>de</w:t>
      </w:r>
      <w:r>
        <w:rPr>
          <w:spacing w:val="-4"/>
        </w:rPr>
        <w:t> </w:t>
      </w:r>
      <w:r>
        <w:rPr/>
        <w:t>plástico</w:t>
      </w:r>
      <w:r>
        <w:rPr>
          <w:spacing w:val="-4"/>
        </w:rPr>
        <w:t> </w:t>
      </w:r>
      <w:r>
        <w:rPr/>
        <w:t>con</w:t>
      </w:r>
      <w:r>
        <w:rPr>
          <w:spacing w:val="-4"/>
        </w:rPr>
        <w:t> </w:t>
      </w:r>
      <w:r>
        <w:rPr/>
        <w:t>agua</w:t>
      </w:r>
      <w:r>
        <w:rPr>
          <w:spacing w:val="-4"/>
        </w:rPr>
        <w:t> </w:t>
      </w:r>
      <w:r>
        <w:rPr/>
        <w:t>corriente</w:t>
      </w:r>
      <w:r>
        <w:rPr>
          <w:spacing w:val="-7"/>
        </w:rPr>
        <w:t> </w:t>
      </w:r>
      <w:r>
        <w:rPr/>
        <w:t>para</w:t>
      </w:r>
      <w:r>
        <w:rPr>
          <w:spacing w:val="-4"/>
        </w:rPr>
        <w:t> </w:t>
      </w:r>
      <w:r>
        <w:rPr/>
        <w:t>evitar</w:t>
      </w:r>
      <w:r>
        <w:rPr>
          <w:spacing w:val="-6"/>
        </w:rPr>
        <w:t> </w:t>
      </w:r>
      <w:r>
        <w:rPr/>
        <w:t>su</w:t>
      </w:r>
      <w:r>
        <w:rPr>
          <w:spacing w:val="-4"/>
        </w:rPr>
        <w:t> </w:t>
      </w:r>
      <w:r>
        <w:rPr/>
        <w:t>deshidratación.</w:t>
      </w:r>
      <w:r>
        <w:rPr>
          <w:spacing w:val="-7"/>
        </w:rPr>
        <w:t> </w:t>
      </w:r>
      <w:r>
        <w:rPr/>
        <w:t>En</w:t>
      </w:r>
      <w:r>
        <w:rPr>
          <w:spacing w:val="-4"/>
        </w:rPr>
        <w:t> </w:t>
      </w:r>
      <w:r>
        <w:rPr/>
        <w:t>este periodo</w:t>
      </w:r>
      <w:r>
        <w:rPr>
          <w:spacing w:val="-16"/>
        </w:rPr>
        <w:t> </w:t>
      </w:r>
      <w:r>
        <w:rPr/>
        <w:t>de</w:t>
      </w:r>
      <w:r>
        <w:rPr>
          <w:spacing w:val="-14"/>
        </w:rPr>
        <w:t> </w:t>
      </w:r>
      <w:r>
        <w:rPr/>
        <w:t>vida</w:t>
      </w:r>
      <w:r>
        <w:rPr>
          <w:spacing w:val="-16"/>
        </w:rPr>
        <w:t> </w:t>
      </w:r>
      <w:r>
        <w:rPr/>
        <w:t>en</w:t>
      </w:r>
      <w:r>
        <w:rPr>
          <w:spacing w:val="-19"/>
        </w:rPr>
        <w:t> </w:t>
      </w:r>
      <w:r>
        <w:rPr/>
        <w:t>florero</w:t>
      </w:r>
      <w:r>
        <w:rPr>
          <w:spacing w:val="-14"/>
        </w:rPr>
        <w:t> </w:t>
      </w:r>
      <w:r>
        <w:rPr/>
        <w:t>se</w:t>
      </w:r>
      <w:r>
        <w:rPr>
          <w:spacing w:val="-16"/>
        </w:rPr>
        <w:t> </w:t>
      </w:r>
      <w:r>
        <w:rPr/>
        <w:t>evaluó</w:t>
      </w:r>
      <w:r>
        <w:rPr>
          <w:spacing w:val="-16"/>
        </w:rPr>
        <w:t> </w:t>
      </w:r>
      <w:r>
        <w:rPr/>
        <w:t>el</w:t>
      </w:r>
      <w:r>
        <w:rPr>
          <w:spacing w:val="-18"/>
        </w:rPr>
        <w:t> </w:t>
      </w:r>
      <w:r>
        <w:rPr/>
        <w:t>diámetro</w:t>
      </w:r>
      <w:r>
        <w:rPr>
          <w:spacing w:val="-14"/>
        </w:rPr>
        <w:t> </w:t>
      </w:r>
      <w:r>
        <w:rPr/>
        <w:t>de</w:t>
      </w:r>
      <w:r>
        <w:rPr>
          <w:spacing w:val="-16"/>
        </w:rPr>
        <w:t> </w:t>
      </w:r>
      <w:r>
        <w:rPr/>
        <w:t>la</w:t>
      </w:r>
      <w:r>
        <w:rPr>
          <w:spacing w:val="-19"/>
        </w:rPr>
        <w:t> </w:t>
      </w:r>
      <w:r>
        <w:rPr/>
        <w:t>flor</w:t>
      </w:r>
      <w:r>
        <w:rPr>
          <w:spacing w:val="-16"/>
        </w:rPr>
        <w:t> </w:t>
      </w:r>
      <w:r>
        <w:rPr/>
        <w:t>(DF),</w:t>
      </w:r>
      <w:r>
        <w:rPr>
          <w:spacing w:val="-14"/>
        </w:rPr>
        <w:t> </w:t>
      </w:r>
      <w:r>
        <w:rPr/>
        <w:t>color</w:t>
      </w:r>
      <w:r>
        <w:rPr>
          <w:spacing w:val="-18"/>
        </w:rPr>
        <w:t> </w:t>
      </w:r>
      <w:r>
        <w:rPr/>
        <w:t>de</w:t>
      </w:r>
      <w:r>
        <w:rPr>
          <w:spacing w:val="-16"/>
        </w:rPr>
        <w:t> </w:t>
      </w:r>
      <w:r>
        <w:rPr/>
        <w:t>tépalos</w:t>
      </w:r>
      <w:r>
        <w:rPr>
          <w:spacing w:val="-15"/>
        </w:rPr>
        <w:t> </w:t>
      </w:r>
      <w:r>
        <w:rPr/>
        <w:t>(CT), unidades SPAD (US), peso fresco (PF), área foliar (AF) y el porcentaje de materia seca (MS) Betancourt-Olvera </w:t>
      </w:r>
      <w:r>
        <w:rPr>
          <w:i/>
        </w:rPr>
        <w:t>et al., </w:t>
      </w:r>
      <w:r>
        <w:rPr/>
        <w:t>2005; Ortega-Blu </w:t>
      </w:r>
      <w:r>
        <w:rPr>
          <w:i/>
        </w:rPr>
        <w:t>et al</w:t>
      </w:r>
      <w:r>
        <w:rPr/>
        <w:t>., 2006; Franco </w:t>
      </w:r>
      <w:r>
        <w:rPr>
          <w:i/>
        </w:rPr>
        <w:t>et al</w:t>
      </w:r>
      <w:r>
        <w:rPr/>
        <w:t>., 2007; Rodríguez-Landero </w:t>
      </w:r>
      <w:r>
        <w:rPr>
          <w:i/>
        </w:rPr>
        <w:t>et al</w:t>
      </w:r>
      <w:r>
        <w:rPr/>
        <w:t>.,</w:t>
      </w:r>
      <w:r>
        <w:rPr>
          <w:spacing w:val="-22"/>
        </w:rPr>
        <w:t> </w:t>
      </w:r>
      <w:r>
        <w:rPr/>
        <w:t>2012).</w:t>
      </w:r>
    </w:p>
    <w:p>
      <w:pPr>
        <w:pStyle w:val="BodyText"/>
        <w:spacing w:line="480" w:lineRule="auto" w:before="10"/>
        <w:ind w:left="101" w:right="117"/>
        <w:jc w:val="both"/>
      </w:pPr>
      <w:r>
        <w:rPr/>
        <w:t>El diámetro de la flor se midió con un vernier Truper Stainless Steel (inch/mm); se midió la parte más ancha del primer botón floral el día de la cosecha, cuando las flores</w:t>
      </w:r>
      <w:r>
        <w:rPr>
          <w:spacing w:val="-14"/>
        </w:rPr>
        <w:t> </w:t>
      </w:r>
      <w:r>
        <w:rPr/>
        <w:t>aun</w:t>
      </w:r>
      <w:r>
        <w:rPr>
          <w:spacing w:val="-11"/>
        </w:rPr>
        <w:t> </w:t>
      </w:r>
      <w:r>
        <w:rPr/>
        <w:t>no</w:t>
      </w:r>
      <w:r>
        <w:rPr>
          <w:spacing w:val="-13"/>
        </w:rPr>
        <w:t> </w:t>
      </w:r>
      <w:r>
        <w:rPr/>
        <w:t>abrían,</w:t>
      </w:r>
      <w:r>
        <w:rPr>
          <w:spacing w:val="-11"/>
        </w:rPr>
        <w:t> </w:t>
      </w:r>
      <w:r>
        <w:rPr/>
        <w:t>posteriormente</w:t>
      </w:r>
      <w:r>
        <w:rPr>
          <w:spacing w:val="-11"/>
        </w:rPr>
        <w:t> </w:t>
      </w:r>
      <w:r>
        <w:rPr/>
        <w:t>se</w:t>
      </w:r>
      <w:r>
        <w:rPr>
          <w:spacing w:val="-13"/>
        </w:rPr>
        <w:t> </w:t>
      </w:r>
      <w:r>
        <w:rPr/>
        <w:t>midió</w:t>
      </w:r>
      <w:r>
        <w:rPr>
          <w:spacing w:val="-13"/>
        </w:rPr>
        <w:t> </w:t>
      </w:r>
      <w:r>
        <w:rPr/>
        <w:t>el</w:t>
      </w:r>
      <w:r>
        <w:rPr>
          <w:spacing w:val="-12"/>
        </w:rPr>
        <w:t> </w:t>
      </w:r>
      <w:r>
        <w:rPr/>
        <w:t>diámetro</w:t>
      </w:r>
      <w:r>
        <w:rPr>
          <w:spacing w:val="-11"/>
        </w:rPr>
        <w:t> </w:t>
      </w:r>
      <w:r>
        <w:rPr/>
        <w:t>de</w:t>
      </w:r>
      <w:r>
        <w:rPr>
          <w:spacing w:val="-11"/>
        </w:rPr>
        <w:t> </w:t>
      </w:r>
      <w:r>
        <w:rPr/>
        <w:t>la</w:t>
      </w:r>
      <w:r>
        <w:rPr>
          <w:spacing w:val="-13"/>
        </w:rPr>
        <w:t> </w:t>
      </w:r>
      <w:r>
        <w:rPr/>
        <w:t>misma</w:t>
      </w:r>
      <w:r>
        <w:rPr>
          <w:spacing w:val="-13"/>
        </w:rPr>
        <w:t> </w:t>
      </w:r>
      <w:r>
        <w:rPr/>
        <w:t>flor</w:t>
      </w:r>
      <w:r>
        <w:rPr>
          <w:spacing w:val="-12"/>
        </w:rPr>
        <w:t> </w:t>
      </w:r>
      <w:r>
        <w:rPr/>
        <w:t>ya</w:t>
      </w:r>
      <w:r>
        <w:rPr>
          <w:spacing w:val="-11"/>
        </w:rPr>
        <w:t> </w:t>
      </w:r>
      <w:r>
        <w:rPr/>
        <w:t>abierta a los 4, 8 y 12 días</w:t>
      </w:r>
      <w:r>
        <w:rPr>
          <w:spacing w:val="-15"/>
        </w:rPr>
        <w:t> </w:t>
      </w:r>
      <w:r>
        <w:rPr/>
        <w:t>respectivamente.</w:t>
      </w:r>
    </w:p>
    <w:p>
      <w:pPr>
        <w:pStyle w:val="BodyText"/>
        <w:spacing w:line="480" w:lineRule="auto" w:before="8"/>
        <w:ind w:left="101" w:right="118"/>
        <w:jc w:val="both"/>
      </w:pPr>
      <w:r>
        <w:rPr/>
        <w:t>El</w:t>
      </w:r>
      <w:r>
        <w:rPr>
          <w:spacing w:val="-16"/>
        </w:rPr>
        <w:t> </w:t>
      </w:r>
      <w:r>
        <w:rPr/>
        <w:t>color</w:t>
      </w:r>
      <w:r>
        <w:rPr>
          <w:spacing w:val="-16"/>
        </w:rPr>
        <w:t> </w:t>
      </w:r>
      <w:r>
        <w:rPr/>
        <w:t>de</w:t>
      </w:r>
      <w:r>
        <w:rPr>
          <w:spacing w:val="-16"/>
        </w:rPr>
        <w:t> </w:t>
      </w:r>
      <w:r>
        <w:rPr/>
        <w:t>tépalos</w:t>
      </w:r>
      <w:r>
        <w:rPr>
          <w:spacing w:val="-16"/>
        </w:rPr>
        <w:t> </w:t>
      </w:r>
      <w:r>
        <w:rPr/>
        <w:t>se</w:t>
      </w:r>
      <w:r>
        <w:rPr>
          <w:spacing w:val="-15"/>
        </w:rPr>
        <w:t> </w:t>
      </w:r>
      <w:r>
        <w:rPr/>
        <w:t>cuantificó</w:t>
      </w:r>
      <w:r>
        <w:rPr>
          <w:spacing w:val="-15"/>
        </w:rPr>
        <w:t> </w:t>
      </w:r>
      <w:r>
        <w:rPr/>
        <w:t>con</w:t>
      </w:r>
      <w:r>
        <w:rPr>
          <w:spacing w:val="-16"/>
        </w:rPr>
        <w:t> </w:t>
      </w:r>
      <w:r>
        <w:rPr/>
        <w:t>un</w:t>
      </w:r>
      <w:r>
        <w:rPr>
          <w:spacing w:val="-16"/>
        </w:rPr>
        <w:t> </w:t>
      </w:r>
      <w:r>
        <w:rPr/>
        <w:t>fotocolorímetro</w:t>
      </w:r>
      <w:r>
        <w:rPr>
          <w:spacing w:val="-15"/>
        </w:rPr>
        <w:t> </w:t>
      </w:r>
      <w:r>
        <w:rPr/>
        <w:t>Konica</w:t>
      </w:r>
      <w:r>
        <w:rPr>
          <w:spacing w:val="-15"/>
        </w:rPr>
        <w:t> </w:t>
      </w:r>
      <w:r>
        <w:rPr/>
        <w:t>Minolta,</w:t>
      </w:r>
      <w:r>
        <w:rPr>
          <w:spacing w:val="-15"/>
        </w:rPr>
        <w:t> </w:t>
      </w:r>
      <w:r>
        <w:rPr/>
        <w:t>se</w:t>
      </w:r>
      <w:r>
        <w:rPr>
          <w:spacing w:val="-15"/>
        </w:rPr>
        <w:t> </w:t>
      </w:r>
      <w:r>
        <w:rPr/>
        <w:t>realizaron 3 mediciones en la flor evaluada en tres tépalos a los cero días y posteriormente sobre los mismos tépalos a los 4, 8 y 12</w:t>
      </w:r>
      <w:r>
        <w:rPr>
          <w:spacing w:val="-19"/>
        </w:rPr>
        <w:t> </w:t>
      </w:r>
      <w:r>
        <w:rPr/>
        <w:t>días.</w:t>
      </w:r>
    </w:p>
    <w:p>
      <w:pPr>
        <w:pStyle w:val="BodyText"/>
        <w:spacing w:line="480" w:lineRule="auto" w:before="204"/>
        <w:ind w:left="101" w:right="116"/>
        <w:jc w:val="both"/>
      </w:pPr>
      <w:r>
        <w:rPr/>
        <w:t>Las</w:t>
      </w:r>
      <w:r>
        <w:rPr>
          <w:spacing w:val="-15"/>
        </w:rPr>
        <w:t> </w:t>
      </w:r>
      <w:r>
        <w:rPr/>
        <w:t>lecturas</w:t>
      </w:r>
      <w:r>
        <w:rPr>
          <w:spacing w:val="-15"/>
        </w:rPr>
        <w:t> </w:t>
      </w:r>
      <w:r>
        <w:rPr/>
        <w:t>SPAD</w:t>
      </w:r>
      <w:r>
        <w:rPr>
          <w:spacing w:val="-15"/>
        </w:rPr>
        <w:t> </w:t>
      </w:r>
      <w:r>
        <w:rPr/>
        <w:t>se</w:t>
      </w:r>
      <w:r>
        <w:rPr>
          <w:spacing w:val="-16"/>
        </w:rPr>
        <w:t> </w:t>
      </w:r>
      <w:r>
        <w:rPr/>
        <w:t>midieron</w:t>
      </w:r>
      <w:r>
        <w:rPr>
          <w:spacing w:val="-16"/>
        </w:rPr>
        <w:t> </w:t>
      </w:r>
      <w:r>
        <w:rPr/>
        <w:t>en</w:t>
      </w:r>
      <w:r>
        <w:rPr>
          <w:spacing w:val="-16"/>
        </w:rPr>
        <w:t> </w:t>
      </w:r>
      <w:r>
        <w:rPr/>
        <w:t>hojas</w:t>
      </w:r>
      <w:r>
        <w:rPr>
          <w:spacing w:val="-17"/>
        </w:rPr>
        <w:t> </w:t>
      </w:r>
      <w:r>
        <w:rPr/>
        <w:t>intermedias</w:t>
      </w:r>
      <w:r>
        <w:rPr>
          <w:spacing w:val="-15"/>
        </w:rPr>
        <w:t> </w:t>
      </w:r>
      <w:r>
        <w:rPr/>
        <w:t>del</w:t>
      </w:r>
      <w:r>
        <w:rPr>
          <w:spacing w:val="-15"/>
        </w:rPr>
        <w:t> </w:t>
      </w:r>
      <w:r>
        <w:rPr/>
        <w:t>tallo,</w:t>
      </w:r>
      <w:r>
        <w:rPr>
          <w:spacing w:val="-17"/>
        </w:rPr>
        <w:t> </w:t>
      </w:r>
      <w:r>
        <w:rPr/>
        <w:t>5</w:t>
      </w:r>
      <w:r>
        <w:rPr>
          <w:spacing w:val="-14"/>
        </w:rPr>
        <w:t> </w:t>
      </w:r>
      <w:r>
        <w:rPr/>
        <w:t>hojas</w:t>
      </w:r>
      <w:r>
        <w:rPr>
          <w:spacing w:val="-15"/>
        </w:rPr>
        <w:t> </w:t>
      </w:r>
      <w:r>
        <w:rPr/>
        <w:t>por</w:t>
      </w:r>
      <w:r>
        <w:rPr>
          <w:spacing w:val="-16"/>
        </w:rPr>
        <w:t> </w:t>
      </w:r>
      <w:r>
        <w:rPr/>
        <w:t>repetición, se</w:t>
      </w:r>
      <w:r>
        <w:rPr>
          <w:spacing w:val="-12"/>
        </w:rPr>
        <w:t> </w:t>
      </w:r>
      <w:r>
        <w:rPr/>
        <w:t>obtuvieron</w:t>
      </w:r>
      <w:r>
        <w:rPr>
          <w:spacing w:val="-14"/>
        </w:rPr>
        <w:t> </w:t>
      </w:r>
      <w:r>
        <w:rPr/>
        <w:t>los</w:t>
      </w:r>
      <w:r>
        <w:rPr>
          <w:spacing w:val="-15"/>
        </w:rPr>
        <w:t> </w:t>
      </w:r>
      <w:r>
        <w:rPr/>
        <w:t>datos</w:t>
      </w:r>
      <w:r>
        <w:rPr>
          <w:spacing w:val="-15"/>
        </w:rPr>
        <w:t> </w:t>
      </w:r>
      <w:r>
        <w:rPr/>
        <w:t>al</w:t>
      </w:r>
      <w:r>
        <w:rPr>
          <w:spacing w:val="-15"/>
        </w:rPr>
        <w:t> </w:t>
      </w:r>
      <w:r>
        <w:rPr/>
        <w:t>introducirlas</w:t>
      </w:r>
      <w:r>
        <w:rPr>
          <w:spacing w:val="-13"/>
        </w:rPr>
        <w:t> </w:t>
      </w:r>
      <w:r>
        <w:rPr/>
        <w:t>en</w:t>
      </w:r>
      <w:r>
        <w:rPr>
          <w:spacing w:val="-14"/>
        </w:rPr>
        <w:t> </w:t>
      </w:r>
      <w:r>
        <w:rPr/>
        <w:t>el</w:t>
      </w:r>
      <w:r>
        <w:rPr>
          <w:spacing w:val="-13"/>
        </w:rPr>
        <w:t> </w:t>
      </w:r>
      <w:r>
        <w:rPr/>
        <w:t>lector</w:t>
      </w:r>
      <w:r>
        <w:rPr>
          <w:spacing w:val="-13"/>
        </w:rPr>
        <w:t> </w:t>
      </w:r>
      <w:r>
        <w:rPr/>
        <w:t>SPAD</w:t>
      </w:r>
      <w:r>
        <w:rPr>
          <w:spacing w:val="-13"/>
        </w:rPr>
        <w:t> </w:t>
      </w:r>
      <w:r>
        <w:rPr/>
        <w:t>(Mod.</w:t>
      </w:r>
      <w:r>
        <w:rPr>
          <w:spacing w:val="-14"/>
        </w:rPr>
        <w:t> </w:t>
      </w:r>
      <w:r>
        <w:rPr/>
        <w:t>502,</w:t>
      </w:r>
      <w:r>
        <w:rPr>
          <w:spacing w:val="-14"/>
        </w:rPr>
        <w:t> </w:t>
      </w:r>
      <w:r>
        <w:rPr/>
        <w:t>Konica</w:t>
      </w:r>
      <w:r>
        <w:rPr>
          <w:spacing w:val="-14"/>
        </w:rPr>
        <w:t> </w:t>
      </w:r>
      <w:r>
        <w:rPr/>
        <w:t>Minolta) de manera</w:t>
      </w:r>
      <w:r>
        <w:rPr>
          <w:spacing w:val="-12"/>
        </w:rPr>
        <w:t> </w:t>
      </w:r>
      <w:r>
        <w:rPr/>
        <w:t>individual.</w:t>
      </w:r>
    </w:p>
    <w:p>
      <w:pPr>
        <w:spacing w:after="0" w:line="480" w:lineRule="auto"/>
        <w:jc w:val="both"/>
        <w:sectPr>
          <w:pgSz w:w="12240" w:h="15840"/>
          <w:pgMar w:header="0" w:footer="1005" w:top="1360" w:bottom="1200" w:left="1600" w:right="1580"/>
        </w:sectPr>
      </w:pPr>
    </w:p>
    <w:p>
      <w:pPr>
        <w:pStyle w:val="BodyText"/>
        <w:spacing w:line="480" w:lineRule="auto" w:before="66"/>
        <w:ind w:left="101" w:right="117"/>
        <w:jc w:val="both"/>
      </w:pPr>
      <w:r>
        <w:rPr/>
        <w:t>Se obtuvo el peso fresco (g) de la planta, con una báscula Scout</w:t>
      </w:r>
      <w:r>
        <w:rPr>
          <w:position w:val="8"/>
          <w:sz w:val="16"/>
        </w:rPr>
        <w:t>TM </w:t>
      </w:r>
      <w:r>
        <w:rPr/>
        <w:t>Pro OHAUS, durante vida en florero, a los 0, 4, 8 y 12 días.</w:t>
      </w:r>
    </w:p>
    <w:p>
      <w:pPr>
        <w:pStyle w:val="BodyText"/>
        <w:spacing w:line="480" w:lineRule="auto" w:before="8"/>
        <w:ind w:left="101" w:right="117"/>
        <w:jc w:val="both"/>
      </w:pPr>
      <w:r>
        <w:rPr/>
        <w:t>En la parte destructiva del muestreo se determinó el área foliar de las 5 hojas intermedias del tallo que se utilizaron en los datos anteriores de SPAD, con un medidor LI-3100C AREA METER. Posteriormente, la planta completa fue cortada en</w:t>
      </w:r>
      <w:r>
        <w:rPr>
          <w:spacing w:val="-7"/>
        </w:rPr>
        <w:t> </w:t>
      </w:r>
      <w:r>
        <w:rPr/>
        <w:t>trozos</w:t>
      </w:r>
      <w:r>
        <w:rPr>
          <w:spacing w:val="-8"/>
        </w:rPr>
        <w:t> </w:t>
      </w:r>
      <w:r>
        <w:rPr/>
        <w:t>pequeños,</w:t>
      </w:r>
      <w:r>
        <w:rPr>
          <w:spacing w:val="-7"/>
        </w:rPr>
        <w:t> </w:t>
      </w:r>
      <w:r>
        <w:rPr/>
        <w:t>se</w:t>
      </w:r>
      <w:r>
        <w:rPr>
          <w:spacing w:val="-7"/>
        </w:rPr>
        <w:t> </w:t>
      </w:r>
      <w:r>
        <w:rPr/>
        <w:t>colocó</w:t>
      </w:r>
      <w:r>
        <w:rPr>
          <w:spacing w:val="-9"/>
        </w:rPr>
        <w:t> </w:t>
      </w:r>
      <w:r>
        <w:rPr/>
        <w:t>en</w:t>
      </w:r>
      <w:r>
        <w:rPr>
          <w:spacing w:val="-9"/>
        </w:rPr>
        <w:t> </w:t>
      </w:r>
      <w:r>
        <w:rPr/>
        <w:t>bolsas</w:t>
      </w:r>
      <w:r>
        <w:rPr>
          <w:spacing w:val="-8"/>
        </w:rPr>
        <w:t> </w:t>
      </w:r>
      <w:r>
        <w:rPr/>
        <w:t>de</w:t>
      </w:r>
      <w:r>
        <w:rPr>
          <w:spacing w:val="-12"/>
        </w:rPr>
        <w:t> </w:t>
      </w:r>
      <w:r>
        <w:rPr/>
        <w:t>papel</w:t>
      </w:r>
      <w:r>
        <w:rPr>
          <w:spacing w:val="-8"/>
        </w:rPr>
        <w:t> </w:t>
      </w:r>
      <w:r>
        <w:rPr/>
        <w:t>perforadas</w:t>
      </w:r>
      <w:r>
        <w:rPr>
          <w:spacing w:val="-10"/>
        </w:rPr>
        <w:t> </w:t>
      </w:r>
      <w:r>
        <w:rPr/>
        <w:t>y</w:t>
      </w:r>
      <w:r>
        <w:rPr>
          <w:spacing w:val="-10"/>
        </w:rPr>
        <w:t> </w:t>
      </w:r>
      <w:r>
        <w:rPr/>
        <w:t>se</w:t>
      </w:r>
      <w:r>
        <w:rPr>
          <w:spacing w:val="-7"/>
        </w:rPr>
        <w:t> </w:t>
      </w:r>
      <w:r>
        <w:rPr/>
        <w:t>engraparon</w:t>
      </w:r>
      <w:r>
        <w:rPr>
          <w:spacing w:val="-9"/>
        </w:rPr>
        <w:t> </w:t>
      </w:r>
      <w:r>
        <w:rPr/>
        <w:t>para introducirlas en la estufa a 50° C por 5 días, hasta alcanzar un peso constante. Posteriormente se obtuvo el peso seco (g) y finalmente se determinó el porcentaje de materia seca</w:t>
      </w:r>
      <w:r>
        <w:rPr>
          <w:spacing w:val="-7"/>
        </w:rPr>
        <w:t> </w:t>
      </w:r>
      <w:r>
        <w:rPr/>
        <w:t>(%).</w:t>
      </w:r>
    </w:p>
    <w:p>
      <w:pPr>
        <w:pStyle w:val="BodyText"/>
      </w:pPr>
    </w:p>
    <w:p>
      <w:pPr>
        <w:pStyle w:val="BodyText"/>
        <w:spacing w:before="7"/>
      </w:pPr>
    </w:p>
    <w:p>
      <w:pPr>
        <w:pStyle w:val="Heading1"/>
        <w:numPr>
          <w:ilvl w:val="2"/>
          <w:numId w:val="8"/>
        </w:numPr>
        <w:tabs>
          <w:tab w:pos="1482" w:val="left" w:leader="none"/>
        </w:tabs>
        <w:spacing w:line="240" w:lineRule="auto" w:before="1" w:after="0"/>
        <w:ind w:left="1481" w:right="0" w:hanging="672"/>
        <w:jc w:val="left"/>
      </w:pPr>
      <w:bookmarkStart w:name="_TOC_250012" w:id="27"/>
      <w:r>
        <w:rPr/>
        <w:t>Análisis</w:t>
      </w:r>
      <w:r>
        <w:rPr>
          <w:spacing w:val="-15"/>
        </w:rPr>
        <w:t> </w:t>
      </w:r>
      <w:bookmarkEnd w:id="27"/>
      <w:r>
        <w:rPr/>
        <w:t>Estadístico</w:t>
      </w:r>
    </w:p>
    <w:p>
      <w:pPr>
        <w:pStyle w:val="BodyText"/>
        <w:rPr>
          <w:b/>
        </w:rPr>
      </w:pPr>
    </w:p>
    <w:p>
      <w:pPr>
        <w:pStyle w:val="BodyText"/>
        <w:spacing w:line="480" w:lineRule="auto"/>
        <w:ind w:left="101" w:right="117"/>
        <w:jc w:val="both"/>
        <w:rPr>
          <w:i/>
        </w:rPr>
      </w:pPr>
      <w:r>
        <w:rPr/>
        <w:t>Todos</w:t>
      </w:r>
      <w:r>
        <w:rPr>
          <w:spacing w:val="-10"/>
        </w:rPr>
        <w:t> </w:t>
      </w:r>
      <w:r>
        <w:rPr/>
        <w:t>los</w:t>
      </w:r>
      <w:r>
        <w:rPr>
          <w:spacing w:val="-13"/>
        </w:rPr>
        <w:t> </w:t>
      </w:r>
      <w:r>
        <w:rPr/>
        <w:t>datos</w:t>
      </w:r>
      <w:r>
        <w:rPr>
          <w:spacing w:val="-10"/>
        </w:rPr>
        <w:t> </w:t>
      </w:r>
      <w:r>
        <w:rPr/>
        <w:t>se</w:t>
      </w:r>
      <w:r>
        <w:rPr>
          <w:spacing w:val="-9"/>
        </w:rPr>
        <w:t> </w:t>
      </w:r>
      <w:r>
        <w:rPr/>
        <w:t>analizaron</w:t>
      </w:r>
      <w:r>
        <w:rPr>
          <w:spacing w:val="-9"/>
        </w:rPr>
        <w:t> </w:t>
      </w:r>
      <w:r>
        <w:rPr/>
        <w:t>bajo</w:t>
      </w:r>
      <w:r>
        <w:rPr>
          <w:spacing w:val="-9"/>
        </w:rPr>
        <w:t> </w:t>
      </w:r>
      <w:r>
        <w:rPr/>
        <w:t>un</w:t>
      </w:r>
      <w:r>
        <w:rPr>
          <w:spacing w:val="-9"/>
        </w:rPr>
        <w:t> </w:t>
      </w:r>
      <w:r>
        <w:rPr/>
        <w:t>diseño</w:t>
      </w:r>
      <w:r>
        <w:rPr>
          <w:spacing w:val="-12"/>
        </w:rPr>
        <w:t> </w:t>
      </w:r>
      <w:r>
        <w:rPr/>
        <w:t>completo</w:t>
      </w:r>
      <w:r>
        <w:rPr>
          <w:spacing w:val="-12"/>
        </w:rPr>
        <w:t> </w:t>
      </w:r>
      <w:r>
        <w:rPr/>
        <w:t>al</w:t>
      </w:r>
      <w:r>
        <w:rPr>
          <w:spacing w:val="-11"/>
        </w:rPr>
        <w:t> </w:t>
      </w:r>
      <w:r>
        <w:rPr/>
        <w:t>azar.</w:t>
      </w:r>
      <w:r>
        <w:rPr>
          <w:spacing w:val="-10"/>
        </w:rPr>
        <w:t> </w:t>
      </w:r>
      <w:r>
        <w:rPr/>
        <w:t>Para</w:t>
      </w:r>
      <w:r>
        <w:rPr>
          <w:spacing w:val="-12"/>
        </w:rPr>
        <w:t> </w:t>
      </w:r>
      <w:r>
        <w:rPr/>
        <w:t>el</w:t>
      </w:r>
      <w:r>
        <w:rPr>
          <w:spacing w:val="-11"/>
        </w:rPr>
        <w:t> </w:t>
      </w:r>
      <w:r>
        <w:rPr/>
        <w:t>experimento con</w:t>
      </w:r>
      <w:r>
        <w:rPr>
          <w:spacing w:val="-12"/>
        </w:rPr>
        <w:t> </w:t>
      </w:r>
      <w:r>
        <w:rPr>
          <w:i/>
        </w:rPr>
        <w:t>Lilium</w:t>
      </w:r>
      <w:r>
        <w:rPr>
          <w:i/>
          <w:spacing w:val="-16"/>
        </w:rPr>
        <w:t> </w:t>
      </w:r>
      <w:r>
        <w:rPr/>
        <w:t>‘Acapulco’</w:t>
      </w:r>
      <w:r>
        <w:rPr>
          <w:spacing w:val="-13"/>
        </w:rPr>
        <w:t> </w:t>
      </w:r>
      <w:r>
        <w:rPr/>
        <w:t>se</w:t>
      </w:r>
      <w:r>
        <w:rPr>
          <w:spacing w:val="-12"/>
        </w:rPr>
        <w:t> </w:t>
      </w:r>
      <w:r>
        <w:rPr/>
        <w:t>analizó</w:t>
      </w:r>
      <w:r>
        <w:rPr>
          <w:spacing w:val="-12"/>
        </w:rPr>
        <w:t> </w:t>
      </w:r>
      <w:r>
        <w:rPr/>
        <w:t>primero</w:t>
      </w:r>
      <w:r>
        <w:rPr>
          <w:spacing w:val="-12"/>
        </w:rPr>
        <w:t> </w:t>
      </w:r>
      <w:r>
        <w:rPr/>
        <w:t>de</w:t>
      </w:r>
      <w:r>
        <w:rPr>
          <w:spacing w:val="-12"/>
        </w:rPr>
        <w:t> </w:t>
      </w:r>
      <w:r>
        <w:rPr/>
        <w:t>manera</w:t>
      </w:r>
      <w:r>
        <w:rPr>
          <w:spacing w:val="-14"/>
        </w:rPr>
        <w:t> </w:t>
      </w:r>
      <w:r>
        <w:rPr/>
        <w:t>bifactorial</w:t>
      </w:r>
      <w:r>
        <w:rPr>
          <w:spacing w:val="-13"/>
        </w:rPr>
        <w:t> </w:t>
      </w:r>
      <w:r>
        <w:rPr/>
        <w:t>con</w:t>
      </w:r>
      <w:r>
        <w:rPr>
          <w:spacing w:val="-12"/>
        </w:rPr>
        <w:t> </w:t>
      </w:r>
      <w:r>
        <w:rPr/>
        <w:t>los</w:t>
      </w:r>
      <w:r>
        <w:rPr>
          <w:spacing w:val="-13"/>
        </w:rPr>
        <w:t> </w:t>
      </w:r>
      <w:r>
        <w:rPr/>
        <w:t>factores</w:t>
      </w:r>
      <w:r>
        <w:rPr>
          <w:spacing w:val="-15"/>
        </w:rPr>
        <w:t> </w:t>
      </w:r>
      <w:r>
        <w:rPr/>
        <w:t>dosis de Steiner, con dos niveles y dosis de Zn y Mg con tres niveles. Cuando el valor</w:t>
      </w:r>
      <w:r>
        <w:rPr>
          <w:spacing w:val="-41"/>
        </w:rPr>
        <w:t> </w:t>
      </w:r>
      <w:r>
        <w:rPr/>
        <w:t>de F fue significativo, la comparación de medias se realizó con la prueba de Tukey</w:t>
      </w:r>
      <w:r>
        <w:rPr>
          <w:spacing w:val="61"/>
        </w:rPr>
        <w:t> </w:t>
      </w:r>
      <w:r>
        <w:rPr/>
        <w:t>(</w:t>
      </w:r>
      <w:r>
        <w:rPr>
          <w:i/>
        </w:rPr>
        <w:t>p</w:t>
      </w:r>
    </w:p>
    <w:p>
      <w:pPr>
        <w:spacing w:before="8"/>
        <w:ind w:left="101" w:right="0" w:firstLine="0"/>
        <w:jc w:val="both"/>
        <w:rPr>
          <w:sz w:val="24"/>
        </w:rPr>
      </w:pPr>
      <w:r>
        <w:rPr>
          <w:i/>
          <w:sz w:val="24"/>
        </w:rPr>
        <w:t>≤ </w:t>
      </w:r>
      <w:r>
        <w:rPr>
          <w:sz w:val="24"/>
        </w:rPr>
        <w:t>0.05).</w:t>
      </w:r>
    </w:p>
    <w:p>
      <w:pPr>
        <w:pStyle w:val="BodyText"/>
      </w:pPr>
    </w:p>
    <w:p>
      <w:pPr>
        <w:pStyle w:val="BodyText"/>
      </w:pPr>
    </w:p>
    <w:p>
      <w:pPr>
        <w:pStyle w:val="BodyText"/>
        <w:spacing w:before="4"/>
      </w:pPr>
    </w:p>
    <w:p>
      <w:pPr>
        <w:pStyle w:val="Heading1"/>
        <w:numPr>
          <w:ilvl w:val="1"/>
          <w:numId w:val="7"/>
        </w:numPr>
        <w:tabs>
          <w:tab w:pos="572" w:val="left" w:leader="none"/>
        </w:tabs>
        <w:spacing w:line="240" w:lineRule="auto" w:before="1" w:after="0"/>
        <w:ind w:left="572" w:right="0" w:hanging="471"/>
        <w:jc w:val="both"/>
      </w:pPr>
      <w:bookmarkStart w:name="_TOC_250011" w:id="28"/>
      <w:r>
        <w:rPr/>
        <w:t>Cv.</w:t>
      </w:r>
      <w:r>
        <w:rPr>
          <w:spacing w:val="-8"/>
        </w:rPr>
        <w:t> </w:t>
      </w:r>
      <w:bookmarkEnd w:id="28"/>
      <w:r>
        <w:rPr/>
        <w:t>Serrada</w:t>
      </w:r>
    </w:p>
    <w:p>
      <w:pPr>
        <w:pStyle w:val="BodyText"/>
        <w:rPr>
          <w:b/>
        </w:rPr>
      </w:pPr>
    </w:p>
    <w:p>
      <w:pPr>
        <w:pStyle w:val="BodyText"/>
        <w:spacing w:before="9"/>
        <w:rPr>
          <w:b/>
          <w:sz w:val="23"/>
        </w:rPr>
      </w:pPr>
    </w:p>
    <w:p>
      <w:pPr>
        <w:pStyle w:val="BodyText"/>
        <w:spacing w:line="480" w:lineRule="auto"/>
        <w:ind w:left="101" w:right="116"/>
        <w:jc w:val="both"/>
      </w:pPr>
      <w:r>
        <w:rPr/>
        <w:t>Para el cv. Serrada se cuantificaron las variables precosecha y poscosecha igual que cv. Acapulco. Sin embargo, debido a que el factor Steiner afectó altura de la planta negativamente en el experimento 1 con cv. Acapulco. El experimento de </w:t>
      </w:r>
      <w:r>
        <w:rPr>
          <w:i/>
        </w:rPr>
        <w:t>Lilium</w:t>
      </w:r>
      <w:r>
        <w:rPr>
          <w:i/>
          <w:spacing w:val="-10"/>
        </w:rPr>
        <w:t> </w:t>
      </w:r>
      <w:r>
        <w:rPr/>
        <w:t>‘Serrada’,</w:t>
      </w:r>
      <w:r>
        <w:rPr>
          <w:spacing w:val="-7"/>
        </w:rPr>
        <w:t> </w:t>
      </w:r>
      <w:r>
        <w:rPr/>
        <w:t>sólo</w:t>
      </w:r>
      <w:r>
        <w:rPr>
          <w:spacing w:val="-7"/>
        </w:rPr>
        <w:t> </w:t>
      </w:r>
      <w:r>
        <w:rPr/>
        <w:t>tuvo</w:t>
      </w:r>
      <w:r>
        <w:rPr>
          <w:spacing w:val="-7"/>
        </w:rPr>
        <w:t> </w:t>
      </w:r>
      <w:r>
        <w:rPr/>
        <w:t>el</w:t>
      </w:r>
      <w:r>
        <w:rPr>
          <w:spacing w:val="-10"/>
        </w:rPr>
        <w:t> </w:t>
      </w:r>
      <w:r>
        <w:rPr/>
        <w:t>factor</w:t>
      </w:r>
      <w:r>
        <w:rPr>
          <w:spacing w:val="-8"/>
        </w:rPr>
        <w:t> </w:t>
      </w:r>
      <w:r>
        <w:rPr/>
        <w:t>dosis</w:t>
      </w:r>
      <w:r>
        <w:rPr>
          <w:spacing w:val="-9"/>
        </w:rPr>
        <w:t> </w:t>
      </w:r>
      <w:r>
        <w:rPr/>
        <w:t>de</w:t>
      </w:r>
      <w:r>
        <w:rPr>
          <w:spacing w:val="-8"/>
        </w:rPr>
        <w:t> </w:t>
      </w:r>
      <w:r>
        <w:rPr/>
        <w:t>Zn</w:t>
      </w:r>
      <w:r>
        <w:rPr>
          <w:spacing w:val="-7"/>
        </w:rPr>
        <w:t> </w:t>
      </w:r>
      <w:r>
        <w:rPr/>
        <w:t>y</w:t>
      </w:r>
      <w:r>
        <w:rPr>
          <w:spacing w:val="-9"/>
        </w:rPr>
        <w:t> </w:t>
      </w:r>
      <w:r>
        <w:rPr/>
        <w:t>Mg</w:t>
      </w:r>
      <w:r>
        <w:rPr>
          <w:spacing w:val="-8"/>
        </w:rPr>
        <w:t> </w:t>
      </w:r>
      <w:r>
        <w:rPr/>
        <w:t>foliar,</w:t>
      </w:r>
      <w:r>
        <w:rPr>
          <w:spacing w:val="-7"/>
        </w:rPr>
        <w:t> </w:t>
      </w:r>
      <w:r>
        <w:rPr/>
        <w:t>con</w:t>
      </w:r>
      <w:r>
        <w:rPr>
          <w:spacing w:val="-8"/>
        </w:rPr>
        <w:t> </w:t>
      </w:r>
      <w:r>
        <w:rPr/>
        <w:t>seis</w:t>
      </w:r>
      <w:r>
        <w:rPr>
          <w:spacing w:val="-9"/>
        </w:rPr>
        <w:t> </w:t>
      </w:r>
      <w:r>
        <w:rPr/>
        <w:t>niveles</w:t>
      </w:r>
      <w:r>
        <w:rPr>
          <w:spacing w:val="-8"/>
        </w:rPr>
        <w:t> </w:t>
      </w:r>
      <w:r>
        <w:rPr/>
        <w:t>(Cuadro</w:t>
      </w:r>
    </w:p>
    <w:p>
      <w:pPr>
        <w:spacing w:after="0" w:line="480" w:lineRule="auto"/>
        <w:jc w:val="both"/>
        <w:sectPr>
          <w:pgSz w:w="12240" w:h="15840"/>
          <w:pgMar w:header="0" w:footer="1005" w:top="1340" w:bottom="1200" w:left="1600" w:right="1580"/>
        </w:sectPr>
      </w:pPr>
    </w:p>
    <w:p>
      <w:pPr>
        <w:pStyle w:val="ListParagraph"/>
        <w:numPr>
          <w:ilvl w:val="0"/>
          <w:numId w:val="9"/>
        </w:numPr>
        <w:tabs>
          <w:tab w:pos="455" w:val="left" w:leader="none"/>
        </w:tabs>
        <w:spacing w:line="477" w:lineRule="auto" w:before="51" w:after="0"/>
        <w:ind w:left="101" w:right="98" w:firstLine="0"/>
        <w:jc w:val="left"/>
        <w:rPr>
          <w:sz w:val="24"/>
        </w:rPr>
      </w:pPr>
      <w:r>
        <w:rPr>
          <w:sz w:val="24"/>
        </w:rPr>
        <w:t>Cuando el valor de F fue significativo, la comparación de medias se realizó con la prueba de Tukey (</w:t>
      </w:r>
      <w:r>
        <w:rPr>
          <w:i/>
          <w:sz w:val="24"/>
        </w:rPr>
        <w:t>p ≤</w:t>
      </w:r>
      <w:r>
        <w:rPr>
          <w:i/>
          <w:spacing w:val="-12"/>
          <w:sz w:val="24"/>
        </w:rPr>
        <w:t> </w:t>
      </w:r>
      <w:r>
        <w:rPr>
          <w:sz w:val="24"/>
        </w:rPr>
        <w:t>0.05).</w:t>
      </w:r>
    </w:p>
    <w:p>
      <w:pPr>
        <w:pStyle w:val="BodyText"/>
      </w:pPr>
    </w:p>
    <w:p>
      <w:pPr>
        <w:pStyle w:val="BodyText"/>
        <w:spacing w:before="3"/>
        <w:rPr>
          <w:sz w:val="25"/>
        </w:rPr>
      </w:pPr>
    </w:p>
    <w:p>
      <w:pPr>
        <w:pStyle w:val="BodyText"/>
        <w:spacing w:before="1"/>
        <w:ind w:left="101" w:right="100"/>
      </w:pPr>
      <w:r>
        <w:rPr/>
        <w:t>Cuadro 4. Fertilización foliar de zinc y magnesio en Lilium ‘Serrada’, en 2013.</w:t>
      </w:r>
    </w:p>
    <w:p>
      <w:pPr>
        <w:pStyle w:val="BodyText"/>
        <w:rPr>
          <w:sz w:val="20"/>
        </w:rPr>
      </w:pPr>
    </w:p>
    <w:p>
      <w:pPr>
        <w:pStyle w:val="BodyText"/>
        <w:rPr>
          <w:sz w:val="10"/>
        </w:rPr>
      </w:pPr>
    </w:p>
    <w:tbl>
      <w:tblPr>
        <w:tblW w:w="0" w:type="auto"/>
        <w:jc w:val="left"/>
        <w:tblInd w:w="15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8"/>
        <w:gridCol w:w="3008"/>
      </w:tblGrid>
      <w:tr>
        <w:trPr>
          <w:trHeight w:val="425" w:hRule="exact"/>
        </w:trPr>
        <w:tc>
          <w:tcPr>
            <w:tcW w:w="2978" w:type="dxa"/>
            <w:tcBorders>
              <w:left w:val="nil"/>
              <w:right w:val="nil"/>
            </w:tcBorders>
          </w:tcPr>
          <w:p>
            <w:pPr>
              <w:pStyle w:val="TableParagraph"/>
              <w:spacing w:line="274" w:lineRule="exact"/>
              <w:ind w:left="749" w:right="738"/>
              <w:jc w:val="center"/>
              <w:rPr>
                <w:sz w:val="24"/>
              </w:rPr>
            </w:pPr>
            <w:r>
              <w:rPr>
                <w:sz w:val="24"/>
              </w:rPr>
              <w:t>Zn (mg</w:t>
            </w:r>
            <w:r>
              <w:rPr>
                <w:color w:val="221E1F"/>
                <w:sz w:val="24"/>
              </w:rPr>
              <w:t>·litro</w:t>
            </w:r>
            <w:r>
              <w:rPr>
                <w:color w:val="221E1F"/>
                <w:position w:val="8"/>
                <w:sz w:val="16"/>
              </w:rPr>
              <w:t>-1</w:t>
            </w:r>
            <w:r>
              <w:rPr>
                <w:sz w:val="24"/>
              </w:rPr>
              <w:t>)</w:t>
            </w:r>
          </w:p>
        </w:tc>
        <w:tc>
          <w:tcPr>
            <w:tcW w:w="3008" w:type="dxa"/>
            <w:tcBorders>
              <w:left w:val="nil"/>
              <w:right w:val="nil"/>
            </w:tcBorders>
          </w:tcPr>
          <w:p>
            <w:pPr>
              <w:pStyle w:val="TableParagraph"/>
              <w:spacing w:line="274" w:lineRule="exact"/>
              <w:ind w:left="739" w:right="726"/>
              <w:jc w:val="center"/>
              <w:rPr>
                <w:sz w:val="24"/>
              </w:rPr>
            </w:pPr>
            <w:r>
              <w:rPr>
                <w:sz w:val="24"/>
              </w:rPr>
              <w:t>Mg (mg</w:t>
            </w:r>
            <w:r>
              <w:rPr>
                <w:color w:val="221E1F"/>
                <w:sz w:val="24"/>
              </w:rPr>
              <w:t>·litro</w:t>
            </w:r>
            <w:r>
              <w:rPr>
                <w:color w:val="221E1F"/>
                <w:position w:val="8"/>
                <w:sz w:val="16"/>
              </w:rPr>
              <w:t>-1</w:t>
            </w:r>
            <w:r>
              <w:rPr>
                <w:sz w:val="24"/>
              </w:rPr>
              <w:t>)</w:t>
            </w:r>
          </w:p>
        </w:tc>
      </w:tr>
      <w:tr>
        <w:trPr>
          <w:trHeight w:val="360" w:hRule="exact"/>
        </w:trPr>
        <w:tc>
          <w:tcPr>
            <w:tcW w:w="2978" w:type="dxa"/>
            <w:tcBorders>
              <w:left w:val="nil"/>
              <w:bottom w:val="nil"/>
              <w:right w:val="nil"/>
            </w:tcBorders>
          </w:tcPr>
          <w:p>
            <w:pPr>
              <w:pStyle w:val="TableParagraph"/>
              <w:spacing w:line="274" w:lineRule="exact"/>
              <w:ind w:left="11"/>
              <w:jc w:val="center"/>
              <w:rPr>
                <w:sz w:val="24"/>
              </w:rPr>
            </w:pPr>
            <w:r>
              <w:rPr>
                <w:w w:val="99"/>
                <w:sz w:val="24"/>
              </w:rPr>
              <w:t>0</w:t>
            </w:r>
          </w:p>
        </w:tc>
        <w:tc>
          <w:tcPr>
            <w:tcW w:w="3008" w:type="dxa"/>
            <w:tcBorders>
              <w:left w:val="nil"/>
              <w:bottom w:val="nil"/>
              <w:right w:val="nil"/>
            </w:tcBorders>
          </w:tcPr>
          <w:p>
            <w:pPr>
              <w:pStyle w:val="TableParagraph"/>
              <w:spacing w:line="274" w:lineRule="exact"/>
              <w:ind w:left="11"/>
              <w:jc w:val="center"/>
              <w:rPr>
                <w:sz w:val="24"/>
              </w:rPr>
            </w:pPr>
            <w:r>
              <w:rPr>
                <w:w w:val="99"/>
                <w:sz w:val="24"/>
              </w:rPr>
              <w:t>0</w:t>
            </w:r>
          </w:p>
        </w:tc>
      </w:tr>
      <w:tr>
        <w:trPr>
          <w:trHeight w:val="414" w:hRule="exact"/>
        </w:trPr>
        <w:tc>
          <w:tcPr>
            <w:tcW w:w="2978" w:type="dxa"/>
            <w:tcBorders>
              <w:top w:val="nil"/>
              <w:left w:val="nil"/>
              <w:bottom w:val="nil"/>
              <w:right w:val="nil"/>
            </w:tcBorders>
          </w:tcPr>
          <w:p>
            <w:pPr>
              <w:pStyle w:val="TableParagraph"/>
              <w:spacing w:before="56"/>
              <w:ind w:left="749" w:right="733"/>
              <w:jc w:val="center"/>
              <w:rPr>
                <w:sz w:val="24"/>
              </w:rPr>
            </w:pPr>
            <w:r>
              <w:rPr>
                <w:sz w:val="24"/>
              </w:rPr>
              <w:t>72</w:t>
            </w:r>
          </w:p>
        </w:tc>
        <w:tc>
          <w:tcPr>
            <w:tcW w:w="3008" w:type="dxa"/>
            <w:tcBorders>
              <w:top w:val="nil"/>
              <w:left w:val="nil"/>
              <w:bottom w:val="nil"/>
              <w:right w:val="nil"/>
            </w:tcBorders>
          </w:tcPr>
          <w:p>
            <w:pPr>
              <w:pStyle w:val="TableParagraph"/>
              <w:spacing w:before="56"/>
              <w:ind w:left="739" w:right="723"/>
              <w:jc w:val="center"/>
              <w:rPr>
                <w:sz w:val="24"/>
              </w:rPr>
            </w:pPr>
            <w:r>
              <w:rPr>
                <w:sz w:val="24"/>
              </w:rPr>
              <w:t>160</w:t>
            </w:r>
          </w:p>
        </w:tc>
      </w:tr>
      <w:tr>
        <w:trPr>
          <w:trHeight w:val="414" w:hRule="exact"/>
        </w:trPr>
        <w:tc>
          <w:tcPr>
            <w:tcW w:w="2978" w:type="dxa"/>
            <w:tcBorders>
              <w:top w:val="nil"/>
              <w:left w:val="nil"/>
              <w:bottom w:val="nil"/>
              <w:right w:val="nil"/>
            </w:tcBorders>
          </w:tcPr>
          <w:p>
            <w:pPr>
              <w:pStyle w:val="TableParagraph"/>
              <w:spacing w:before="57"/>
              <w:ind w:left="749" w:right="733"/>
              <w:jc w:val="center"/>
              <w:rPr>
                <w:sz w:val="24"/>
              </w:rPr>
            </w:pPr>
            <w:r>
              <w:rPr>
                <w:sz w:val="24"/>
              </w:rPr>
              <w:t>144</w:t>
            </w:r>
          </w:p>
        </w:tc>
        <w:tc>
          <w:tcPr>
            <w:tcW w:w="3008" w:type="dxa"/>
            <w:tcBorders>
              <w:top w:val="nil"/>
              <w:left w:val="nil"/>
              <w:bottom w:val="nil"/>
              <w:right w:val="nil"/>
            </w:tcBorders>
          </w:tcPr>
          <w:p>
            <w:pPr>
              <w:pStyle w:val="TableParagraph"/>
              <w:spacing w:before="57"/>
              <w:ind w:left="739" w:right="723"/>
              <w:jc w:val="center"/>
              <w:rPr>
                <w:sz w:val="24"/>
              </w:rPr>
            </w:pPr>
            <w:r>
              <w:rPr>
                <w:sz w:val="24"/>
              </w:rPr>
              <w:t>80</w:t>
            </w:r>
          </w:p>
        </w:tc>
      </w:tr>
      <w:tr>
        <w:trPr>
          <w:trHeight w:val="414" w:hRule="exact"/>
        </w:trPr>
        <w:tc>
          <w:tcPr>
            <w:tcW w:w="2978" w:type="dxa"/>
            <w:tcBorders>
              <w:top w:val="nil"/>
              <w:left w:val="nil"/>
              <w:bottom w:val="nil"/>
              <w:right w:val="nil"/>
            </w:tcBorders>
          </w:tcPr>
          <w:p>
            <w:pPr>
              <w:pStyle w:val="TableParagraph"/>
              <w:spacing w:before="56"/>
              <w:ind w:left="749" w:right="733"/>
              <w:jc w:val="center"/>
              <w:rPr>
                <w:sz w:val="24"/>
              </w:rPr>
            </w:pPr>
            <w:r>
              <w:rPr>
                <w:sz w:val="24"/>
              </w:rPr>
              <w:t>144</w:t>
            </w:r>
          </w:p>
        </w:tc>
        <w:tc>
          <w:tcPr>
            <w:tcW w:w="3008" w:type="dxa"/>
            <w:tcBorders>
              <w:top w:val="nil"/>
              <w:left w:val="nil"/>
              <w:bottom w:val="nil"/>
              <w:right w:val="nil"/>
            </w:tcBorders>
          </w:tcPr>
          <w:p>
            <w:pPr>
              <w:pStyle w:val="TableParagraph"/>
              <w:spacing w:before="56"/>
              <w:ind w:left="739" w:right="723"/>
              <w:jc w:val="center"/>
              <w:rPr>
                <w:sz w:val="24"/>
              </w:rPr>
            </w:pPr>
            <w:r>
              <w:rPr>
                <w:sz w:val="24"/>
              </w:rPr>
              <w:t>160</w:t>
            </w:r>
          </w:p>
        </w:tc>
      </w:tr>
      <w:tr>
        <w:trPr>
          <w:trHeight w:val="414" w:hRule="exact"/>
        </w:trPr>
        <w:tc>
          <w:tcPr>
            <w:tcW w:w="2978" w:type="dxa"/>
            <w:tcBorders>
              <w:top w:val="nil"/>
              <w:left w:val="nil"/>
              <w:bottom w:val="nil"/>
              <w:right w:val="nil"/>
            </w:tcBorders>
          </w:tcPr>
          <w:p>
            <w:pPr>
              <w:pStyle w:val="TableParagraph"/>
              <w:spacing w:before="57"/>
              <w:ind w:left="749" w:right="733"/>
              <w:jc w:val="center"/>
              <w:rPr>
                <w:sz w:val="24"/>
              </w:rPr>
            </w:pPr>
            <w:r>
              <w:rPr>
                <w:sz w:val="24"/>
              </w:rPr>
              <w:t>288</w:t>
            </w:r>
          </w:p>
        </w:tc>
        <w:tc>
          <w:tcPr>
            <w:tcW w:w="3008" w:type="dxa"/>
            <w:tcBorders>
              <w:top w:val="nil"/>
              <w:left w:val="nil"/>
              <w:bottom w:val="nil"/>
              <w:right w:val="nil"/>
            </w:tcBorders>
          </w:tcPr>
          <w:p>
            <w:pPr>
              <w:pStyle w:val="TableParagraph"/>
              <w:spacing w:before="57"/>
              <w:ind w:left="739" w:right="723"/>
              <w:jc w:val="center"/>
              <w:rPr>
                <w:sz w:val="24"/>
              </w:rPr>
            </w:pPr>
            <w:r>
              <w:rPr>
                <w:sz w:val="24"/>
              </w:rPr>
              <w:t>320</w:t>
            </w:r>
          </w:p>
        </w:tc>
      </w:tr>
      <w:tr>
        <w:trPr>
          <w:trHeight w:val="478" w:hRule="exact"/>
        </w:trPr>
        <w:tc>
          <w:tcPr>
            <w:tcW w:w="2978" w:type="dxa"/>
            <w:tcBorders>
              <w:top w:val="nil"/>
              <w:left w:val="nil"/>
              <w:right w:val="nil"/>
            </w:tcBorders>
          </w:tcPr>
          <w:p>
            <w:pPr>
              <w:pStyle w:val="TableParagraph"/>
              <w:spacing w:before="56"/>
              <w:ind w:left="749" w:right="733"/>
              <w:jc w:val="center"/>
              <w:rPr>
                <w:sz w:val="24"/>
              </w:rPr>
            </w:pPr>
            <w:r>
              <w:rPr>
                <w:sz w:val="24"/>
              </w:rPr>
              <w:t>432</w:t>
            </w:r>
          </w:p>
        </w:tc>
        <w:tc>
          <w:tcPr>
            <w:tcW w:w="3008" w:type="dxa"/>
            <w:tcBorders>
              <w:top w:val="nil"/>
              <w:left w:val="nil"/>
              <w:right w:val="nil"/>
            </w:tcBorders>
          </w:tcPr>
          <w:p>
            <w:pPr>
              <w:pStyle w:val="TableParagraph"/>
              <w:spacing w:before="56"/>
              <w:ind w:left="739" w:right="723"/>
              <w:jc w:val="center"/>
              <w:rPr>
                <w:sz w:val="24"/>
              </w:rPr>
            </w:pPr>
            <w:r>
              <w:rPr>
                <w:sz w:val="24"/>
              </w:rPr>
              <w:t>480</w:t>
            </w:r>
          </w:p>
        </w:tc>
      </w:tr>
    </w:tbl>
    <w:p>
      <w:pPr>
        <w:spacing w:after="0"/>
        <w:jc w:val="center"/>
        <w:rPr>
          <w:sz w:val="24"/>
        </w:rPr>
        <w:sectPr>
          <w:footerReference w:type="default" r:id="rId10"/>
          <w:pgSz w:w="12240" w:h="15840"/>
          <w:pgMar w:footer="1005" w:header="0" w:top="1360" w:bottom="1200" w:left="1600" w:right="1600"/>
          <w:pgNumType w:start="30"/>
        </w:sectPr>
      </w:pPr>
    </w:p>
    <w:p>
      <w:pPr>
        <w:pStyle w:val="Heading1"/>
        <w:numPr>
          <w:ilvl w:val="0"/>
          <w:numId w:val="5"/>
        </w:numPr>
        <w:tabs>
          <w:tab w:pos="3016" w:val="left" w:leader="none"/>
        </w:tabs>
        <w:spacing w:line="240" w:lineRule="auto" w:before="51" w:after="0"/>
        <w:ind w:left="3015" w:right="0" w:hanging="269"/>
        <w:jc w:val="left"/>
      </w:pPr>
      <w:r>
        <w:rPr/>
        <w:t>RESULTADOS Y</w:t>
      </w:r>
      <w:r>
        <w:rPr>
          <w:spacing w:val="-13"/>
        </w:rPr>
        <w:t> </w:t>
      </w:r>
      <w:r>
        <w:rPr/>
        <w:t>DISCUSIÓN</w:t>
      </w:r>
    </w:p>
    <w:p>
      <w:pPr>
        <w:pStyle w:val="BodyText"/>
        <w:rPr>
          <w:b/>
        </w:rPr>
      </w:pPr>
    </w:p>
    <w:p>
      <w:pPr>
        <w:pStyle w:val="BodyText"/>
        <w:rPr>
          <w:b/>
        </w:rPr>
      </w:pPr>
    </w:p>
    <w:p>
      <w:pPr>
        <w:pStyle w:val="BodyText"/>
        <w:rPr>
          <w:b/>
        </w:rPr>
      </w:pPr>
    </w:p>
    <w:p>
      <w:pPr>
        <w:pStyle w:val="Heading1"/>
        <w:numPr>
          <w:ilvl w:val="1"/>
          <w:numId w:val="9"/>
        </w:numPr>
        <w:tabs>
          <w:tab w:pos="932" w:val="left" w:leader="none"/>
        </w:tabs>
        <w:spacing w:line="240" w:lineRule="auto" w:before="0" w:after="0"/>
        <w:ind w:left="932" w:right="0" w:hanging="471"/>
        <w:jc w:val="left"/>
      </w:pPr>
      <w:bookmarkStart w:name="_TOC_250010" w:id="29"/>
      <w:r>
        <w:rPr/>
        <w:t>Fase de</w:t>
      </w:r>
      <w:r>
        <w:rPr>
          <w:spacing w:val="-13"/>
        </w:rPr>
        <w:t> </w:t>
      </w:r>
      <w:bookmarkEnd w:id="29"/>
      <w:r>
        <w:rPr/>
        <w:t>crecimiento</w:t>
      </w:r>
    </w:p>
    <w:p>
      <w:pPr>
        <w:pStyle w:val="BodyText"/>
        <w:rPr>
          <w:b/>
        </w:rPr>
      </w:pPr>
    </w:p>
    <w:p>
      <w:pPr>
        <w:pStyle w:val="BodyText"/>
        <w:spacing w:line="480" w:lineRule="auto"/>
        <w:ind w:left="101" w:right="154"/>
      </w:pPr>
      <w:r>
        <w:rPr/>
        <w:t>Los resultados de esta fase para ambos cultivares se resume en la propuesta de artículo científico “Influencia del magnesio y zinc en la altura de la planta y verdor de hojas en Lilium spp.” cuyos autores son María del Rosario Reyes-Alemán; Omar Franco-Mora; Edgar Jesús Morales-Rosales y Delfina de Jesús Pérez- López, sometido a la revista Chapingo Serie Horticultura.</w:t>
      </w:r>
    </w:p>
    <w:p>
      <w:pPr>
        <w:spacing w:after="0" w:line="480" w:lineRule="auto"/>
        <w:sectPr>
          <w:pgSz w:w="12240" w:h="15840"/>
          <w:pgMar w:header="0" w:footer="1005" w:top="1360" w:bottom="1200" w:left="1600" w:right="1720"/>
        </w:sectPr>
      </w:pPr>
    </w:p>
    <w:p>
      <w:pPr>
        <w:pStyle w:val="BodyText"/>
        <w:spacing w:before="51"/>
        <w:ind w:left="3148" w:right="3365"/>
        <w:jc w:val="center"/>
      </w:pPr>
      <w:r>
        <w:rPr/>
        <w:t>CARTA DE RECEPCIÖN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r>
        <w:rPr/>
        <w:drawing>
          <wp:anchor distT="0" distB="0" distL="0" distR="0" allowOverlap="1" layoutInCell="1" locked="0" behindDoc="0" simplePos="0" relativeHeight="1504">
            <wp:simplePos x="0" y="0"/>
            <wp:positionH relativeFrom="page">
              <wp:posOffset>1080516</wp:posOffset>
            </wp:positionH>
            <wp:positionV relativeFrom="paragraph">
              <wp:posOffset>150388</wp:posOffset>
            </wp:positionV>
            <wp:extent cx="5734854" cy="2977800"/>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1" cstate="print"/>
                    <a:stretch>
                      <a:fillRect/>
                    </a:stretch>
                  </pic:blipFill>
                  <pic:spPr>
                    <a:xfrm>
                      <a:off x="0" y="0"/>
                      <a:ext cx="5734854" cy="2977800"/>
                    </a:xfrm>
                    <a:prstGeom prst="rect">
                      <a:avLst/>
                    </a:prstGeom>
                  </pic:spPr>
                </pic:pic>
              </a:graphicData>
            </a:graphic>
          </wp:anchor>
        </w:drawing>
      </w:r>
    </w:p>
    <w:p>
      <w:pPr>
        <w:spacing w:after="0"/>
        <w:rPr>
          <w:sz w:val="17"/>
        </w:rPr>
        <w:sectPr>
          <w:pgSz w:w="12240" w:h="15840"/>
          <w:pgMar w:header="0" w:footer="1005" w:top="1360" w:bottom="1200" w:left="1600" w:right="1380"/>
        </w:sectPr>
      </w:pPr>
    </w:p>
    <w:p>
      <w:pPr>
        <w:pStyle w:val="BodyText"/>
        <w:spacing w:before="51"/>
        <w:ind w:left="121" w:right="140"/>
        <w:jc w:val="center"/>
      </w:pPr>
      <w:r>
        <w:rPr/>
        <w:t>INFLUENCIA DEL MAGNESIO Y ZINC EN LA ALTURA DE PLANTA Y VERDOR</w:t>
      </w:r>
    </w:p>
    <w:p>
      <w:pPr>
        <w:pStyle w:val="BodyText"/>
      </w:pPr>
    </w:p>
    <w:p>
      <w:pPr>
        <w:spacing w:before="0"/>
        <w:ind w:left="122" w:right="140" w:firstLine="0"/>
        <w:jc w:val="center"/>
        <w:rPr>
          <w:sz w:val="24"/>
        </w:rPr>
      </w:pPr>
      <w:r>
        <w:rPr>
          <w:sz w:val="24"/>
        </w:rPr>
        <w:t>DE HOJAS EN </w:t>
      </w:r>
      <w:r>
        <w:rPr>
          <w:i/>
          <w:sz w:val="24"/>
        </w:rPr>
        <w:t>Lilium </w:t>
      </w:r>
      <w:r>
        <w:rPr>
          <w:sz w:val="24"/>
        </w:rPr>
        <w:t>spp.</w:t>
      </w:r>
    </w:p>
    <w:p>
      <w:pPr>
        <w:pStyle w:val="BodyText"/>
      </w:pPr>
    </w:p>
    <w:p>
      <w:pPr>
        <w:pStyle w:val="BodyText"/>
      </w:pPr>
    </w:p>
    <w:p>
      <w:pPr>
        <w:pStyle w:val="BodyText"/>
      </w:pPr>
    </w:p>
    <w:p>
      <w:pPr>
        <w:pStyle w:val="BodyText"/>
        <w:spacing w:before="3"/>
        <w:rPr>
          <w:sz w:val="31"/>
        </w:rPr>
      </w:pPr>
    </w:p>
    <w:p>
      <w:pPr>
        <w:pStyle w:val="Heading1"/>
        <w:ind w:left="123" w:right="140"/>
        <w:jc w:val="center"/>
      </w:pPr>
      <w:r>
        <w:rPr/>
        <w:t>RESUMEN</w:t>
      </w:r>
    </w:p>
    <w:p>
      <w:pPr>
        <w:pStyle w:val="BodyText"/>
        <w:rPr>
          <w:b/>
        </w:rPr>
      </w:pPr>
    </w:p>
    <w:p>
      <w:pPr>
        <w:pStyle w:val="BodyText"/>
        <w:spacing w:line="480" w:lineRule="auto" w:before="161"/>
        <w:ind w:left="101" w:right="116"/>
        <w:jc w:val="both"/>
      </w:pPr>
      <w:r>
        <w:rPr/>
        <w:t>El magnesio y el zinc pueden modular algunas características agronómicas de plantas ornamentales. En cultivo bajo invernadero, se cuantificó la altura de planta (AP) e índice de verdor de hojas (IVH) de lilium (</w:t>
      </w:r>
      <w:r>
        <w:rPr>
          <w:i/>
        </w:rPr>
        <w:t>Lilium </w:t>
      </w:r>
      <w:r>
        <w:rPr/>
        <w:t>spp.) cv. Acapulco adicionando 10 o 20 ml por maceta de la solución Steiner aumentada 40 veces al sustrato</w:t>
      </w:r>
      <w:r>
        <w:rPr>
          <w:spacing w:val="-8"/>
        </w:rPr>
        <w:t> </w:t>
      </w:r>
      <w:r>
        <w:rPr/>
        <w:t>y</w:t>
      </w:r>
      <w:r>
        <w:rPr>
          <w:spacing w:val="-9"/>
        </w:rPr>
        <w:t> </w:t>
      </w:r>
      <w:r>
        <w:rPr/>
        <w:t>tres</w:t>
      </w:r>
      <w:r>
        <w:rPr>
          <w:spacing w:val="-9"/>
        </w:rPr>
        <w:t> </w:t>
      </w:r>
      <w:r>
        <w:rPr/>
        <w:t>dosis</w:t>
      </w:r>
      <w:r>
        <w:rPr>
          <w:spacing w:val="-9"/>
        </w:rPr>
        <w:t> </w:t>
      </w:r>
      <w:r>
        <w:rPr/>
        <w:t>de</w:t>
      </w:r>
      <w:r>
        <w:rPr>
          <w:spacing w:val="-11"/>
        </w:rPr>
        <w:t> </w:t>
      </w:r>
      <w:r>
        <w:rPr/>
        <w:t>fertilización</w:t>
      </w:r>
      <w:r>
        <w:rPr>
          <w:spacing w:val="-8"/>
        </w:rPr>
        <w:t> </w:t>
      </w:r>
      <w:r>
        <w:rPr/>
        <w:t>foliar</w:t>
      </w:r>
      <w:r>
        <w:rPr>
          <w:spacing w:val="-7"/>
        </w:rPr>
        <w:t> </w:t>
      </w:r>
      <w:r>
        <w:rPr/>
        <w:t>con</w:t>
      </w:r>
      <w:r>
        <w:rPr>
          <w:spacing w:val="-8"/>
        </w:rPr>
        <w:t> </w:t>
      </w:r>
      <w:r>
        <w:rPr/>
        <w:t>Zn</w:t>
      </w:r>
      <w:r>
        <w:rPr>
          <w:spacing w:val="-6"/>
        </w:rPr>
        <w:t> </w:t>
      </w:r>
      <w:r>
        <w:rPr/>
        <w:t>y</w:t>
      </w:r>
      <w:r>
        <w:rPr>
          <w:spacing w:val="-9"/>
        </w:rPr>
        <w:t> </w:t>
      </w:r>
      <w:r>
        <w:rPr/>
        <w:t>Mg</w:t>
      </w:r>
      <w:r>
        <w:rPr>
          <w:spacing w:val="-8"/>
        </w:rPr>
        <w:t> </w:t>
      </w:r>
      <w:r>
        <w:rPr/>
        <w:t>0-0,</w:t>
      </w:r>
      <w:r>
        <w:rPr>
          <w:spacing w:val="-9"/>
        </w:rPr>
        <w:t> </w:t>
      </w:r>
      <w:r>
        <w:rPr/>
        <w:t>72-80</w:t>
      </w:r>
      <w:r>
        <w:rPr>
          <w:spacing w:val="-6"/>
        </w:rPr>
        <w:t> </w:t>
      </w:r>
      <w:r>
        <w:rPr/>
        <w:t>y</w:t>
      </w:r>
      <w:r>
        <w:rPr>
          <w:spacing w:val="-9"/>
        </w:rPr>
        <w:t> </w:t>
      </w:r>
      <w:r>
        <w:rPr/>
        <w:t>144-160</w:t>
      </w:r>
      <w:r>
        <w:rPr>
          <w:spacing w:val="-8"/>
        </w:rPr>
        <w:t> </w:t>
      </w:r>
      <w:r>
        <w:rPr/>
        <w:t>m</w:t>
      </w:r>
      <w:r>
        <w:rPr>
          <w:color w:val="221E1F"/>
        </w:rPr>
        <w:t>g·litro</w:t>
      </w:r>
      <w:r>
        <w:rPr>
          <w:color w:val="221E1F"/>
          <w:position w:val="8"/>
          <w:sz w:val="16"/>
        </w:rPr>
        <w:t>- 1</w:t>
      </w:r>
      <w:r>
        <w:rPr/>
        <w:t>, respectivamente. Posteriormente, en lilium ‘Serrada’ se experimentó con seis dosis de fertilización foliar ya que se eligió a 10 ml de solución Steiner como base de fertilización al sustrato. En lilis ‘Acapulco’, a partir de los 55 días de cultivo, la aplicación foliar de 144 m</w:t>
      </w:r>
      <w:r>
        <w:rPr>
          <w:color w:val="221E1F"/>
        </w:rPr>
        <w:t>g·litro</w:t>
      </w:r>
      <w:r>
        <w:rPr>
          <w:color w:val="221E1F"/>
          <w:position w:val="8"/>
          <w:sz w:val="16"/>
        </w:rPr>
        <w:t>-1 </w:t>
      </w:r>
      <w:r>
        <w:rPr/>
        <w:t>de Zn y de 160 m</w:t>
      </w:r>
      <w:r>
        <w:rPr>
          <w:color w:val="221E1F"/>
        </w:rPr>
        <w:t>g·litro</w:t>
      </w:r>
      <w:r>
        <w:rPr>
          <w:color w:val="221E1F"/>
          <w:position w:val="8"/>
          <w:sz w:val="16"/>
        </w:rPr>
        <w:t>-1</w:t>
      </w:r>
      <w:r>
        <w:rPr/>
        <w:t>de Mg aumentó AP y a la cosecha la planta fue 4 cm más alta con respecto al control; estas plantas presentaron mayor IVH a partir del día 63 de cultivo y al menos 3 unidades SPAD (US) más a cosecha, siempre en relación al control. A cosecha, las plantas fertilizadas con 10 ml de Steiner fueron 3 cm más altas y su IVH fue igual al de las plantas fertilizadas con 20 ml de Steiner. Para el segundo cultivar, a cosecha, 2 dosis</w:t>
      </w:r>
      <w:r>
        <w:rPr>
          <w:spacing w:val="-9"/>
        </w:rPr>
        <w:t> </w:t>
      </w:r>
      <w:r>
        <w:rPr/>
        <w:t>de</w:t>
      </w:r>
      <w:r>
        <w:rPr>
          <w:spacing w:val="-11"/>
        </w:rPr>
        <w:t> </w:t>
      </w:r>
      <w:r>
        <w:rPr/>
        <w:t>Zn</w:t>
      </w:r>
      <w:r>
        <w:rPr>
          <w:spacing w:val="-8"/>
        </w:rPr>
        <w:t> </w:t>
      </w:r>
      <w:r>
        <w:rPr/>
        <w:t>y</w:t>
      </w:r>
      <w:r>
        <w:rPr>
          <w:spacing w:val="-12"/>
        </w:rPr>
        <w:t> </w:t>
      </w:r>
      <w:r>
        <w:rPr/>
        <w:t>Mg</w:t>
      </w:r>
      <w:r>
        <w:rPr>
          <w:spacing w:val="-11"/>
        </w:rPr>
        <w:t> </w:t>
      </w:r>
      <w:r>
        <w:rPr/>
        <w:t>superaron</w:t>
      </w:r>
      <w:r>
        <w:rPr>
          <w:spacing w:val="-8"/>
        </w:rPr>
        <w:t> </w:t>
      </w:r>
      <w:r>
        <w:rPr/>
        <w:t>al</w:t>
      </w:r>
      <w:r>
        <w:rPr>
          <w:spacing w:val="-10"/>
        </w:rPr>
        <w:t> </w:t>
      </w:r>
      <w:r>
        <w:rPr/>
        <w:t>control;</w:t>
      </w:r>
      <w:r>
        <w:rPr>
          <w:spacing w:val="-9"/>
        </w:rPr>
        <w:t> </w:t>
      </w:r>
      <w:r>
        <w:rPr/>
        <w:t>la</w:t>
      </w:r>
      <w:r>
        <w:rPr>
          <w:spacing w:val="-11"/>
        </w:rPr>
        <w:t> </w:t>
      </w:r>
      <w:r>
        <w:rPr/>
        <w:t>mayor</w:t>
      </w:r>
      <w:r>
        <w:rPr>
          <w:spacing w:val="-10"/>
        </w:rPr>
        <w:t> </w:t>
      </w:r>
      <w:r>
        <w:rPr/>
        <w:t>altura</w:t>
      </w:r>
      <w:r>
        <w:rPr>
          <w:spacing w:val="-11"/>
        </w:rPr>
        <w:t> </w:t>
      </w:r>
      <w:r>
        <w:rPr/>
        <w:t>de</w:t>
      </w:r>
      <w:r>
        <w:rPr>
          <w:spacing w:val="-11"/>
        </w:rPr>
        <w:t> </w:t>
      </w:r>
      <w:r>
        <w:rPr/>
        <w:t>planta</w:t>
      </w:r>
      <w:r>
        <w:rPr>
          <w:spacing w:val="-8"/>
        </w:rPr>
        <w:t> </w:t>
      </w:r>
      <w:r>
        <w:rPr/>
        <w:t>con</w:t>
      </w:r>
      <w:r>
        <w:rPr>
          <w:spacing w:val="-11"/>
        </w:rPr>
        <w:t> </w:t>
      </w:r>
      <w:r>
        <w:rPr/>
        <w:t>menor</w:t>
      </w:r>
      <w:r>
        <w:rPr>
          <w:spacing w:val="-10"/>
        </w:rPr>
        <w:t> </w:t>
      </w:r>
      <w:r>
        <w:rPr/>
        <w:t>dosis</w:t>
      </w:r>
      <w:r>
        <w:rPr>
          <w:spacing w:val="-12"/>
        </w:rPr>
        <w:t> </w:t>
      </w:r>
      <w:r>
        <w:rPr/>
        <w:t>de nutrimentos fue 72 mg·litro</w:t>
      </w:r>
      <w:r>
        <w:rPr>
          <w:position w:val="8"/>
          <w:sz w:val="16"/>
        </w:rPr>
        <w:t>-1 </w:t>
      </w:r>
      <w:r>
        <w:rPr/>
        <w:t>de Zn y 160 mg·litro</w:t>
      </w:r>
      <w:r>
        <w:rPr>
          <w:position w:val="8"/>
          <w:sz w:val="16"/>
        </w:rPr>
        <w:t>-1 </w:t>
      </w:r>
      <w:r>
        <w:rPr/>
        <w:t>de Mg, con 9 cm de diferencia con respecto al control. En este cultivar no se generó diferencia para</w:t>
      </w:r>
      <w:r>
        <w:rPr>
          <w:spacing w:val="-30"/>
        </w:rPr>
        <w:t> </w:t>
      </w:r>
      <w:r>
        <w:rPr/>
        <w:t>IVH.</w:t>
      </w:r>
    </w:p>
    <w:p>
      <w:pPr>
        <w:spacing w:after="0" w:line="480" w:lineRule="auto"/>
        <w:jc w:val="both"/>
        <w:sectPr>
          <w:pgSz w:w="12240" w:h="15840"/>
          <w:pgMar w:header="0" w:footer="1005" w:top="1360" w:bottom="1200" w:left="1600" w:right="1580"/>
        </w:sectPr>
      </w:pPr>
    </w:p>
    <w:p>
      <w:pPr>
        <w:pStyle w:val="Heading1"/>
        <w:spacing w:before="54"/>
        <w:ind w:left="119" w:right="140"/>
        <w:jc w:val="center"/>
      </w:pPr>
      <w:r>
        <w:rPr/>
        <w:t>Highlights</w:t>
      </w:r>
    </w:p>
    <w:p>
      <w:pPr>
        <w:pStyle w:val="BodyText"/>
        <w:rPr>
          <w:b/>
        </w:rPr>
      </w:pPr>
    </w:p>
    <w:p>
      <w:pPr>
        <w:pStyle w:val="BodyText"/>
        <w:spacing w:line="616" w:lineRule="auto" w:before="197"/>
        <w:ind w:left="101" w:right="2361"/>
      </w:pPr>
      <w:r>
        <w:rPr/>
        <w:t>1 Doses of Steiner solution might modulate </w:t>
      </w:r>
      <w:r>
        <w:rPr>
          <w:i/>
        </w:rPr>
        <w:t>Lilium </w:t>
      </w:r>
      <w:r>
        <w:rPr/>
        <w:t>plant heigh. 2 Adition of Mg and Zn spray increase </w:t>
      </w:r>
      <w:r>
        <w:rPr>
          <w:i/>
        </w:rPr>
        <w:t>Lilium </w:t>
      </w:r>
      <w:r>
        <w:rPr/>
        <w:t>plant heigh.</w:t>
      </w:r>
    </w:p>
    <w:p>
      <w:pPr>
        <w:pStyle w:val="ListParagraph"/>
        <w:numPr>
          <w:ilvl w:val="0"/>
          <w:numId w:val="10"/>
        </w:numPr>
        <w:tabs>
          <w:tab w:pos="301" w:val="left" w:leader="none"/>
        </w:tabs>
        <w:spacing w:line="240" w:lineRule="auto" w:before="16" w:after="0"/>
        <w:ind w:left="101" w:right="0" w:firstLine="0"/>
        <w:jc w:val="both"/>
        <w:rPr>
          <w:sz w:val="24"/>
        </w:rPr>
      </w:pPr>
      <w:r>
        <w:rPr>
          <w:sz w:val="24"/>
        </w:rPr>
        <w:t>The</w:t>
      </w:r>
      <w:r>
        <w:rPr>
          <w:spacing w:val="-4"/>
          <w:sz w:val="24"/>
        </w:rPr>
        <w:t> </w:t>
      </w:r>
      <w:r>
        <w:rPr>
          <w:sz w:val="24"/>
        </w:rPr>
        <w:t>leave</w:t>
      </w:r>
      <w:r>
        <w:rPr>
          <w:spacing w:val="-4"/>
          <w:sz w:val="24"/>
        </w:rPr>
        <w:t> </w:t>
      </w:r>
      <w:r>
        <w:rPr>
          <w:sz w:val="24"/>
        </w:rPr>
        <w:t>color</w:t>
      </w:r>
      <w:r>
        <w:rPr>
          <w:spacing w:val="-6"/>
          <w:sz w:val="24"/>
        </w:rPr>
        <w:t> </w:t>
      </w:r>
      <w:r>
        <w:rPr>
          <w:sz w:val="24"/>
        </w:rPr>
        <w:t>of</w:t>
      </w:r>
      <w:r>
        <w:rPr>
          <w:spacing w:val="-2"/>
          <w:sz w:val="24"/>
        </w:rPr>
        <w:t> </w:t>
      </w:r>
      <w:r>
        <w:rPr>
          <w:sz w:val="24"/>
        </w:rPr>
        <w:t>some</w:t>
      </w:r>
      <w:r>
        <w:rPr>
          <w:spacing w:val="-7"/>
          <w:sz w:val="24"/>
        </w:rPr>
        <w:t> </w:t>
      </w:r>
      <w:r>
        <w:rPr>
          <w:i/>
          <w:sz w:val="24"/>
        </w:rPr>
        <w:t>Lilium</w:t>
      </w:r>
      <w:r>
        <w:rPr>
          <w:i/>
          <w:spacing w:val="-8"/>
          <w:sz w:val="24"/>
        </w:rPr>
        <w:t> </w:t>
      </w:r>
      <w:r>
        <w:rPr>
          <w:sz w:val="24"/>
        </w:rPr>
        <w:t>cultivars</w:t>
      </w:r>
      <w:r>
        <w:rPr>
          <w:spacing w:val="-5"/>
          <w:sz w:val="24"/>
        </w:rPr>
        <w:t> </w:t>
      </w:r>
      <w:r>
        <w:rPr>
          <w:sz w:val="24"/>
        </w:rPr>
        <w:t>might</w:t>
      </w:r>
      <w:r>
        <w:rPr>
          <w:spacing w:val="-5"/>
          <w:sz w:val="24"/>
        </w:rPr>
        <w:t> </w:t>
      </w:r>
      <w:r>
        <w:rPr>
          <w:sz w:val="24"/>
        </w:rPr>
        <w:t>be</w:t>
      </w:r>
      <w:r>
        <w:rPr>
          <w:spacing w:val="-7"/>
          <w:sz w:val="24"/>
        </w:rPr>
        <w:t> </w:t>
      </w:r>
      <w:r>
        <w:rPr>
          <w:sz w:val="24"/>
        </w:rPr>
        <w:t>increased</w:t>
      </w:r>
      <w:r>
        <w:rPr>
          <w:spacing w:val="-4"/>
          <w:sz w:val="24"/>
        </w:rPr>
        <w:t> </w:t>
      </w:r>
      <w:r>
        <w:rPr>
          <w:sz w:val="24"/>
        </w:rPr>
        <w:t>by</w:t>
      </w:r>
      <w:r>
        <w:rPr>
          <w:spacing w:val="-8"/>
          <w:sz w:val="24"/>
        </w:rPr>
        <w:t> </w:t>
      </w:r>
      <w:r>
        <w:rPr>
          <w:sz w:val="24"/>
        </w:rPr>
        <w:t>Mg</w:t>
      </w:r>
      <w:r>
        <w:rPr>
          <w:spacing w:val="-7"/>
          <w:sz w:val="24"/>
        </w:rPr>
        <w:t> </w:t>
      </w:r>
      <w:r>
        <w:rPr>
          <w:sz w:val="24"/>
        </w:rPr>
        <w:t>and</w:t>
      </w:r>
      <w:r>
        <w:rPr>
          <w:spacing w:val="-4"/>
          <w:sz w:val="24"/>
        </w:rPr>
        <w:t> </w:t>
      </w:r>
      <w:r>
        <w:rPr>
          <w:sz w:val="24"/>
        </w:rPr>
        <w:t>Zn</w:t>
      </w:r>
      <w:r>
        <w:rPr>
          <w:spacing w:val="-4"/>
          <w:sz w:val="24"/>
        </w:rPr>
        <w:t> </w:t>
      </w:r>
      <w:r>
        <w:rPr>
          <w:sz w:val="24"/>
        </w:rPr>
        <w:t>sprays.</w:t>
      </w:r>
    </w:p>
    <w:p>
      <w:pPr>
        <w:pStyle w:val="BodyText"/>
      </w:pPr>
    </w:p>
    <w:p>
      <w:pPr>
        <w:spacing w:line="480" w:lineRule="auto" w:before="163"/>
        <w:ind w:left="101" w:right="390" w:firstLine="0"/>
        <w:jc w:val="left"/>
        <w:rPr>
          <w:sz w:val="24"/>
        </w:rPr>
      </w:pPr>
      <w:r>
        <w:rPr>
          <w:b/>
          <w:sz w:val="24"/>
        </w:rPr>
        <w:t>PALABRAS CLAVE ADICIONALES: </w:t>
      </w:r>
      <w:r>
        <w:rPr>
          <w:sz w:val="24"/>
        </w:rPr>
        <w:t>calidad de corte, crecimiento, fotosíntesis, nutrición, sustrato.</w:t>
      </w:r>
    </w:p>
    <w:p>
      <w:pPr>
        <w:pStyle w:val="BodyText"/>
      </w:pPr>
    </w:p>
    <w:p>
      <w:pPr>
        <w:pStyle w:val="BodyText"/>
      </w:pPr>
    </w:p>
    <w:p>
      <w:pPr>
        <w:pStyle w:val="BodyText"/>
      </w:pPr>
    </w:p>
    <w:p>
      <w:pPr>
        <w:pStyle w:val="BodyText"/>
      </w:pPr>
    </w:p>
    <w:p>
      <w:pPr>
        <w:pStyle w:val="BodyText"/>
      </w:pPr>
    </w:p>
    <w:p>
      <w:pPr>
        <w:pStyle w:val="BodyText"/>
        <w:spacing w:before="11"/>
        <w:rPr>
          <w:sz w:val="21"/>
        </w:rPr>
      </w:pPr>
    </w:p>
    <w:p>
      <w:pPr>
        <w:pStyle w:val="Heading1"/>
        <w:ind w:left="121" w:right="140"/>
        <w:jc w:val="center"/>
      </w:pPr>
      <w:r>
        <w:rPr/>
        <w:t>INTRODUCCIÓN</w:t>
      </w:r>
    </w:p>
    <w:p>
      <w:pPr>
        <w:pStyle w:val="BodyText"/>
        <w:rPr>
          <w:b/>
        </w:rPr>
      </w:pPr>
    </w:p>
    <w:p>
      <w:pPr>
        <w:pStyle w:val="BodyText"/>
        <w:spacing w:line="480" w:lineRule="auto" w:before="197"/>
        <w:ind w:left="101" w:right="114"/>
        <w:jc w:val="both"/>
      </w:pPr>
      <w:r>
        <w:rPr/>
        <w:t>A</w:t>
      </w:r>
      <w:r>
        <w:rPr>
          <w:spacing w:val="-5"/>
        </w:rPr>
        <w:t> </w:t>
      </w:r>
      <w:r>
        <w:rPr/>
        <w:t>nivel</w:t>
      </w:r>
      <w:r>
        <w:rPr>
          <w:spacing w:val="-6"/>
        </w:rPr>
        <w:t> </w:t>
      </w:r>
      <w:r>
        <w:rPr/>
        <w:t>mundial,</w:t>
      </w:r>
      <w:r>
        <w:rPr>
          <w:spacing w:val="-7"/>
        </w:rPr>
        <w:t> </w:t>
      </w:r>
      <w:r>
        <w:rPr/>
        <w:t>el</w:t>
      </w:r>
      <w:r>
        <w:rPr>
          <w:spacing w:val="-6"/>
        </w:rPr>
        <w:t> </w:t>
      </w:r>
      <w:r>
        <w:rPr/>
        <w:t>cultivo</w:t>
      </w:r>
      <w:r>
        <w:rPr>
          <w:spacing w:val="-4"/>
        </w:rPr>
        <w:t> </w:t>
      </w:r>
      <w:r>
        <w:rPr/>
        <w:t>de</w:t>
      </w:r>
      <w:r>
        <w:rPr>
          <w:spacing w:val="-4"/>
        </w:rPr>
        <w:t> </w:t>
      </w:r>
      <w:r>
        <w:rPr/>
        <w:t>lilis</w:t>
      </w:r>
      <w:r>
        <w:rPr>
          <w:spacing w:val="-5"/>
        </w:rPr>
        <w:t> </w:t>
      </w:r>
      <w:r>
        <w:rPr/>
        <w:t>(</w:t>
      </w:r>
      <w:r>
        <w:rPr>
          <w:i/>
        </w:rPr>
        <w:t>Lilum</w:t>
      </w:r>
      <w:r>
        <w:rPr>
          <w:i/>
          <w:spacing w:val="-8"/>
        </w:rPr>
        <w:t> </w:t>
      </w:r>
      <w:r>
        <w:rPr/>
        <w:t>spp.)</w:t>
      </w:r>
      <w:r>
        <w:rPr>
          <w:spacing w:val="-8"/>
        </w:rPr>
        <w:t> </w:t>
      </w:r>
      <w:r>
        <w:rPr/>
        <w:t>ocupa</w:t>
      </w:r>
      <w:r>
        <w:rPr>
          <w:spacing w:val="-4"/>
        </w:rPr>
        <w:t> </w:t>
      </w:r>
      <w:r>
        <w:rPr/>
        <w:t>el</w:t>
      </w:r>
      <w:r>
        <w:rPr>
          <w:spacing w:val="-8"/>
        </w:rPr>
        <w:t> </w:t>
      </w:r>
      <w:r>
        <w:rPr/>
        <w:t>cuarto</w:t>
      </w:r>
      <w:r>
        <w:rPr>
          <w:spacing w:val="-4"/>
        </w:rPr>
        <w:t> </w:t>
      </w:r>
      <w:r>
        <w:rPr/>
        <w:t>lugar</w:t>
      </w:r>
      <w:r>
        <w:rPr>
          <w:spacing w:val="-8"/>
        </w:rPr>
        <w:t> </w:t>
      </w:r>
      <w:r>
        <w:rPr/>
        <w:t>en</w:t>
      </w:r>
      <w:r>
        <w:rPr>
          <w:spacing w:val="-4"/>
        </w:rPr>
        <w:t> </w:t>
      </w:r>
      <w:r>
        <w:rPr/>
        <w:t>la</w:t>
      </w:r>
      <w:r>
        <w:rPr>
          <w:spacing w:val="-7"/>
        </w:rPr>
        <w:t> </w:t>
      </w:r>
      <w:r>
        <w:rPr/>
        <w:t>producción de bulbosas (Miller, 2014). En el estado de México, esta especie ornamental se ha posicionado en los primeros cinco lugares por su producción e impacto económico (SAGARPA, 2012). Por ello, existe interés en optimizar los insumos de producción; particularmente, se sabe que la dosificación correcta de nutrimentos contenidos en fertilizantes y/o abonos puede modular aspectos de calidad ornamental, es decir, color, tamaño, olor, producción de metabolitos secundarios, vida postcosecha, etc. (Rodriguez-Landero, Franco-Mora, Morales-Rosales, Pérez-López, &amp; Castañeda- Vildózola, 2012; Ying, Bai, Kong, Dou, &amp; Wang, 2014). El correcto manejo de la nutrición</w:t>
      </w:r>
      <w:r>
        <w:rPr>
          <w:spacing w:val="-5"/>
        </w:rPr>
        <w:t> </w:t>
      </w:r>
      <w:r>
        <w:rPr/>
        <w:t>vegetal</w:t>
      </w:r>
      <w:r>
        <w:rPr>
          <w:spacing w:val="-9"/>
        </w:rPr>
        <w:t> </w:t>
      </w:r>
      <w:r>
        <w:rPr/>
        <w:t>puede</w:t>
      </w:r>
      <w:r>
        <w:rPr>
          <w:spacing w:val="-5"/>
        </w:rPr>
        <w:t> </w:t>
      </w:r>
      <w:r>
        <w:rPr/>
        <w:t>permitir</w:t>
      </w:r>
      <w:r>
        <w:rPr>
          <w:spacing w:val="-9"/>
        </w:rPr>
        <w:t> </w:t>
      </w:r>
      <w:r>
        <w:rPr/>
        <w:t>mejorar</w:t>
      </w:r>
      <w:r>
        <w:rPr>
          <w:spacing w:val="-7"/>
        </w:rPr>
        <w:t> </w:t>
      </w:r>
      <w:r>
        <w:rPr/>
        <w:t>la</w:t>
      </w:r>
      <w:r>
        <w:rPr>
          <w:spacing w:val="-5"/>
        </w:rPr>
        <w:t> </w:t>
      </w:r>
      <w:r>
        <w:rPr/>
        <w:t>relación</w:t>
      </w:r>
      <w:r>
        <w:rPr>
          <w:spacing w:val="-5"/>
        </w:rPr>
        <w:t> </w:t>
      </w:r>
      <w:r>
        <w:rPr/>
        <w:t>costo</w:t>
      </w:r>
      <w:r>
        <w:rPr>
          <w:spacing w:val="-8"/>
        </w:rPr>
        <w:t> </w:t>
      </w:r>
      <w:r>
        <w:rPr/>
        <w:t>beneficio.</w:t>
      </w:r>
      <w:r>
        <w:rPr>
          <w:spacing w:val="-8"/>
        </w:rPr>
        <w:t> </w:t>
      </w:r>
      <w:r>
        <w:rPr/>
        <w:t>Por</w:t>
      </w:r>
      <w:r>
        <w:rPr>
          <w:spacing w:val="-7"/>
        </w:rPr>
        <w:t> </w:t>
      </w:r>
      <w:r>
        <w:rPr/>
        <w:t>ejemplo,</w:t>
      </w:r>
      <w:r>
        <w:rPr>
          <w:spacing w:val="-8"/>
        </w:rPr>
        <w:t> </w:t>
      </w:r>
      <w:r>
        <w:rPr/>
        <w:t>en la</w:t>
      </w:r>
      <w:r>
        <w:rPr>
          <w:spacing w:val="48"/>
        </w:rPr>
        <w:t> </w:t>
      </w:r>
      <w:r>
        <w:rPr/>
        <w:t>Comunidad</w:t>
      </w:r>
      <w:r>
        <w:rPr>
          <w:spacing w:val="48"/>
        </w:rPr>
        <w:t> </w:t>
      </w:r>
      <w:r>
        <w:rPr/>
        <w:t>Económica</w:t>
      </w:r>
      <w:r>
        <w:rPr>
          <w:spacing w:val="48"/>
        </w:rPr>
        <w:t> </w:t>
      </w:r>
      <w:r>
        <w:rPr/>
        <w:t>Europea,</w:t>
      </w:r>
      <w:r>
        <w:rPr>
          <w:spacing w:val="47"/>
        </w:rPr>
        <w:t> </w:t>
      </w:r>
      <w:r>
        <w:rPr/>
        <w:t>el</w:t>
      </w:r>
      <w:r>
        <w:rPr>
          <w:spacing w:val="46"/>
        </w:rPr>
        <w:t> </w:t>
      </w:r>
      <w:r>
        <w:rPr/>
        <w:t>tamaño</w:t>
      </w:r>
      <w:r>
        <w:rPr>
          <w:spacing w:val="48"/>
        </w:rPr>
        <w:t> </w:t>
      </w:r>
      <w:r>
        <w:rPr/>
        <w:t>del</w:t>
      </w:r>
      <w:r>
        <w:rPr>
          <w:spacing w:val="46"/>
        </w:rPr>
        <w:t> </w:t>
      </w:r>
      <w:r>
        <w:rPr/>
        <w:t>tallo</w:t>
      </w:r>
      <w:r>
        <w:rPr>
          <w:spacing w:val="48"/>
        </w:rPr>
        <w:t> </w:t>
      </w:r>
      <w:r>
        <w:rPr/>
        <w:t>de</w:t>
      </w:r>
      <w:r>
        <w:rPr>
          <w:spacing w:val="48"/>
        </w:rPr>
        <w:t> </w:t>
      </w:r>
      <w:r>
        <w:rPr>
          <w:i/>
        </w:rPr>
        <w:t>Lilium</w:t>
      </w:r>
      <w:r>
        <w:rPr>
          <w:i/>
          <w:spacing w:val="46"/>
        </w:rPr>
        <w:t> </w:t>
      </w:r>
      <w:r>
        <w:rPr/>
        <w:t>determina</w:t>
      </w:r>
      <w:r>
        <w:rPr>
          <w:spacing w:val="48"/>
        </w:rPr>
        <w:t> </w:t>
      </w:r>
      <w:r>
        <w:rPr/>
        <w:t>su</w:t>
      </w:r>
    </w:p>
    <w:p>
      <w:pPr>
        <w:spacing w:after="0" w:line="480" w:lineRule="auto"/>
        <w:jc w:val="both"/>
        <w:sectPr>
          <w:pgSz w:w="12240" w:h="15840"/>
          <w:pgMar w:header="0" w:footer="1005" w:top="1360" w:bottom="1200" w:left="1600" w:right="1580"/>
        </w:sectPr>
      </w:pPr>
    </w:p>
    <w:p>
      <w:pPr>
        <w:pStyle w:val="BodyText"/>
        <w:spacing w:line="480" w:lineRule="auto" w:before="51"/>
        <w:ind w:left="101" w:right="120"/>
        <w:jc w:val="both"/>
      </w:pPr>
      <w:r>
        <w:rPr/>
        <w:t>clasificación en segunda, primera, extra y super extra (Bañon, González, Fernández, &amp; Cifuentes, 1993).</w:t>
      </w:r>
    </w:p>
    <w:p>
      <w:pPr>
        <w:pStyle w:val="BodyText"/>
        <w:spacing w:line="480" w:lineRule="auto" w:before="8"/>
        <w:ind w:left="101" w:right="116"/>
        <w:jc w:val="both"/>
      </w:pPr>
      <w:r>
        <w:rPr/>
        <w:t>Con el manejo de la fertilización, tanto al sustrato como foliar, se ha mejorado la calidad de la inflorescencia y/o el follaje en crisantemo ‘Polar’ (Gaytán-Acuña, Ochoa-Martínez, García-Velasco, Zavaleta-Mejía, &amp; Mora-Aguilera, 2006), celosía ‘Chief’ (</w:t>
      </w:r>
      <w:r>
        <w:rPr>
          <w:i/>
        </w:rPr>
        <w:t>Celosia </w:t>
      </w:r>
      <w:r>
        <w:rPr/>
        <w:t>c</w:t>
      </w:r>
      <w:r>
        <w:rPr>
          <w:i/>
        </w:rPr>
        <w:t>ristata </w:t>
      </w:r>
      <w:r>
        <w:rPr/>
        <w:t>L.), cosmos ‘Sensation’ (</w:t>
      </w:r>
      <w:r>
        <w:rPr>
          <w:i/>
        </w:rPr>
        <w:t>Cosmos bipinnatus </w:t>
      </w:r>
      <w:r>
        <w:rPr/>
        <w:t>Cav.), girasol ‘Sunbright’ y ‘Sunrich Orange’ (</w:t>
      </w:r>
      <w:r>
        <w:rPr>
          <w:i/>
        </w:rPr>
        <w:t>Helianthus annuus </w:t>
      </w:r>
      <w:r>
        <w:rPr/>
        <w:t>L.) y zinnia ‘Benary Giant Mix’ (</w:t>
      </w:r>
      <w:r>
        <w:rPr>
          <w:i/>
        </w:rPr>
        <w:t>Zinnia elegans </w:t>
      </w:r>
      <w:r>
        <w:rPr/>
        <w:t>L.) (Ahmad, Doleb, &amp; Nelson, 2012), tulipán (</w:t>
      </w:r>
      <w:r>
        <w:rPr>
          <w:i/>
        </w:rPr>
        <w:t>Tulipa gesneriana </w:t>
      </w:r>
      <w:r>
        <w:rPr/>
        <w:t>L.) (Rodríguez-Mendoza, Osorio-Rosales, Trejo-Téllez, Arévalo-Galarza, &amp; Castillo- González, 2011), </w:t>
      </w:r>
      <w:r>
        <w:rPr>
          <w:i/>
        </w:rPr>
        <w:t>Ranunculus asiaticus </w:t>
      </w:r>
      <w:r>
        <w:rPr/>
        <w:t>(L), (Bernstein, Ioffe, Luria, Bruner, Nishri, Philosoph-Hadas, Salim, Dori, &amp; Matan, 2011), </w:t>
      </w:r>
      <w:r>
        <w:rPr>
          <w:i/>
        </w:rPr>
        <w:t>Gladiolus hortulanus </w:t>
      </w:r>
      <w:r>
        <w:rPr/>
        <w:t>L. cv. Wind Song (Kham &amp; Ahmad, 2004), etc. En el caso de </w:t>
      </w:r>
      <w:r>
        <w:rPr>
          <w:i/>
        </w:rPr>
        <w:t>Lilium </w:t>
      </w:r>
      <w:r>
        <w:rPr/>
        <w:t>en función de su estado de </w:t>
      </w:r>
      <w:r>
        <w:rPr>
          <w:position w:val="1"/>
        </w:rPr>
        <w:t>desarrollo, se recomendó la aplicación de N, P</w:t>
      </w:r>
      <w:r>
        <w:rPr>
          <w:sz w:val="16"/>
        </w:rPr>
        <w:t>2</w:t>
      </w:r>
      <w:r>
        <w:rPr>
          <w:position w:val="1"/>
        </w:rPr>
        <w:t>O</w:t>
      </w:r>
      <w:r>
        <w:rPr>
          <w:sz w:val="16"/>
        </w:rPr>
        <w:t>5</w:t>
      </w:r>
      <w:r>
        <w:rPr>
          <w:position w:val="1"/>
        </w:rPr>
        <w:t>, K</w:t>
      </w:r>
      <w:r>
        <w:rPr>
          <w:sz w:val="16"/>
        </w:rPr>
        <w:t>2</w:t>
      </w:r>
      <w:r>
        <w:rPr>
          <w:position w:val="1"/>
        </w:rPr>
        <w:t>O y Ca a 16.5, 4.4, 14.1 y</w:t>
      </w:r>
      <w:r>
        <w:rPr>
          <w:spacing w:val="-41"/>
          <w:position w:val="1"/>
        </w:rPr>
        <w:t> </w:t>
      </w:r>
      <w:r>
        <w:rPr>
          <w:position w:val="1"/>
        </w:rPr>
        <w:t>2.6 </w:t>
      </w:r>
      <w:r>
        <w:rPr>
          <w:color w:val="221E1F"/>
        </w:rPr>
        <w:t>g·m</w:t>
      </w:r>
      <w:r>
        <w:rPr>
          <w:color w:val="221E1F"/>
          <w:position w:val="8"/>
          <w:sz w:val="16"/>
        </w:rPr>
        <w:t>-2</w:t>
      </w:r>
      <w:r>
        <w:rPr>
          <w:color w:val="221E1F"/>
        </w:rPr>
        <w:t>, </w:t>
      </w:r>
      <w:r>
        <w:rPr/>
        <w:t>para los cvs. Miami y Navona y 15.3, 4.3, 16.8 y 2.6 </w:t>
      </w:r>
      <w:r>
        <w:rPr>
          <w:color w:val="221E1F"/>
        </w:rPr>
        <w:t>g·m</w:t>
      </w:r>
      <w:r>
        <w:rPr>
          <w:color w:val="221E1F"/>
          <w:position w:val="8"/>
          <w:sz w:val="16"/>
        </w:rPr>
        <w:t>-2 </w:t>
      </w:r>
      <w:r>
        <w:rPr>
          <w:color w:val="221E1F"/>
        </w:rPr>
        <w:t>para </w:t>
      </w:r>
      <w:r>
        <w:rPr/>
        <w:t>Fangio (Ortega-Blu, Correa-Benguria, &amp; Olate-Muñoz, 2006). La aplicación del fertilizante Multicote (16:18:21 + 3 MgO) en el sustrato, al inicio del cultivo, en tres dosis 0, 2</w:t>
      </w:r>
      <w:r>
        <w:rPr>
          <w:spacing w:val="-36"/>
        </w:rPr>
        <w:t> </w:t>
      </w:r>
      <w:r>
        <w:rPr/>
        <w:t>y</w:t>
      </w:r>
    </w:p>
    <w:p>
      <w:pPr>
        <w:pStyle w:val="ListParagraph"/>
        <w:numPr>
          <w:ilvl w:val="0"/>
          <w:numId w:val="10"/>
        </w:numPr>
        <w:tabs>
          <w:tab w:pos="378" w:val="left" w:leader="none"/>
        </w:tabs>
        <w:spacing w:line="480" w:lineRule="auto" w:before="3" w:after="0"/>
        <w:ind w:left="101" w:right="114" w:firstLine="0"/>
        <w:jc w:val="both"/>
        <w:rPr>
          <w:sz w:val="24"/>
        </w:rPr>
      </w:pPr>
      <w:r>
        <w:rPr>
          <w:sz w:val="24"/>
        </w:rPr>
        <w:t>g·litro</w:t>
      </w:r>
      <w:r>
        <w:rPr>
          <w:position w:val="8"/>
          <w:sz w:val="16"/>
        </w:rPr>
        <w:t>-1</w:t>
      </w:r>
      <w:r>
        <w:rPr>
          <w:sz w:val="24"/>
        </w:rPr>
        <w:t>, y posteriormente, durante el periodo vegetativo de la solución del fertilizante Peters (15:11:29) en concentraciones de 2 g·litro</w:t>
      </w:r>
      <w:r>
        <w:rPr>
          <w:position w:val="8"/>
          <w:sz w:val="16"/>
        </w:rPr>
        <w:t>-1 </w:t>
      </w:r>
      <w:r>
        <w:rPr>
          <w:sz w:val="24"/>
        </w:rPr>
        <w:t>mejoró el verdor en las hojas, expresado en valores SPAD, en </w:t>
      </w:r>
      <w:r>
        <w:rPr>
          <w:i/>
          <w:sz w:val="24"/>
        </w:rPr>
        <w:t>Lilium </w:t>
      </w:r>
      <w:r>
        <w:rPr>
          <w:sz w:val="24"/>
        </w:rPr>
        <w:t>‘Le Reve’, ‘Acapulco’, ‘Sorbonne’ y ‘Siberia’ (Treder, 2005). Por otra parte, la fertilización al sustrato con nitrógeno y potasio para lilium ‘Starfighter’ incidió en el aroma. El N particularmente aumentó las concentraciones de terpenos, ésteres y aldehídos como 1,8-cineol, β-ocimeno, linalool, metil benzoato, 2,4 dimetil benzaldehído y nonanal (Salazar-Orozco, Ruiz- Sánchez, Valdez-Aguilar, Pistelli, Ruíz-Olmos, &amp; Grassotti,</w:t>
      </w:r>
      <w:r>
        <w:rPr>
          <w:spacing w:val="-31"/>
          <w:sz w:val="24"/>
        </w:rPr>
        <w:t> </w:t>
      </w:r>
      <w:r>
        <w:rPr>
          <w:sz w:val="24"/>
        </w:rPr>
        <w:t>2013)</w:t>
      </w:r>
    </w:p>
    <w:p>
      <w:pPr>
        <w:spacing w:after="0" w:line="480" w:lineRule="auto"/>
        <w:jc w:val="both"/>
        <w:rPr>
          <w:sz w:val="24"/>
        </w:rPr>
        <w:sectPr>
          <w:pgSz w:w="12240" w:h="15840"/>
          <w:pgMar w:header="0" w:footer="1005" w:top="1360" w:bottom="1200" w:left="1600" w:right="1580"/>
        </w:sectPr>
      </w:pPr>
    </w:p>
    <w:p>
      <w:pPr>
        <w:pStyle w:val="BodyText"/>
        <w:spacing w:line="480" w:lineRule="auto" w:before="49"/>
        <w:ind w:left="101" w:right="114"/>
        <w:jc w:val="both"/>
      </w:pPr>
      <w:r>
        <w:rPr/>
        <w:t>Diversas opiniones indican que en </w:t>
      </w:r>
      <w:r>
        <w:rPr>
          <w:i/>
        </w:rPr>
        <w:t>Lilium</w:t>
      </w:r>
      <w:r>
        <w:rPr/>
        <w:t>, la nutrición foliar es una práctica necesaria,</w:t>
      </w:r>
      <w:r>
        <w:rPr>
          <w:spacing w:val="-7"/>
        </w:rPr>
        <w:t> </w:t>
      </w:r>
      <w:r>
        <w:rPr/>
        <w:t>y</w:t>
      </w:r>
      <w:r>
        <w:rPr>
          <w:spacing w:val="-10"/>
        </w:rPr>
        <w:t> </w:t>
      </w:r>
      <w:r>
        <w:rPr/>
        <w:t>complementaria</w:t>
      </w:r>
      <w:r>
        <w:rPr>
          <w:spacing w:val="-9"/>
        </w:rPr>
        <w:t> </w:t>
      </w:r>
      <w:r>
        <w:rPr/>
        <w:t>a</w:t>
      </w:r>
      <w:r>
        <w:rPr>
          <w:spacing w:val="-7"/>
        </w:rPr>
        <w:t> </w:t>
      </w:r>
      <w:r>
        <w:rPr/>
        <w:t>la</w:t>
      </w:r>
      <w:r>
        <w:rPr>
          <w:spacing w:val="-9"/>
        </w:rPr>
        <w:t> </w:t>
      </w:r>
      <w:r>
        <w:rPr/>
        <w:t>fertilización</w:t>
      </w:r>
      <w:r>
        <w:rPr>
          <w:spacing w:val="-7"/>
        </w:rPr>
        <w:t> </w:t>
      </w:r>
      <w:r>
        <w:rPr/>
        <w:t>al</w:t>
      </w:r>
      <w:r>
        <w:rPr>
          <w:spacing w:val="-8"/>
        </w:rPr>
        <w:t> </w:t>
      </w:r>
      <w:r>
        <w:rPr/>
        <w:t>sustrato.</w:t>
      </w:r>
      <w:r>
        <w:rPr>
          <w:spacing w:val="-7"/>
        </w:rPr>
        <w:t> </w:t>
      </w:r>
      <w:r>
        <w:rPr/>
        <w:t>Esto,</w:t>
      </w:r>
      <w:r>
        <w:rPr>
          <w:spacing w:val="-7"/>
        </w:rPr>
        <w:t> </w:t>
      </w:r>
      <w:r>
        <w:rPr/>
        <w:t>en</w:t>
      </w:r>
      <w:r>
        <w:rPr>
          <w:spacing w:val="-9"/>
        </w:rPr>
        <w:t> </w:t>
      </w:r>
      <w:r>
        <w:rPr/>
        <w:t>diferentes</w:t>
      </w:r>
      <w:r>
        <w:rPr>
          <w:spacing w:val="-8"/>
        </w:rPr>
        <w:t> </w:t>
      </w:r>
      <w:r>
        <w:rPr/>
        <w:t>etapas del desarrollo, especialmente cuando disminuye la velocidad de fotosíntesis y ocurre</w:t>
      </w:r>
      <w:r>
        <w:rPr>
          <w:spacing w:val="-11"/>
        </w:rPr>
        <w:t> </w:t>
      </w:r>
      <w:r>
        <w:rPr/>
        <w:t>una</w:t>
      </w:r>
      <w:r>
        <w:rPr>
          <w:spacing w:val="-11"/>
        </w:rPr>
        <w:t> </w:t>
      </w:r>
      <w:r>
        <w:rPr/>
        <w:t>baja</w:t>
      </w:r>
      <w:r>
        <w:rPr>
          <w:spacing w:val="-11"/>
        </w:rPr>
        <w:t> </w:t>
      </w:r>
      <w:r>
        <w:rPr/>
        <w:t>absorción</w:t>
      </w:r>
      <w:r>
        <w:rPr>
          <w:spacing w:val="-11"/>
        </w:rPr>
        <w:t> </w:t>
      </w:r>
      <w:r>
        <w:rPr/>
        <w:t>de</w:t>
      </w:r>
      <w:r>
        <w:rPr>
          <w:spacing w:val="-14"/>
        </w:rPr>
        <w:t> </w:t>
      </w:r>
      <w:r>
        <w:rPr/>
        <w:t>nutrimentos</w:t>
      </w:r>
      <w:r>
        <w:rPr>
          <w:spacing w:val="-12"/>
        </w:rPr>
        <w:t> </w:t>
      </w:r>
      <w:r>
        <w:rPr/>
        <w:t>en</w:t>
      </w:r>
      <w:r>
        <w:rPr>
          <w:spacing w:val="-11"/>
        </w:rPr>
        <w:t> </w:t>
      </w:r>
      <w:r>
        <w:rPr/>
        <w:t>raíces</w:t>
      </w:r>
      <w:r>
        <w:rPr>
          <w:spacing w:val="-12"/>
        </w:rPr>
        <w:t> </w:t>
      </w:r>
      <w:r>
        <w:rPr/>
        <w:t>(Betancourt-Olvera,</w:t>
      </w:r>
      <w:r>
        <w:rPr>
          <w:spacing w:val="-12"/>
        </w:rPr>
        <w:t> </w:t>
      </w:r>
      <w:r>
        <w:rPr/>
        <w:t>Rodríguez- Mendoza, Sandoval-Villa, &amp; Gaytán-Acuña, 2005; Ortega-Blu et al., 2006). La combinación de una solución nutritiva más la aspersión de sulfato de potasio 2 g·litro</w:t>
      </w:r>
      <w:r>
        <w:rPr>
          <w:color w:val="221E1F"/>
          <w:position w:val="8"/>
          <w:sz w:val="16"/>
        </w:rPr>
        <w:t>-1 </w:t>
      </w:r>
      <w:r>
        <w:rPr/>
        <w:t>y sacarosa 2 </w:t>
      </w:r>
      <w:r>
        <w:rPr>
          <w:color w:val="221E1F"/>
        </w:rPr>
        <w:t>g·litro</w:t>
      </w:r>
      <w:r>
        <w:rPr>
          <w:color w:val="221E1F"/>
          <w:position w:val="8"/>
          <w:sz w:val="16"/>
        </w:rPr>
        <w:t>-1</w:t>
      </w:r>
      <w:r>
        <w:rPr/>
        <w:t>a 30 y 20 días antes de la cosecha durante el invierno, y</w:t>
      </w:r>
      <w:r>
        <w:rPr>
          <w:spacing w:val="-9"/>
        </w:rPr>
        <w:t> </w:t>
      </w:r>
      <w:r>
        <w:rPr/>
        <w:t>20</w:t>
      </w:r>
      <w:r>
        <w:rPr>
          <w:spacing w:val="-6"/>
        </w:rPr>
        <w:t> </w:t>
      </w:r>
      <w:r>
        <w:rPr/>
        <w:t>y</w:t>
      </w:r>
      <w:r>
        <w:rPr>
          <w:spacing w:val="-9"/>
        </w:rPr>
        <w:t> </w:t>
      </w:r>
      <w:r>
        <w:rPr/>
        <w:t>10</w:t>
      </w:r>
      <w:r>
        <w:rPr>
          <w:spacing w:val="-6"/>
        </w:rPr>
        <w:t> </w:t>
      </w:r>
      <w:r>
        <w:rPr/>
        <w:t>días</w:t>
      </w:r>
      <w:r>
        <w:rPr>
          <w:spacing w:val="-7"/>
        </w:rPr>
        <w:t> </w:t>
      </w:r>
      <w:r>
        <w:rPr/>
        <w:t>antes</w:t>
      </w:r>
      <w:r>
        <w:rPr>
          <w:spacing w:val="-7"/>
        </w:rPr>
        <w:t> </w:t>
      </w:r>
      <w:r>
        <w:rPr/>
        <w:t>en</w:t>
      </w:r>
      <w:r>
        <w:rPr>
          <w:spacing w:val="-8"/>
        </w:rPr>
        <w:t> </w:t>
      </w:r>
      <w:r>
        <w:rPr/>
        <w:t>verano,</w:t>
      </w:r>
      <w:r>
        <w:rPr>
          <w:spacing w:val="-6"/>
        </w:rPr>
        <w:t> </w:t>
      </w:r>
      <w:r>
        <w:rPr/>
        <w:t>mejoró</w:t>
      </w:r>
      <w:r>
        <w:rPr>
          <w:spacing w:val="-6"/>
        </w:rPr>
        <w:t> </w:t>
      </w:r>
      <w:r>
        <w:rPr/>
        <w:t>el</w:t>
      </w:r>
      <w:r>
        <w:rPr>
          <w:spacing w:val="-7"/>
        </w:rPr>
        <w:t> </w:t>
      </w:r>
      <w:r>
        <w:rPr/>
        <w:t>color</w:t>
      </w:r>
      <w:r>
        <w:rPr>
          <w:spacing w:val="-7"/>
        </w:rPr>
        <w:t> </w:t>
      </w:r>
      <w:r>
        <w:rPr/>
        <w:t>de</w:t>
      </w:r>
      <w:r>
        <w:rPr>
          <w:spacing w:val="-6"/>
        </w:rPr>
        <w:t> </w:t>
      </w:r>
      <w:r>
        <w:rPr/>
        <w:t>la</w:t>
      </w:r>
      <w:r>
        <w:rPr>
          <w:spacing w:val="-8"/>
        </w:rPr>
        <w:t> </w:t>
      </w:r>
      <w:r>
        <w:rPr/>
        <w:t>flor</w:t>
      </w:r>
      <w:r>
        <w:rPr>
          <w:spacing w:val="-7"/>
        </w:rPr>
        <w:t> </w:t>
      </w:r>
      <w:r>
        <w:rPr/>
        <w:t>en</w:t>
      </w:r>
      <w:r>
        <w:rPr>
          <w:spacing w:val="-8"/>
        </w:rPr>
        <w:t> </w:t>
      </w:r>
      <w:r>
        <w:rPr>
          <w:i/>
        </w:rPr>
        <w:t>Lilium</w:t>
      </w:r>
      <w:r>
        <w:rPr>
          <w:i/>
          <w:spacing w:val="-10"/>
        </w:rPr>
        <w:t> </w:t>
      </w:r>
      <w:r>
        <w:rPr/>
        <w:t>‘Fangio’,</w:t>
      </w:r>
      <w:r>
        <w:rPr>
          <w:spacing w:val="-6"/>
        </w:rPr>
        <w:t> </w:t>
      </w:r>
      <w:r>
        <w:rPr/>
        <w:t>‘Tresor’, ‘Brindisi’</w:t>
      </w:r>
      <w:r>
        <w:rPr>
          <w:spacing w:val="-7"/>
        </w:rPr>
        <w:t> </w:t>
      </w:r>
      <w:r>
        <w:rPr/>
        <w:t>y</w:t>
      </w:r>
      <w:r>
        <w:rPr>
          <w:spacing w:val="-9"/>
        </w:rPr>
        <w:t> </w:t>
      </w:r>
      <w:r>
        <w:rPr/>
        <w:t>‘Menorca’</w:t>
      </w:r>
      <w:r>
        <w:rPr>
          <w:spacing w:val="-7"/>
        </w:rPr>
        <w:t> </w:t>
      </w:r>
      <w:r>
        <w:rPr/>
        <w:t>(Burchi,</w:t>
      </w:r>
      <w:r>
        <w:rPr>
          <w:spacing w:val="-6"/>
        </w:rPr>
        <w:t> </w:t>
      </w:r>
      <w:r>
        <w:rPr/>
        <w:t>Prisa,</w:t>
      </w:r>
      <w:r>
        <w:rPr>
          <w:spacing w:val="-8"/>
        </w:rPr>
        <w:t> </w:t>
      </w:r>
      <w:r>
        <w:rPr/>
        <w:t>Ballarin,</w:t>
      </w:r>
      <w:r>
        <w:rPr>
          <w:spacing w:val="-8"/>
        </w:rPr>
        <w:t> </w:t>
      </w:r>
      <w:r>
        <w:rPr/>
        <w:t>&amp;</w:t>
      </w:r>
      <w:r>
        <w:rPr>
          <w:spacing w:val="-6"/>
        </w:rPr>
        <w:t> </w:t>
      </w:r>
      <w:r>
        <w:rPr/>
        <w:t>Menesatti,</w:t>
      </w:r>
      <w:r>
        <w:rPr>
          <w:spacing w:val="-6"/>
        </w:rPr>
        <w:t> </w:t>
      </w:r>
      <w:r>
        <w:rPr/>
        <w:t>2010).</w:t>
      </w:r>
      <w:r>
        <w:rPr>
          <w:spacing w:val="-6"/>
        </w:rPr>
        <w:t> </w:t>
      </w:r>
      <w:r>
        <w:rPr/>
        <w:t>Betancourt-Olvera et al. (2005) reportan que la aplicación de una fórmula de fertilización foliar denominada NV3, a pH 4.5 y la adición de miel de abeja 0.1 % como adherente, influyó en la respuesta de las lecturas SPAD, peso fresco y seco de la planta, días a</w:t>
      </w:r>
      <w:r>
        <w:rPr>
          <w:spacing w:val="-16"/>
        </w:rPr>
        <w:t> </w:t>
      </w:r>
      <w:r>
        <w:rPr/>
        <w:t>diferenciación</w:t>
      </w:r>
      <w:r>
        <w:rPr>
          <w:spacing w:val="-19"/>
        </w:rPr>
        <w:t> </w:t>
      </w:r>
      <w:r>
        <w:rPr/>
        <w:t>floral</w:t>
      </w:r>
      <w:r>
        <w:rPr>
          <w:spacing w:val="-18"/>
        </w:rPr>
        <w:t> </w:t>
      </w:r>
      <w:r>
        <w:rPr/>
        <w:t>y</w:t>
      </w:r>
      <w:r>
        <w:rPr>
          <w:spacing w:val="-17"/>
        </w:rPr>
        <w:t> </w:t>
      </w:r>
      <w:r>
        <w:rPr/>
        <w:t>floración,</w:t>
      </w:r>
      <w:r>
        <w:rPr>
          <w:spacing w:val="-19"/>
        </w:rPr>
        <w:t> </w:t>
      </w:r>
      <w:r>
        <w:rPr/>
        <w:t>mejorando</w:t>
      </w:r>
      <w:r>
        <w:rPr>
          <w:spacing w:val="-16"/>
        </w:rPr>
        <w:t> </w:t>
      </w:r>
      <w:r>
        <w:rPr/>
        <w:t>la</w:t>
      </w:r>
      <w:r>
        <w:rPr>
          <w:spacing w:val="-19"/>
        </w:rPr>
        <w:t> </w:t>
      </w:r>
      <w:r>
        <w:rPr/>
        <w:t>calidad</w:t>
      </w:r>
      <w:r>
        <w:rPr>
          <w:spacing w:val="-16"/>
        </w:rPr>
        <w:t> </w:t>
      </w:r>
      <w:r>
        <w:rPr/>
        <w:t>visual</w:t>
      </w:r>
      <w:r>
        <w:rPr>
          <w:spacing w:val="-18"/>
        </w:rPr>
        <w:t> </w:t>
      </w:r>
      <w:r>
        <w:rPr/>
        <w:t>de</w:t>
      </w:r>
      <w:r>
        <w:rPr>
          <w:spacing w:val="-16"/>
        </w:rPr>
        <w:t> </w:t>
      </w:r>
      <w:r>
        <w:rPr/>
        <w:t>las</w:t>
      </w:r>
      <w:r>
        <w:rPr>
          <w:spacing w:val="-20"/>
        </w:rPr>
        <w:t> </w:t>
      </w:r>
      <w:r>
        <w:rPr/>
        <w:t>plantas</w:t>
      </w:r>
      <w:r>
        <w:rPr>
          <w:spacing w:val="-20"/>
        </w:rPr>
        <w:t> </w:t>
      </w:r>
      <w:r>
        <w:rPr/>
        <w:t>de</w:t>
      </w:r>
      <w:r>
        <w:rPr>
          <w:spacing w:val="-16"/>
        </w:rPr>
        <w:t> </w:t>
      </w:r>
      <w:r>
        <w:rPr/>
        <w:t>lilium. A la fecha, el programa de “Producción de </w:t>
      </w:r>
      <w:r>
        <w:rPr>
          <w:i/>
        </w:rPr>
        <w:t>Lilium</w:t>
      </w:r>
      <w:r>
        <w:rPr/>
        <w:t>” de la UAEM ha recomendado dosis</w:t>
      </w:r>
      <w:r>
        <w:rPr>
          <w:spacing w:val="-14"/>
        </w:rPr>
        <w:t> </w:t>
      </w:r>
      <w:r>
        <w:rPr/>
        <w:t>de</w:t>
      </w:r>
      <w:r>
        <w:rPr>
          <w:spacing w:val="-13"/>
        </w:rPr>
        <w:t> </w:t>
      </w:r>
      <w:r>
        <w:rPr/>
        <w:t>N</w:t>
      </w:r>
      <w:r>
        <w:rPr>
          <w:spacing w:val="-14"/>
        </w:rPr>
        <w:t> </w:t>
      </w:r>
      <w:r>
        <w:rPr/>
        <w:t>al</w:t>
      </w:r>
      <w:r>
        <w:rPr>
          <w:spacing w:val="-14"/>
        </w:rPr>
        <w:t> </w:t>
      </w:r>
      <w:r>
        <w:rPr/>
        <w:t>sustrato</w:t>
      </w:r>
      <w:r>
        <w:rPr>
          <w:spacing w:val="-13"/>
        </w:rPr>
        <w:t> </w:t>
      </w:r>
      <w:r>
        <w:rPr/>
        <w:t>y</w:t>
      </w:r>
      <w:r>
        <w:rPr>
          <w:spacing w:val="-16"/>
        </w:rPr>
        <w:t> </w:t>
      </w:r>
      <w:r>
        <w:rPr/>
        <w:t>la</w:t>
      </w:r>
      <w:r>
        <w:rPr>
          <w:spacing w:val="-13"/>
        </w:rPr>
        <w:t> </w:t>
      </w:r>
      <w:r>
        <w:rPr/>
        <w:t>aplicación</w:t>
      </w:r>
      <w:r>
        <w:rPr>
          <w:spacing w:val="-15"/>
        </w:rPr>
        <w:t> </w:t>
      </w:r>
      <w:r>
        <w:rPr/>
        <w:t>foliar</w:t>
      </w:r>
      <w:r>
        <w:rPr>
          <w:spacing w:val="-15"/>
        </w:rPr>
        <w:t> </w:t>
      </w:r>
      <w:r>
        <w:rPr/>
        <w:t>de</w:t>
      </w:r>
      <w:r>
        <w:rPr>
          <w:spacing w:val="-15"/>
        </w:rPr>
        <w:t> </w:t>
      </w:r>
      <w:r>
        <w:rPr/>
        <w:t>Ca</w:t>
      </w:r>
      <w:r>
        <w:rPr>
          <w:spacing w:val="-13"/>
        </w:rPr>
        <w:t> </w:t>
      </w:r>
      <w:r>
        <w:rPr/>
        <w:t>y</w:t>
      </w:r>
      <w:r>
        <w:rPr>
          <w:spacing w:val="-16"/>
        </w:rPr>
        <w:t> </w:t>
      </w:r>
      <w:r>
        <w:rPr/>
        <w:t>B</w:t>
      </w:r>
      <w:r>
        <w:rPr>
          <w:spacing w:val="-13"/>
        </w:rPr>
        <w:t> </w:t>
      </w:r>
      <w:r>
        <w:rPr/>
        <w:t>para</w:t>
      </w:r>
      <w:r>
        <w:rPr>
          <w:spacing w:val="-15"/>
        </w:rPr>
        <w:t> </w:t>
      </w:r>
      <w:r>
        <w:rPr/>
        <w:t>aumentar</w:t>
      </w:r>
      <w:r>
        <w:rPr>
          <w:spacing w:val="-15"/>
        </w:rPr>
        <w:t> </w:t>
      </w:r>
      <w:r>
        <w:rPr/>
        <w:t>la</w:t>
      </w:r>
      <w:r>
        <w:rPr>
          <w:spacing w:val="-13"/>
        </w:rPr>
        <w:t> </w:t>
      </w:r>
      <w:r>
        <w:rPr/>
        <w:t>vida</w:t>
      </w:r>
      <w:r>
        <w:rPr>
          <w:spacing w:val="-13"/>
        </w:rPr>
        <w:t> </w:t>
      </w:r>
      <w:r>
        <w:rPr/>
        <w:t>en</w:t>
      </w:r>
      <w:r>
        <w:rPr>
          <w:spacing w:val="-18"/>
        </w:rPr>
        <w:t> </w:t>
      </w:r>
      <w:r>
        <w:rPr/>
        <w:t>florero (Franco, Torres, Morales, &amp; Pérez, 2009; Rodríguez-Landero et al., 2012). Como parte</w:t>
      </w:r>
      <w:r>
        <w:rPr>
          <w:spacing w:val="-9"/>
        </w:rPr>
        <w:t> </w:t>
      </w:r>
      <w:r>
        <w:rPr/>
        <w:t>de</w:t>
      </w:r>
      <w:r>
        <w:rPr>
          <w:spacing w:val="-9"/>
        </w:rPr>
        <w:t> </w:t>
      </w:r>
      <w:r>
        <w:rPr/>
        <w:t>dicho</w:t>
      </w:r>
      <w:r>
        <w:rPr>
          <w:spacing w:val="-9"/>
        </w:rPr>
        <w:t> </w:t>
      </w:r>
      <w:r>
        <w:rPr/>
        <w:t>programa,</w:t>
      </w:r>
      <w:r>
        <w:rPr>
          <w:spacing w:val="-10"/>
        </w:rPr>
        <w:t> </w:t>
      </w:r>
      <w:r>
        <w:rPr/>
        <w:t>se</w:t>
      </w:r>
      <w:r>
        <w:rPr>
          <w:spacing w:val="-9"/>
        </w:rPr>
        <w:t> </w:t>
      </w:r>
      <w:r>
        <w:rPr/>
        <w:t>busca</w:t>
      </w:r>
      <w:r>
        <w:rPr>
          <w:spacing w:val="-9"/>
        </w:rPr>
        <w:t> </w:t>
      </w:r>
      <w:r>
        <w:rPr/>
        <w:t>continuar</w:t>
      </w:r>
      <w:r>
        <w:rPr>
          <w:spacing w:val="-8"/>
        </w:rPr>
        <w:t> </w:t>
      </w:r>
      <w:r>
        <w:rPr/>
        <w:t>la</w:t>
      </w:r>
      <w:r>
        <w:rPr>
          <w:spacing w:val="-7"/>
        </w:rPr>
        <w:t> </w:t>
      </w:r>
      <w:r>
        <w:rPr/>
        <w:t>adición</w:t>
      </w:r>
      <w:r>
        <w:rPr>
          <w:spacing w:val="-7"/>
        </w:rPr>
        <w:t> </w:t>
      </w:r>
      <w:r>
        <w:rPr/>
        <w:t>de</w:t>
      </w:r>
      <w:r>
        <w:rPr>
          <w:spacing w:val="-7"/>
        </w:rPr>
        <w:t> </w:t>
      </w:r>
      <w:r>
        <w:rPr/>
        <w:t>nutrimentos</w:t>
      </w:r>
      <w:r>
        <w:rPr>
          <w:spacing w:val="-8"/>
        </w:rPr>
        <w:t> </w:t>
      </w:r>
      <w:r>
        <w:rPr/>
        <w:t>que</w:t>
      </w:r>
      <w:r>
        <w:rPr>
          <w:spacing w:val="-9"/>
        </w:rPr>
        <w:t> </w:t>
      </w:r>
      <w:r>
        <w:rPr/>
        <w:t>mejoren la calidad de corte y postcosecha de la especie en cuestión. Por ejemplo, el color de las hojas podría mejorarse o mantenerse en postcosecha con la adición de magnesio, ya que dicho nutrimento está involucrado directamente en la reacción fotosintética</w:t>
      </w:r>
      <w:r>
        <w:rPr>
          <w:spacing w:val="-9"/>
        </w:rPr>
        <w:t> </w:t>
      </w:r>
      <w:r>
        <w:rPr/>
        <w:t>y</w:t>
      </w:r>
      <w:r>
        <w:rPr>
          <w:spacing w:val="-10"/>
        </w:rPr>
        <w:t> </w:t>
      </w:r>
      <w:r>
        <w:rPr/>
        <w:t>el</w:t>
      </w:r>
      <w:r>
        <w:rPr>
          <w:spacing w:val="-11"/>
        </w:rPr>
        <w:t> </w:t>
      </w:r>
      <w:r>
        <w:rPr/>
        <w:t>metabolismo</w:t>
      </w:r>
      <w:r>
        <w:rPr>
          <w:spacing w:val="-9"/>
        </w:rPr>
        <w:t> </w:t>
      </w:r>
      <w:r>
        <w:rPr/>
        <w:t>glucídico</w:t>
      </w:r>
      <w:r>
        <w:rPr>
          <w:spacing w:val="-7"/>
        </w:rPr>
        <w:t> </w:t>
      </w:r>
      <w:r>
        <w:rPr/>
        <w:t>en</w:t>
      </w:r>
      <w:r>
        <w:rPr>
          <w:spacing w:val="-9"/>
        </w:rPr>
        <w:t> </w:t>
      </w:r>
      <w:r>
        <w:rPr/>
        <w:t>la</w:t>
      </w:r>
      <w:r>
        <w:rPr>
          <w:spacing w:val="-9"/>
        </w:rPr>
        <w:t> </w:t>
      </w:r>
      <w:r>
        <w:rPr/>
        <w:t>planta.</w:t>
      </w:r>
      <w:r>
        <w:rPr>
          <w:spacing w:val="-10"/>
        </w:rPr>
        <w:t> </w:t>
      </w:r>
      <w:r>
        <w:rPr/>
        <w:t>Además,</w:t>
      </w:r>
      <w:r>
        <w:rPr>
          <w:spacing w:val="-7"/>
        </w:rPr>
        <w:t> </w:t>
      </w:r>
      <w:r>
        <w:rPr/>
        <w:t>actúa</w:t>
      </w:r>
      <w:r>
        <w:rPr>
          <w:spacing w:val="-12"/>
        </w:rPr>
        <w:t> </w:t>
      </w:r>
      <w:r>
        <w:rPr/>
        <w:t>como</w:t>
      </w:r>
      <w:r>
        <w:rPr>
          <w:spacing w:val="-9"/>
        </w:rPr>
        <w:t> </w:t>
      </w:r>
      <w:r>
        <w:rPr/>
        <w:t>activador para las enzimas que intervienen en la síntesis de los ácidos nucleicos; una deficiencia</w:t>
      </w:r>
      <w:r>
        <w:rPr>
          <w:spacing w:val="-12"/>
        </w:rPr>
        <w:t> </w:t>
      </w:r>
      <w:r>
        <w:rPr/>
        <w:t>de</w:t>
      </w:r>
      <w:r>
        <w:rPr>
          <w:spacing w:val="-9"/>
        </w:rPr>
        <w:t> </w:t>
      </w:r>
      <w:r>
        <w:rPr/>
        <w:t>este</w:t>
      </w:r>
      <w:r>
        <w:rPr>
          <w:spacing w:val="-9"/>
        </w:rPr>
        <w:t> </w:t>
      </w:r>
      <w:r>
        <w:rPr/>
        <w:t>elemento</w:t>
      </w:r>
      <w:r>
        <w:rPr>
          <w:spacing w:val="-9"/>
        </w:rPr>
        <w:t> </w:t>
      </w:r>
      <w:r>
        <w:rPr/>
        <w:t>se</w:t>
      </w:r>
      <w:r>
        <w:rPr>
          <w:spacing w:val="-12"/>
        </w:rPr>
        <w:t> </w:t>
      </w:r>
      <w:r>
        <w:rPr/>
        <w:t>manifiesta</w:t>
      </w:r>
      <w:r>
        <w:rPr>
          <w:spacing w:val="-9"/>
        </w:rPr>
        <w:t> </w:t>
      </w:r>
      <w:r>
        <w:rPr/>
        <w:t>en</w:t>
      </w:r>
      <w:r>
        <w:rPr>
          <w:spacing w:val="-9"/>
        </w:rPr>
        <w:t> </w:t>
      </w:r>
      <w:r>
        <w:rPr/>
        <w:t>clorosis</w:t>
      </w:r>
      <w:r>
        <w:rPr>
          <w:spacing w:val="-10"/>
        </w:rPr>
        <w:t> </w:t>
      </w:r>
      <w:r>
        <w:rPr/>
        <w:t>(Devlin,</w:t>
      </w:r>
      <w:r>
        <w:rPr>
          <w:spacing w:val="-10"/>
        </w:rPr>
        <w:t> </w:t>
      </w:r>
      <w:r>
        <w:rPr/>
        <w:t>1976).</w:t>
      </w:r>
      <w:r>
        <w:rPr>
          <w:spacing w:val="-10"/>
        </w:rPr>
        <w:t> </w:t>
      </w:r>
      <w:r>
        <w:rPr/>
        <w:t>Su</w:t>
      </w:r>
      <w:r>
        <w:rPr>
          <w:spacing w:val="-9"/>
        </w:rPr>
        <w:t> </w:t>
      </w:r>
      <w:r>
        <w:rPr/>
        <w:t>empleó</w:t>
      </w:r>
      <w:r>
        <w:rPr>
          <w:spacing w:val="-12"/>
        </w:rPr>
        <w:t> </w:t>
      </w:r>
      <w:r>
        <w:rPr/>
        <w:t>en un programa de nutrición, puede resultar más barato que la adición de productos</w:t>
      </w:r>
      <w:r>
        <w:rPr>
          <w:spacing w:val="-12"/>
        </w:rPr>
        <w:t> </w:t>
      </w:r>
      <w:r>
        <w:rPr/>
        <w:t>a</w:t>
      </w:r>
    </w:p>
    <w:p>
      <w:pPr>
        <w:spacing w:after="0" w:line="480" w:lineRule="auto"/>
        <w:jc w:val="both"/>
        <w:sectPr>
          <w:pgSz w:w="12240" w:h="15840"/>
          <w:pgMar w:header="0" w:footer="1005" w:top="1360" w:bottom="1200" w:left="1600" w:right="1580"/>
        </w:sectPr>
      </w:pPr>
    </w:p>
    <w:p>
      <w:pPr>
        <w:pStyle w:val="BodyText"/>
        <w:spacing w:line="480" w:lineRule="auto" w:before="51"/>
        <w:ind w:left="101" w:right="118"/>
        <w:jc w:val="both"/>
      </w:pPr>
      <w:r>
        <w:rPr/>
        <w:t>base de hormonas vegetales que permiten mantener el verdor de las hojas en postcosecha (Whitman, Heins, Moe, &amp; Funnell, 2001).</w:t>
      </w:r>
    </w:p>
    <w:p>
      <w:pPr>
        <w:pStyle w:val="BodyText"/>
        <w:spacing w:line="480" w:lineRule="auto" w:before="8"/>
        <w:ind w:left="101" w:right="117"/>
        <w:jc w:val="both"/>
      </w:pPr>
      <w:r>
        <w:rPr/>
        <w:t>Por otra parte, la nutrición con zinc favorece el crecimiento y aumenta la calidad</w:t>
      </w:r>
      <w:r>
        <w:rPr>
          <w:spacing w:val="-44"/>
        </w:rPr>
        <w:t> </w:t>
      </w:r>
      <w:r>
        <w:rPr/>
        <w:t>de la planta en diversas especies (Sarwar, Jilani, Rafique, Akhtar, &amp; Chaudhry, 2012). Particularmente,</w:t>
      </w:r>
      <w:r>
        <w:rPr>
          <w:spacing w:val="-20"/>
        </w:rPr>
        <w:t> </w:t>
      </w:r>
      <w:r>
        <w:rPr/>
        <w:t>beneficia</w:t>
      </w:r>
      <w:r>
        <w:rPr>
          <w:spacing w:val="-17"/>
        </w:rPr>
        <w:t> </w:t>
      </w:r>
      <w:r>
        <w:rPr/>
        <w:t>el</w:t>
      </w:r>
      <w:r>
        <w:rPr>
          <w:spacing w:val="-21"/>
        </w:rPr>
        <w:t> </w:t>
      </w:r>
      <w:r>
        <w:rPr/>
        <w:t>crecimiento</w:t>
      </w:r>
      <w:r>
        <w:rPr>
          <w:spacing w:val="-20"/>
        </w:rPr>
        <w:t> </w:t>
      </w:r>
      <w:r>
        <w:rPr/>
        <w:t>de</w:t>
      </w:r>
      <w:r>
        <w:rPr>
          <w:spacing w:val="-17"/>
        </w:rPr>
        <w:t> </w:t>
      </w:r>
      <w:r>
        <w:rPr/>
        <w:t>la</w:t>
      </w:r>
      <w:r>
        <w:rPr>
          <w:spacing w:val="-22"/>
        </w:rPr>
        <w:t> </w:t>
      </w:r>
      <w:r>
        <w:rPr/>
        <w:t>planta,</w:t>
      </w:r>
      <w:r>
        <w:rPr>
          <w:spacing w:val="-18"/>
        </w:rPr>
        <w:t> </w:t>
      </w:r>
      <w:r>
        <w:rPr/>
        <w:t>la</w:t>
      </w:r>
      <w:r>
        <w:rPr>
          <w:spacing w:val="-20"/>
        </w:rPr>
        <w:t> </w:t>
      </w:r>
      <w:r>
        <w:rPr/>
        <w:t>producción</w:t>
      </w:r>
      <w:r>
        <w:rPr>
          <w:spacing w:val="-17"/>
        </w:rPr>
        <w:t> </w:t>
      </w:r>
      <w:r>
        <w:rPr/>
        <w:t>y</w:t>
      </w:r>
      <w:r>
        <w:rPr>
          <w:spacing w:val="-23"/>
        </w:rPr>
        <w:t> </w:t>
      </w:r>
      <w:r>
        <w:rPr/>
        <w:t>características florales de gladiolo (</w:t>
      </w:r>
      <w:r>
        <w:rPr>
          <w:i/>
        </w:rPr>
        <w:t>Gladiolus </w:t>
      </w:r>
      <w:r>
        <w:rPr/>
        <w:t>spp.) (Saeed, Hassan, Jilani, &amp;Akhtar, 2013). Es un activador</w:t>
      </w:r>
      <w:r>
        <w:rPr>
          <w:spacing w:val="-18"/>
        </w:rPr>
        <w:t> </w:t>
      </w:r>
      <w:r>
        <w:rPr/>
        <w:t>de</w:t>
      </w:r>
      <w:r>
        <w:rPr>
          <w:spacing w:val="-18"/>
        </w:rPr>
        <w:t> </w:t>
      </w:r>
      <w:r>
        <w:rPr/>
        <w:t>ciertas</w:t>
      </w:r>
      <w:r>
        <w:rPr>
          <w:spacing w:val="-19"/>
        </w:rPr>
        <w:t> </w:t>
      </w:r>
      <w:r>
        <w:rPr/>
        <w:t>enzimas</w:t>
      </w:r>
      <w:r>
        <w:rPr>
          <w:spacing w:val="-17"/>
        </w:rPr>
        <w:t> </w:t>
      </w:r>
      <w:r>
        <w:rPr/>
        <w:t>como</w:t>
      </w:r>
      <w:r>
        <w:rPr>
          <w:spacing w:val="-16"/>
        </w:rPr>
        <w:t> </w:t>
      </w:r>
      <w:r>
        <w:rPr/>
        <w:t>la</w:t>
      </w:r>
      <w:r>
        <w:rPr>
          <w:spacing w:val="-18"/>
        </w:rPr>
        <w:t> </w:t>
      </w:r>
      <w:r>
        <w:rPr/>
        <w:t>deshidrogenasa</w:t>
      </w:r>
      <w:r>
        <w:rPr>
          <w:spacing w:val="-18"/>
        </w:rPr>
        <w:t> </w:t>
      </w:r>
      <w:r>
        <w:rPr/>
        <w:t>(DH),</w:t>
      </w:r>
      <w:r>
        <w:rPr>
          <w:spacing w:val="-16"/>
        </w:rPr>
        <w:t> </w:t>
      </w:r>
      <w:r>
        <w:rPr/>
        <w:t>la</w:t>
      </w:r>
      <w:r>
        <w:rPr>
          <w:spacing w:val="-16"/>
        </w:rPr>
        <w:t> </w:t>
      </w:r>
      <w:r>
        <w:rPr/>
        <w:t>superóxidodismutasa (SOD)</w:t>
      </w:r>
      <w:r>
        <w:rPr>
          <w:spacing w:val="-20"/>
        </w:rPr>
        <w:t> </w:t>
      </w:r>
      <w:r>
        <w:rPr/>
        <w:t>y</w:t>
      </w:r>
      <w:r>
        <w:rPr>
          <w:spacing w:val="-20"/>
        </w:rPr>
        <w:t> </w:t>
      </w:r>
      <w:r>
        <w:rPr/>
        <w:t>ARN</w:t>
      </w:r>
      <w:r>
        <w:rPr>
          <w:spacing w:val="-20"/>
        </w:rPr>
        <w:t> </w:t>
      </w:r>
      <w:r>
        <w:rPr/>
        <w:t>polimerasa;</w:t>
      </w:r>
      <w:r>
        <w:rPr>
          <w:spacing w:val="-19"/>
        </w:rPr>
        <w:t> </w:t>
      </w:r>
      <w:r>
        <w:rPr/>
        <w:t>y</w:t>
      </w:r>
      <w:r>
        <w:rPr>
          <w:spacing w:val="-22"/>
        </w:rPr>
        <w:t> </w:t>
      </w:r>
      <w:r>
        <w:rPr/>
        <w:t>su</w:t>
      </w:r>
      <w:r>
        <w:rPr>
          <w:spacing w:val="-19"/>
        </w:rPr>
        <w:t> </w:t>
      </w:r>
      <w:r>
        <w:rPr/>
        <w:t>deficiencia</w:t>
      </w:r>
      <w:r>
        <w:rPr>
          <w:spacing w:val="-19"/>
        </w:rPr>
        <w:t> </w:t>
      </w:r>
      <w:r>
        <w:rPr/>
        <w:t>reduce</w:t>
      </w:r>
      <w:r>
        <w:rPr>
          <w:spacing w:val="-19"/>
        </w:rPr>
        <w:t> </w:t>
      </w:r>
      <w:r>
        <w:rPr/>
        <w:t>la</w:t>
      </w:r>
      <w:r>
        <w:rPr>
          <w:spacing w:val="-21"/>
        </w:rPr>
        <w:t> </w:t>
      </w:r>
      <w:r>
        <w:rPr/>
        <w:t>fotosíntesis</w:t>
      </w:r>
      <w:r>
        <w:rPr>
          <w:spacing w:val="-20"/>
        </w:rPr>
        <w:t> </w:t>
      </w:r>
      <w:r>
        <w:rPr/>
        <w:t>neta</w:t>
      </w:r>
      <w:r>
        <w:rPr>
          <w:spacing w:val="-21"/>
        </w:rPr>
        <w:t> </w:t>
      </w:r>
      <w:r>
        <w:rPr/>
        <w:t>(Rashid,</w:t>
      </w:r>
      <w:r>
        <w:rPr>
          <w:spacing w:val="-19"/>
        </w:rPr>
        <w:t> </w:t>
      </w:r>
      <w:r>
        <w:rPr/>
        <w:t>2005). Por tanto, el objetivo de este trabajo fue determinar el efecto benéfico de la fertilización</w:t>
      </w:r>
      <w:r>
        <w:rPr>
          <w:spacing w:val="38"/>
        </w:rPr>
        <w:t> </w:t>
      </w:r>
      <w:r>
        <w:rPr/>
        <w:t>al</w:t>
      </w:r>
      <w:r>
        <w:rPr>
          <w:spacing w:val="-11"/>
        </w:rPr>
        <w:t> </w:t>
      </w:r>
      <w:r>
        <w:rPr/>
        <w:t>sustrato</w:t>
      </w:r>
      <w:r>
        <w:rPr>
          <w:spacing w:val="-9"/>
        </w:rPr>
        <w:t> </w:t>
      </w:r>
      <w:r>
        <w:rPr/>
        <w:t>con</w:t>
      </w:r>
      <w:r>
        <w:rPr>
          <w:spacing w:val="-12"/>
        </w:rPr>
        <w:t> </w:t>
      </w:r>
      <w:r>
        <w:rPr/>
        <w:t>diferentes</w:t>
      </w:r>
      <w:r>
        <w:rPr>
          <w:spacing w:val="-13"/>
        </w:rPr>
        <w:t> </w:t>
      </w:r>
      <w:r>
        <w:rPr/>
        <w:t>dosis</w:t>
      </w:r>
      <w:r>
        <w:rPr>
          <w:spacing w:val="-15"/>
        </w:rPr>
        <w:t> </w:t>
      </w:r>
      <w:r>
        <w:rPr/>
        <w:t>de</w:t>
      </w:r>
      <w:r>
        <w:rPr>
          <w:spacing w:val="-9"/>
        </w:rPr>
        <w:t> </w:t>
      </w:r>
      <w:r>
        <w:rPr/>
        <w:t>la</w:t>
      </w:r>
      <w:r>
        <w:rPr>
          <w:spacing w:val="-12"/>
        </w:rPr>
        <w:t> </w:t>
      </w:r>
      <w:r>
        <w:rPr/>
        <w:t>solución</w:t>
      </w:r>
      <w:r>
        <w:rPr>
          <w:spacing w:val="-12"/>
        </w:rPr>
        <w:t> </w:t>
      </w:r>
      <w:r>
        <w:rPr/>
        <w:t>de</w:t>
      </w:r>
      <w:r>
        <w:rPr>
          <w:spacing w:val="-12"/>
        </w:rPr>
        <w:t> </w:t>
      </w:r>
      <w:r>
        <w:rPr/>
        <w:t>Steiner</w:t>
      </w:r>
      <w:r>
        <w:rPr>
          <w:spacing w:val="-11"/>
        </w:rPr>
        <w:t> </w:t>
      </w:r>
      <w:r>
        <w:rPr/>
        <w:t>y</w:t>
      </w:r>
      <w:r>
        <w:rPr>
          <w:spacing w:val="-13"/>
        </w:rPr>
        <w:t> </w:t>
      </w:r>
      <w:r>
        <w:rPr/>
        <w:t>foliar</w:t>
      </w:r>
      <w:r>
        <w:rPr>
          <w:spacing w:val="-11"/>
        </w:rPr>
        <w:t> </w:t>
      </w:r>
      <w:r>
        <w:rPr/>
        <w:t>a</w:t>
      </w:r>
      <w:r>
        <w:rPr>
          <w:spacing w:val="-12"/>
        </w:rPr>
        <w:t> </w:t>
      </w:r>
      <w:r>
        <w:rPr/>
        <w:t>base de magnesio y zinc en el tamaño del tallo y el verdor de las hojas de</w:t>
      </w:r>
      <w:r>
        <w:rPr>
          <w:spacing w:val="-38"/>
        </w:rPr>
        <w:t> </w:t>
      </w:r>
      <w:r>
        <w:rPr>
          <w:i/>
        </w:rPr>
        <w:t>Lilium</w:t>
      </w:r>
      <w:r>
        <w:rPr/>
        <w:t>.</w:t>
      </w:r>
    </w:p>
    <w:p>
      <w:pPr>
        <w:pStyle w:val="BodyText"/>
      </w:pPr>
    </w:p>
    <w:p>
      <w:pPr>
        <w:pStyle w:val="BodyText"/>
        <w:spacing w:before="10"/>
        <w:rPr>
          <w:sz w:val="20"/>
        </w:rPr>
      </w:pPr>
    </w:p>
    <w:p>
      <w:pPr>
        <w:pStyle w:val="Heading1"/>
        <w:ind w:left="2986"/>
      </w:pPr>
      <w:r>
        <w:rPr/>
        <w:t>MATERIALES Y MÉTODOS</w:t>
      </w:r>
    </w:p>
    <w:p>
      <w:pPr>
        <w:pStyle w:val="BodyText"/>
        <w:rPr>
          <w:b/>
        </w:rPr>
      </w:pPr>
    </w:p>
    <w:p>
      <w:pPr>
        <w:pStyle w:val="BodyText"/>
        <w:spacing w:line="480" w:lineRule="auto" w:before="161"/>
        <w:ind w:left="101" w:right="117"/>
        <w:jc w:val="both"/>
      </w:pPr>
      <w:r>
        <w:rPr/>
        <w:t>En la Facultad de Ciencias Agrícolas de la Universidad Autónoma del Estado de México, México, ubicada a los 19° 24′ 29.32” norte y 99° 41′ 22.39” oeste, se estableció</w:t>
      </w:r>
      <w:r>
        <w:rPr>
          <w:spacing w:val="-9"/>
        </w:rPr>
        <w:t> </w:t>
      </w:r>
      <w:r>
        <w:rPr/>
        <w:t>lilis</w:t>
      </w:r>
      <w:r>
        <w:rPr>
          <w:spacing w:val="-10"/>
        </w:rPr>
        <w:t> </w:t>
      </w:r>
      <w:r>
        <w:rPr/>
        <w:t>‘Acapulco’,</w:t>
      </w:r>
      <w:r>
        <w:rPr>
          <w:spacing w:val="-10"/>
        </w:rPr>
        <w:t> </w:t>
      </w:r>
      <w:r>
        <w:rPr/>
        <w:t>calibre</w:t>
      </w:r>
      <w:r>
        <w:rPr>
          <w:spacing w:val="-12"/>
        </w:rPr>
        <w:t> </w:t>
      </w:r>
      <w:r>
        <w:rPr/>
        <w:t>18-20,</w:t>
      </w:r>
      <w:r>
        <w:rPr>
          <w:spacing w:val="-12"/>
        </w:rPr>
        <w:t> </w:t>
      </w:r>
      <w:r>
        <w:rPr/>
        <w:t>del</w:t>
      </w:r>
      <w:r>
        <w:rPr>
          <w:spacing w:val="-11"/>
        </w:rPr>
        <w:t> </w:t>
      </w:r>
      <w:r>
        <w:rPr/>
        <w:t>20</w:t>
      </w:r>
      <w:r>
        <w:rPr>
          <w:spacing w:val="-9"/>
        </w:rPr>
        <w:t> </w:t>
      </w:r>
      <w:r>
        <w:rPr/>
        <w:t>de</w:t>
      </w:r>
      <w:r>
        <w:rPr>
          <w:spacing w:val="-12"/>
        </w:rPr>
        <w:t> </w:t>
      </w:r>
      <w:r>
        <w:rPr/>
        <w:t>abril</w:t>
      </w:r>
      <w:r>
        <w:rPr>
          <w:spacing w:val="-11"/>
        </w:rPr>
        <w:t> </w:t>
      </w:r>
      <w:r>
        <w:rPr/>
        <w:t>al</w:t>
      </w:r>
      <w:r>
        <w:rPr>
          <w:spacing w:val="-13"/>
        </w:rPr>
        <w:t> </w:t>
      </w:r>
      <w:r>
        <w:rPr/>
        <w:t>3</w:t>
      </w:r>
      <w:r>
        <w:rPr>
          <w:spacing w:val="-12"/>
        </w:rPr>
        <w:t> </w:t>
      </w:r>
      <w:r>
        <w:rPr/>
        <w:t>de</w:t>
      </w:r>
      <w:r>
        <w:rPr>
          <w:spacing w:val="-12"/>
        </w:rPr>
        <w:t> </w:t>
      </w:r>
      <w:r>
        <w:rPr/>
        <w:t>agosto</w:t>
      </w:r>
      <w:r>
        <w:rPr>
          <w:spacing w:val="-9"/>
        </w:rPr>
        <w:t> </w:t>
      </w:r>
      <w:r>
        <w:rPr/>
        <w:t>de</w:t>
      </w:r>
      <w:r>
        <w:rPr>
          <w:spacing w:val="-12"/>
        </w:rPr>
        <w:t> </w:t>
      </w:r>
      <w:r>
        <w:rPr/>
        <w:t>2012;</w:t>
      </w:r>
      <w:r>
        <w:rPr>
          <w:spacing w:val="-10"/>
        </w:rPr>
        <w:t> </w:t>
      </w:r>
      <w:r>
        <w:rPr/>
        <w:t>y</w:t>
      </w:r>
      <w:r>
        <w:rPr>
          <w:spacing w:val="-13"/>
        </w:rPr>
        <w:t> </w:t>
      </w:r>
      <w:r>
        <w:rPr/>
        <w:t>lilis ‘Serrada’ calibre 14-16, de octubre 12 al 30 de diciembre de 2013. El sustrato utilizado</w:t>
      </w:r>
      <w:r>
        <w:rPr>
          <w:spacing w:val="-17"/>
        </w:rPr>
        <w:t> </w:t>
      </w:r>
      <w:r>
        <w:rPr/>
        <w:t>para</w:t>
      </w:r>
      <w:r>
        <w:rPr>
          <w:spacing w:val="-20"/>
        </w:rPr>
        <w:t> </w:t>
      </w:r>
      <w:r>
        <w:rPr/>
        <w:t>ambos</w:t>
      </w:r>
      <w:r>
        <w:rPr>
          <w:spacing w:val="-18"/>
        </w:rPr>
        <w:t> </w:t>
      </w:r>
      <w:r>
        <w:rPr/>
        <w:t>cultivares</w:t>
      </w:r>
      <w:r>
        <w:rPr>
          <w:spacing w:val="-18"/>
        </w:rPr>
        <w:t> </w:t>
      </w:r>
      <w:r>
        <w:rPr/>
        <w:t>fue</w:t>
      </w:r>
      <w:r>
        <w:rPr>
          <w:spacing w:val="-20"/>
        </w:rPr>
        <w:t> </w:t>
      </w:r>
      <w:r>
        <w:rPr/>
        <w:t>agrolita,</w:t>
      </w:r>
      <w:r>
        <w:rPr>
          <w:spacing w:val="-18"/>
        </w:rPr>
        <w:t> </w:t>
      </w:r>
      <w:r>
        <w:rPr/>
        <w:t>el</w:t>
      </w:r>
      <w:r>
        <w:rPr>
          <w:spacing w:val="-21"/>
        </w:rPr>
        <w:t> </w:t>
      </w:r>
      <w:r>
        <w:rPr/>
        <w:t>cual</w:t>
      </w:r>
      <w:r>
        <w:rPr>
          <w:spacing w:val="-19"/>
        </w:rPr>
        <w:t> </w:t>
      </w:r>
      <w:r>
        <w:rPr/>
        <w:t>se</w:t>
      </w:r>
      <w:r>
        <w:rPr>
          <w:spacing w:val="-17"/>
        </w:rPr>
        <w:t> </w:t>
      </w:r>
      <w:r>
        <w:rPr/>
        <w:t>colocó</w:t>
      </w:r>
      <w:r>
        <w:rPr>
          <w:spacing w:val="-20"/>
        </w:rPr>
        <w:t> </w:t>
      </w:r>
      <w:r>
        <w:rPr/>
        <w:t>en</w:t>
      </w:r>
      <w:r>
        <w:rPr>
          <w:spacing w:val="-20"/>
        </w:rPr>
        <w:t> </w:t>
      </w:r>
      <w:r>
        <w:rPr/>
        <w:t>bolsas</w:t>
      </w:r>
      <w:r>
        <w:rPr>
          <w:spacing w:val="-18"/>
        </w:rPr>
        <w:t> </w:t>
      </w:r>
      <w:r>
        <w:rPr/>
        <w:t>de</w:t>
      </w:r>
      <w:r>
        <w:rPr>
          <w:spacing w:val="-17"/>
        </w:rPr>
        <w:t> </w:t>
      </w:r>
      <w:r>
        <w:rPr/>
        <w:t>polietileno color</w:t>
      </w:r>
      <w:r>
        <w:rPr>
          <w:spacing w:val="-5"/>
        </w:rPr>
        <w:t> </w:t>
      </w:r>
      <w:r>
        <w:rPr/>
        <w:t>negro</w:t>
      </w:r>
      <w:r>
        <w:rPr>
          <w:spacing w:val="-3"/>
        </w:rPr>
        <w:t> </w:t>
      </w:r>
      <w:r>
        <w:rPr/>
        <w:t>con</w:t>
      </w:r>
      <w:r>
        <w:rPr>
          <w:spacing w:val="-3"/>
        </w:rPr>
        <w:t> </w:t>
      </w:r>
      <w:r>
        <w:rPr/>
        <w:t>dimensiones</w:t>
      </w:r>
      <w:r>
        <w:rPr>
          <w:spacing w:val="-4"/>
        </w:rPr>
        <w:t> </w:t>
      </w:r>
      <w:r>
        <w:rPr/>
        <w:t>de</w:t>
      </w:r>
      <w:r>
        <w:rPr>
          <w:spacing w:val="-6"/>
        </w:rPr>
        <w:t> </w:t>
      </w:r>
      <w:r>
        <w:rPr/>
        <w:t>0.3</w:t>
      </w:r>
      <w:r>
        <w:rPr>
          <w:spacing w:val="-3"/>
        </w:rPr>
        <w:t> </w:t>
      </w:r>
      <w:r>
        <w:rPr/>
        <w:t>x</w:t>
      </w:r>
      <w:r>
        <w:rPr>
          <w:spacing w:val="-7"/>
        </w:rPr>
        <w:t> </w:t>
      </w:r>
      <w:r>
        <w:rPr/>
        <w:t>0.3</w:t>
      </w:r>
      <w:r>
        <w:rPr>
          <w:spacing w:val="-3"/>
        </w:rPr>
        <w:t> </w:t>
      </w:r>
      <w:r>
        <w:rPr/>
        <w:t>m;</w:t>
      </w:r>
      <w:r>
        <w:rPr>
          <w:spacing w:val="-6"/>
        </w:rPr>
        <w:t> </w:t>
      </w:r>
      <w:r>
        <w:rPr/>
        <w:t>en</w:t>
      </w:r>
      <w:r>
        <w:rPr>
          <w:spacing w:val="-3"/>
        </w:rPr>
        <w:t> </w:t>
      </w:r>
      <w:r>
        <w:rPr/>
        <w:t>cada</w:t>
      </w:r>
      <w:r>
        <w:rPr>
          <w:spacing w:val="-3"/>
        </w:rPr>
        <w:t> </w:t>
      </w:r>
      <w:r>
        <w:rPr/>
        <w:t>bolsa</w:t>
      </w:r>
      <w:r>
        <w:rPr>
          <w:spacing w:val="-3"/>
        </w:rPr>
        <w:t> </w:t>
      </w:r>
      <w:r>
        <w:rPr/>
        <w:t>se</w:t>
      </w:r>
      <w:r>
        <w:rPr>
          <w:spacing w:val="-6"/>
        </w:rPr>
        <w:t> </w:t>
      </w:r>
      <w:r>
        <w:rPr/>
        <w:t>plantó</w:t>
      </w:r>
      <w:r>
        <w:rPr>
          <w:spacing w:val="-3"/>
        </w:rPr>
        <w:t> </w:t>
      </w:r>
      <w:r>
        <w:rPr/>
        <w:t>un</w:t>
      </w:r>
      <w:r>
        <w:rPr>
          <w:spacing w:val="-3"/>
        </w:rPr>
        <w:t> </w:t>
      </w:r>
      <w:r>
        <w:rPr/>
        <w:t>bulbo</w:t>
      </w:r>
      <w:r>
        <w:rPr>
          <w:spacing w:val="-3"/>
        </w:rPr>
        <w:t> </w:t>
      </w:r>
      <w:r>
        <w:rPr/>
        <w:t>para cv. Acapulco y 2 bulbos para cv. Serrada. Se emplearon bulbos vernalizados que se</w:t>
      </w:r>
      <w:r>
        <w:rPr>
          <w:spacing w:val="-15"/>
        </w:rPr>
        <w:t> </w:t>
      </w:r>
      <w:r>
        <w:rPr/>
        <w:t>adquirieron</w:t>
      </w:r>
      <w:r>
        <w:rPr>
          <w:spacing w:val="-17"/>
        </w:rPr>
        <w:t> </w:t>
      </w:r>
      <w:r>
        <w:rPr/>
        <w:t>en</w:t>
      </w:r>
      <w:r>
        <w:rPr>
          <w:spacing w:val="-15"/>
        </w:rPr>
        <w:t> </w:t>
      </w:r>
      <w:r>
        <w:rPr/>
        <w:t>la</w:t>
      </w:r>
      <w:r>
        <w:rPr>
          <w:spacing w:val="-17"/>
        </w:rPr>
        <w:t> </w:t>
      </w:r>
      <w:r>
        <w:rPr/>
        <w:t>empresa</w:t>
      </w:r>
      <w:r>
        <w:rPr>
          <w:spacing w:val="-15"/>
        </w:rPr>
        <w:t> </w:t>
      </w:r>
      <w:r>
        <w:rPr/>
        <w:t>“Bulbos</w:t>
      </w:r>
      <w:r>
        <w:rPr>
          <w:spacing w:val="-18"/>
        </w:rPr>
        <w:t> </w:t>
      </w:r>
      <w:r>
        <w:rPr/>
        <w:t>de</w:t>
      </w:r>
      <w:r>
        <w:rPr>
          <w:spacing w:val="-17"/>
        </w:rPr>
        <w:t> </w:t>
      </w:r>
      <w:r>
        <w:rPr/>
        <w:t>Holanda”.</w:t>
      </w:r>
      <w:r>
        <w:rPr>
          <w:spacing w:val="-15"/>
        </w:rPr>
        <w:t> </w:t>
      </w:r>
      <w:r>
        <w:rPr/>
        <w:t>Previo</w:t>
      </w:r>
      <w:r>
        <w:rPr>
          <w:spacing w:val="-17"/>
        </w:rPr>
        <w:t> </w:t>
      </w:r>
      <w:r>
        <w:rPr/>
        <w:t>a</w:t>
      </w:r>
      <w:r>
        <w:rPr>
          <w:spacing w:val="-15"/>
        </w:rPr>
        <w:t> </w:t>
      </w:r>
      <w:r>
        <w:rPr/>
        <w:t>la</w:t>
      </w:r>
      <w:r>
        <w:rPr>
          <w:spacing w:val="-17"/>
        </w:rPr>
        <w:t> </w:t>
      </w:r>
      <w:r>
        <w:rPr/>
        <w:t>plantación,</w:t>
      </w:r>
      <w:r>
        <w:rPr>
          <w:spacing w:val="-18"/>
        </w:rPr>
        <w:t> </w:t>
      </w:r>
      <w:r>
        <w:rPr/>
        <w:t>los</w:t>
      </w:r>
      <w:r>
        <w:rPr>
          <w:spacing w:val="-18"/>
        </w:rPr>
        <w:t> </w:t>
      </w:r>
      <w:r>
        <w:rPr/>
        <w:t>bulbos se desinfestaron con una solución de Orthodifolathan (Captan) 1 </w:t>
      </w:r>
      <w:r>
        <w:rPr>
          <w:color w:val="221E1F"/>
        </w:rPr>
        <w:t>g·litro</w:t>
      </w:r>
      <w:r>
        <w:rPr>
          <w:color w:val="221E1F"/>
          <w:position w:val="8"/>
          <w:sz w:val="16"/>
        </w:rPr>
        <w:t>-1</w:t>
      </w:r>
      <w:r>
        <w:rPr/>
        <w:t>durante 5 min. El diseño del invernadero (Rodríguez-Landero et al., 2012) y la disposición</w:t>
      </w:r>
      <w:r>
        <w:rPr>
          <w:spacing w:val="-11"/>
        </w:rPr>
        <w:t> </w:t>
      </w:r>
      <w:r>
        <w:rPr/>
        <w:t>de</w:t>
      </w:r>
    </w:p>
    <w:p>
      <w:pPr>
        <w:spacing w:after="0" w:line="480" w:lineRule="auto"/>
        <w:jc w:val="both"/>
        <w:sectPr>
          <w:pgSz w:w="12240" w:h="15840"/>
          <w:pgMar w:header="0" w:footer="1005" w:top="1360" w:bottom="1200" w:left="1600" w:right="1580"/>
        </w:sectPr>
      </w:pPr>
    </w:p>
    <w:p>
      <w:pPr>
        <w:pStyle w:val="BodyText"/>
        <w:spacing w:line="480" w:lineRule="auto" w:before="51"/>
        <w:ind w:left="101" w:right="118"/>
        <w:jc w:val="both"/>
      </w:pPr>
      <w:r>
        <w:rPr/>
        <w:t>las macetas en ambos ciclos de cultivo permitió que el diseño experimental, en ambos ciclos, fuera completamente al azar.</w:t>
      </w:r>
    </w:p>
    <w:p>
      <w:pPr>
        <w:pStyle w:val="BodyText"/>
        <w:spacing w:line="480" w:lineRule="auto" w:before="8"/>
        <w:ind w:left="101" w:right="116"/>
        <w:jc w:val="both"/>
      </w:pPr>
      <w:r>
        <w:rPr/>
        <w:t>La</w:t>
      </w:r>
      <w:r>
        <w:rPr>
          <w:spacing w:val="-11"/>
        </w:rPr>
        <w:t> </w:t>
      </w:r>
      <w:r>
        <w:rPr/>
        <w:t>fertilización</w:t>
      </w:r>
      <w:r>
        <w:rPr>
          <w:spacing w:val="-9"/>
        </w:rPr>
        <w:t> </w:t>
      </w:r>
      <w:r>
        <w:rPr/>
        <w:t>al</w:t>
      </w:r>
      <w:r>
        <w:rPr>
          <w:spacing w:val="-11"/>
        </w:rPr>
        <w:t> </w:t>
      </w:r>
      <w:r>
        <w:rPr/>
        <w:t>suelo</w:t>
      </w:r>
      <w:r>
        <w:rPr>
          <w:spacing w:val="-11"/>
        </w:rPr>
        <w:t> </w:t>
      </w:r>
      <w:r>
        <w:rPr/>
        <w:t>en</w:t>
      </w:r>
      <w:r>
        <w:rPr>
          <w:spacing w:val="-9"/>
        </w:rPr>
        <w:t> </w:t>
      </w:r>
      <w:r>
        <w:rPr/>
        <w:t>ambos</w:t>
      </w:r>
      <w:r>
        <w:rPr>
          <w:spacing w:val="-10"/>
        </w:rPr>
        <w:t> </w:t>
      </w:r>
      <w:r>
        <w:rPr/>
        <w:t>cultivos</w:t>
      </w:r>
      <w:r>
        <w:rPr>
          <w:spacing w:val="-10"/>
        </w:rPr>
        <w:t> </w:t>
      </w:r>
      <w:r>
        <w:rPr/>
        <w:t>se</w:t>
      </w:r>
      <w:r>
        <w:rPr>
          <w:spacing w:val="-11"/>
        </w:rPr>
        <w:t> </w:t>
      </w:r>
      <w:r>
        <w:rPr/>
        <w:t>basó</w:t>
      </w:r>
      <w:r>
        <w:rPr>
          <w:spacing w:val="-9"/>
        </w:rPr>
        <w:t> </w:t>
      </w:r>
      <w:r>
        <w:rPr/>
        <w:t>en</w:t>
      </w:r>
      <w:r>
        <w:rPr>
          <w:spacing w:val="-9"/>
        </w:rPr>
        <w:t> </w:t>
      </w:r>
      <w:r>
        <w:rPr/>
        <w:t>la</w:t>
      </w:r>
      <w:r>
        <w:rPr>
          <w:spacing w:val="-9"/>
        </w:rPr>
        <w:t> </w:t>
      </w:r>
      <w:r>
        <w:rPr/>
        <w:t>solución</w:t>
      </w:r>
      <w:r>
        <w:rPr>
          <w:spacing w:val="-9"/>
        </w:rPr>
        <w:t> </w:t>
      </w:r>
      <w:r>
        <w:rPr/>
        <w:t>nutritiva</w:t>
      </w:r>
      <w:r>
        <w:rPr>
          <w:spacing w:val="-9"/>
        </w:rPr>
        <w:t> </w:t>
      </w:r>
      <w:r>
        <w:rPr/>
        <w:t>de</w:t>
      </w:r>
      <w:r>
        <w:rPr>
          <w:spacing w:val="-9"/>
        </w:rPr>
        <w:t> </w:t>
      </w:r>
      <w:r>
        <w:rPr/>
        <w:t>Steiner (1961) (Cuadro 1), que se aumentó 40 veces más para igualar la fertilización nitrogenada</w:t>
      </w:r>
      <w:r>
        <w:rPr>
          <w:spacing w:val="-13"/>
        </w:rPr>
        <w:t> </w:t>
      </w:r>
      <w:r>
        <w:rPr/>
        <w:t>sugerida</w:t>
      </w:r>
      <w:r>
        <w:rPr>
          <w:spacing w:val="-15"/>
        </w:rPr>
        <w:t> </w:t>
      </w:r>
      <w:r>
        <w:rPr/>
        <w:t>para</w:t>
      </w:r>
      <w:r>
        <w:rPr>
          <w:spacing w:val="-13"/>
        </w:rPr>
        <w:t> </w:t>
      </w:r>
      <w:r>
        <w:rPr>
          <w:i/>
        </w:rPr>
        <w:t>Lilium</w:t>
      </w:r>
      <w:r>
        <w:rPr>
          <w:i/>
          <w:spacing w:val="-17"/>
        </w:rPr>
        <w:t> </w:t>
      </w:r>
      <w:r>
        <w:rPr/>
        <w:t>(Franco</w:t>
      </w:r>
      <w:r>
        <w:rPr>
          <w:spacing w:val="-15"/>
        </w:rPr>
        <w:t> </w:t>
      </w:r>
      <w:r>
        <w:rPr/>
        <w:t>et</w:t>
      </w:r>
      <w:r>
        <w:rPr>
          <w:spacing w:val="-15"/>
        </w:rPr>
        <w:t> </w:t>
      </w:r>
      <w:r>
        <w:rPr/>
        <w:t>al.,</w:t>
      </w:r>
      <w:r>
        <w:rPr>
          <w:spacing w:val="-13"/>
        </w:rPr>
        <w:t> </w:t>
      </w:r>
      <w:r>
        <w:rPr/>
        <w:t>2009).</w:t>
      </w:r>
      <w:r>
        <w:rPr>
          <w:spacing w:val="-18"/>
        </w:rPr>
        <w:t> </w:t>
      </w:r>
      <w:r>
        <w:rPr/>
        <w:t>Además,</w:t>
      </w:r>
      <w:r>
        <w:rPr>
          <w:spacing w:val="-15"/>
        </w:rPr>
        <w:t> </w:t>
      </w:r>
      <w:r>
        <w:rPr/>
        <w:t>de</w:t>
      </w:r>
      <w:r>
        <w:rPr>
          <w:spacing w:val="-15"/>
        </w:rPr>
        <w:t> </w:t>
      </w:r>
      <w:r>
        <w:rPr/>
        <w:t>manera</w:t>
      </w:r>
      <w:r>
        <w:rPr>
          <w:spacing w:val="-15"/>
        </w:rPr>
        <w:t> </w:t>
      </w:r>
      <w:r>
        <w:rPr/>
        <w:t>general, y por tanto no involucrados en el análisis experimental, se aportó foliarmente Ca (130 m</w:t>
      </w:r>
      <w:r>
        <w:rPr>
          <w:color w:val="221E1F"/>
        </w:rPr>
        <w:t>g·litro</w:t>
      </w:r>
      <w:r>
        <w:rPr>
          <w:color w:val="221E1F"/>
          <w:position w:val="8"/>
          <w:sz w:val="16"/>
        </w:rPr>
        <w:t>-1</w:t>
      </w:r>
      <w:r>
        <w:rPr>
          <w:color w:val="221E1F"/>
        </w:rPr>
        <w:t>) </w:t>
      </w:r>
      <w:r>
        <w:rPr/>
        <w:t>y B (30 mg</w:t>
      </w:r>
      <w:r>
        <w:rPr>
          <w:color w:val="221E1F"/>
        </w:rPr>
        <w:t>·litro</w:t>
      </w:r>
      <w:r>
        <w:rPr>
          <w:color w:val="221E1F"/>
          <w:position w:val="8"/>
          <w:sz w:val="16"/>
        </w:rPr>
        <w:t>-1</w:t>
      </w:r>
      <w:r>
        <w:rPr>
          <w:color w:val="221E1F"/>
        </w:rPr>
        <w:t>)</w:t>
      </w:r>
      <w:r>
        <w:rPr/>
        <w:t>, cada quince días; (Rodríguez-Landeros et al., 2012),</w:t>
      </w:r>
      <w:r>
        <w:rPr>
          <w:spacing w:val="-17"/>
        </w:rPr>
        <w:t> </w:t>
      </w:r>
      <w:r>
        <w:rPr/>
        <w:t>esta</w:t>
      </w:r>
      <w:r>
        <w:rPr>
          <w:spacing w:val="-19"/>
        </w:rPr>
        <w:t> </w:t>
      </w:r>
      <w:r>
        <w:rPr/>
        <w:t>aplicación</w:t>
      </w:r>
      <w:r>
        <w:rPr>
          <w:spacing w:val="-21"/>
        </w:rPr>
        <w:t> </w:t>
      </w:r>
      <w:r>
        <w:rPr/>
        <w:t>no</w:t>
      </w:r>
      <w:r>
        <w:rPr>
          <w:spacing w:val="-16"/>
        </w:rPr>
        <w:t> </w:t>
      </w:r>
      <w:r>
        <w:rPr/>
        <w:t>coincidió</w:t>
      </w:r>
      <w:r>
        <w:rPr>
          <w:spacing w:val="-16"/>
        </w:rPr>
        <w:t> </w:t>
      </w:r>
      <w:r>
        <w:rPr/>
        <w:t>con</w:t>
      </w:r>
      <w:r>
        <w:rPr>
          <w:spacing w:val="-19"/>
        </w:rPr>
        <w:t> </w:t>
      </w:r>
      <w:r>
        <w:rPr/>
        <w:t>la</w:t>
      </w:r>
      <w:r>
        <w:rPr>
          <w:spacing w:val="-16"/>
        </w:rPr>
        <w:t> </w:t>
      </w:r>
      <w:r>
        <w:rPr/>
        <w:t>de</w:t>
      </w:r>
      <w:r>
        <w:rPr>
          <w:spacing w:val="-16"/>
        </w:rPr>
        <w:t> </w:t>
      </w:r>
      <w:r>
        <w:rPr/>
        <w:t>Zn</w:t>
      </w:r>
      <w:r>
        <w:rPr>
          <w:spacing w:val="-16"/>
        </w:rPr>
        <w:t> </w:t>
      </w:r>
      <w:r>
        <w:rPr/>
        <w:t>y</w:t>
      </w:r>
      <w:r>
        <w:rPr>
          <w:spacing w:val="-20"/>
        </w:rPr>
        <w:t> </w:t>
      </w:r>
      <w:r>
        <w:rPr/>
        <w:t>Mg</w:t>
      </w:r>
      <w:r>
        <w:rPr>
          <w:spacing w:val="-19"/>
        </w:rPr>
        <w:t> </w:t>
      </w:r>
      <w:r>
        <w:rPr/>
        <w:t>en</w:t>
      </w:r>
      <w:r>
        <w:rPr>
          <w:spacing w:val="-16"/>
        </w:rPr>
        <w:t> </w:t>
      </w:r>
      <w:r>
        <w:rPr/>
        <w:t>experimentación.</w:t>
      </w:r>
      <w:r>
        <w:rPr>
          <w:spacing w:val="-19"/>
        </w:rPr>
        <w:t> </w:t>
      </w:r>
      <w:r>
        <w:rPr/>
        <w:t>Los</w:t>
      </w:r>
      <w:r>
        <w:rPr>
          <w:spacing w:val="-17"/>
        </w:rPr>
        <w:t> </w:t>
      </w:r>
      <w:r>
        <w:rPr/>
        <w:t>riegos por maceta fueron de 100 ml cada tercer día hasta la cosecha para el cv. Serrada. En</w:t>
      </w:r>
      <w:r>
        <w:rPr>
          <w:spacing w:val="-13"/>
        </w:rPr>
        <w:t> </w:t>
      </w:r>
      <w:r>
        <w:rPr/>
        <w:t>el</w:t>
      </w:r>
      <w:r>
        <w:rPr>
          <w:spacing w:val="-14"/>
        </w:rPr>
        <w:t> </w:t>
      </w:r>
      <w:r>
        <w:rPr/>
        <w:t>caso</w:t>
      </w:r>
      <w:r>
        <w:rPr>
          <w:spacing w:val="-13"/>
        </w:rPr>
        <w:t> </w:t>
      </w:r>
      <w:r>
        <w:rPr/>
        <w:t>del</w:t>
      </w:r>
      <w:r>
        <w:rPr>
          <w:spacing w:val="-14"/>
        </w:rPr>
        <w:t> </w:t>
      </w:r>
      <w:r>
        <w:rPr/>
        <w:t>cv.</w:t>
      </w:r>
      <w:r>
        <w:rPr>
          <w:spacing w:val="-13"/>
        </w:rPr>
        <w:t> </w:t>
      </w:r>
      <w:r>
        <w:rPr/>
        <w:t>Acapulco,</w:t>
      </w:r>
      <w:r>
        <w:rPr>
          <w:spacing w:val="-13"/>
        </w:rPr>
        <w:t> </w:t>
      </w:r>
      <w:r>
        <w:rPr/>
        <w:t>el</w:t>
      </w:r>
      <w:r>
        <w:rPr>
          <w:spacing w:val="-14"/>
        </w:rPr>
        <w:t> </w:t>
      </w:r>
      <w:r>
        <w:rPr/>
        <w:t>riego</w:t>
      </w:r>
      <w:r>
        <w:rPr>
          <w:spacing w:val="-15"/>
        </w:rPr>
        <w:t> </w:t>
      </w:r>
      <w:r>
        <w:rPr/>
        <w:t>fue</w:t>
      </w:r>
      <w:r>
        <w:rPr>
          <w:spacing w:val="-15"/>
        </w:rPr>
        <w:t> </w:t>
      </w:r>
      <w:r>
        <w:rPr/>
        <w:t>de</w:t>
      </w:r>
      <w:r>
        <w:rPr>
          <w:spacing w:val="-13"/>
        </w:rPr>
        <w:t> </w:t>
      </w:r>
      <w:r>
        <w:rPr/>
        <w:t>100</w:t>
      </w:r>
      <w:r>
        <w:rPr>
          <w:spacing w:val="-13"/>
        </w:rPr>
        <w:t> </w:t>
      </w:r>
      <w:r>
        <w:rPr/>
        <w:t>ml</w:t>
      </w:r>
      <w:r>
        <w:rPr>
          <w:spacing w:val="-14"/>
        </w:rPr>
        <w:t> </w:t>
      </w:r>
      <w:r>
        <w:rPr/>
        <w:t>por</w:t>
      </w:r>
      <w:r>
        <w:rPr>
          <w:spacing w:val="-15"/>
        </w:rPr>
        <w:t> </w:t>
      </w:r>
      <w:r>
        <w:rPr/>
        <w:t>maceta,</w:t>
      </w:r>
      <w:r>
        <w:rPr>
          <w:spacing w:val="-13"/>
        </w:rPr>
        <w:t> </w:t>
      </w:r>
      <w:r>
        <w:rPr/>
        <w:t>cada</w:t>
      </w:r>
      <w:r>
        <w:rPr>
          <w:spacing w:val="-13"/>
        </w:rPr>
        <w:t> </w:t>
      </w:r>
      <w:r>
        <w:rPr/>
        <w:t>tercer</w:t>
      </w:r>
      <w:r>
        <w:rPr>
          <w:spacing w:val="-15"/>
        </w:rPr>
        <w:t> </w:t>
      </w:r>
      <w:r>
        <w:rPr/>
        <w:t>día</w:t>
      </w:r>
      <w:r>
        <w:rPr>
          <w:spacing w:val="-13"/>
        </w:rPr>
        <w:t> </w:t>
      </w:r>
      <w:r>
        <w:rPr/>
        <w:t>hasta la</w:t>
      </w:r>
      <w:r>
        <w:rPr>
          <w:spacing w:val="-5"/>
        </w:rPr>
        <w:t> </w:t>
      </w:r>
      <w:r>
        <w:rPr/>
        <w:t>aparición</w:t>
      </w:r>
      <w:r>
        <w:rPr>
          <w:spacing w:val="-5"/>
        </w:rPr>
        <w:t> </w:t>
      </w:r>
      <w:r>
        <w:rPr/>
        <w:t>de</w:t>
      </w:r>
      <w:r>
        <w:rPr>
          <w:spacing w:val="-5"/>
        </w:rPr>
        <w:t> </w:t>
      </w:r>
      <w:r>
        <w:rPr/>
        <w:t>los</w:t>
      </w:r>
      <w:r>
        <w:rPr>
          <w:spacing w:val="-9"/>
        </w:rPr>
        <w:t> </w:t>
      </w:r>
      <w:r>
        <w:rPr/>
        <w:t>primeros</w:t>
      </w:r>
      <w:r>
        <w:rPr>
          <w:spacing w:val="-9"/>
        </w:rPr>
        <w:t> </w:t>
      </w:r>
      <w:r>
        <w:rPr/>
        <w:t>botones</w:t>
      </w:r>
      <w:r>
        <w:rPr>
          <w:spacing w:val="-9"/>
        </w:rPr>
        <w:t> </w:t>
      </w:r>
      <w:r>
        <w:rPr/>
        <w:t>florales;</w:t>
      </w:r>
      <w:r>
        <w:rPr>
          <w:spacing w:val="-6"/>
        </w:rPr>
        <w:t> </w:t>
      </w:r>
      <w:r>
        <w:rPr/>
        <w:t>posteriormente,</w:t>
      </w:r>
      <w:r>
        <w:rPr>
          <w:spacing w:val="-6"/>
        </w:rPr>
        <w:t> </w:t>
      </w:r>
      <w:r>
        <w:rPr/>
        <w:t>y</w:t>
      </w:r>
      <w:r>
        <w:rPr>
          <w:spacing w:val="-9"/>
        </w:rPr>
        <w:t> </w:t>
      </w:r>
      <w:r>
        <w:rPr/>
        <w:t>hasta</w:t>
      </w:r>
      <w:r>
        <w:rPr>
          <w:spacing w:val="-5"/>
        </w:rPr>
        <w:t> </w:t>
      </w:r>
      <w:r>
        <w:rPr/>
        <w:t>la</w:t>
      </w:r>
      <w:r>
        <w:rPr>
          <w:spacing w:val="-8"/>
        </w:rPr>
        <w:t> </w:t>
      </w:r>
      <w:r>
        <w:rPr/>
        <w:t>cosecha</w:t>
      </w:r>
      <w:r>
        <w:rPr>
          <w:spacing w:val="-5"/>
        </w:rPr>
        <w:t> </w:t>
      </w:r>
      <w:r>
        <w:rPr/>
        <w:t>se aumentó</w:t>
      </w:r>
      <w:r>
        <w:rPr>
          <w:spacing w:val="-12"/>
        </w:rPr>
        <w:t> </w:t>
      </w:r>
      <w:r>
        <w:rPr/>
        <w:t>a</w:t>
      </w:r>
      <w:r>
        <w:rPr>
          <w:spacing w:val="-9"/>
        </w:rPr>
        <w:t> </w:t>
      </w:r>
      <w:r>
        <w:rPr/>
        <w:t>200</w:t>
      </w:r>
      <w:r>
        <w:rPr>
          <w:spacing w:val="-12"/>
        </w:rPr>
        <w:t> </w:t>
      </w:r>
      <w:r>
        <w:rPr/>
        <w:t>ml</w:t>
      </w:r>
      <w:r>
        <w:rPr>
          <w:spacing w:val="-13"/>
        </w:rPr>
        <w:t> </w:t>
      </w:r>
      <w:r>
        <w:rPr/>
        <w:t>por</w:t>
      </w:r>
      <w:r>
        <w:rPr>
          <w:spacing w:val="-13"/>
        </w:rPr>
        <w:t> </w:t>
      </w:r>
      <w:r>
        <w:rPr/>
        <w:t>maceta</w:t>
      </w:r>
      <w:r>
        <w:rPr>
          <w:spacing w:val="-9"/>
        </w:rPr>
        <w:t> </w:t>
      </w:r>
      <w:r>
        <w:rPr/>
        <w:t>cada</w:t>
      </w:r>
      <w:r>
        <w:rPr>
          <w:spacing w:val="-9"/>
        </w:rPr>
        <w:t> </w:t>
      </w:r>
      <w:r>
        <w:rPr/>
        <w:t>tercer</w:t>
      </w:r>
      <w:r>
        <w:rPr>
          <w:spacing w:val="-11"/>
        </w:rPr>
        <w:t> </w:t>
      </w:r>
      <w:r>
        <w:rPr/>
        <w:t>día.</w:t>
      </w:r>
      <w:r>
        <w:rPr>
          <w:spacing w:val="-10"/>
        </w:rPr>
        <w:t> </w:t>
      </w:r>
      <w:r>
        <w:rPr/>
        <w:t>El</w:t>
      </w:r>
      <w:r>
        <w:rPr>
          <w:spacing w:val="-11"/>
        </w:rPr>
        <w:t> </w:t>
      </w:r>
      <w:r>
        <w:rPr/>
        <w:t>cultivo</w:t>
      </w:r>
      <w:r>
        <w:rPr>
          <w:spacing w:val="-9"/>
        </w:rPr>
        <w:t> </w:t>
      </w:r>
      <w:r>
        <w:rPr/>
        <w:t>se</w:t>
      </w:r>
      <w:r>
        <w:rPr>
          <w:spacing w:val="-12"/>
        </w:rPr>
        <w:t> </w:t>
      </w:r>
      <w:r>
        <w:rPr/>
        <w:t>cubrió</w:t>
      </w:r>
      <w:r>
        <w:rPr>
          <w:spacing w:val="-12"/>
        </w:rPr>
        <w:t> </w:t>
      </w:r>
      <w:r>
        <w:rPr/>
        <w:t>con</w:t>
      </w:r>
      <w:r>
        <w:rPr>
          <w:spacing w:val="-9"/>
        </w:rPr>
        <w:t> </w:t>
      </w:r>
      <w:r>
        <w:rPr/>
        <w:t>malla</w:t>
      </w:r>
      <w:r>
        <w:rPr>
          <w:spacing w:val="-9"/>
        </w:rPr>
        <w:t> </w:t>
      </w:r>
      <w:r>
        <w:rPr/>
        <w:t>sombra para evitar daños por alta intensidad luminosa. Los dos ciclos de cultivo se monitorearon adecuadamente para evitar el ataque de plagas y enfermedades y que pudieran modificar los datos</w:t>
      </w:r>
      <w:r>
        <w:rPr>
          <w:spacing w:val="-24"/>
        </w:rPr>
        <w:t> </w:t>
      </w:r>
      <w:r>
        <w:rPr/>
        <w:t>obtenidos.</w:t>
      </w:r>
    </w:p>
    <w:p>
      <w:pPr>
        <w:pStyle w:val="BodyText"/>
      </w:pPr>
    </w:p>
    <w:p>
      <w:pPr>
        <w:pStyle w:val="BodyText"/>
        <w:spacing w:before="7"/>
      </w:pPr>
    </w:p>
    <w:p>
      <w:pPr>
        <w:pStyle w:val="Heading1"/>
        <w:spacing w:before="1"/>
        <w:ind w:left="101"/>
        <w:jc w:val="both"/>
      </w:pPr>
      <w:r>
        <w:rPr/>
        <w:t>Experimento 1.  Cv. Acapulco</w:t>
      </w:r>
    </w:p>
    <w:p>
      <w:pPr>
        <w:pStyle w:val="BodyText"/>
        <w:rPr>
          <w:b/>
        </w:rPr>
      </w:pPr>
    </w:p>
    <w:p>
      <w:pPr>
        <w:pStyle w:val="BodyText"/>
        <w:spacing w:line="480" w:lineRule="auto" w:before="161"/>
        <w:ind w:left="101" w:right="116"/>
        <w:jc w:val="both"/>
      </w:pPr>
      <w:r>
        <w:rPr/>
        <w:t>Durante</w:t>
      </w:r>
      <w:r>
        <w:rPr>
          <w:spacing w:val="-21"/>
        </w:rPr>
        <w:t> </w:t>
      </w:r>
      <w:r>
        <w:rPr/>
        <w:t>el</w:t>
      </w:r>
      <w:r>
        <w:rPr>
          <w:spacing w:val="-20"/>
        </w:rPr>
        <w:t> </w:t>
      </w:r>
      <w:r>
        <w:rPr/>
        <w:t>crecimiento</w:t>
      </w:r>
      <w:r>
        <w:rPr>
          <w:spacing w:val="-21"/>
        </w:rPr>
        <w:t> </w:t>
      </w:r>
      <w:r>
        <w:rPr/>
        <w:t>y</w:t>
      </w:r>
      <w:r>
        <w:rPr>
          <w:spacing w:val="-22"/>
        </w:rPr>
        <w:t> </w:t>
      </w:r>
      <w:r>
        <w:rPr/>
        <w:t>desarrollo</w:t>
      </w:r>
      <w:r>
        <w:rPr>
          <w:spacing w:val="-19"/>
        </w:rPr>
        <w:t> </w:t>
      </w:r>
      <w:r>
        <w:rPr/>
        <w:t>del</w:t>
      </w:r>
      <w:r>
        <w:rPr>
          <w:spacing w:val="-20"/>
        </w:rPr>
        <w:t> </w:t>
      </w:r>
      <w:r>
        <w:rPr/>
        <w:t>cultivo,</w:t>
      </w:r>
      <w:r>
        <w:rPr>
          <w:spacing w:val="-19"/>
        </w:rPr>
        <w:t> </w:t>
      </w:r>
      <w:r>
        <w:rPr/>
        <w:t>el</w:t>
      </w:r>
      <w:r>
        <w:rPr>
          <w:spacing w:val="-20"/>
        </w:rPr>
        <w:t> </w:t>
      </w:r>
      <w:r>
        <w:rPr/>
        <w:t>experimento</w:t>
      </w:r>
      <w:r>
        <w:rPr>
          <w:spacing w:val="-19"/>
        </w:rPr>
        <w:t> </w:t>
      </w:r>
      <w:r>
        <w:rPr/>
        <w:t>involucró</w:t>
      </w:r>
      <w:r>
        <w:rPr>
          <w:spacing w:val="-19"/>
        </w:rPr>
        <w:t> </w:t>
      </w:r>
      <w:r>
        <w:rPr/>
        <w:t>dos</w:t>
      </w:r>
      <w:r>
        <w:rPr>
          <w:spacing w:val="-22"/>
        </w:rPr>
        <w:t> </w:t>
      </w:r>
      <w:r>
        <w:rPr/>
        <w:t>factores, siendo ellos la solución nutritiva y la fertilización foliar. Se emplearon dos dosis de solución</w:t>
      </w:r>
      <w:r>
        <w:rPr>
          <w:spacing w:val="-3"/>
        </w:rPr>
        <w:t> </w:t>
      </w:r>
      <w:r>
        <w:rPr/>
        <w:t>nutritiva</w:t>
      </w:r>
      <w:r>
        <w:rPr>
          <w:spacing w:val="-3"/>
        </w:rPr>
        <w:t> </w:t>
      </w:r>
      <w:r>
        <w:rPr/>
        <w:t>Steiner,</w:t>
      </w:r>
      <w:r>
        <w:rPr>
          <w:spacing w:val="-4"/>
        </w:rPr>
        <w:t> </w:t>
      </w:r>
      <w:r>
        <w:rPr/>
        <w:t>10</w:t>
      </w:r>
      <w:r>
        <w:rPr>
          <w:spacing w:val="-3"/>
        </w:rPr>
        <w:t> </w:t>
      </w:r>
      <w:r>
        <w:rPr/>
        <w:t>y</w:t>
      </w:r>
      <w:r>
        <w:rPr>
          <w:spacing w:val="-7"/>
        </w:rPr>
        <w:t> </w:t>
      </w:r>
      <w:r>
        <w:rPr/>
        <w:t>20</w:t>
      </w:r>
      <w:r>
        <w:rPr>
          <w:spacing w:val="-3"/>
        </w:rPr>
        <w:t> </w:t>
      </w:r>
      <w:r>
        <w:rPr/>
        <w:t>ml</w:t>
      </w:r>
      <w:r>
        <w:rPr>
          <w:spacing w:val="-5"/>
        </w:rPr>
        <w:t> </w:t>
      </w:r>
      <w:r>
        <w:rPr/>
        <w:t>por</w:t>
      </w:r>
      <w:r>
        <w:rPr>
          <w:spacing w:val="-5"/>
        </w:rPr>
        <w:t> </w:t>
      </w:r>
      <w:r>
        <w:rPr/>
        <w:t>maceta,</w:t>
      </w:r>
      <w:r>
        <w:rPr>
          <w:spacing w:val="-4"/>
        </w:rPr>
        <w:t> </w:t>
      </w:r>
      <w:r>
        <w:rPr/>
        <w:t>y</w:t>
      </w:r>
      <w:r>
        <w:rPr>
          <w:spacing w:val="-7"/>
        </w:rPr>
        <w:t> </w:t>
      </w:r>
      <w:r>
        <w:rPr/>
        <w:t>tres</w:t>
      </w:r>
      <w:r>
        <w:rPr>
          <w:spacing w:val="-4"/>
        </w:rPr>
        <w:t> </w:t>
      </w:r>
      <w:r>
        <w:rPr/>
        <w:t>dosis</w:t>
      </w:r>
      <w:r>
        <w:rPr>
          <w:spacing w:val="-4"/>
        </w:rPr>
        <w:t> </w:t>
      </w:r>
      <w:r>
        <w:rPr/>
        <w:t>de</w:t>
      </w:r>
      <w:r>
        <w:rPr>
          <w:spacing w:val="-6"/>
        </w:rPr>
        <w:t> </w:t>
      </w:r>
      <w:r>
        <w:rPr/>
        <w:t>fertilización</w:t>
      </w:r>
      <w:r>
        <w:rPr>
          <w:spacing w:val="-3"/>
        </w:rPr>
        <w:t> </w:t>
      </w:r>
      <w:r>
        <w:rPr/>
        <w:t>foliar</w:t>
      </w:r>
      <w:r>
        <w:rPr>
          <w:spacing w:val="-7"/>
        </w:rPr>
        <w:t> </w:t>
      </w:r>
      <w:r>
        <w:rPr/>
        <w:t>a base</w:t>
      </w:r>
      <w:r>
        <w:rPr>
          <w:spacing w:val="-6"/>
        </w:rPr>
        <w:t> </w:t>
      </w:r>
      <w:r>
        <w:rPr/>
        <w:t>de</w:t>
      </w:r>
      <w:r>
        <w:rPr>
          <w:spacing w:val="-6"/>
        </w:rPr>
        <w:t> </w:t>
      </w:r>
      <w:r>
        <w:rPr/>
        <w:t>Zn</w:t>
      </w:r>
      <w:r>
        <w:rPr>
          <w:spacing w:val="-3"/>
        </w:rPr>
        <w:t> </w:t>
      </w:r>
      <w:r>
        <w:rPr/>
        <w:t>y</w:t>
      </w:r>
      <w:r>
        <w:rPr>
          <w:spacing w:val="-7"/>
        </w:rPr>
        <w:t> </w:t>
      </w:r>
      <w:r>
        <w:rPr/>
        <w:t>Mg</w:t>
      </w:r>
      <w:r>
        <w:rPr>
          <w:spacing w:val="-6"/>
        </w:rPr>
        <w:t> </w:t>
      </w:r>
      <w:r>
        <w:rPr/>
        <w:t>0-0,</w:t>
      </w:r>
      <w:r>
        <w:rPr>
          <w:spacing w:val="-4"/>
        </w:rPr>
        <w:t> </w:t>
      </w:r>
      <w:r>
        <w:rPr/>
        <w:t>72-80</w:t>
      </w:r>
      <w:r>
        <w:rPr>
          <w:spacing w:val="-3"/>
        </w:rPr>
        <w:t> </w:t>
      </w:r>
      <w:r>
        <w:rPr/>
        <w:t>y</w:t>
      </w:r>
      <w:r>
        <w:rPr>
          <w:spacing w:val="-7"/>
        </w:rPr>
        <w:t> </w:t>
      </w:r>
      <w:r>
        <w:rPr/>
        <w:t>144-160</w:t>
      </w:r>
      <w:r>
        <w:rPr>
          <w:spacing w:val="-6"/>
        </w:rPr>
        <w:t> </w:t>
      </w:r>
      <w:r>
        <w:rPr/>
        <w:t>mg·litro</w:t>
      </w:r>
      <w:r>
        <w:rPr>
          <w:position w:val="8"/>
          <w:sz w:val="16"/>
        </w:rPr>
        <w:t>-1</w:t>
      </w:r>
      <w:r>
        <w:rPr/>
        <w:t>,</w:t>
      </w:r>
      <w:r>
        <w:rPr>
          <w:spacing w:val="-4"/>
        </w:rPr>
        <w:t> </w:t>
      </w:r>
      <w:r>
        <w:rPr/>
        <w:t>respectivamente;</w:t>
      </w:r>
      <w:r>
        <w:rPr>
          <w:spacing w:val="-4"/>
        </w:rPr>
        <w:t> </w:t>
      </w:r>
      <w:r>
        <w:rPr/>
        <w:t>es</w:t>
      </w:r>
      <w:r>
        <w:rPr>
          <w:spacing w:val="-5"/>
        </w:rPr>
        <w:t> </w:t>
      </w:r>
      <w:r>
        <w:rPr>
          <w:spacing w:val="-3"/>
        </w:rPr>
        <w:t>decir,</w:t>
      </w:r>
      <w:r>
        <w:rPr>
          <w:spacing w:val="-4"/>
        </w:rPr>
        <w:t> </w:t>
      </w:r>
      <w:r>
        <w:rPr/>
        <w:t>en</w:t>
      </w:r>
      <w:r>
        <w:rPr>
          <w:spacing w:val="-4"/>
        </w:rPr>
        <w:t> </w:t>
      </w:r>
      <w:r>
        <w:rPr/>
        <w:t>total se evaluaron 6 tratamientos. La fertilización al sustrato inició a los 20 días después de la plantación (DDP) y posteriormente se aplicó a intervalos de 10 días  </w:t>
      </w:r>
      <w:r>
        <w:rPr>
          <w:spacing w:val="17"/>
        </w:rPr>
        <w:t> </w:t>
      </w:r>
      <w:r>
        <w:rPr/>
        <w:t>durante</w:t>
      </w:r>
    </w:p>
    <w:p>
      <w:pPr>
        <w:spacing w:after="0" w:line="480" w:lineRule="auto"/>
        <w:jc w:val="both"/>
        <w:sectPr>
          <w:pgSz w:w="12240" w:h="15840"/>
          <w:pgMar w:header="0" w:footer="1005" w:top="1360" w:bottom="1200" w:left="1600" w:right="1580"/>
        </w:sectPr>
      </w:pPr>
    </w:p>
    <w:p>
      <w:pPr>
        <w:pStyle w:val="BodyText"/>
        <w:spacing w:line="480" w:lineRule="auto" w:before="51"/>
        <w:ind w:left="101" w:right="115"/>
        <w:jc w:val="both"/>
      </w:pPr>
      <w:r>
        <w:rPr/>
        <w:t>todo</w:t>
      </w:r>
      <w:r>
        <w:rPr>
          <w:spacing w:val="-14"/>
        </w:rPr>
        <w:t> </w:t>
      </w:r>
      <w:r>
        <w:rPr/>
        <w:t>el</w:t>
      </w:r>
      <w:r>
        <w:rPr>
          <w:spacing w:val="-13"/>
        </w:rPr>
        <w:t> </w:t>
      </w:r>
      <w:r>
        <w:rPr/>
        <w:t>ciclo</w:t>
      </w:r>
      <w:r>
        <w:rPr>
          <w:spacing w:val="-14"/>
        </w:rPr>
        <w:t> </w:t>
      </w:r>
      <w:r>
        <w:rPr/>
        <w:t>de</w:t>
      </w:r>
      <w:r>
        <w:rPr>
          <w:spacing w:val="-14"/>
        </w:rPr>
        <w:t> </w:t>
      </w:r>
      <w:r>
        <w:rPr/>
        <w:t>la</w:t>
      </w:r>
      <w:r>
        <w:rPr>
          <w:spacing w:val="-14"/>
        </w:rPr>
        <w:t> </w:t>
      </w:r>
      <w:r>
        <w:rPr/>
        <w:t>planta,</w:t>
      </w:r>
      <w:r>
        <w:rPr>
          <w:spacing w:val="-12"/>
        </w:rPr>
        <w:t> </w:t>
      </w:r>
      <w:r>
        <w:rPr/>
        <w:t>hasta</w:t>
      </w:r>
      <w:r>
        <w:rPr>
          <w:spacing w:val="-14"/>
        </w:rPr>
        <w:t> </w:t>
      </w:r>
      <w:r>
        <w:rPr/>
        <w:t>su</w:t>
      </w:r>
      <w:r>
        <w:rPr>
          <w:spacing w:val="-14"/>
        </w:rPr>
        <w:t> </w:t>
      </w:r>
      <w:r>
        <w:rPr/>
        <w:t>cosecha.</w:t>
      </w:r>
      <w:r>
        <w:rPr>
          <w:spacing w:val="-14"/>
        </w:rPr>
        <w:t> </w:t>
      </w:r>
      <w:r>
        <w:rPr/>
        <w:t>La</w:t>
      </w:r>
      <w:r>
        <w:rPr>
          <w:spacing w:val="-12"/>
        </w:rPr>
        <w:t> </w:t>
      </w:r>
      <w:r>
        <w:rPr/>
        <w:t>aplicación</w:t>
      </w:r>
      <w:r>
        <w:rPr>
          <w:spacing w:val="-14"/>
        </w:rPr>
        <w:t> </w:t>
      </w:r>
      <w:r>
        <w:rPr/>
        <w:t>de</w:t>
      </w:r>
      <w:r>
        <w:rPr>
          <w:spacing w:val="-14"/>
        </w:rPr>
        <w:t> </w:t>
      </w:r>
      <w:r>
        <w:rPr/>
        <w:t>los</w:t>
      </w:r>
      <w:r>
        <w:rPr>
          <w:spacing w:val="-15"/>
        </w:rPr>
        <w:t> </w:t>
      </w:r>
      <w:r>
        <w:rPr/>
        <w:t>nutrimentos</w:t>
      </w:r>
      <w:r>
        <w:rPr>
          <w:spacing w:val="-15"/>
        </w:rPr>
        <w:t> </w:t>
      </w:r>
      <w:r>
        <w:rPr/>
        <w:t>foliares en experimentación (Zn y Mg) se programó para realizarse a partir de los 35 </w:t>
      </w:r>
      <w:r>
        <w:rPr>
          <w:spacing w:val="-9"/>
        </w:rPr>
        <w:t>DDP, </w:t>
      </w:r>
      <w:r>
        <w:rPr/>
        <w:t>cuando</w:t>
      </w:r>
      <w:r>
        <w:rPr>
          <w:spacing w:val="-9"/>
        </w:rPr>
        <w:t> </w:t>
      </w:r>
      <w:r>
        <w:rPr/>
        <w:t>las</w:t>
      </w:r>
      <w:r>
        <w:rPr>
          <w:spacing w:val="-10"/>
        </w:rPr>
        <w:t> </w:t>
      </w:r>
      <w:r>
        <w:rPr/>
        <w:t>hojas</w:t>
      </w:r>
      <w:r>
        <w:rPr>
          <w:spacing w:val="-10"/>
        </w:rPr>
        <w:t> </w:t>
      </w:r>
      <w:r>
        <w:rPr/>
        <w:t>empezaban</w:t>
      </w:r>
      <w:r>
        <w:rPr>
          <w:spacing w:val="-9"/>
        </w:rPr>
        <w:t> </w:t>
      </w:r>
      <w:r>
        <w:rPr/>
        <w:t>a</w:t>
      </w:r>
      <w:r>
        <w:rPr>
          <w:spacing w:val="-9"/>
        </w:rPr>
        <w:t> </w:t>
      </w:r>
      <w:r>
        <w:rPr/>
        <w:t>expandirse,</w:t>
      </w:r>
      <w:r>
        <w:rPr>
          <w:spacing w:val="-12"/>
        </w:rPr>
        <w:t> </w:t>
      </w:r>
      <w:r>
        <w:rPr/>
        <w:t>de</w:t>
      </w:r>
      <w:r>
        <w:rPr>
          <w:spacing w:val="-9"/>
        </w:rPr>
        <w:t> </w:t>
      </w:r>
      <w:r>
        <w:rPr/>
        <w:t>manera</w:t>
      </w:r>
      <w:r>
        <w:rPr>
          <w:spacing w:val="-9"/>
        </w:rPr>
        <w:t> </w:t>
      </w:r>
      <w:r>
        <w:rPr/>
        <w:t>alternada</w:t>
      </w:r>
      <w:r>
        <w:rPr>
          <w:spacing w:val="-9"/>
        </w:rPr>
        <w:t> </w:t>
      </w:r>
      <w:r>
        <w:rPr/>
        <w:t>cada</w:t>
      </w:r>
      <w:r>
        <w:rPr>
          <w:spacing w:val="-9"/>
        </w:rPr>
        <w:t> </w:t>
      </w:r>
      <w:r>
        <w:rPr/>
        <w:t>15</w:t>
      </w:r>
      <w:r>
        <w:rPr>
          <w:spacing w:val="-12"/>
        </w:rPr>
        <w:t> </w:t>
      </w:r>
      <w:r>
        <w:rPr/>
        <w:t>d</w:t>
      </w:r>
      <w:r>
        <w:rPr>
          <w:spacing w:val="-9"/>
        </w:rPr>
        <w:t> </w:t>
      </w:r>
      <w:r>
        <w:rPr/>
        <w:t>durante todo</w:t>
      </w:r>
      <w:r>
        <w:rPr>
          <w:spacing w:val="-7"/>
        </w:rPr>
        <w:t> </w:t>
      </w:r>
      <w:r>
        <w:rPr/>
        <w:t>el</w:t>
      </w:r>
      <w:r>
        <w:rPr>
          <w:spacing w:val="-6"/>
        </w:rPr>
        <w:t> </w:t>
      </w:r>
      <w:r>
        <w:rPr/>
        <w:t>ciclo</w:t>
      </w:r>
      <w:r>
        <w:rPr>
          <w:spacing w:val="-4"/>
        </w:rPr>
        <w:t> </w:t>
      </w:r>
      <w:r>
        <w:rPr/>
        <w:t>del</w:t>
      </w:r>
      <w:r>
        <w:rPr>
          <w:spacing w:val="-6"/>
        </w:rPr>
        <w:t> </w:t>
      </w:r>
      <w:r>
        <w:rPr/>
        <w:t>cultivo.</w:t>
      </w:r>
      <w:r>
        <w:rPr>
          <w:spacing w:val="-5"/>
        </w:rPr>
        <w:t> </w:t>
      </w:r>
      <w:r>
        <w:rPr/>
        <w:t>La</w:t>
      </w:r>
      <w:r>
        <w:rPr>
          <w:spacing w:val="-4"/>
        </w:rPr>
        <w:t> </w:t>
      </w:r>
      <w:r>
        <w:rPr/>
        <w:t>aplicación</w:t>
      </w:r>
      <w:r>
        <w:rPr>
          <w:spacing w:val="-4"/>
        </w:rPr>
        <w:t> </w:t>
      </w:r>
      <w:r>
        <w:rPr/>
        <w:t>del</w:t>
      </w:r>
      <w:r>
        <w:rPr>
          <w:spacing w:val="-8"/>
        </w:rPr>
        <w:t> </w:t>
      </w:r>
      <w:r>
        <w:rPr/>
        <w:t>fertilizante</w:t>
      </w:r>
      <w:r>
        <w:rPr>
          <w:spacing w:val="-4"/>
        </w:rPr>
        <w:t> </w:t>
      </w:r>
      <w:r>
        <w:rPr/>
        <w:t>foliar</w:t>
      </w:r>
      <w:r>
        <w:rPr>
          <w:spacing w:val="-6"/>
        </w:rPr>
        <w:t> </w:t>
      </w:r>
      <w:r>
        <w:rPr/>
        <w:t>fue</w:t>
      </w:r>
      <w:r>
        <w:rPr>
          <w:spacing w:val="-4"/>
        </w:rPr>
        <w:t> </w:t>
      </w:r>
      <w:r>
        <w:rPr/>
        <w:t>hasta</w:t>
      </w:r>
      <w:r>
        <w:rPr>
          <w:spacing w:val="-7"/>
        </w:rPr>
        <w:t> </w:t>
      </w:r>
      <w:r>
        <w:rPr/>
        <w:t>punto</w:t>
      </w:r>
      <w:r>
        <w:rPr>
          <w:spacing w:val="-4"/>
        </w:rPr>
        <w:t> </w:t>
      </w:r>
      <w:r>
        <w:rPr/>
        <w:t>de</w:t>
      </w:r>
      <w:r>
        <w:rPr>
          <w:spacing w:val="-4"/>
        </w:rPr>
        <w:t> </w:t>
      </w:r>
      <w:r>
        <w:rPr/>
        <w:t>goteo. Cada</w:t>
      </w:r>
      <w:r>
        <w:rPr>
          <w:spacing w:val="-14"/>
        </w:rPr>
        <w:t> </w:t>
      </w:r>
      <w:r>
        <w:rPr/>
        <w:t>tratamiento</w:t>
      </w:r>
      <w:r>
        <w:rPr>
          <w:spacing w:val="-14"/>
        </w:rPr>
        <w:t> </w:t>
      </w:r>
      <w:r>
        <w:rPr/>
        <w:t>tuvo</w:t>
      </w:r>
      <w:r>
        <w:rPr>
          <w:spacing w:val="-14"/>
        </w:rPr>
        <w:t> </w:t>
      </w:r>
      <w:r>
        <w:rPr/>
        <w:t>más</w:t>
      </w:r>
      <w:r>
        <w:rPr>
          <w:spacing w:val="-15"/>
        </w:rPr>
        <w:t> </w:t>
      </w:r>
      <w:r>
        <w:rPr/>
        <w:t>de</w:t>
      </w:r>
      <w:r>
        <w:rPr>
          <w:spacing w:val="-14"/>
        </w:rPr>
        <w:t> </w:t>
      </w:r>
      <w:r>
        <w:rPr/>
        <w:t>50</w:t>
      </w:r>
      <w:r>
        <w:rPr>
          <w:spacing w:val="-12"/>
        </w:rPr>
        <w:t> </w:t>
      </w:r>
      <w:r>
        <w:rPr/>
        <w:t>plantas</w:t>
      </w:r>
      <w:r>
        <w:rPr>
          <w:spacing w:val="-13"/>
        </w:rPr>
        <w:t> </w:t>
      </w:r>
      <w:r>
        <w:rPr/>
        <w:t>pero</w:t>
      </w:r>
      <w:r>
        <w:rPr>
          <w:spacing w:val="-12"/>
        </w:rPr>
        <w:t> </w:t>
      </w:r>
      <w:r>
        <w:rPr/>
        <w:t>solo</w:t>
      </w:r>
      <w:r>
        <w:rPr>
          <w:spacing w:val="-14"/>
        </w:rPr>
        <w:t> </w:t>
      </w:r>
      <w:r>
        <w:rPr/>
        <w:t>se</w:t>
      </w:r>
      <w:r>
        <w:rPr>
          <w:spacing w:val="-14"/>
        </w:rPr>
        <w:t> </w:t>
      </w:r>
      <w:r>
        <w:rPr/>
        <w:t>tomaron</w:t>
      </w:r>
      <w:r>
        <w:rPr>
          <w:spacing w:val="-14"/>
        </w:rPr>
        <w:t> </w:t>
      </w:r>
      <w:r>
        <w:rPr/>
        <w:t>datos</w:t>
      </w:r>
      <w:r>
        <w:rPr>
          <w:spacing w:val="-13"/>
        </w:rPr>
        <w:t> </w:t>
      </w:r>
      <w:r>
        <w:rPr/>
        <w:t>de</w:t>
      </w:r>
      <w:r>
        <w:rPr>
          <w:spacing w:val="-14"/>
        </w:rPr>
        <w:t> </w:t>
      </w:r>
      <w:r>
        <w:rPr/>
        <w:t>10</w:t>
      </w:r>
      <w:r>
        <w:rPr>
          <w:spacing w:val="-12"/>
        </w:rPr>
        <w:t> </w:t>
      </w:r>
      <w:r>
        <w:rPr/>
        <w:t>de</w:t>
      </w:r>
      <w:r>
        <w:rPr>
          <w:spacing w:val="-14"/>
        </w:rPr>
        <w:t> </w:t>
      </w:r>
      <w:r>
        <w:rPr/>
        <w:t>ellas, distribuidas aleatoriamente, durante el</w:t>
      </w:r>
      <w:r>
        <w:rPr>
          <w:spacing w:val="-24"/>
        </w:rPr>
        <w:t> </w:t>
      </w:r>
      <w:r>
        <w:rPr/>
        <w:t>crecimiento.</w:t>
      </w:r>
    </w:p>
    <w:p>
      <w:pPr>
        <w:pStyle w:val="Heading1"/>
        <w:spacing w:before="168"/>
        <w:ind w:left="101"/>
        <w:jc w:val="both"/>
      </w:pPr>
      <w:r>
        <w:rPr/>
        <w:t>Crecimiento</w:t>
      </w:r>
    </w:p>
    <w:p>
      <w:pPr>
        <w:pStyle w:val="BodyText"/>
        <w:rPr>
          <w:b/>
        </w:rPr>
      </w:pPr>
    </w:p>
    <w:p>
      <w:pPr>
        <w:pStyle w:val="BodyText"/>
        <w:spacing w:line="480" w:lineRule="auto" w:before="161"/>
        <w:ind w:left="101" w:right="116"/>
        <w:jc w:val="both"/>
      </w:pPr>
      <w:r>
        <w:rPr/>
        <w:t>A los 35, 55, 75 y 95 DDP, se realizaron cuantificaciones en la altura (cm) de 10 plantas por tratamiento con un flexómetro, midiendo desde la base del tallo (inicio del sistema radicular adventicio caulinar) hasta el ápice de la planta (incluyendo el botón floral, cuando se presentó).</w:t>
      </w:r>
    </w:p>
    <w:p>
      <w:pPr>
        <w:pStyle w:val="BodyText"/>
      </w:pPr>
    </w:p>
    <w:p>
      <w:pPr>
        <w:pStyle w:val="BodyText"/>
      </w:pPr>
    </w:p>
    <w:p>
      <w:pPr>
        <w:pStyle w:val="BodyText"/>
        <w:spacing w:before="5"/>
        <w:rPr>
          <w:sz w:val="28"/>
        </w:rPr>
      </w:pPr>
    </w:p>
    <w:p>
      <w:pPr>
        <w:pStyle w:val="Heading1"/>
        <w:ind w:left="101"/>
        <w:jc w:val="both"/>
      </w:pPr>
      <w:r>
        <w:rPr/>
        <w:t>Unidades SPAD</w:t>
      </w:r>
    </w:p>
    <w:p>
      <w:pPr>
        <w:pStyle w:val="BodyText"/>
        <w:rPr>
          <w:b/>
        </w:rPr>
      </w:pPr>
    </w:p>
    <w:p>
      <w:pPr>
        <w:pStyle w:val="BodyText"/>
        <w:spacing w:line="480" w:lineRule="auto" w:before="158"/>
        <w:ind w:left="101" w:right="117"/>
        <w:jc w:val="both"/>
      </w:pPr>
      <w:r>
        <w:rPr/>
        <w:t>La lectura SPAD o índice de verdor se midió con un medidor SPAD (Mod. 502, Konica Minolta) en hojas completamente extendidas a los 43, 63, 83 y 103 DDP. Los valores se obtuvieron de 10 plantas (repeticiones) por tratamiento, en 5 hojas de la parte intermedia de cada tallo.</w:t>
      </w:r>
    </w:p>
    <w:p>
      <w:pPr>
        <w:pStyle w:val="BodyText"/>
      </w:pPr>
    </w:p>
    <w:p>
      <w:pPr>
        <w:pStyle w:val="BodyText"/>
      </w:pPr>
    </w:p>
    <w:p>
      <w:pPr>
        <w:pStyle w:val="BodyText"/>
        <w:spacing w:before="7"/>
        <w:rPr>
          <w:sz w:val="28"/>
        </w:rPr>
      </w:pPr>
    </w:p>
    <w:p>
      <w:pPr>
        <w:pStyle w:val="Heading1"/>
        <w:ind w:left="101"/>
        <w:jc w:val="both"/>
      </w:pPr>
      <w:r>
        <w:rPr/>
        <w:t>Experimento 2.  Cv. Serrada</w:t>
      </w:r>
    </w:p>
    <w:p>
      <w:pPr>
        <w:pStyle w:val="BodyText"/>
        <w:spacing w:before="9"/>
        <w:rPr>
          <w:b/>
          <w:sz w:val="23"/>
        </w:rPr>
      </w:pPr>
    </w:p>
    <w:p>
      <w:pPr>
        <w:pStyle w:val="BodyText"/>
        <w:ind w:left="101"/>
        <w:jc w:val="both"/>
      </w:pPr>
      <w:r>
        <w:rPr/>
        <w:t>De acuerdo a los resultados con </w:t>
      </w:r>
      <w:r>
        <w:rPr>
          <w:i/>
        </w:rPr>
        <w:t>Lilium </w:t>
      </w:r>
      <w:r>
        <w:rPr/>
        <w:t>cv. Acapulco, para </w:t>
      </w:r>
      <w:r>
        <w:rPr>
          <w:i/>
        </w:rPr>
        <w:t>Lilium </w:t>
      </w:r>
      <w:r>
        <w:rPr/>
        <w:t>cv. Serrada se</w:t>
      </w:r>
    </w:p>
    <w:p>
      <w:pPr>
        <w:pStyle w:val="BodyText"/>
        <w:spacing w:line="550" w:lineRule="atLeast" w:before="4"/>
        <w:ind w:left="101" w:right="117"/>
        <w:jc w:val="both"/>
      </w:pPr>
      <w:r>
        <w:rPr/>
        <w:t>experimentó</w:t>
      </w:r>
      <w:r>
        <w:rPr>
          <w:spacing w:val="-19"/>
        </w:rPr>
        <w:t> </w:t>
      </w:r>
      <w:r>
        <w:rPr/>
        <w:t>solo</w:t>
      </w:r>
      <w:r>
        <w:rPr>
          <w:spacing w:val="-19"/>
        </w:rPr>
        <w:t> </w:t>
      </w:r>
      <w:r>
        <w:rPr/>
        <w:t>con</w:t>
      </w:r>
      <w:r>
        <w:rPr>
          <w:spacing w:val="-19"/>
        </w:rPr>
        <w:t> </w:t>
      </w:r>
      <w:r>
        <w:rPr/>
        <w:t>la</w:t>
      </w:r>
      <w:r>
        <w:rPr>
          <w:spacing w:val="-19"/>
        </w:rPr>
        <w:t> </w:t>
      </w:r>
      <w:r>
        <w:rPr/>
        <w:t>fertilización</w:t>
      </w:r>
      <w:r>
        <w:rPr>
          <w:spacing w:val="-19"/>
        </w:rPr>
        <w:t> </w:t>
      </w:r>
      <w:r>
        <w:rPr/>
        <w:t>foliar,</w:t>
      </w:r>
      <w:r>
        <w:rPr>
          <w:spacing w:val="-22"/>
        </w:rPr>
        <w:t> </w:t>
      </w:r>
      <w:r>
        <w:rPr/>
        <w:t>pero</w:t>
      </w:r>
      <w:r>
        <w:rPr>
          <w:spacing w:val="-19"/>
        </w:rPr>
        <w:t> </w:t>
      </w:r>
      <w:r>
        <w:rPr/>
        <w:t>en</w:t>
      </w:r>
      <w:r>
        <w:rPr>
          <w:spacing w:val="-19"/>
        </w:rPr>
        <w:t> </w:t>
      </w:r>
      <w:r>
        <w:rPr/>
        <w:t>este</w:t>
      </w:r>
      <w:r>
        <w:rPr>
          <w:spacing w:val="-19"/>
        </w:rPr>
        <w:t> </w:t>
      </w:r>
      <w:r>
        <w:rPr/>
        <w:t>caso</w:t>
      </w:r>
      <w:r>
        <w:rPr>
          <w:spacing w:val="-19"/>
        </w:rPr>
        <w:t> </w:t>
      </w:r>
      <w:r>
        <w:rPr/>
        <w:t>se</w:t>
      </w:r>
      <w:r>
        <w:rPr>
          <w:spacing w:val="-19"/>
        </w:rPr>
        <w:t> </w:t>
      </w:r>
      <w:r>
        <w:rPr/>
        <w:t>ampliaron</w:t>
      </w:r>
      <w:r>
        <w:rPr>
          <w:spacing w:val="-19"/>
        </w:rPr>
        <w:t> </w:t>
      </w:r>
      <w:r>
        <w:rPr/>
        <w:t>los</w:t>
      </w:r>
      <w:r>
        <w:rPr>
          <w:spacing w:val="-20"/>
        </w:rPr>
        <w:t> </w:t>
      </w:r>
      <w:r>
        <w:rPr/>
        <w:t>rangos de</w:t>
      </w:r>
      <w:r>
        <w:rPr>
          <w:spacing w:val="20"/>
        </w:rPr>
        <w:t> </w:t>
      </w:r>
      <w:r>
        <w:rPr/>
        <w:t>las</w:t>
      </w:r>
      <w:r>
        <w:rPr>
          <w:spacing w:val="19"/>
        </w:rPr>
        <w:t> </w:t>
      </w:r>
      <w:r>
        <w:rPr/>
        <w:t>dosis:</w:t>
      </w:r>
      <w:r>
        <w:rPr>
          <w:spacing w:val="17"/>
        </w:rPr>
        <w:t> </w:t>
      </w:r>
      <w:r>
        <w:rPr/>
        <w:t>0-0;</w:t>
      </w:r>
      <w:r>
        <w:rPr>
          <w:spacing w:val="19"/>
        </w:rPr>
        <w:t> </w:t>
      </w:r>
      <w:r>
        <w:rPr/>
        <w:t>72-160;</w:t>
      </w:r>
      <w:r>
        <w:rPr>
          <w:spacing w:val="19"/>
        </w:rPr>
        <w:t> </w:t>
      </w:r>
      <w:r>
        <w:rPr/>
        <w:t>144-80;</w:t>
      </w:r>
      <w:r>
        <w:rPr>
          <w:spacing w:val="19"/>
        </w:rPr>
        <w:t> </w:t>
      </w:r>
      <w:r>
        <w:rPr/>
        <w:t>144-160;</w:t>
      </w:r>
      <w:r>
        <w:rPr>
          <w:spacing w:val="17"/>
        </w:rPr>
        <w:t> </w:t>
      </w:r>
      <w:r>
        <w:rPr/>
        <w:t>288-320</w:t>
      </w:r>
      <w:r>
        <w:rPr>
          <w:spacing w:val="20"/>
        </w:rPr>
        <w:t> </w:t>
      </w:r>
      <w:r>
        <w:rPr/>
        <w:t>y</w:t>
      </w:r>
      <w:r>
        <w:rPr>
          <w:spacing w:val="16"/>
        </w:rPr>
        <w:t> </w:t>
      </w:r>
      <w:r>
        <w:rPr/>
        <w:t>432-480</w:t>
      </w:r>
      <w:r>
        <w:rPr>
          <w:spacing w:val="17"/>
        </w:rPr>
        <w:t> </w:t>
      </w:r>
      <w:r>
        <w:rPr/>
        <w:t>mg·litro</w:t>
      </w:r>
      <w:r>
        <w:rPr>
          <w:position w:val="8"/>
          <w:sz w:val="16"/>
        </w:rPr>
        <w:t>-1</w:t>
      </w:r>
      <w:r>
        <w:rPr>
          <w:spacing w:val="41"/>
          <w:position w:val="8"/>
          <w:sz w:val="16"/>
        </w:rPr>
        <w:t> </w:t>
      </w:r>
      <w:r>
        <w:rPr/>
        <w:t>de</w:t>
      </w:r>
      <w:r>
        <w:rPr>
          <w:spacing w:val="20"/>
        </w:rPr>
        <w:t> </w:t>
      </w:r>
      <w:r>
        <w:rPr/>
        <w:t>Zn</w:t>
      </w:r>
      <w:r>
        <w:rPr>
          <w:spacing w:val="20"/>
        </w:rPr>
        <w:t> </w:t>
      </w:r>
      <w:r>
        <w:rPr/>
        <w:t>y</w:t>
      </w:r>
    </w:p>
    <w:p>
      <w:pPr>
        <w:spacing w:after="0" w:line="550" w:lineRule="atLeast"/>
        <w:jc w:val="both"/>
        <w:sectPr>
          <w:pgSz w:w="12240" w:h="15840"/>
          <w:pgMar w:header="0" w:footer="1005" w:top="1360" w:bottom="1200" w:left="1600" w:right="1580"/>
        </w:sectPr>
      </w:pPr>
    </w:p>
    <w:p>
      <w:pPr>
        <w:pStyle w:val="BodyText"/>
        <w:spacing w:line="480" w:lineRule="auto" w:before="51"/>
        <w:ind w:left="101" w:right="116"/>
        <w:jc w:val="both"/>
      </w:pPr>
      <w:r>
        <w:rPr/>
        <w:t>Mg, respectivamente. Al sustrato se adicionaron 10 ml de la solución de Steiner (aumentada</w:t>
      </w:r>
      <w:r>
        <w:rPr>
          <w:spacing w:val="-20"/>
        </w:rPr>
        <w:t> </w:t>
      </w:r>
      <w:r>
        <w:rPr/>
        <w:t>40</w:t>
      </w:r>
      <w:r>
        <w:rPr>
          <w:spacing w:val="-17"/>
        </w:rPr>
        <w:t> </w:t>
      </w:r>
      <w:r>
        <w:rPr/>
        <w:t>veces)</w:t>
      </w:r>
      <w:r>
        <w:rPr>
          <w:spacing w:val="-20"/>
        </w:rPr>
        <w:t> </w:t>
      </w:r>
      <w:r>
        <w:rPr/>
        <w:t>a</w:t>
      </w:r>
      <w:r>
        <w:rPr>
          <w:spacing w:val="-17"/>
        </w:rPr>
        <w:t> </w:t>
      </w:r>
      <w:r>
        <w:rPr/>
        <w:t>la</w:t>
      </w:r>
      <w:r>
        <w:rPr>
          <w:spacing w:val="-17"/>
        </w:rPr>
        <w:t> </w:t>
      </w:r>
      <w:r>
        <w:rPr/>
        <w:t>maceta.</w:t>
      </w:r>
      <w:r>
        <w:rPr>
          <w:spacing w:val="-18"/>
        </w:rPr>
        <w:t> </w:t>
      </w:r>
      <w:r>
        <w:rPr/>
        <w:t>Las</w:t>
      </w:r>
      <w:r>
        <w:rPr>
          <w:spacing w:val="-18"/>
        </w:rPr>
        <w:t> </w:t>
      </w:r>
      <w:r>
        <w:rPr/>
        <w:t>unidades</w:t>
      </w:r>
      <w:r>
        <w:rPr>
          <w:spacing w:val="-18"/>
        </w:rPr>
        <w:t> </w:t>
      </w:r>
      <w:r>
        <w:rPr/>
        <w:t>experimentales</w:t>
      </w:r>
      <w:r>
        <w:rPr>
          <w:spacing w:val="-20"/>
        </w:rPr>
        <w:t> </w:t>
      </w:r>
      <w:r>
        <w:rPr/>
        <w:t>fueron</w:t>
      </w:r>
      <w:r>
        <w:rPr>
          <w:spacing w:val="-17"/>
        </w:rPr>
        <w:t> </w:t>
      </w:r>
      <w:r>
        <w:rPr/>
        <w:t>iguales</w:t>
      </w:r>
      <w:r>
        <w:rPr>
          <w:spacing w:val="-18"/>
        </w:rPr>
        <w:t> </w:t>
      </w:r>
      <w:r>
        <w:rPr/>
        <w:t>que cv.</w:t>
      </w:r>
      <w:r>
        <w:rPr>
          <w:spacing w:val="-10"/>
        </w:rPr>
        <w:t> </w:t>
      </w:r>
      <w:r>
        <w:rPr/>
        <w:t>Acapulco.</w:t>
      </w:r>
      <w:r>
        <w:rPr>
          <w:spacing w:val="-10"/>
        </w:rPr>
        <w:t> </w:t>
      </w:r>
      <w:r>
        <w:rPr/>
        <w:t>El</w:t>
      </w:r>
      <w:r>
        <w:rPr>
          <w:spacing w:val="-13"/>
        </w:rPr>
        <w:t> </w:t>
      </w:r>
      <w:r>
        <w:rPr/>
        <w:t>crecimiento</w:t>
      </w:r>
      <w:r>
        <w:rPr>
          <w:spacing w:val="-12"/>
        </w:rPr>
        <w:t> </w:t>
      </w:r>
      <w:r>
        <w:rPr/>
        <w:t>de</w:t>
      </w:r>
      <w:r>
        <w:rPr>
          <w:spacing w:val="-12"/>
        </w:rPr>
        <w:t> </w:t>
      </w:r>
      <w:r>
        <w:rPr/>
        <w:t>la</w:t>
      </w:r>
      <w:r>
        <w:rPr>
          <w:spacing w:val="-12"/>
        </w:rPr>
        <w:t> </w:t>
      </w:r>
      <w:r>
        <w:rPr/>
        <w:t>planta</w:t>
      </w:r>
      <w:r>
        <w:rPr>
          <w:spacing w:val="-12"/>
        </w:rPr>
        <w:t> </w:t>
      </w:r>
      <w:r>
        <w:rPr/>
        <w:t>y</w:t>
      </w:r>
      <w:r>
        <w:rPr>
          <w:spacing w:val="-13"/>
        </w:rPr>
        <w:t> </w:t>
      </w:r>
      <w:r>
        <w:rPr/>
        <w:t>las</w:t>
      </w:r>
      <w:r>
        <w:rPr>
          <w:spacing w:val="-10"/>
        </w:rPr>
        <w:t> </w:t>
      </w:r>
      <w:r>
        <w:rPr/>
        <w:t>unidades</w:t>
      </w:r>
      <w:r>
        <w:rPr>
          <w:spacing w:val="-13"/>
        </w:rPr>
        <w:t> </w:t>
      </w:r>
      <w:r>
        <w:rPr/>
        <w:t>SPAD</w:t>
      </w:r>
      <w:r>
        <w:rPr>
          <w:spacing w:val="-11"/>
        </w:rPr>
        <w:t> </w:t>
      </w:r>
      <w:r>
        <w:rPr/>
        <w:t>se</w:t>
      </w:r>
      <w:r>
        <w:rPr>
          <w:spacing w:val="-9"/>
        </w:rPr>
        <w:t> </w:t>
      </w:r>
      <w:r>
        <w:rPr/>
        <w:t>cuantificaron</w:t>
      </w:r>
      <w:r>
        <w:rPr>
          <w:spacing w:val="-12"/>
        </w:rPr>
        <w:t> </w:t>
      </w:r>
      <w:r>
        <w:rPr/>
        <w:t>a</w:t>
      </w:r>
      <w:r>
        <w:rPr>
          <w:spacing w:val="-12"/>
        </w:rPr>
        <w:t> </w:t>
      </w:r>
      <w:r>
        <w:rPr/>
        <w:t>los 35, 55 y 75 DDP, la medición se estos parámetros y la aplicación de nutrimentos foliares se realizó igual que el experimento</w:t>
      </w:r>
      <w:r>
        <w:rPr>
          <w:spacing w:val="-21"/>
        </w:rPr>
        <w:t> </w:t>
      </w:r>
      <w:r>
        <w:rPr/>
        <w:t>1.</w:t>
      </w:r>
    </w:p>
    <w:p>
      <w:pPr>
        <w:pStyle w:val="BodyText"/>
      </w:pPr>
    </w:p>
    <w:p>
      <w:pPr>
        <w:pStyle w:val="BodyText"/>
        <w:spacing w:before="7"/>
      </w:pPr>
    </w:p>
    <w:p>
      <w:pPr>
        <w:pStyle w:val="Heading1"/>
        <w:spacing w:before="1"/>
        <w:ind w:left="101"/>
        <w:jc w:val="both"/>
      </w:pPr>
      <w:r>
        <w:rPr/>
        <w:t>Análisis Estadístico</w:t>
      </w:r>
    </w:p>
    <w:p>
      <w:pPr>
        <w:pStyle w:val="BodyText"/>
        <w:rPr>
          <w:b/>
        </w:rPr>
      </w:pPr>
    </w:p>
    <w:p>
      <w:pPr>
        <w:pStyle w:val="BodyText"/>
        <w:spacing w:line="480" w:lineRule="auto"/>
        <w:ind w:left="101" w:right="116"/>
        <w:jc w:val="both"/>
      </w:pPr>
      <w:r>
        <w:rPr/>
        <w:t>Todos</w:t>
      </w:r>
      <w:r>
        <w:rPr>
          <w:spacing w:val="-10"/>
        </w:rPr>
        <w:t> </w:t>
      </w:r>
      <w:r>
        <w:rPr/>
        <w:t>los</w:t>
      </w:r>
      <w:r>
        <w:rPr>
          <w:spacing w:val="-13"/>
        </w:rPr>
        <w:t> </w:t>
      </w:r>
      <w:r>
        <w:rPr/>
        <w:t>datos</w:t>
      </w:r>
      <w:r>
        <w:rPr>
          <w:spacing w:val="-10"/>
        </w:rPr>
        <w:t> </w:t>
      </w:r>
      <w:r>
        <w:rPr/>
        <w:t>se</w:t>
      </w:r>
      <w:r>
        <w:rPr>
          <w:spacing w:val="-9"/>
        </w:rPr>
        <w:t> </w:t>
      </w:r>
      <w:r>
        <w:rPr/>
        <w:t>analizaron</w:t>
      </w:r>
      <w:r>
        <w:rPr>
          <w:spacing w:val="-9"/>
        </w:rPr>
        <w:t> </w:t>
      </w:r>
      <w:r>
        <w:rPr/>
        <w:t>bajo</w:t>
      </w:r>
      <w:r>
        <w:rPr>
          <w:spacing w:val="-9"/>
        </w:rPr>
        <w:t> </w:t>
      </w:r>
      <w:r>
        <w:rPr/>
        <w:t>un</w:t>
      </w:r>
      <w:r>
        <w:rPr>
          <w:spacing w:val="-9"/>
        </w:rPr>
        <w:t> </w:t>
      </w:r>
      <w:r>
        <w:rPr/>
        <w:t>diseño</w:t>
      </w:r>
      <w:r>
        <w:rPr>
          <w:spacing w:val="-12"/>
        </w:rPr>
        <w:t> </w:t>
      </w:r>
      <w:r>
        <w:rPr/>
        <w:t>completo</w:t>
      </w:r>
      <w:r>
        <w:rPr>
          <w:spacing w:val="-12"/>
        </w:rPr>
        <w:t> </w:t>
      </w:r>
      <w:r>
        <w:rPr/>
        <w:t>al</w:t>
      </w:r>
      <w:r>
        <w:rPr>
          <w:spacing w:val="-11"/>
        </w:rPr>
        <w:t> </w:t>
      </w:r>
      <w:r>
        <w:rPr/>
        <w:t>azar.</w:t>
      </w:r>
      <w:r>
        <w:rPr>
          <w:spacing w:val="-10"/>
        </w:rPr>
        <w:t> </w:t>
      </w:r>
      <w:r>
        <w:rPr/>
        <w:t>Para</w:t>
      </w:r>
      <w:r>
        <w:rPr>
          <w:spacing w:val="-12"/>
        </w:rPr>
        <w:t> </w:t>
      </w:r>
      <w:r>
        <w:rPr/>
        <w:t>el</w:t>
      </w:r>
      <w:r>
        <w:rPr>
          <w:spacing w:val="-11"/>
        </w:rPr>
        <w:t> </w:t>
      </w:r>
      <w:r>
        <w:rPr/>
        <w:t>experimento con</w:t>
      </w:r>
      <w:r>
        <w:rPr>
          <w:spacing w:val="-7"/>
        </w:rPr>
        <w:t> </w:t>
      </w:r>
      <w:r>
        <w:rPr>
          <w:i/>
        </w:rPr>
        <w:t>Lilium</w:t>
      </w:r>
      <w:r>
        <w:rPr/>
        <w:t>‘Acapulco’</w:t>
      </w:r>
      <w:r>
        <w:rPr>
          <w:spacing w:val="-8"/>
        </w:rPr>
        <w:t> </w:t>
      </w:r>
      <w:r>
        <w:rPr/>
        <w:t>se</w:t>
      </w:r>
      <w:r>
        <w:rPr>
          <w:spacing w:val="-7"/>
        </w:rPr>
        <w:t> </w:t>
      </w:r>
      <w:r>
        <w:rPr/>
        <w:t>analizó</w:t>
      </w:r>
      <w:r>
        <w:rPr>
          <w:spacing w:val="-7"/>
        </w:rPr>
        <w:t> </w:t>
      </w:r>
      <w:r>
        <w:rPr/>
        <w:t>primero</w:t>
      </w:r>
      <w:r>
        <w:rPr>
          <w:spacing w:val="-9"/>
        </w:rPr>
        <w:t> </w:t>
      </w:r>
      <w:r>
        <w:rPr/>
        <w:t>de</w:t>
      </w:r>
      <w:r>
        <w:rPr>
          <w:spacing w:val="-9"/>
        </w:rPr>
        <w:t> </w:t>
      </w:r>
      <w:r>
        <w:rPr/>
        <w:t>manera</w:t>
      </w:r>
      <w:r>
        <w:rPr>
          <w:spacing w:val="-9"/>
        </w:rPr>
        <w:t> </w:t>
      </w:r>
      <w:r>
        <w:rPr/>
        <w:t>bifactorial</w:t>
      </w:r>
      <w:r>
        <w:rPr>
          <w:spacing w:val="-8"/>
        </w:rPr>
        <w:t> </w:t>
      </w:r>
      <w:r>
        <w:rPr/>
        <w:t>con</w:t>
      </w:r>
      <w:r>
        <w:rPr>
          <w:spacing w:val="-7"/>
        </w:rPr>
        <w:t> </w:t>
      </w:r>
      <w:r>
        <w:rPr/>
        <w:t>los</w:t>
      </w:r>
      <w:r>
        <w:rPr>
          <w:spacing w:val="-8"/>
        </w:rPr>
        <w:t> </w:t>
      </w:r>
      <w:r>
        <w:rPr/>
        <w:t>factores</w:t>
      </w:r>
      <w:r>
        <w:rPr>
          <w:spacing w:val="-10"/>
        </w:rPr>
        <w:t> </w:t>
      </w:r>
      <w:r>
        <w:rPr/>
        <w:t>dosis de Steiner, con dos niveles y dosis de Zn y Mg con tres niveles. Posteriormente, debido a que el factor Steiner afectó negativamente la altura de la planta; el experimento de </w:t>
      </w:r>
      <w:r>
        <w:rPr>
          <w:i/>
        </w:rPr>
        <w:t>Lilium</w:t>
      </w:r>
      <w:r>
        <w:rPr/>
        <w:t>‘Serrada’ sólo estudió el factor dosis de Zn y Mg foliar, con seis niveles. Cuando el valor de F fue significativo, la comparación de medias se realizó con la prueba de Tukey (</w:t>
      </w:r>
      <w:r>
        <w:rPr>
          <w:i/>
        </w:rPr>
        <w:t>p ≤</w:t>
      </w:r>
      <w:r>
        <w:rPr>
          <w:i/>
          <w:spacing w:val="-15"/>
        </w:rPr>
        <w:t> </w:t>
      </w:r>
      <w:r>
        <w:rPr/>
        <w:t>0.05).</w:t>
      </w:r>
    </w:p>
    <w:p>
      <w:pPr>
        <w:pStyle w:val="BodyText"/>
      </w:pPr>
    </w:p>
    <w:p>
      <w:pPr>
        <w:pStyle w:val="BodyText"/>
        <w:spacing w:before="10"/>
      </w:pPr>
    </w:p>
    <w:p>
      <w:pPr>
        <w:pStyle w:val="Heading1"/>
        <w:ind w:left="2878"/>
      </w:pPr>
      <w:r>
        <w:rPr/>
        <w:t>RESULTADOS Y DISCUSIÓN</w:t>
      </w:r>
    </w:p>
    <w:p>
      <w:pPr>
        <w:pStyle w:val="BodyText"/>
        <w:rPr>
          <w:b/>
        </w:rPr>
      </w:pPr>
    </w:p>
    <w:p>
      <w:pPr>
        <w:spacing w:line="616" w:lineRule="auto" w:before="161"/>
        <w:ind w:left="101" w:right="4284" w:firstLine="0"/>
        <w:jc w:val="left"/>
        <w:rPr>
          <w:b/>
          <w:sz w:val="24"/>
        </w:rPr>
      </w:pPr>
      <w:r>
        <w:rPr>
          <w:b/>
          <w:sz w:val="24"/>
        </w:rPr>
        <w:t>Experimento 1. Cv. Acapulco Crecimiento</w:t>
      </w:r>
    </w:p>
    <w:p>
      <w:pPr>
        <w:pStyle w:val="BodyText"/>
        <w:spacing w:line="480" w:lineRule="auto" w:before="16"/>
        <w:ind w:left="101" w:right="118"/>
        <w:jc w:val="both"/>
      </w:pPr>
      <w:r>
        <w:rPr/>
        <w:t>Tanto la dosis de Steiner como de la aplicación foliar de Zn y Mg comenzaron a afectar la altura de las plantas de </w:t>
      </w:r>
      <w:r>
        <w:rPr>
          <w:i/>
        </w:rPr>
        <w:t>Lilium </w:t>
      </w:r>
      <w:r>
        <w:rPr/>
        <w:t>a partir de los 55 DDP. Sin embargo, la interacción zinc y magnesio por solución Steiner no fue significativa para esta variable en ninguna fecha (Cuadro 2).</w:t>
      </w:r>
    </w:p>
    <w:p>
      <w:pPr>
        <w:spacing w:after="0" w:line="480" w:lineRule="auto"/>
        <w:jc w:val="both"/>
        <w:sectPr>
          <w:footerReference w:type="default" r:id="rId12"/>
          <w:pgSz w:w="12240" w:h="15840"/>
          <w:pgMar w:footer="1005" w:header="0" w:top="1360" w:bottom="1200" w:left="1600" w:right="1580"/>
          <w:pgNumType w:start="40"/>
        </w:sectPr>
      </w:pPr>
    </w:p>
    <w:p>
      <w:pPr>
        <w:pStyle w:val="BodyText"/>
        <w:spacing w:line="480" w:lineRule="auto" w:before="51"/>
        <w:ind w:left="101" w:right="116"/>
        <w:jc w:val="both"/>
      </w:pPr>
      <w:r>
        <w:rPr/>
        <w:t>Se observó que la mayor cantidad de nutrimentos vía sustrato, es decir la solución de 20 ml de solución Steiner, generó menor altura de planta (Cuadro 3), lo cual incide</w:t>
      </w:r>
      <w:r>
        <w:rPr>
          <w:spacing w:val="-4"/>
        </w:rPr>
        <w:t> </w:t>
      </w:r>
      <w:r>
        <w:rPr/>
        <w:t>en</w:t>
      </w:r>
      <w:r>
        <w:rPr>
          <w:spacing w:val="-4"/>
        </w:rPr>
        <w:t> </w:t>
      </w:r>
      <w:r>
        <w:rPr/>
        <w:t>la</w:t>
      </w:r>
      <w:r>
        <w:rPr>
          <w:spacing w:val="-4"/>
        </w:rPr>
        <w:t> </w:t>
      </w:r>
      <w:r>
        <w:rPr/>
        <w:t>calidad</w:t>
      </w:r>
      <w:r>
        <w:rPr>
          <w:spacing w:val="-4"/>
        </w:rPr>
        <w:t> </w:t>
      </w:r>
      <w:r>
        <w:rPr/>
        <w:t>del</w:t>
      </w:r>
      <w:r>
        <w:rPr>
          <w:spacing w:val="-6"/>
        </w:rPr>
        <w:t> </w:t>
      </w:r>
      <w:r>
        <w:rPr/>
        <w:t>producto,</w:t>
      </w:r>
      <w:r>
        <w:rPr>
          <w:spacing w:val="-5"/>
        </w:rPr>
        <w:t> </w:t>
      </w:r>
      <w:r>
        <w:rPr/>
        <w:t>ya</w:t>
      </w:r>
      <w:r>
        <w:rPr>
          <w:spacing w:val="-4"/>
        </w:rPr>
        <w:t> </w:t>
      </w:r>
      <w:r>
        <w:rPr/>
        <w:t>que</w:t>
      </w:r>
      <w:r>
        <w:rPr>
          <w:spacing w:val="-4"/>
        </w:rPr>
        <w:t> </w:t>
      </w:r>
      <w:r>
        <w:rPr/>
        <w:t>a</w:t>
      </w:r>
      <w:r>
        <w:rPr>
          <w:spacing w:val="-4"/>
        </w:rPr>
        <w:t> </w:t>
      </w:r>
      <w:r>
        <w:rPr/>
        <w:t>mayor</w:t>
      </w:r>
      <w:r>
        <w:rPr>
          <w:spacing w:val="-6"/>
        </w:rPr>
        <w:t> </w:t>
      </w:r>
      <w:r>
        <w:rPr/>
        <w:t>altura</w:t>
      </w:r>
      <w:r>
        <w:rPr>
          <w:spacing w:val="-4"/>
        </w:rPr>
        <w:t> </w:t>
      </w:r>
      <w:r>
        <w:rPr/>
        <w:t>de</w:t>
      </w:r>
      <w:r>
        <w:rPr>
          <w:spacing w:val="-4"/>
        </w:rPr>
        <w:t> </w:t>
      </w:r>
      <w:r>
        <w:rPr/>
        <w:t>plantas,</w:t>
      </w:r>
      <w:r>
        <w:rPr>
          <w:spacing w:val="-5"/>
        </w:rPr>
        <w:t> </w:t>
      </w:r>
      <w:r>
        <w:rPr/>
        <w:t>están</w:t>
      </w:r>
      <w:r>
        <w:rPr>
          <w:spacing w:val="-4"/>
        </w:rPr>
        <w:t> </w:t>
      </w:r>
      <w:r>
        <w:rPr/>
        <w:t>entran</w:t>
      </w:r>
      <w:r>
        <w:rPr>
          <w:spacing w:val="-7"/>
        </w:rPr>
        <w:t> </w:t>
      </w:r>
      <w:r>
        <w:rPr/>
        <w:t>un nivel superior de calidad (Bañon et al., 1993). Artacho-Vargas &amp; Pinochet-Tejos (2008) indicaron que el efecto de la aplicación de N en tulipán en relación a la acumulación de materia, se puede explicar con una ecuación de tercer grado. Esto quiere decir, que al llegar a un punto máximo, el efecto del fertilizante deja de ser positivo para pasar a negativo o, en este caso, generar menor</w:t>
      </w:r>
      <w:r>
        <w:rPr>
          <w:spacing w:val="-35"/>
        </w:rPr>
        <w:t> </w:t>
      </w:r>
      <w:r>
        <w:rPr/>
        <w:t>altura.</w:t>
      </w:r>
    </w:p>
    <w:p>
      <w:pPr>
        <w:pStyle w:val="BodyText"/>
        <w:spacing w:line="480" w:lineRule="auto" w:before="168"/>
        <w:ind w:left="101" w:right="116"/>
        <w:jc w:val="both"/>
      </w:pPr>
      <w:r>
        <w:rPr/>
        <w:t>En este trabajo se adicionó no solamente N al sustrato, por lo que existieron diferentes interacciones entre nutrimentos-planta; sin embargo, se confirma el efecto</w:t>
      </w:r>
      <w:r>
        <w:rPr>
          <w:spacing w:val="-12"/>
        </w:rPr>
        <w:t> </w:t>
      </w:r>
      <w:r>
        <w:rPr/>
        <w:t>adecuado</w:t>
      </w:r>
      <w:r>
        <w:rPr>
          <w:spacing w:val="-12"/>
        </w:rPr>
        <w:t> </w:t>
      </w:r>
      <w:r>
        <w:rPr/>
        <w:t>de</w:t>
      </w:r>
      <w:r>
        <w:rPr>
          <w:spacing w:val="-12"/>
        </w:rPr>
        <w:t> </w:t>
      </w:r>
      <w:r>
        <w:rPr/>
        <w:t>limitar</w:t>
      </w:r>
      <w:r>
        <w:rPr>
          <w:spacing w:val="-13"/>
        </w:rPr>
        <w:t> </w:t>
      </w:r>
      <w:r>
        <w:rPr/>
        <w:t>la</w:t>
      </w:r>
      <w:r>
        <w:rPr>
          <w:spacing w:val="-12"/>
        </w:rPr>
        <w:t> </w:t>
      </w:r>
      <w:r>
        <w:rPr/>
        <w:t>adición</w:t>
      </w:r>
      <w:r>
        <w:rPr>
          <w:spacing w:val="-12"/>
        </w:rPr>
        <w:t> </w:t>
      </w:r>
      <w:r>
        <w:rPr/>
        <w:t>de</w:t>
      </w:r>
      <w:r>
        <w:rPr>
          <w:spacing w:val="-12"/>
        </w:rPr>
        <w:t> </w:t>
      </w:r>
      <w:r>
        <w:rPr/>
        <w:t>N</w:t>
      </w:r>
      <w:r>
        <w:rPr>
          <w:spacing w:val="-13"/>
        </w:rPr>
        <w:t> </w:t>
      </w:r>
      <w:r>
        <w:rPr/>
        <w:t>a</w:t>
      </w:r>
      <w:r>
        <w:rPr>
          <w:spacing w:val="-12"/>
        </w:rPr>
        <w:t> </w:t>
      </w:r>
      <w:r>
        <w:rPr/>
        <w:t>0.3</w:t>
      </w:r>
      <w:r>
        <w:rPr>
          <w:spacing w:val="-12"/>
        </w:rPr>
        <w:t> </w:t>
      </w:r>
      <w:r>
        <w:rPr/>
        <w:t>g/maceta/15</w:t>
      </w:r>
      <w:r>
        <w:rPr>
          <w:spacing w:val="-12"/>
        </w:rPr>
        <w:t> </w:t>
      </w:r>
      <w:r>
        <w:rPr/>
        <w:t>d</w:t>
      </w:r>
      <w:r>
        <w:rPr>
          <w:spacing w:val="-12"/>
        </w:rPr>
        <w:t> </w:t>
      </w:r>
      <w:r>
        <w:rPr/>
        <w:t>en</w:t>
      </w:r>
      <w:r>
        <w:rPr>
          <w:spacing w:val="-12"/>
        </w:rPr>
        <w:t> </w:t>
      </w:r>
      <w:r>
        <w:rPr>
          <w:i/>
        </w:rPr>
        <w:t>Lilium</w:t>
      </w:r>
      <w:r>
        <w:rPr/>
        <w:t>(Rodríguez- Landero </w:t>
      </w:r>
      <w:r>
        <w:rPr>
          <w:i/>
        </w:rPr>
        <w:t>et al</w:t>
      </w:r>
      <w:r>
        <w:rPr/>
        <w:t>., 2012). No aumentar la dosis de N genera beneficio económico al floricultor y reduce el impacto al ambiente (Trinidad &amp; Aguilar, 1999; Ortega-Blu </w:t>
      </w:r>
      <w:r>
        <w:rPr>
          <w:i/>
        </w:rPr>
        <w:t>et </w:t>
      </w:r>
      <w:r>
        <w:rPr>
          <w:i/>
        </w:rPr>
        <w:t>al</w:t>
      </w:r>
      <w:r>
        <w:rPr/>
        <w:t>., 2006; Franco </w:t>
      </w:r>
      <w:r>
        <w:rPr>
          <w:i/>
        </w:rPr>
        <w:t>et al</w:t>
      </w:r>
      <w:r>
        <w:rPr/>
        <w:t>.,</w:t>
      </w:r>
      <w:r>
        <w:rPr>
          <w:spacing w:val="-16"/>
        </w:rPr>
        <w:t> </w:t>
      </w:r>
      <w:r>
        <w:rPr/>
        <w:t>2009).</w:t>
      </w:r>
    </w:p>
    <w:p>
      <w:pPr>
        <w:pStyle w:val="BodyText"/>
        <w:spacing w:line="477" w:lineRule="auto" w:before="5"/>
        <w:ind w:left="101" w:right="115"/>
        <w:jc w:val="both"/>
      </w:pPr>
      <w:r>
        <w:rPr/>
        <w:t>Por otro lado, a partir de 55 DDP, con la aplicación de 144 mg</w:t>
      </w:r>
      <w:r>
        <w:rPr>
          <w:color w:val="221E1F"/>
        </w:rPr>
        <w:t>·litro</w:t>
      </w:r>
      <w:r>
        <w:rPr>
          <w:color w:val="221E1F"/>
          <w:position w:val="8"/>
          <w:sz w:val="16"/>
        </w:rPr>
        <w:t>-1 </w:t>
      </w:r>
      <w:r>
        <w:rPr>
          <w:color w:val="221E1F"/>
        </w:rPr>
        <w:t>de Zn y 160 </w:t>
      </w:r>
      <w:r>
        <w:rPr/>
        <w:t>mg</w:t>
      </w:r>
      <w:r>
        <w:rPr>
          <w:color w:val="221E1F"/>
        </w:rPr>
        <w:t>·litro</w:t>
      </w:r>
      <w:r>
        <w:rPr>
          <w:color w:val="221E1F"/>
          <w:position w:val="8"/>
          <w:sz w:val="16"/>
        </w:rPr>
        <w:t>-1</w:t>
      </w:r>
      <w:r>
        <w:rPr>
          <w:color w:val="221E1F"/>
          <w:spacing w:val="-4"/>
          <w:position w:val="8"/>
          <w:sz w:val="16"/>
        </w:rPr>
        <w:t> </w:t>
      </w:r>
      <w:r>
        <w:rPr>
          <w:color w:val="221E1F"/>
        </w:rPr>
        <w:t>de</w:t>
      </w:r>
      <w:r>
        <w:rPr>
          <w:color w:val="221E1F"/>
          <w:spacing w:val="-7"/>
        </w:rPr>
        <w:t> </w:t>
      </w:r>
      <w:r>
        <w:rPr>
          <w:color w:val="221E1F"/>
        </w:rPr>
        <w:t>Mg,</w:t>
      </w:r>
      <w:r>
        <w:rPr>
          <w:color w:val="221E1F"/>
          <w:spacing w:val="-7"/>
        </w:rPr>
        <w:t> </w:t>
      </w:r>
      <w:r>
        <w:rPr>
          <w:color w:val="221E1F"/>
        </w:rPr>
        <w:t>las</w:t>
      </w:r>
      <w:r>
        <w:rPr>
          <w:color w:val="221E1F"/>
          <w:spacing w:val="-8"/>
        </w:rPr>
        <w:t> </w:t>
      </w:r>
      <w:r>
        <w:rPr>
          <w:color w:val="221E1F"/>
        </w:rPr>
        <w:t>plantas</w:t>
      </w:r>
      <w:r>
        <w:rPr>
          <w:color w:val="221E1F"/>
          <w:spacing w:val="-8"/>
        </w:rPr>
        <w:t> </w:t>
      </w:r>
      <w:r>
        <w:rPr>
          <w:color w:val="221E1F"/>
        </w:rPr>
        <w:t>tuvieron</w:t>
      </w:r>
      <w:r>
        <w:rPr>
          <w:color w:val="221E1F"/>
          <w:spacing w:val="-7"/>
        </w:rPr>
        <w:t> </w:t>
      </w:r>
      <w:r>
        <w:rPr>
          <w:color w:val="221E1F"/>
        </w:rPr>
        <w:t>al</w:t>
      </w:r>
      <w:r>
        <w:rPr>
          <w:color w:val="221E1F"/>
          <w:spacing w:val="-8"/>
        </w:rPr>
        <w:t> </w:t>
      </w:r>
      <w:r>
        <w:rPr>
          <w:color w:val="221E1F"/>
        </w:rPr>
        <w:t>menos</w:t>
      </w:r>
      <w:r>
        <w:rPr>
          <w:color w:val="221E1F"/>
          <w:spacing w:val="-8"/>
        </w:rPr>
        <w:t> </w:t>
      </w:r>
      <w:r>
        <w:rPr>
          <w:color w:val="221E1F"/>
        </w:rPr>
        <w:t>4</w:t>
      </w:r>
      <w:r>
        <w:rPr>
          <w:color w:val="221E1F"/>
          <w:spacing w:val="-7"/>
        </w:rPr>
        <w:t> </w:t>
      </w:r>
      <w:r>
        <w:rPr>
          <w:color w:val="221E1F"/>
        </w:rPr>
        <w:t>cm</w:t>
      </w:r>
      <w:r>
        <w:rPr>
          <w:color w:val="221E1F"/>
          <w:spacing w:val="-6"/>
        </w:rPr>
        <w:t> </w:t>
      </w:r>
      <w:r>
        <w:rPr>
          <w:color w:val="221E1F"/>
        </w:rPr>
        <w:t>de</w:t>
      </w:r>
      <w:r>
        <w:rPr>
          <w:color w:val="221E1F"/>
          <w:spacing w:val="-7"/>
        </w:rPr>
        <w:t> </w:t>
      </w:r>
      <w:r>
        <w:rPr>
          <w:color w:val="221E1F"/>
        </w:rPr>
        <w:t>mayor</w:t>
      </w:r>
      <w:r>
        <w:rPr>
          <w:color w:val="221E1F"/>
          <w:spacing w:val="-8"/>
        </w:rPr>
        <w:t> </w:t>
      </w:r>
      <w:r>
        <w:rPr>
          <w:color w:val="221E1F"/>
        </w:rPr>
        <w:t>altura</w:t>
      </w:r>
      <w:r>
        <w:rPr>
          <w:color w:val="221E1F"/>
          <w:spacing w:val="-7"/>
        </w:rPr>
        <w:t> </w:t>
      </w:r>
      <w:r>
        <w:rPr>
          <w:color w:val="221E1F"/>
        </w:rPr>
        <w:t>que</w:t>
      </w:r>
      <w:r>
        <w:rPr>
          <w:color w:val="221E1F"/>
          <w:spacing w:val="-7"/>
        </w:rPr>
        <w:t> </w:t>
      </w:r>
      <w:r>
        <w:rPr>
          <w:color w:val="221E1F"/>
        </w:rPr>
        <w:t>las</w:t>
      </w:r>
      <w:r>
        <w:rPr>
          <w:color w:val="221E1F"/>
          <w:spacing w:val="-8"/>
        </w:rPr>
        <w:t> </w:t>
      </w:r>
      <w:r>
        <w:rPr>
          <w:color w:val="221E1F"/>
        </w:rPr>
        <w:t>plantas fertilizadas foliarmente con las otras dos dosis (Cuadro 4). </w:t>
      </w:r>
      <w:r>
        <w:rPr/>
        <w:t>Saeed </w:t>
      </w:r>
      <w:r>
        <w:rPr>
          <w:i/>
        </w:rPr>
        <w:t>et al</w:t>
      </w:r>
      <w:r>
        <w:rPr/>
        <w:t>. (2013) observó</w:t>
      </w:r>
      <w:r>
        <w:rPr>
          <w:spacing w:val="-13"/>
        </w:rPr>
        <w:t> </w:t>
      </w:r>
      <w:r>
        <w:rPr/>
        <w:t>que</w:t>
      </w:r>
      <w:r>
        <w:rPr>
          <w:spacing w:val="-15"/>
        </w:rPr>
        <w:t> </w:t>
      </w:r>
      <w:r>
        <w:rPr/>
        <w:t>en</w:t>
      </w:r>
      <w:r>
        <w:rPr>
          <w:spacing w:val="-15"/>
        </w:rPr>
        <w:t> </w:t>
      </w:r>
      <w:r>
        <w:rPr/>
        <w:t>gladiolo,</w:t>
      </w:r>
      <w:r>
        <w:rPr>
          <w:spacing w:val="-13"/>
        </w:rPr>
        <w:t> </w:t>
      </w:r>
      <w:r>
        <w:rPr/>
        <w:t>la</w:t>
      </w:r>
      <w:r>
        <w:rPr>
          <w:spacing w:val="-15"/>
        </w:rPr>
        <w:t> </w:t>
      </w:r>
      <w:r>
        <w:rPr/>
        <w:t>aplicación</w:t>
      </w:r>
      <w:r>
        <w:rPr>
          <w:spacing w:val="-15"/>
        </w:rPr>
        <w:t> </w:t>
      </w:r>
      <w:r>
        <w:rPr/>
        <w:t>de</w:t>
      </w:r>
      <w:r>
        <w:rPr>
          <w:spacing w:val="-15"/>
        </w:rPr>
        <w:t> </w:t>
      </w:r>
      <w:r>
        <w:rPr/>
        <w:t>4,</w:t>
      </w:r>
      <w:r>
        <w:rPr>
          <w:spacing w:val="-13"/>
        </w:rPr>
        <w:t> </w:t>
      </w:r>
      <w:r>
        <w:rPr/>
        <w:t>6</w:t>
      </w:r>
      <w:r>
        <w:rPr>
          <w:spacing w:val="-18"/>
        </w:rPr>
        <w:t> </w:t>
      </w:r>
      <w:r>
        <w:rPr/>
        <w:t>u</w:t>
      </w:r>
      <w:r>
        <w:rPr>
          <w:spacing w:val="-13"/>
        </w:rPr>
        <w:t> </w:t>
      </w:r>
      <w:r>
        <w:rPr/>
        <w:t>8</w:t>
      </w:r>
      <w:r>
        <w:rPr>
          <w:spacing w:val="-18"/>
        </w:rPr>
        <w:t> </w:t>
      </w:r>
      <w:r>
        <w:rPr/>
        <w:t>mg</w:t>
      </w:r>
      <w:r>
        <w:rPr>
          <w:spacing w:val="-15"/>
        </w:rPr>
        <w:t> </w:t>
      </w:r>
      <w:r>
        <w:rPr/>
        <w:t>de</w:t>
      </w:r>
      <w:r>
        <w:rPr>
          <w:spacing w:val="-15"/>
        </w:rPr>
        <w:t> </w:t>
      </w:r>
      <w:r>
        <w:rPr/>
        <w:t>Zn</w:t>
      </w:r>
      <w:r>
        <w:rPr>
          <w:spacing w:val="-15"/>
        </w:rPr>
        <w:t> </w:t>
      </w:r>
      <w:r>
        <w:rPr/>
        <w:t>por</w:t>
      </w:r>
      <w:r>
        <w:rPr>
          <w:spacing w:val="-17"/>
        </w:rPr>
        <w:t> </w:t>
      </w:r>
      <w:r>
        <w:rPr/>
        <w:t>Kg</w:t>
      </w:r>
      <w:r>
        <w:rPr>
          <w:spacing w:val="-15"/>
        </w:rPr>
        <w:t> </w:t>
      </w:r>
      <w:r>
        <w:rPr>
          <w:position w:val="8"/>
          <w:sz w:val="16"/>
        </w:rPr>
        <w:t>-1</w:t>
      </w:r>
      <w:r>
        <w:rPr>
          <w:spacing w:val="5"/>
          <w:position w:val="8"/>
          <w:sz w:val="16"/>
        </w:rPr>
        <w:t> </w:t>
      </w:r>
      <w:r>
        <w:rPr/>
        <w:t>suelo</w:t>
      </w:r>
      <w:r>
        <w:rPr>
          <w:spacing w:val="-13"/>
        </w:rPr>
        <w:t> </w:t>
      </w:r>
      <w:r>
        <w:rPr/>
        <w:t>generaron mayor producción de biomasa en 2 años de cultivo en comparación con el control. Además, con 4 y 6 mg de Zn por Kg </w:t>
      </w:r>
      <w:r>
        <w:rPr>
          <w:position w:val="8"/>
          <w:sz w:val="16"/>
        </w:rPr>
        <w:t>-1 </w:t>
      </w:r>
      <w:r>
        <w:rPr/>
        <w:t>suelo en 2010 y con 2, 4 ó 6 mg de Zn por Kg</w:t>
      </w:r>
      <w:r>
        <w:rPr>
          <w:spacing w:val="-8"/>
        </w:rPr>
        <w:t> </w:t>
      </w:r>
      <w:r>
        <w:rPr>
          <w:position w:val="8"/>
          <w:sz w:val="16"/>
        </w:rPr>
        <w:t>-1</w:t>
      </w:r>
      <w:r>
        <w:rPr>
          <w:spacing w:val="15"/>
          <w:position w:val="8"/>
          <w:sz w:val="16"/>
        </w:rPr>
        <w:t> </w:t>
      </w:r>
      <w:r>
        <w:rPr/>
        <w:t>suelo</w:t>
      </w:r>
      <w:r>
        <w:rPr>
          <w:spacing w:val="-6"/>
        </w:rPr>
        <w:t> </w:t>
      </w:r>
      <w:r>
        <w:rPr/>
        <w:t>en</w:t>
      </w:r>
      <w:r>
        <w:rPr>
          <w:spacing w:val="-6"/>
        </w:rPr>
        <w:t> </w:t>
      </w:r>
      <w:r>
        <w:rPr/>
        <w:t>2011,</w:t>
      </w:r>
      <w:r>
        <w:rPr>
          <w:spacing w:val="-6"/>
        </w:rPr>
        <w:t> </w:t>
      </w:r>
      <w:r>
        <w:rPr/>
        <w:t>alargó</w:t>
      </w:r>
      <w:r>
        <w:rPr>
          <w:spacing w:val="-6"/>
        </w:rPr>
        <w:t> </w:t>
      </w:r>
      <w:r>
        <w:rPr/>
        <w:t>el</w:t>
      </w:r>
      <w:r>
        <w:rPr>
          <w:spacing w:val="-7"/>
        </w:rPr>
        <w:t> </w:t>
      </w:r>
      <w:r>
        <w:rPr/>
        <w:t>tamaño</w:t>
      </w:r>
      <w:r>
        <w:rPr>
          <w:spacing w:val="-8"/>
        </w:rPr>
        <w:t> </w:t>
      </w:r>
      <w:r>
        <w:rPr/>
        <w:t>de</w:t>
      </w:r>
      <w:r>
        <w:rPr>
          <w:spacing w:val="-6"/>
        </w:rPr>
        <w:t> </w:t>
      </w:r>
      <w:r>
        <w:rPr/>
        <w:t>la</w:t>
      </w:r>
      <w:r>
        <w:rPr>
          <w:spacing w:val="-6"/>
        </w:rPr>
        <w:t> </w:t>
      </w:r>
      <w:r>
        <w:rPr/>
        <w:t>espiga</w:t>
      </w:r>
      <w:r>
        <w:rPr>
          <w:spacing w:val="-6"/>
        </w:rPr>
        <w:t> </w:t>
      </w:r>
      <w:r>
        <w:rPr/>
        <w:t>floral</w:t>
      </w:r>
      <w:r>
        <w:rPr>
          <w:spacing w:val="-7"/>
        </w:rPr>
        <w:t> </w:t>
      </w:r>
      <w:r>
        <w:rPr/>
        <w:t>en</w:t>
      </w:r>
      <w:r>
        <w:rPr>
          <w:spacing w:val="-6"/>
        </w:rPr>
        <w:t> </w:t>
      </w:r>
      <w:r>
        <w:rPr/>
        <w:t>relación</w:t>
      </w:r>
      <w:r>
        <w:rPr>
          <w:spacing w:val="-8"/>
        </w:rPr>
        <w:t> </w:t>
      </w:r>
      <w:r>
        <w:rPr/>
        <w:t>al</w:t>
      </w:r>
      <w:r>
        <w:rPr>
          <w:spacing w:val="-7"/>
        </w:rPr>
        <w:t> </w:t>
      </w:r>
      <w:r>
        <w:rPr/>
        <w:t>control.</w:t>
      </w:r>
      <w:r>
        <w:rPr>
          <w:spacing w:val="-6"/>
        </w:rPr>
        <w:t> </w:t>
      </w:r>
      <w:r>
        <w:rPr/>
        <w:t>En</w:t>
      </w:r>
      <w:r>
        <w:rPr>
          <w:spacing w:val="-6"/>
        </w:rPr>
        <w:t> </w:t>
      </w:r>
      <w:r>
        <w:rPr/>
        <w:t>el mismo sentido, en frijol mungo (</w:t>
      </w:r>
      <w:r>
        <w:rPr>
          <w:i/>
        </w:rPr>
        <w:t>Vigna radiata</w:t>
      </w:r>
      <w:r>
        <w:rPr/>
        <w:t>), la aplicación de 1 y 2 mM de Zn generó mayor altura de la planta en 3 cultivares en relación a la ausencia de  </w:t>
      </w:r>
      <w:r>
        <w:rPr>
          <w:spacing w:val="22"/>
        </w:rPr>
        <w:t> </w:t>
      </w:r>
      <w:r>
        <w:rPr/>
        <w:t>este</w:t>
      </w:r>
    </w:p>
    <w:p>
      <w:pPr>
        <w:spacing w:after="0" w:line="477" w:lineRule="auto"/>
        <w:jc w:val="both"/>
        <w:sectPr>
          <w:pgSz w:w="12240" w:h="15840"/>
          <w:pgMar w:header="0" w:footer="1005" w:top="1360" w:bottom="1200" w:left="1600" w:right="1580"/>
        </w:sectPr>
      </w:pPr>
    </w:p>
    <w:p>
      <w:pPr>
        <w:pStyle w:val="BodyText"/>
        <w:spacing w:line="480" w:lineRule="auto" w:before="51"/>
        <w:ind w:left="101" w:right="116"/>
        <w:jc w:val="both"/>
      </w:pPr>
      <w:r>
        <w:rPr/>
        <w:t>elemento en la solución nutritiva (Samreen, Humaira, Ullah, Ullah, &amp; Javid, 2013). </w:t>
      </w:r>
      <w:r>
        <w:rPr>
          <w:spacing w:val="-5"/>
        </w:rPr>
        <w:t>También </w:t>
      </w:r>
      <w:r>
        <w:rPr/>
        <w:t>en gladiolo y </w:t>
      </w:r>
      <w:r>
        <w:rPr>
          <w:i/>
        </w:rPr>
        <w:t>Vigna radiata </w:t>
      </w:r>
      <w:r>
        <w:rPr/>
        <w:t>la adición de Zn incrementó el tamaño de sus flores (Kumar, Singh, &amp; Misra, 2003; Samreen et al., 2013). El mayor tamaño de diversos órganos vegetales al aplicar Zn posiblemente se deba al efecto del Zn en mantener</w:t>
      </w:r>
      <w:r>
        <w:rPr>
          <w:spacing w:val="-6"/>
        </w:rPr>
        <w:t> </w:t>
      </w:r>
      <w:r>
        <w:rPr/>
        <w:t>un</w:t>
      </w:r>
      <w:r>
        <w:rPr>
          <w:spacing w:val="-4"/>
        </w:rPr>
        <w:t> </w:t>
      </w:r>
      <w:r>
        <w:rPr/>
        <w:t>correcto</w:t>
      </w:r>
      <w:r>
        <w:rPr>
          <w:spacing w:val="-9"/>
        </w:rPr>
        <w:t> </w:t>
      </w:r>
      <w:r>
        <w:rPr/>
        <w:t>balance</w:t>
      </w:r>
      <w:r>
        <w:rPr>
          <w:spacing w:val="-7"/>
        </w:rPr>
        <w:t> </w:t>
      </w:r>
      <w:r>
        <w:rPr/>
        <w:t>hormonal.</w:t>
      </w:r>
      <w:r>
        <w:rPr>
          <w:spacing w:val="-7"/>
        </w:rPr>
        <w:t> </w:t>
      </w:r>
      <w:r>
        <w:rPr/>
        <w:t>De</w:t>
      </w:r>
      <w:r>
        <w:rPr>
          <w:spacing w:val="-9"/>
        </w:rPr>
        <w:t> </w:t>
      </w:r>
      <w:r>
        <w:rPr/>
        <w:t>ahí,</w:t>
      </w:r>
      <w:r>
        <w:rPr>
          <w:spacing w:val="-5"/>
        </w:rPr>
        <w:t> </w:t>
      </w:r>
      <w:r>
        <w:rPr/>
        <w:t>que</w:t>
      </w:r>
      <w:r>
        <w:rPr>
          <w:spacing w:val="-7"/>
        </w:rPr>
        <w:t> </w:t>
      </w:r>
      <w:r>
        <w:rPr/>
        <w:t>posiblemente</w:t>
      </w:r>
      <w:r>
        <w:rPr>
          <w:spacing w:val="-9"/>
        </w:rPr>
        <w:t> </w:t>
      </w:r>
      <w:r>
        <w:rPr/>
        <w:t>los</w:t>
      </w:r>
      <w:r>
        <w:rPr>
          <w:spacing w:val="-5"/>
        </w:rPr>
        <w:t> </w:t>
      </w:r>
      <w:r>
        <w:rPr/>
        <w:t>procesos</w:t>
      </w:r>
      <w:r>
        <w:rPr>
          <w:spacing w:val="-8"/>
        </w:rPr>
        <w:t> </w:t>
      </w:r>
      <w:r>
        <w:rPr/>
        <w:t>de división</w:t>
      </w:r>
      <w:r>
        <w:rPr>
          <w:spacing w:val="-14"/>
        </w:rPr>
        <w:t> </w:t>
      </w:r>
      <w:r>
        <w:rPr/>
        <w:t>y,</w:t>
      </w:r>
      <w:r>
        <w:rPr>
          <w:spacing w:val="-14"/>
        </w:rPr>
        <w:t> </w:t>
      </w:r>
      <w:r>
        <w:rPr/>
        <w:t>sobre</w:t>
      </w:r>
      <w:r>
        <w:rPr>
          <w:spacing w:val="-14"/>
        </w:rPr>
        <w:t> </w:t>
      </w:r>
      <w:r>
        <w:rPr/>
        <w:t>todo,</w:t>
      </w:r>
      <w:r>
        <w:rPr>
          <w:spacing w:val="-16"/>
        </w:rPr>
        <w:t> </w:t>
      </w:r>
      <w:r>
        <w:rPr/>
        <w:t>alargamiento</w:t>
      </w:r>
      <w:r>
        <w:rPr>
          <w:spacing w:val="-14"/>
        </w:rPr>
        <w:t> </w:t>
      </w:r>
      <w:r>
        <w:rPr/>
        <w:t>celular</w:t>
      </w:r>
      <w:r>
        <w:rPr>
          <w:spacing w:val="-15"/>
        </w:rPr>
        <w:t> </w:t>
      </w:r>
      <w:r>
        <w:rPr/>
        <w:t>sean</w:t>
      </w:r>
      <w:r>
        <w:rPr>
          <w:spacing w:val="-16"/>
        </w:rPr>
        <w:t> </w:t>
      </w:r>
      <w:r>
        <w:rPr/>
        <w:t>positivamente</w:t>
      </w:r>
      <w:r>
        <w:rPr>
          <w:spacing w:val="-16"/>
        </w:rPr>
        <w:t> </w:t>
      </w:r>
      <w:r>
        <w:rPr/>
        <w:t>influenciados</w:t>
      </w:r>
      <w:r>
        <w:rPr>
          <w:spacing w:val="-15"/>
        </w:rPr>
        <w:t> </w:t>
      </w:r>
      <w:r>
        <w:rPr/>
        <w:t>(Clark, &amp; Zeto, 2000). Además, el Zn está relacionado con la actividad fotosintética y por ende a mayor cantidad de fotosintatos promueven el crecimiento (Sharma, Chatterjee, Agarwala, &amp; Sharma, 1990; Kaya, Atak, Mahmood, Ciftci, &amp; Özcan, 2005; Nadergoli, Yarnia, &amp; Khoei,</w:t>
      </w:r>
      <w:r>
        <w:rPr>
          <w:spacing w:val="-19"/>
        </w:rPr>
        <w:t> </w:t>
      </w:r>
      <w:r>
        <w:rPr/>
        <w:t>2011).</w:t>
      </w:r>
    </w:p>
    <w:p>
      <w:pPr>
        <w:pStyle w:val="BodyText"/>
        <w:spacing w:line="480" w:lineRule="auto" w:before="8"/>
        <w:ind w:left="101" w:right="117"/>
        <w:jc w:val="both"/>
      </w:pPr>
      <w:r>
        <w:rPr>
          <w:color w:val="212121"/>
        </w:rPr>
        <w:t>Por otro lado, en el caso del Mg, </w:t>
      </w:r>
      <w:r>
        <w:rPr/>
        <w:t>se ha encontrado que una baja concentración de este elemento en cítricos disminuye la altura de la planta (Xiao, Hu, Chen, Yang, &amp; Hua,</w:t>
      </w:r>
      <w:r>
        <w:rPr>
          <w:spacing w:val="-10"/>
        </w:rPr>
        <w:t> </w:t>
      </w:r>
      <w:r>
        <w:rPr/>
        <w:t>2014),</w:t>
      </w:r>
      <w:r>
        <w:rPr>
          <w:spacing w:val="-10"/>
        </w:rPr>
        <w:t> </w:t>
      </w:r>
      <w:r>
        <w:rPr/>
        <w:t>además,</w:t>
      </w:r>
      <w:r>
        <w:rPr>
          <w:spacing w:val="-10"/>
        </w:rPr>
        <w:t> </w:t>
      </w:r>
      <w:r>
        <w:rPr/>
        <w:t>en</w:t>
      </w:r>
      <w:r>
        <w:rPr>
          <w:spacing w:val="-9"/>
        </w:rPr>
        <w:t> </w:t>
      </w:r>
      <w:r>
        <w:rPr/>
        <w:t>vid</w:t>
      </w:r>
      <w:r>
        <w:rPr>
          <w:spacing w:val="-9"/>
        </w:rPr>
        <w:t> </w:t>
      </w:r>
      <w:r>
        <w:rPr/>
        <w:t>(</w:t>
      </w:r>
      <w:r>
        <w:rPr>
          <w:i/>
        </w:rPr>
        <w:t>Vitis</w:t>
      </w:r>
      <w:r>
        <w:rPr>
          <w:i/>
          <w:spacing w:val="-10"/>
        </w:rPr>
        <w:t> </w:t>
      </w:r>
      <w:r>
        <w:rPr>
          <w:i/>
        </w:rPr>
        <w:t>vinifera</w:t>
      </w:r>
      <w:r>
        <w:rPr/>
        <w:t>),</w:t>
      </w:r>
      <w:r>
        <w:rPr>
          <w:spacing w:val="-10"/>
        </w:rPr>
        <w:t> </w:t>
      </w:r>
      <w:r>
        <w:rPr/>
        <w:t>la</w:t>
      </w:r>
      <w:r>
        <w:rPr>
          <w:spacing w:val="-9"/>
        </w:rPr>
        <w:t> </w:t>
      </w:r>
      <w:r>
        <w:rPr/>
        <w:t>limitación</w:t>
      </w:r>
      <w:r>
        <w:rPr>
          <w:spacing w:val="-11"/>
        </w:rPr>
        <w:t> </w:t>
      </w:r>
      <w:r>
        <w:rPr/>
        <w:t>de</w:t>
      </w:r>
      <w:r>
        <w:rPr>
          <w:spacing w:val="-9"/>
        </w:rPr>
        <w:t> </w:t>
      </w:r>
      <w:r>
        <w:rPr/>
        <w:t>Mg</w:t>
      </w:r>
      <w:r>
        <w:rPr>
          <w:spacing w:val="-11"/>
        </w:rPr>
        <w:t> </w:t>
      </w:r>
      <w:r>
        <w:rPr/>
        <w:t>se</w:t>
      </w:r>
      <w:r>
        <w:rPr>
          <w:spacing w:val="-9"/>
        </w:rPr>
        <w:t> </w:t>
      </w:r>
      <w:r>
        <w:rPr/>
        <w:t>relaciona</w:t>
      </w:r>
      <w:r>
        <w:rPr>
          <w:spacing w:val="-9"/>
        </w:rPr>
        <w:t> </w:t>
      </w:r>
      <w:r>
        <w:rPr/>
        <w:t>con</w:t>
      </w:r>
      <w:r>
        <w:rPr>
          <w:spacing w:val="-11"/>
        </w:rPr>
        <w:t> </w:t>
      </w:r>
      <w:r>
        <w:rPr/>
        <w:t>baja tasa fotosintética y producción de glucosa (Hermans, &amp; Verbruggen, 2005). De manera muy correlacionada, en el cultivo de palmarosa (</w:t>
      </w:r>
      <w:r>
        <w:rPr>
          <w:i/>
        </w:rPr>
        <w:t>Cymbopogon martinii</w:t>
      </w:r>
      <w:r>
        <w:rPr/>
        <w:t>. Roxb) la aplicación foliar de magnesio y zinc, además de otros nutrimentos (B, Mn y Fe), incrementó la altura de la planta y el número de hojas (Rao, &amp; Rajput,</w:t>
      </w:r>
      <w:r>
        <w:rPr>
          <w:spacing w:val="-44"/>
        </w:rPr>
        <w:t> </w:t>
      </w:r>
      <w:r>
        <w:rPr/>
        <w:t>2011). Esto indicaría que su correcta aplicación se involucre con mayor</w:t>
      </w:r>
      <w:r>
        <w:rPr>
          <w:spacing w:val="-32"/>
        </w:rPr>
        <w:t> </w:t>
      </w:r>
      <w:r>
        <w:rPr/>
        <w:t>crecimiento.</w:t>
      </w:r>
    </w:p>
    <w:p>
      <w:pPr>
        <w:pStyle w:val="Heading1"/>
        <w:spacing w:before="168"/>
        <w:ind w:left="101"/>
        <w:jc w:val="both"/>
      </w:pPr>
      <w:r>
        <w:rPr/>
        <w:t>Índice de verdor</w:t>
      </w:r>
    </w:p>
    <w:p>
      <w:pPr>
        <w:pStyle w:val="BodyText"/>
        <w:rPr>
          <w:b/>
        </w:rPr>
      </w:pPr>
    </w:p>
    <w:p>
      <w:pPr>
        <w:pStyle w:val="BodyText"/>
        <w:spacing w:line="477" w:lineRule="auto"/>
        <w:ind w:left="101" w:right="117"/>
        <w:jc w:val="both"/>
        <w:rPr>
          <w:i/>
        </w:rPr>
      </w:pPr>
      <w:r>
        <w:rPr/>
        <w:t>El</w:t>
      </w:r>
      <w:r>
        <w:rPr>
          <w:spacing w:val="-13"/>
        </w:rPr>
        <w:t> </w:t>
      </w:r>
      <w:r>
        <w:rPr/>
        <w:t>anova</w:t>
      </w:r>
      <w:r>
        <w:rPr>
          <w:spacing w:val="-14"/>
        </w:rPr>
        <w:t> </w:t>
      </w:r>
      <w:r>
        <w:rPr/>
        <w:t>no</w:t>
      </w:r>
      <w:r>
        <w:rPr>
          <w:spacing w:val="-14"/>
        </w:rPr>
        <w:t> </w:t>
      </w:r>
      <w:r>
        <w:rPr/>
        <w:t>mostró</w:t>
      </w:r>
      <w:r>
        <w:rPr>
          <w:spacing w:val="-12"/>
        </w:rPr>
        <w:t> </w:t>
      </w:r>
      <w:r>
        <w:rPr/>
        <w:t>diferencias</w:t>
      </w:r>
      <w:r>
        <w:rPr>
          <w:spacing w:val="-13"/>
        </w:rPr>
        <w:t> </w:t>
      </w:r>
      <w:r>
        <w:rPr/>
        <w:t>significativas</w:t>
      </w:r>
      <w:r>
        <w:rPr>
          <w:spacing w:val="-15"/>
        </w:rPr>
        <w:t> </w:t>
      </w:r>
      <w:r>
        <w:rPr/>
        <w:t>por</w:t>
      </w:r>
      <w:r>
        <w:rPr>
          <w:spacing w:val="-13"/>
        </w:rPr>
        <w:t> </w:t>
      </w:r>
      <w:r>
        <w:rPr/>
        <w:t>efecto</w:t>
      </w:r>
      <w:r>
        <w:rPr>
          <w:spacing w:val="-14"/>
        </w:rPr>
        <w:t> </w:t>
      </w:r>
      <w:r>
        <w:rPr/>
        <w:t>de</w:t>
      </w:r>
      <w:r>
        <w:rPr>
          <w:spacing w:val="-14"/>
        </w:rPr>
        <w:t> </w:t>
      </w:r>
      <w:r>
        <w:rPr/>
        <w:t>la</w:t>
      </w:r>
      <w:r>
        <w:rPr>
          <w:spacing w:val="-12"/>
        </w:rPr>
        <w:t> </w:t>
      </w:r>
      <w:r>
        <w:rPr/>
        <w:t>dosis</w:t>
      </w:r>
      <w:r>
        <w:rPr>
          <w:spacing w:val="-13"/>
        </w:rPr>
        <w:t> </w:t>
      </w:r>
      <w:r>
        <w:rPr/>
        <w:t>de</w:t>
      </w:r>
      <w:r>
        <w:rPr>
          <w:spacing w:val="-12"/>
        </w:rPr>
        <w:t> </w:t>
      </w:r>
      <w:r>
        <w:rPr/>
        <w:t>Steiner</w:t>
      </w:r>
      <w:r>
        <w:rPr>
          <w:spacing w:val="-13"/>
        </w:rPr>
        <w:t> </w:t>
      </w:r>
      <w:r>
        <w:rPr/>
        <w:t>(datos no mostrados). Por otro lado, la adición de Zn y Mg si tuvo efectos significativos</w:t>
      </w:r>
      <w:r>
        <w:rPr>
          <w:spacing w:val="5"/>
        </w:rPr>
        <w:t> </w:t>
      </w:r>
      <w:r>
        <w:rPr/>
        <w:t>(</w:t>
      </w:r>
      <w:r>
        <w:rPr>
          <w:i/>
          <w:color w:val="221E1F"/>
        </w:rPr>
        <w:t>P</w:t>
      </w:r>
    </w:p>
    <w:p>
      <w:pPr>
        <w:pStyle w:val="BodyText"/>
        <w:spacing w:before="13"/>
        <w:ind w:left="101"/>
        <w:jc w:val="both"/>
      </w:pPr>
      <w:r>
        <w:rPr>
          <w:color w:val="221E1F"/>
        </w:rPr>
        <w:t>≤ 0.05) en el índice de verdor, a 63 y 103 DDP</w:t>
      </w:r>
      <w:r>
        <w:rPr/>
        <w:t>, el control generó menor índice   de</w:t>
      </w:r>
    </w:p>
    <w:p>
      <w:pPr>
        <w:spacing w:after="0"/>
        <w:jc w:val="both"/>
        <w:sectPr>
          <w:pgSz w:w="12240" w:h="15840"/>
          <w:pgMar w:header="0" w:footer="1005" w:top="1360" w:bottom="1200" w:left="1600" w:right="1580"/>
        </w:sectPr>
      </w:pPr>
    </w:p>
    <w:p>
      <w:pPr>
        <w:pStyle w:val="BodyText"/>
        <w:spacing w:line="475" w:lineRule="auto" w:before="51"/>
        <w:ind w:left="101" w:right="118"/>
        <w:jc w:val="both"/>
      </w:pPr>
      <w:r>
        <w:rPr/>
        <w:t>verdor</w:t>
      </w:r>
      <w:r>
        <w:rPr>
          <w:spacing w:val="-7"/>
        </w:rPr>
        <w:t> </w:t>
      </w:r>
      <w:r>
        <w:rPr/>
        <w:t>que</w:t>
      </w:r>
      <w:r>
        <w:rPr>
          <w:spacing w:val="-5"/>
        </w:rPr>
        <w:t> </w:t>
      </w:r>
      <w:r>
        <w:rPr/>
        <w:t>aquel</w:t>
      </w:r>
      <w:r>
        <w:rPr>
          <w:spacing w:val="-9"/>
        </w:rPr>
        <w:t> </w:t>
      </w:r>
      <w:r>
        <w:rPr/>
        <w:t>observado</w:t>
      </w:r>
      <w:r>
        <w:rPr>
          <w:spacing w:val="-5"/>
        </w:rPr>
        <w:t> </w:t>
      </w:r>
      <w:r>
        <w:rPr/>
        <w:t>en</w:t>
      </w:r>
      <w:r>
        <w:rPr>
          <w:spacing w:val="-8"/>
        </w:rPr>
        <w:t> </w:t>
      </w:r>
      <w:r>
        <w:rPr/>
        <w:t>las</w:t>
      </w:r>
      <w:r>
        <w:rPr>
          <w:spacing w:val="-9"/>
        </w:rPr>
        <w:t> </w:t>
      </w:r>
      <w:r>
        <w:rPr/>
        <w:t>hojas</w:t>
      </w:r>
      <w:r>
        <w:rPr>
          <w:spacing w:val="-9"/>
        </w:rPr>
        <w:t> </w:t>
      </w:r>
      <w:r>
        <w:rPr/>
        <w:t>de</w:t>
      </w:r>
      <w:r>
        <w:rPr>
          <w:spacing w:val="-10"/>
        </w:rPr>
        <w:t> </w:t>
      </w:r>
      <w:r>
        <w:rPr/>
        <w:t>Lilium</w:t>
      </w:r>
      <w:r>
        <w:rPr>
          <w:spacing w:val="-5"/>
        </w:rPr>
        <w:t> </w:t>
      </w:r>
      <w:r>
        <w:rPr/>
        <w:t>‘Acapulco’</w:t>
      </w:r>
      <w:r>
        <w:rPr>
          <w:spacing w:val="-9"/>
        </w:rPr>
        <w:t> </w:t>
      </w:r>
      <w:r>
        <w:rPr/>
        <w:t>fertilizado</w:t>
      </w:r>
      <w:r>
        <w:rPr>
          <w:spacing w:val="-8"/>
        </w:rPr>
        <w:t> </w:t>
      </w:r>
      <w:r>
        <w:rPr/>
        <w:t>foliarmente con 144 mg</w:t>
      </w:r>
      <w:r>
        <w:rPr>
          <w:color w:val="221E1F"/>
        </w:rPr>
        <w:t>·litro</w:t>
      </w:r>
      <w:r>
        <w:rPr>
          <w:color w:val="221E1F"/>
          <w:position w:val="8"/>
          <w:sz w:val="16"/>
        </w:rPr>
        <w:t>-1 </w:t>
      </w:r>
      <w:r>
        <w:rPr>
          <w:color w:val="221E1F"/>
        </w:rPr>
        <w:t>de Zn y 160 </w:t>
      </w:r>
      <w:r>
        <w:rPr/>
        <w:t>mg</w:t>
      </w:r>
      <w:r>
        <w:rPr>
          <w:color w:val="221E1F"/>
        </w:rPr>
        <w:t>·litro</w:t>
      </w:r>
      <w:r>
        <w:rPr>
          <w:color w:val="221E1F"/>
          <w:position w:val="8"/>
          <w:sz w:val="16"/>
        </w:rPr>
        <w:t>-1 </w:t>
      </w:r>
      <w:r>
        <w:rPr>
          <w:color w:val="221E1F"/>
        </w:rPr>
        <w:t>de Mg </w:t>
      </w:r>
      <w:r>
        <w:rPr/>
        <w:t>(Cuadro</w:t>
      </w:r>
      <w:r>
        <w:rPr>
          <w:spacing w:val="-25"/>
        </w:rPr>
        <w:t> </w:t>
      </w:r>
      <w:r>
        <w:rPr/>
        <w:t>5).</w:t>
      </w:r>
    </w:p>
    <w:p>
      <w:pPr>
        <w:pStyle w:val="BodyText"/>
        <w:spacing w:line="480" w:lineRule="auto" w:before="6"/>
        <w:ind w:left="101" w:right="116"/>
        <w:jc w:val="both"/>
      </w:pPr>
      <w:r>
        <w:rPr/>
        <w:t>Los</w:t>
      </w:r>
      <w:r>
        <w:rPr>
          <w:spacing w:val="-8"/>
        </w:rPr>
        <w:t> </w:t>
      </w:r>
      <w:r>
        <w:rPr/>
        <w:t>valores</w:t>
      </w:r>
      <w:r>
        <w:rPr>
          <w:spacing w:val="-8"/>
        </w:rPr>
        <w:t> </w:t>
      </w:r>
      <w:r>
        <w:rPr/>
        <w:t>de</w:t>
      </w:r>
      <w:r>
        <w:rPr>
          <w:spacing w:val="-7"/>
        </w:rPr>
        <w:t> </w:t>
      </w:r>
      <w:r>
        <w:rPr/>
        <w:t>índice</w:t>
      </w:r>
      <w:r>
        <w:rPr>
          <w:spacing w:val="-7"/>
        </w:rPr>
        <w:t> </w:t>
      </w:r>
      <w:r>
        <w:rPr/>
        <w:t>de</w:t>
      </w:r>
      <w:r>
        <w:rPr>
          <w:spacing w:val="-7"/>
        </w:rPr>
        <w:t> </w:t>
      </w:r>
      <w:r>
        <w:rPr/>
        <w:t>verdor</w:t>
      </w:r>
      <w:r>
        <w:rPr>
          <w:spacing w:val="-8"/>
        </w:rPr>
        <w:t> </w:t>
      </w:r>
      <w:r>
        <w:rPr/>
        <w:t>ayudan</w:t>
      </w:r>
      <w:r>
        <w:rPr>
          <w:spacing w:val="-7"/>
        </w:rPr>
        <w:t> </w:t>
      </w:r>
      <w:r>
        <w:rPr/>
        <w:t>a</w:t>
      </w:r>
      <w:r>
        <w:rPr>
          <w:spacing w:val="-7"/>
        </w:rPr>
        <w:t> </w:t>
      </w:r>
      <w:r>
        <w:rPr/>
        <w:t>explicar</w:t>
      </w:r>
      <w:r>
        <w:rPr>
          <w:spacing w:val="-8"/>
        </w:rPr>
        <w:t> </w:t>
      </w:r>
      <w:r>
        <w:rPr/>
        <w:t>el</w:t>
      </w:r>
      <w:r>
        <w:rPr>
          <w:spacing w:val="-8"/>
        </w:rPr>
        <w:t> </w:t>
      </w:r>
      <w:r>
        <w:rPr/>
        <w:t>mayor</w:t>
      </w:r>
      <w:r>
        <w:rPr>
          <w:spacing w:val="-8"/>
        </w:rPr>
        <w:t> </w:t>
      </w:r>
      <w:r>
        <w:rPr/>
        <w:t>tamaño</w:t>
      </w:r>
      <w:r>
        <w:rPr>
          <w:spacing w:val="-9"/>
        </w:rPr>
        <w:t> </w:t>
      </w:r>
      <w:r>
        <w:rPr/>
        <w:t>del</w:t>
      </w:r>
      <w:r>
        <w:rPr>
          <w:spacing w:val="-8"/>
        </w:rPr>
        <w:t> </w:t>
      </w:r>
      <w:r>
        <w:rPr/>
        <w:t>tallo,</w:t>
      </w:r>
      <w:r>
        <w:rPr>
          <w:spacing w:val="-7"/>
        </w:rPr>
        <w:t> </w:t>
      </w:r>
      <w:r>
        <w:rPr/>
        <w:t>ya</w:t>
      </w:r>
      <w:r>
        <w:rPr>
          <w:spacing w:val="-7"/>
        </w:rPr>
        <w:t> </w:t>
      </w:r>
      <w:r>
        <w:rPr/>
        <w:t>que la aplicación conjunta de Mg y Zn generó mayor índice de verdor que el control en dos</w:t>
      </w:r>
      <w:r>
        <w:rPr>
          <w:spacing w:val="-9"/>
        </w:rPr>
        <w:t> </w:t>
      </w:r>
      <w:r>
        <w:rPr/>
        <w:t>fechas</w:t>
      </w:r>
      <w:r>
        <w:rPr>
          <w:spacing w:val="-9"/>
        </w:rPr>
        <w:t> </w:t>
      </w:r>
      <w:r>
        <w:rPr/>
        <w:t>de</w:t>
      </w:r>
      <w:r>
        <w:rPr>
          <w:spacing w:val="-8"/>
        </w:rPr>
        <w:t> </w:t>
      </w:r>
      <w:r>
        <w:rPr/>
        <w:t>medición</w:t>
      </w:r>
      <w:r>
        <w:rPr>
          <w:spacing w:val="-6"/>
        </w:rPr>
        <w:t> </w:t>
      </w:r>
      <w:r>
        <w:rPr/>
        <w:t>i.e.</w:t>
      </w:r>
      <w:r>
        <w:rPr>
          <w:spacing w:val="-9"/>
        </w:rPr>
        <w:t> </w:t>
      </w:r>
      <w:r>
        <w:rPr/>
        <w:t>63</w:t>
      </w:r>
      <w:r>
        <w:rPr>
          <w:spacing w:val="-6"/>
        </w:rPr>
        <w:t> </w:t>
      </w:r>
      <w:r>
        <w:rPr/>
        <w:t>y</w:t>
      </w:r>
      <w:r>
        <w:rPr>
          <w:spacing w:val="-9"/>
        </w:rPr>
        <w:t> </w:t>
      </w:r>
      <w:r>
        <w:rPr/>
        <w:t>103</w:t>
      </w:r>
      <w:r>
        <w:rPr>
          <w:spacing w:val="-8"/>
        </w:rPr>
        <w:t> </w:t>
      </w:r>
      <w:r>
        <w:rPr/>
        <w:t>DDP.</w:t>
      </w:r>
      <w:r>
        <w:rPr>
          <w:spacing w:val="-6"/>
        </w:rPr>
        <w:t> </w:t>
      </w:r>
      <w:r>
        <w:rPr/>
        <w:t>Se</w:t>
      </w:r>
      <w:r>
        <w:rPr>
          <w:spacing w:val="-6"/>
        </w:rPr>
        <w:t> </w:t>
      </w:r>
      <w:r>
        <w:rPr/>
        <w:t>considera</w:t>
      </w:r>
      <w:r>
        <w:rPr>
          <w:spacing w:val="-6"/>
        </w:rPr>
        <w:t> </w:t>
      </w:r>
      <w:r>
        <w:rPr/>
        <w:t>que</w:t>
      </w:r>
      <w:r>
        <w:rPr>
          <w:spacing w:val="-6"/>
        </w:rPr>
        <w:t> </w:t>
      </w:r>
      <w:r>
        <w:rPr/>
        <w:t>la</w:t>
      </w:r>
      <w:r>
        <w:rPr>
          <w:spacing w:val="-8"/>
        </w:rPr>
        <w:t> </w:t>
      </w:r>
      <w:r>
        <w:rPr/>
        <w:t>influencia</w:t>
      </w:r>
      <w:r>
        <w:rPr>
          <w:spacing w:val="-6"/>
        </w:rPr>
        <w:t> </w:t>
      </w:r>
      <w:r>
        <w:rPr/>
        <w:t>de</w:t>
      </w:r>
      <w:r>
        <w:rPr>
          <w:spacing w:val="-6"/>
        </w:rPr>
        <w:t> </w:t>
      </w:r>
      <w:r>
        <w:rPr/>
        <w:t>la</w:t>
      </w:r>
      <w:r>
        <w:rPr>
          <w:spacing w:val="-6"/>
        </w:rPr>
        <w:t> </w:t>
      </w:r>
      <w:r>
        <w:rPr/>
        <w:t>tasa de fotosíntesis y el correcto balance hormonal explican la mayor altura del tallo y el mayor índice de verdor al aplicar Zn y Mg (Whitman </w:t>
      </w:r>
      <w:r>
        <w:rPr>
          <w:i/>
        </w:rPr>
        <w:t>et al</w:t>
      </w:r>
      <w:r>
        <w:rPr/>
        <w:t>., 2001; Rao, &amp; Rajput, 2011).</w:t>
      </w:r>
    </w:p>
    <w:p>
      <w:pPr>
        <w:pStyle w:val="Heading1"/>
        <w:spacing w:before="168"/>
        <w:ind w:left="101"/>
        <w:jc w:val="both"/>
      </w:pPr>
      <w:r>
        <w:rPr/>
        <w:t>Experimento 2.  Cv. Serrada</w:t>
      </w:r>
    </w:p>
    <w:p>
      <w:pPr>
        <w:pStyle w:val="BodyText"/>
        <w:rPr>
          <w:b/>
        </w:rPr>
      </w:pPr>
    </w:p>
    <w:p>
      <w:pPr>
        <w:pStyle w:val="BodyText"/>
        <w:spacing w:line="477" w:lineRule="auto" w:before="161"/>
        <w:ind w:left="101" w:right="117"/>
        <w:jc w:val="both"/>
      </w:pPr>
      <w:r>
        <w:rPr/>
        <w:t>En</w:t>
      </w:r>
      <w:r>
        <w:rPr>
          <w:spacing w:val="-7"/>
        </w:rPr>
        <w:t> </w:t>
      </w:r>
      <w:r>
        <w:rPr/>
        <w:t>el</w:t>
      </w:r>
      <w:r>
        <w:rPr>
          <w:spacing w:val="-8"/>
        </w:rPr>
        <w:t> </w:t>
      </w:r>
      <w:r>
        <w:rPr/>
        <w:t>caso</w:t>
      </w:r>
      <w:r>
        <w:rPr>
          <w:spacing w:val="-7"/>
        </w:rPr>
        <w:t> </w:t>
      </w:r>
      <w:r>
        <w:rPr/>
        <w:t>del</w:t>
      </w:r>
      <w:r>
        <w:rPr>
          <w:spacing w:val="-8"/>
        </w:rPr>
        <w:t> </w:t>
      </w:r>
      <w:r>
        <w:rPr/>
        <w:t>cv.</w:t>
      </w:r>
      <w:r>
        <w:rPr>
          <w:spacing w:val="-7"/>
        </w:rPr>
        <w:t> </w:t>
      </w:r>
      <w:r>
        <w:rPr/>
        <w:t>Serrada,</w:t>
      </w:r>
      <w:r>
        <w:rPr>
          <w:spacing w:val="-10"/>
        </w:rPr>
        <w:t> </w:t>
      </w:r>
      <w:r>
        <w:rPr/>
        <w:t>se</w:t>
      </w:r>
      <w:r>
        <w:rPr>
          <w:spacing w:val="-7"/>
        </w:rPr>
        <w:t> </w:t>
      </w:r>
      <w:r>
        <w:rPr/>
        <w:t>encontraron</w:t>
      </w:r>
      <w:r>
        <w:rPr>
          <w:spacing w:val="-9"/>
        </w:rPr>
        <w:t> </w:t>
      </w:r>
      <w:r>
        <w:rPr/>
        <w:t>diferencias</w:t>
      </w:r>
      <w:r>
        <w:rPr>
          <w:spacing w:val="-10"/>
        </w:rPr>
        <w:t> </w:t>
      </w:r>
      <w:r>
        <w:rPr/>
        <w:t>estadísticas</w:t>
      </w:r>
      <w:r>
        <w:rPr>
          <w:spacing w:val="-10"/>
        </w:rPr>
        <w:t> </w:t>
      </w:r>
      <w:r>
        <w:rPr/>
        <w:t>para</w:t>
      </w:r>
      <w:r>
        <w:rPr>
          <w:spacing w:val="-7"/>
        </w:rPr>
        <w:t> </w:t>
      </w:r>
      <w:r>
        <w:rPr/>
        <w:t>altura</w:t>
      </w:r>
      <w:r>
        <w:rPr>
          <w:spacing w:val="-9"/>
        </w:rPr>
        <w:t> </w:t>
      </w:r>
      <w:r>
        <w:rPr/>
        <w:t>de</w:t>
      </w:r>
      <w:r>
        <w:rPr>
          <w:spacing w:val="-7"/>
        </w:rPr>
        <w:t> </w:t>
      </w:r>
      <w:r>
        <w:rPr/>
        <w:t>la planta y lecturas SPAD. Se confirmó que la aplicación de Zn y Mg incrementó la altura de la planta ya que existió diferencia significativa durante todo el desarrollo de cultivo. Al día del corte las dosis 144-160 y 72-160 mg</w:t>
      </w:r>
      <w:r>
        <w:rPr>
          <w:color w:val="221E1F"/>
        </w:rPr>
        <w:t>·litro</w:t>
      </w:r>
      <w:r>
        <w:rPr>
          <w:color w:val="221E1F"/>
          <w:position w:val="8"/>
          <w:sz w:val="16"/>
        </w:rPr>
        <w:t>-1 </w:t>
      </w:r>
      <w:r>
        <w:rPr/>
        <w:t>de Zn y Mg, respectivamente, superaron al control (Figura</w:t>
      </w:r>
      <w:r>
        <w:rPr>
          <w:spacing w:val="-24"/>
        </w:rPr>
        <w:t> </w:t>
      </w:r>
      <w:r>
        <w:rPr/>
        <w:t>1).</w:t>
      </w:r>
    </w:p>
    <w:p>
      <w:pPr>
        <w:pStyle w:val="BodyText"/>
        <w:spacing w:line="477" w:lineRule="auto" w:before="5"/>
        <w:ind w:left="101" w:right="116"/>
        <w:jc w:val="both"/>
      </w:pPr>
      <w:r>
        <w:rPr/>
        <w:t>Se observa que con la aplicación de 432 mg</w:t>
      </w:r>
      <w:r>
        <w:rPr>
          <w:color w:val="221E1F"/>
        </w:rPr>
        <w:t>·litro</w:t>
      </w:r>
      <w:r>
        <w:rPr>
          <w:color w:val="221E1F"/>
          <w:position w:val="8"/>
          <w:sz w:val="16"/>
        </w:rPr>
        <w:t>-1 </w:t>
      </w:r>
      <w:r>
        <w:rPr/>
        <w:t>de Zn y 480 mg</w:t>
      </w:r>
      <w:r>
        <w:rPr>
          <w:color w:val="221E1F"/>
        </w:rPr>
        <w:t>·litro</w:t>
      </w:r>
      <w:r>
        <w:rPr>
          <w:color w:val="221E1F"/>
          <w:position w:val="8"/>
          <w:sz w:val="16"/>
        </w:rPr>
        <w:t>-1 </w:t>
      </w:r>
      <w:r>
        <w:rPr/>
        <w:t>de Mg, la altura de la planta fue estadísticamente similar que con la aplicación de 144 mg</w:t>
      </w:r>
      <w:r>
        <w:rPr>
          <w:color w:val="221E1F"/>
        </w:rPr>
        <w:t>·litro</w:t>
      </w:r>
      <w:r>
        <w:rPr>
          <w:color w:val="221E1F"/>
          <w:position w:val="8"/>
          <w:sz w:val="16"/>
        </w:rPr>
        <w:t>-1 </w:t>
      </w:r>
      <w:r>
        <w:rPr/>
        <w:t>de Zn y 160 mg</w:t>
      </w:r>
      <w:r>
        <w:rPr>
          <w:color w:val="221E1F"/>
        </w:rPr>
        <w:t>·litro</w:t>
      </w:r>
      <w:r>
        <w:rPr>
          <w:color w:val="221E1F"/>
          <w:position w:val="8"/>
          <w:sz w:val="16"/>
        </w:rPr>
        <w:t>-1 </w:t>
      </w:r>
      <w:r>
        <w:rPr/>
        <w:t>de Mg. Obviamente, la aplicación de la dosis alta usada en este experimento no es económicamente viable, si se compara con el costo de la dosis de 72 mg</w:t>
      </w:r>
      <w:r>
        <w:rPr>
          <w:color w:val="221E1F"/>
        </w:rPr>
        <w:t>·litro</w:t>
      </w:r>
      <w:r>
        <w:rPr>
          <w:color w:val="221E1F"/>
          <w:position w:val="8"/>
          <w:sz w:val="16"/>
        </w:rPr>
        <w:t>-1   </w:t>
      </w:r>
      <w:r>
        <w:rPr/>
        <w:t>de Zn y 160 mg</w:t>
      </w:r>
      <w:r>
        <w:rPr>
          <w:color w:val="221E1F"/>
        </w:rPr>
        <w:t>·litro</w:t>
      </w:r>
      <w:r>
        <w:rPr>
          <w:color w:val="221E1F"/>
          <w:position w:val="8"/>
          <w:sz w:val="16"/>
        </w:rPr>
        <w:t>-1 </w:t>
      </w:r>
      <w:r>
        <w:rPr>
          <w:color w:val="221E1F"/>
        </w:rPr>
        <w:t>de Mg.</w:t>
      </w:r>
    </w:p>
    <w:p>
      <w:pPr>
        <w:pStyle w:val="Heading1"/>
        <w:spacing w:before="3"/>
        <w:ind w:left="101"/>
        <w:jc w:val="both"/>
      </w:pPr>
      <w:r>
        <w:rPr/>
        <w:t>Unidades SPAD</w:t>
      </w:r>
    </w:p>
    <w:p>
      <w:pPr>
        <w:pStyle w:val="BodyText"/>
        <w:spacing w:before="9"/>
        <w:rPr>
          <w:b/>
          <w:sz w:val="23"/>
        </w:rPr>
      </w:pPr>
    </w:p>
    <w:p>
      <w:pPr>
        <w:pStyle w:val="BodyText"/>
        <w:spacing w:line="480" w:lineRule="auto"/>
        <w:ind w:left="101" w:right="117"/>
        <w:jc w:val="both"/>
      </w:pPr>
      <w:r>
        <w:rPr/>
        <w:t>De forma general, en </w:t>
      </w:r>
      <w:r>
        <w:rPr>
          <w:i/>
        </w:rPr>
        <w:t>Lilium</w:t>
      </w:r>
      <w:r>
        <w:rPr/>
        <w:t>‘Serrada’ la aplicación foliar de los nutrimentos en estudio</w:t>
      </w:r>
      <w:r>
        <w:rPr>
          <w:spacing w:val="-3"/>
        </w:rPr>
        <w:t> </w:t>
      </w:r>
      <w:r>
        <w:rPr/>
        <w:t>no</w:t>
      </w:r>
      <w:r>
        <w:rPr>
          <w:spacing w:val="-3"/>
        </w:rPr>
        <w:t> </w:t>
      </w:r>
      <w:r>
        <w:rPr/>
        <w:t>generó</w:t>
      </w:r>
      <w:r>
        <w:rPr>
          <w:spacing w:val="-6"/>
        </w:rPr>
        <w:t> </w:t>
      </w:r>
      <w:r>
        <w:rPr/>
        <w:t>efecto</w:t>
      </w:r>
      <w:r>
        <w:rPr>
          <w:spacing w:val="-3"/>
        </w:rPr>
        <w:t> </w:t>
      </w:r>
      <w:r>
        <w:rPr/>
        <w:t>positivo</w:t>
      </w:r>
      <w:r>
        <w:rPr>
          <w:spacing w:val="-3"/>
        </w:rPr>
        <w:t> </w:t>
      </w:r>
      <w:r>
        <w:rPr/>
        <w:t>en</w:t>
      </w:r>
      <w:r>
        <w:rPr>
          <w:spacing w:val="-3"/>
        </w:rPr>
        <w:t> </w:t>
      </w:r>
      <w:r>
        <w:rPr/>
        <w:t>el</w:t>
      </w:r>
      <w:r>
        <w:rPr>
          <w:spacing w:val="-5"/>
        </w:rPr>
        <w:t> </w:t>
      </w:r>
      <w:r>
        <w:rPr/>
        <w:t>índice</w:t>
      </w:r>
      <w:r>
        <w:rPr>
          <w:spacing w:val="-6"/>
        </w:rPr>
        <w:t> </w:t>
      </w:r>
      <w:r>
        <w:rPr/>
        <w:t>de</w:t>
      </w:r>
      <w:r>
        <w:rPr>
          <w:spacing w:val="-3"/>
        </w:rPr>
        <w:t> </w:t>
      </w:r>
      <w:r>
        <w:rPr/>
        <w:t>verdor</w:t>
      </w:r>
      <w:r>
        <w:rPr>
          <w:spacing w:val="-5"/>
        </w:rPr>
        <w:t> </w:t>
      </w:r>
      <w:r>
        <w:rPr/>
        <w:t>de</w:t>
      </w:r>
      <w:r>
        <w:rPr>
          <w:spacing w:val="-3"/>
        </w:rPr>
        <w:t> </w:t>
      </w:r>
      <w:r>
        <w:rPr/>
        <w:t>las</w:t>
      </w:r>
      <w:r>
        <w:rPr>
          <w:spacing w:val="-4"/>
        </w:rPr>
        <w:t> </w:t>
      </w:r>
      <w:r>
        <w:rPr/>
        <w:t>hojas</w:t>
      </w:r>
      <w:r>
        <w:rPr>
          <w:spacing w:val="-7"/>
        </w:rPr>
        <w:t> </w:t>
      </w:r>
      <w:r>
        <w:rPr/>
        <w:t>(Cuadro</w:t>
      </w:r>
      <w:r>
        <w:rPr>
          <w:spacing w:val="-3"/>
        </w:rPr>
        <w:t> </w:t>
      </w:r>
      <w:r>
        <w:rPr/>
        <w:t>6).</w:t>
      </w:r>
      <w:r>
        <w:rPr>
          <w:spacing w:val="-4"/>
        </w:rPr>
        <w:t> </w:t>
      </w:r>
      <w:r>
        <w:rPr/>
        <w:t>Lo cual</w:t>
      </w:r>
      <w:r>
        <w:rPr>
          <w:spacing w:val="-9"/>
        </w:rPr>
        <w:t> </w:t>
      </w:r>
      <w:r>
        <w:rPr/>
        <w:t>es</w:t>
      </w:r>
      <w:r>
        <w:rPr>
          <w:spacing w:val="-9"/>
        </w:rPr>
        <w:t> </w:t>
      </w:r>
      <w:r>
        <w:rPr/>
        <w:t>contrario</w:t>
      </w:r>
      <w:r>
        <w:rPr>
          <w:spacing w:val="-8"/>
        </w:rPr>
        <w:t> </w:t>
      </w:r>
      <w:r>
        <w:rPr/>
        <w:t>a</w:t>
      </w:r>
      <w:r>
        <w:rPr>
          <w:spacing w:val="-8"/>
        </w:rPr>
        <w:t> </w:t>
      </w:r>
      <w:r>
        <w:rPr/>
        <w:t>lo</w:t>
      </w:r>
      <w:r>
        <w:rPr>
          <w:spacing w:val="-10"/>
        </w:rPr>
        <w:t> </w:t>
      </w:r>
      <w:r>
        <w:rPr/>
        <w:t>indicado</w:t>
      </w:r>
      <w:r>
        <w:rPr>
          <w:spacing w:val="-10"/>
        </w:rPr>
        <w:t> </w:t>
      </w:r>
      <w:r>
        <w:rPr/>
        <w:t>previamente</w:t>
      </w:r>
      <w:r>
        <w:rPr>
          <w:spacing w:val="-10"/>
        </w:rPr>
        <w:t> </w:t>
      </w:r>
      <w:r>
        <w:rPr/>
        <w:t>en</w:t>
      </w:r>
      <w:r>
        <w:rPr>
          <w:spacing w:val="-10"/>
        </w:rPr>
        <w:t> </w:t>
      </w:r>
      <w:r>
        <w:rPr/>
        <w:t>Lilium</w:t>
      </w:r>
      <w:r>
        <w:rPr>
          <w:spacing w:val="-7"/>
        </w:rPr>
        <w:t> </w:t>
      </w:r>
      <w:r>
        <w:rPr/>
        <w:t>‘Acapulco’.</w:t>
      </w:r>
      <w:r>
        <w:rPr>
          <w:spacing w:val="-8"/>
        </w:rPr>
        <w:t> </w:t>
      </w:r>
      <w:r>
        <w:rPr/>
        <w:t>De</w:t>
      </w:r>
      <w:r>
        <w:rPr>
          <w:spacing w:val="-10"/>
        </w:rPr>
        <w:t> </w:t>
      </w:r>
      <w:r>
        <w:rPr/>
        <w:t>manera</w:t>
      </w:r>
      <w:r>
        <w:rPr>
          <w:spacing w:val="-8"/>
        </w:rPr>
        <w:t> </w:t>
      </w:r>
      <w:r>
        <w:rPr/>
        <w:t>similar,</w:t>
      </w:r>
    </w:p>
    <w:p>
      <w:pPr>
        <w:spacing w:after="0" w:line="480" w:lineRule="auto"/>
        <w:jc w:val="both"/>
        <w:sectPr>
          <w:pgSz w:w="12240" w:h="15840"/>
          <w:pgMar w:header="0" w:footer="1005" w:top="1360" w:bottom="1200" w:left="1600" w:right="1580"/>
        </w:sectPr>
      </w:pPr>
    </w:p>
    <w:p>
      <w:pPr>
        <w:pStyle w:val="BodyText"/>
        <w:spacing w:line="480" w:lineRule="auto" w:before="49"/>
        <w:ind w:left="101" w:right="117"/>
        <w:jc w:val="both"/>
      </w:pPr>
      <w:r>
        <w:rPr/>
        <w:t>Ortega-Blu </w:t>
      </w:r>
      <w:r>
        <w:rPr>
          <w:i/>
        </w:rPr>
        <w:t>et al</w:t>
      </w:r>
      <w:r>
        <w:rPr/>
        <w:t>. (2005) encontró que los efectos positivos de una fertilización para un</w:t>
      </w:r>
      <w:r>
        <w:rPr>
          <w:spacing w:val="-4"/>
        </w:rPr>
        <w:t> </w:t>
      </w:r>
      <w:r>
        <w:rPr/>
        <w:t>cultivar,</w:t>
      </w:r>
      <w:r>
        <w:rPr>
          <w:spacing w:val="-5"/>
        </w:rPr>
        <w:t> </w:t>
      </w:r>
      <w:r>
        <w:rPr/>
        <w:t>podrían</w:t>
      </w:r>
      <w:r>
        <w:rPr>
          <w:spacing w:val="-4"/>
        </w:rPr>
        <w:t> </w:t>
      </w:r>
      <w:r>
        <w:rPr/>
        <w:t>no</w:t>
      </w:r>
      <w:r>
        <w:rPr>
          <w:spacing w:val="-4"/>
        </w:rPr>
        <w:t> </w:t>
      </w:r>
      <w:r>
        <w:rPr/>
        <w:t>presentarse</w:t>
      </w:r>
      <w:r>
        <w:rPr>
          <w:spacing w:val="-4"/>
        </w:rPr>
        <w:t> </w:t>
      </w:r>
      <w:r>
        <w:rPr/>
        <w:t>en</w:t>
      </w:r>
      <w:r>
        <w:rPr>
          <w:spacing w:val="-4"/>
        </w:rPr>
        <w:t> </w:t>
      </w:r>
      <w:r>
        <w:rPr/>
        <w:t>otro.</w:t>
      </w:r>
      <w:r>
        <w:rPr>
          <w:spacing w:val="-7"/>
        </w:rPr>
        <w:t> </w:t>
      </w:r>
      <w:r>
        <w:rPr/>
        <w:t>Por</w:t>
      </w:r>
      <w:r>
        <w:rPr>
          <w:spacing w:val="-6"/>
        </w:rPr>
        <w:t> </w:t>
      </w:r>
      <w:r>
        <w:rPr/>
        <w:t>tal</w:t>
      </w:r>
      <w:r>
        <w:rPr>
          <w:spacing w:val="-6"/>
        </w:rPr>
        <w:t> </w:t>
      </w:r>
      <w:r>
        <w:rPr/>
        <w:t>motivo</w:t>
      </w:r>
      <w:r>
        <w:rPr>
          <w:spacing w:val="-4"/>
        </w:rPr>
        <w:t> </w:t>
      </w:r>
      <w:r>
        <w:rPr/>
        <w:t>se</w:t>
      </w:r>
      <w:r>
        <w:rPr>
          <w:spacing w:val="-4"/>
        </w:rPr>
        <w:t> </w:t>
      </w:r>
      <w:r>
        <w:rPr/>
        <w:t>recomiendan</w:t>
      </w:r>
      <w:r>
        <w:rPr>
          <w:spacing w:val="-4"/>
        </w:rPr>
        <w:t> </w:t>
      </w:r>
      <w:r>
        <w:rPr/>
        <w:t>estudios particulares por</w:t>
      </w:r>
      <w:r>
        <w:rPr>
          <w:spacing w:val="-14"/>
        </w:rPr>
        <w:t> </w:t>
      </w:r>
      <w:r>
        <w:rPr/>
        <w:t>cultivar.</w:t>
      </w:r>
    </w:p>
    <w:p>
      <w:pPr>
        <w:pStyle w:val="BodyText"/>
        <w:spacing w:line="480" w:lineRule="auto" w:before="8"/>
        <w:ind w:left="101" w:right="116"/>
        <w:jc w:val="both"/>
      </w:pPr>
      <w:r>
        <w:rPr/>
        <w:t>El no observar efectos positivos de Mg y Zn en la fotosíntesis, no inhibió el efecto en el largo del tallo, lo cual, sugiere que el tamaño este influenciado también por otros factores, posiblemente hormonales (Whitman </w:t>
      </w:r>
      <w:r>
        <w:rPr>
          <w:i/>
        </w:rPr>
        <w:t>et al</w:t>
      </w:r>
      <w:r>
        <w:rPr/>
        <w:t>., 2001), particularmente más en </w:t>
      </w:r>
      <w:r>
        <w:rPr>
          <w:i/>
        </w:rPr>
        <w:t>Lilium </w:t>
      </w:r>
      <w:r>
        <w:rPr/>
        <w:t>‘Serrada’, en relación a lo observado en </w:t>
      </w:r>
      <w:r>
        <w:rPr>
          <w:i/>
        </w:rPr>
        <w:t>Lilium </w:t>
      </w:r>
      <w:r>
        <w:rPr/>
        <w:t>‘Acapulco’.</w:t>
      </w:r>
    </w:p>
    <w:p>
      <w:pPr>
        <w:pStyle w:val="BodyText"/>
      </w:pPr>
    </w:p>
    <w:p>
      <w:pPr>
        <w:pStyle w:val="BodyText"/>
      </w:pPr>
    </w:p>
    <w:p>
      <w:pPr>
        <w:pStyle w:val="BodyText"/>
        <w:spacing w:before="9"/>
        <w:rPr>
          <w:sz w:val="28"/>
        </w:rPr>
      </w:pPr>
    </w:p>
    <w:p>
      <w:pPr>
        <w:pStyle w:val="Heading1"/>
        <w:spacing w:before="1"/>
        <w:ind w:left="122" w:right="140"/>
        <w:jc w:val="center"/>
      </w:pPr>
      <w:r>
        <w:rPr/>
        <w:t>CONCLUSIONES</w:t>
      </w:r>
    </w:p>
    <w:p>
      <w:pPr>
        <w:pStyle w:val="BodyText"/>
        <w:rPr>
          <w:b/>
        </w:rPr>
      </w:pPr>
    </w:p>
    <w:p>
      <w:pPr>
        <w:pStyle w:val="BodyText"/>
        <w:spacing w:line="480" w:lineRule="auto" w:before="156"/>
        <w:ind w:left="101" w:right="116"/>
        <w:jc w:val="both"/>
      </w:pPr>
      <w:r>
        <w:rPr/>
        <w:t>En </w:t>
      </w:r>
      <w:r>
        <w:rPr>
          <w:i/>
        </w:rPr>
        <w:t>Lilium </w:t>
      </w:r>
      <w:r>
        <w:rPr/>
        <w:t>‘Acapulco’ los parámetros de calidad, altura de la planta y el índice de verdor mostraron diferencias significativas, por el efecto de la aplicación foliar de 144 m</w:t>
      </w:r>
      <w:r>
        <w:rPr>
          <w:color w:val="221E1F"/>
        </w:rPr>
        <w:t>g·litro</w:t>
      </w:r>
      <w:r>
        <w:rPr>
          <w:color w:val="221E1F"/>
          <w:position w:val="8"/>
          <w:sz w:val="16"/>
        </w:rPr>
        <w:t>-1 </w:t>
      </w:r>
      <w:r>
        <w:rPr/>
        <w:t>de Zn y de 160 m</w:t>
      </w:r>
      <w:r>
        <w:rPr>
          <w:color w:val="221E1F"/>
        </w:rPr>
        <w:t>g·litro</w:t>
      </w:r>
      <w:r>
        <w:rPr>
          <w:color w:val="221E1F"/>
          <w:position w:val="8"/>
          <w:sz w:val="16"/>
        </w:rPr>
        <w:t>-1 </w:t>
      </w:r>
      <w:r>
        <w:rPr>
          <w:color w:val="221E1F"/>
        </w:rPr>
        <w:t>de Mg. Mientras que p</w:t>
      </w:r>
      <w:r>
        <w:rPr/>
        <w:t>ara </w:t>
      </w:r>
      <w:r>
        <w:rPr>
          <w:i/>
        </w:rPr>
        <w:t>Lilium</w:t>
      </w:r>
      <w:r>
        <w:rPr/>
        <w:t>‘Serrada’ se recomienda la dosis de 72 mg</w:t>
      </w:r>
      <w:r>
        <w:rPr>
          <w:color w:val="221E1F"/>
        </w:rPr>
        <w:t>·litro</w:t>
      </w:r>
      <w:r>
        <w:rPr>
          <w:color w:val="221E1F"/>
          <w:position w:val="8"/>
          <w:sz w:val="16"/>
        </w:rPr>
        <w:t>-1 </w:t>
      </w:r>
      <w:r>
        <w:rPr/>
        <w:t>de Zn y 160 mg</w:t>
      </w:r>
      <w:r>
        <w:rPr>
          <w:color w:val="221E1F"/>
        </w:rPr>
        <w:t>·litro</w:t>
      </w:r>
      <w:r>
        <w:rPr>
          <w:color w:val="221E1F"/>
          <w:position w:val="8"/>
          <w:sz w:val="16"/>
        </w:rPr>
        <w:t>-1 </w:t>
      </w:r>
      <w:r>
        <w:rPr>
          <w:color w:val="221E1F"/>
        </w:rPr>
        <w:t>de Mg para una mayor altura de la planta y en las unidades SPAD no se encuentra efecto positivo con la aplicación de Zn y Mg. En ambos cultivares se sugiere l</w:t>
      </w:r>
      <w:r>
        <w:rPr/>
        <w:t>a aplicación al sustrato de 10 ml de la solución de la solución de Steiner aumentada 40 veces.</w:t>
      </w:r>
    </w:p>
    <w:p>
      <w:pPr>
        <w:pStyle w:val="BodyText"/>
      </w:pPr>
    </w:p>
    <w:p>
      <w:pPr>
        <w:pStyle w:val="BodyText"/>
      </w:pPr>
    </w:p>
    <w:p>
      <w:pPr>
        <w:pStyle w:val="Heading1"/>
        <w:spacing w:before="168"/>
        <w:ind w:left="123" w:right="140"/>
        <w:jc w:val="center"/>
      </w:pPr>
      <w:r>
        <w:rPr/>
        <w:t>LITERATURA CITADA</w:t>
      </w:r>
    </w:p>
    <w:p>
      <w:pPr>
        <w:pStyle w:val="BodyText"/>
        <w:rPr>
          <w:b/>
        </w:rPr>
      </w:pPr>
    </w:p>
    <w:p>
      <w:pPr>
        <w:pStyle w:val="BodyText"/>
        <w:rPr>
          <w:b/>
        </w:rPr>
      </w:pPr>
    </w:p>
    <w:p>
      <w:pPr>
        <w:pStyle w:val="BodyText"/>
        <w:rPr>
          <w:b/>
        </w:rPr>
      </w:pPr>
    </w:p>
    <w:p>
      <w:pPr>
        <w:pStyle w:val="BodyText"/>
        <w:spacing w:line="480" w:lineRule="auto"/>
        <w:ind w:left="809" w:right="118" w:hanging="708"/>
        <w:jc w:val="both"/>
      </w:pPr>
      <w:r>
        <w:rPr/>
        <w:t>Ahmad, I., Doleb, J. M., &amp; Nelson, P. (2012). Nitrogen application rate, leaf position and age affect leaf nutrient status of five specialty cut flowers. </w:t>
      </w:r>
      <w:r>
        <w:rPr>
          <w:i/>
        </w:rPr>
        <w:t>Scientia </w:t>
      </w:r>
      <w:r>
        <w:rPr>
          <w:i/>
        </w:rPr>
        <w:t>Horticulturae  </w:t>
      </w:r>
      <w:r>
        <w:rPr/>
        <w:t>142, 14-22. doi:10.1016/j.scienta.2012.04.009</w:t>
      </w:r>
    </w:p>
    <w:p>
      <w:pPr>
        <w:spacing w:after="0" w:line="480" w:lineRule="auto"/>
        <w:jc w:val="both"/>
        <w:sectPr>
          <w:pgSz w:w="12240" w:h="15840"/>
          <w:pgMar w:header="0" w:footer="1005" w:top="1360" w:bottom="1200" w:left="1600" w:right="1580"/>
        </w:sectPr>
      </w:pPr>
    </w:p>
    <w:p>
      <w:pPr>
        <w:pStyle w:val="BodyText"/>
        <w:tabs>
          <w:tab w:pos="3202" w:val="left" w:leader="none"/>
          <w:tab w:pos="4675" w:val="left" w:leader="none"/>
          <w:tab w:pos="6495" w:val="left" w:leader="none"/>
          <w:tab w:pos="8607" w:val="left" w:leader="none"/>
        </w:tabs>
        <w:spacing w:line="480" w:lineRule="auto" w:before="51"/>
        <w:ind w:left="809" w:right="117" w:hanging="708"/>
        <w:jc w:val="both"/>
      </w:pPr>
      <w:r>
        <w:rPr/>
        <w:t>Artacho-Vargas, P., &amp; Pinochet-Tejos, D. (2008). Producción de materia seca y absorción de nitrógeno del cultivo del tulipán (</w:t>
      </w:r>
      <w:r>
        <w:rPr>
          <w:i/>
        </w:rPr>
        <w:t>Tulipa gesneriana </w:t>
      </w:r>
      <w:r>
        <w:rPr/>
        <w:t>L). </w:t>
      </w:r>
      <w:r>
        <w:rPr>
          <w:i/>
        </w:rPr>
        <w:t>Agrociencia</w:t>
        <w:tab/>
      </w:r>
      <w:r>
        <w:rPr/>
        <w:t>42,</w:t>
        <w:tab/>
        <w:t>37-45.</w:t>
        <w:tab/>
        <w:t>Obtenido</w:t>
        <w:tab/>
        <w:t>de: </w:t>
      </w:r>
      <w:hyperlink r:id="rId13">
        <w:r>
          <w:rPr/>
          <w:t>http://www.colpos.mx/agrocien/Bimestral/2008/ene-feb/art-5.pdf</w:t>
        </w:r>
      </w:hyperlink>
    </w:p>
    <w:p>
      <w:pPr>
        <w:spacing w:line="480" w:lineRule="auto" w:before="5"/>
        <w:ind w:left="809" w:right="117" w:hanging="708"/>
        <w:jc w:val="both"/>
        <w:rPr>
          <w:sz w:val="24"/>
        </w:rPr>
      </w:pPr>
      <w:r>
        <w:rPr>
          <w:sz w:val="24"/>
        </w:rPr>
        <w:t>Bañon</w:t>
      </w:r>
      <w:r>
        <w:rPr>
          <w:spacing w:val="-20"/>
          <w:sz w:val="24"/>
        </w:rPr>
        <w:t> </w:t>
      </w:r>
      <w:r>
        <w:rPr>
          <w:sz w:val="24"/>
        </w:rPr>
        <w:t>A.</w:t>
      </w:r>
      <w:r>
        <w:rPr>
          <w:spacing w:val="-18"/>
          <w:sz w:val="24"/>
        </w:rPr>
        <w:t> </w:t>
      </w:r>
      <w:r>
        <w:rPr>
          <w:sz w:val="24"/>
        </w:rPr>
        <w:t>S.,</w:t>
      </w:r>
      <w:r>
        <w:rPr>
          <w:spacing w:val="-18"/>
          <w:sz w:val="24"/>
        </w:rPr>
        <w:t> </w:t>
      </w:r>
      <w:r>
        <w:rPr>
          <w:sz w:val="24"/>
        </w:rPr>
        <w:t>González,</w:t>
      </w:r>
      <w:r>
        <w:rPr>
          <w:spacing w:val="-18"/>
          <w:sz w:val="24"/>
        </w:rPr>
        <w:t> </w:t>
      </w:r>
      <w:r>
        <w:rPr>
          <w:sz w:val="24"/>
        </w:rPr>
        <w:t>J.</w:t>
      </w:r>
      <w:r>
        <w:rPr>
          <w:spacing w:val="-18"/>
          <w:sz w:val="24"/>
        </w:rPr>
        <w:t> </w:t>
      </w:r>
      <w:r>
        <w:rPr>
          <w:sz w:val="24"/>
        </w:rPr>
        <w:t>A.,</w:t>
      </w:r>
      <w:r>
        <w:rPr>
          <w:spacing w:val="-18"/>
          <w:sz w:val="24"/>
        </w:rPr>
        <w:t> </w:t>
      </w:r>
      <w:r>
        <w:rPr>
          <w:sz w:val="24"/>
        </w:rPr>
        <w:t>Fernández,</w:t>
      </w:r>
      <w:r>
        <w:rPr>
          <w:spacing w:val="-18"/>
          <w:sz w:val="24"/>
        </w:rPr>
        <w:t> </w:t>
      </w:r>
      <w:r>
        <w:rPr>
          <w:sz w:val="24"/>
        </w:rPr>
        <w:t>A.,</w:t>
      </w:r>
      <w:r>
        <w:rPr>
          <w:spacing w:val="-20"/>
          <w:sz w:val="24"/>
        </w:rPr>
        <w:t> </w:t>
      </w:r>
      <w:r>
        <w:rPr>
          <w:sz w:val="24"/>
        </w:rPr>
        <w:t>&amp;</w:t>
      </w:r>
      <w:r>
        <w:rPr>
          <w:spacing w:val="-20"/>
          <w:sz w:val="24"/>
        </w:rPr>
        <w:t> </w:t>
      </w:r>
      <w:r>
        <w:rPr>
          <w:sz w:val="24"/>
        </w:rPr>
        <w:t>Cifuentes,</w:t>
      </w:r>
      <w:r>
        <w:rPr>
          <w:spacing w:val="-20"/>
          <w:sz w:val="24"/>
        </w:rPr>
        <w:t> </w:t>
      </w:r>
      <w:r>
        <w:rPr>
          <w:sz w:val="24"/>
        </w:rPr>
        <w:t>D.</w:t>
      </w:r>
      <w:r>
        <w:rPr>
          <w:spacing w:val="-18"/>
          <w:sz w:val="24"/>
        </w:rPr>
        <w:t> </w:t>
      </w:r>
      <w:r>
        <w:rPr>
          <w:sz w:val="24"/>
        </w:rPr>
        <w:t>(1993).</w:t>
      </w:r>
      <w:r>
        <w:rPr>
          <w:spacing w:val="-20"/>
          <w:sz w:val="24"/>
        </w:rPr>
        <w:t> </w:t>
      </w:r>
      <w:r>
        <w:rPr>
          <w:i/>
          <w:sz w:val="24"/>
        </w:rPr>
        <w:t>Gerbera,</w:t>
      </w:r>
      <w:r>
        <w:rPr>
          <w:i/>
          <w:spacing w:val="-20"/>
          <w:sz w:val="24"/>
        </w:rPr>
        <w:t> </w:t>
      </w:r>
      <w:r>
        <w:rPr>
          <w:i/>
          <w:sz w:val="24"/>
        </w:rPr>
        <w:t>Lilium, </w:t>
      </w:r>
      <w:r>
        <w:rPr>
          <w:i/>
          <w:sz w:val="24"/>
        </w:rPr>
        <w:t>tulipan y rosa. </w:t>
      </w:r>
      <w:r>
        <w:rPr>
          <w:sz w:val="24"/>
        </w:rPr>
        <w:t>Barcelona, España: Mundi-Prensa, 250</w:t>
      </w:r>
      <w:r>
        <w:rPr>
          <w:spacing w:val="-28"/>
          <w:sz w:val="24"/>
        </w:rPr>
        <w:t> </w:t>
      </w:r>
      <w:r>
        <w:rPr>
          <w:sz w:val="24"/>
        </w:rPr>
        <w:t>p.</w:t>
      </w:r>
    </w:p>
    <w:p>
      <w:pPr>
        <w:pStyle w:val="BodyText"/>
        <w:spacing w:before="10"/>
        <w:ind w:left="101"/>
      </w:pPr>
      <w:r>
        <w:rPr/>
        <w:t>Bernstein, N., Ioffe, M., Luria, G., Bruner, M., Nishri, Y., Philosoph-Hadas, S., Salim,</w:t>
      </w:r>
    </w:p>
    <w:p>
      <w:pPr>
        <w:pStyle w:val="BodyText"/>
      </w:pPr>
    </w:p>
    <w:p>
      <w:pPr>
        <w:pStyle w:val="BodyText"/>
        <w:spacing w:line="480" w:lineRule="auto"/>
        <w:ind w:left="809" w:right="117"/>
        <w:jc w:val="both"/>
      </w:pPr>
      <w:r>
        <w:rPr/>
        <w:t>S. Dori, I., &amp; Matan, E. (2011). Effects of K and N nutrition on function and production of </w:t>
      </w:r>
      <w:r>
        <w:rPr>
          <w:i/>
        </w:rPr>
        <w:t>Ranunculus asiaticus</w:t>
      </w:r>
      <w:r>
        <w:rPr/>
        <w:t>. </w:t>
      </w:r>
      <w:r>
        <w:rPr>
          <w:i/>
        </w:rPr>
        <w:t>Pedosphere </w:t>
      </w:r>
      <w:r>
        <w:rPr/>
        <w:t>21, 288-301. doi:10.1016/S1002-0160(11)60129-X</w:t>
      </w:r>
    </w:p>
    <w:p>
      <w:pPr>
        <w:pStyle w:val="BodyText"/>
        <w:spacing w:line="480" w:lineRule="auto" w:before="8"/>
        <w:ind w:left="809" w:right="116" w:hanging="708"/>
        <w:jc w:val="both"/>
      </w:pPr>
      <w:r>
        <w:rPr/>
        <w:t>Betancourt-Olvera, M., Rodríguez-Mendoza, M. N., Sandoval-Villa, M., &amp; Gaytán- Acuña, E. A. (2005). Fertilización foliar una herramienta en el desarrollo del cultivo de lilium </w:t>
      </w:r>
      <w:r>
        <w:rPr>
          <w:spacing w:val="-7"/>
        </w:rPr>
        <w:t>cv. </w:t>
      </w:r>
      <w:r>
        <w:rPr>
          <w:spacing w:val="-3"/>
        </w:rPr>
        <w:t>Stargazer. </w:t>
      </w:r>
      <w:r>
        <w:rPr>
          <w:i/>
        </w:rPr>
        <w:t>Revista Chapingo Serie Horticultura </w:t>
      </w:r>
      <w:r>
        <w:rPr/>
        <w:t>11,   371-</w:t>
      </w:r>
    </w:p>
    <w:p>
      <w:pPr>
        <w:pStyle w:val="BodyText"/>
        <w:spacing w:before="10"/>
        <w:ind w:left="809"/>
        <w:jc w:val="both"/>
      </w:pPr>
      <w:r>
        <w:rPr/>
        <w:t>378. doi: dx.doi.org/1111</w:t>
      </w:r>
    </w:p>
    <w:p>
      <w:pPr>
        <w:pStyle w:val="BodyText"/>
      </w:pPr>
    </w:p>
    <w:p>
      <w:pPr>
        <w:pStyle w:val="BodyText"/>
        <w:spacing w:line="480" w:lineRule="auto"/>
        <w:ind w:left="809" w:right="116" w:hanging="708"/>
        <w:jc w:val="both"/>
      </w:pPr>
      <w:r>
        <w:rPr/>
        <w:t>Burchi,</w:t>
      </w:r>
      <w:r>
        <w:rPr>
          <w:spacing w:val="-17"/>
        </w:rPr>
        <w:t> </w:t>
      </w:r>
      <w:r>
        <w:rPr/>
        <w:t>G.,</w:t>
      </w:r>
      <w:r>
        <w:rPr>
          <w:spacing w:val="-17"/>
        </w:rPr>
        <w:t> </w:t>
      </w:r>
      <w:r>
        <w:rPr/>
        <w:t>Prisa,</w:t>
      </w:r>
      <w:r>
        <w:rPr>
          <w:spacing w:val="-19"/>
        </w:rPr>
        <w:t> </w:t>
      </w:r>
      <w:r>
        <w:rPr/>
        <w:t>D.,</w:t>
      </w:r>
      <w:r>
        <w:rPr>
          <w:spacing w:val="-19"/>
        </w:rPr>
        <w:t> </w:t>
      </w:r>
      <w:r>
        <w:rPr/>
        <w:t>Ballarin,</w:t>
      </w:r>
      <w:r>
        <w:rPr>
          <w:spacing w:val="-17"/>
        </w:rPr>
        <w:t> </w:t>
      </w:r>
      <w:r>
        <w:rPr/>
        <w:t>A.,</w:t>
      </w:r>
      <w:r>
        <w:rPr>
          <w:spacing w:val="-19"/>
        </w:rPr>
        <w:t> </w:t>
      </w:r>
      <w:r>
        <w:rPr/>
        <w:t>&amp;</w:t>
      </w:r>
      <w:r>
        <w:rPr>
          <w:spacing w:val="-19"/>
        </w:rPr>
        <w:t> </w:t>
      </w:r>
      <w:r>
        <w:rPr/>
        <w:t>Menesatti,</w:t>
      </w:r>
      <w:r>
        <w:rPr>
          <w:spacing w:val="-19"/>
        </w:rPr>
        <w:t> </w:t>
      </w:r>
      <w:r>
        <w:rPr/>
        <w:t>P.</w:t>
      </w:r>
      <w:r>
        <w:rPr>
          <w:spacing w:val="-17"/>
        </w:rPr>
        <w:t> </w:t>
      </w:r>
      <w:r>
        <w:rPr/>
        <w:t>(2010).</w:t>
      </w:r>
      <w:r>
        <w:rPr>
          <w:spacing w:val="-19"/>
        </w:rPr>
        <w:t> </w:t>
      </w:r>
      <w:r>
        <w:rPr/>
        <w:t>Improvement</w:t>
      </w:r>
      <w:r>
        <w:rPr>
          <w:spacing w:val="-17"/>
        </w:rPr>
        <w:t> </w:t>
      </w:r>
      <w:r>
        <w:rPr/>
        <w:t>of</w:t>
      </w:r>
      <w:r>
        <w:rPr>
          <w:spacing w:val="-19"/>
        </w:rPr>
        <w:t> </w:t>
      </w:r>
      <w:r>
        <w:rPr/>
        <w:t>flower</w:t>
      </w:r>
      <w:r>
        <w:rPr>
          <w:spacing w:val="-18"/>
        </w:rPr>
        <w:t> </w:t>
      </w:r>
      <w:r>
        <w:rPr/>
        <w:t>color by means of leaf treatments in Lily. </w:t>
      </w:r>
      <w:r>
        <w:rPr>
          <w:i/>
        </w:rPr>
        <w:t>Scientia Horticulturae </w:t>
      </w:r>
      <w:r>
        <w:rPr/>
        <w:t>125, 456–460. doi:10.1016/j.scienta.2010.04.028</w:t>
      </w:r>
    </w:p>
    <w:p>
      <w:pPr>
        <w:pStyle w:val="BodyText"/>
        <w:spacing w:line="480" w:lineRule="auto" w:before="8"/>
        <w:ind w:left="809" w:right="117" w:hanging="708"/>
        <w:jc w:val="both"/>
      </w:pPr>
      <w:r>
        <w:rPr/>
        <w:t>Clark, R. B. &amp; Zeto, S. K. (2000). Mineral acquisition by arbuscular mycorrhizal plants. </w:t>
      </w:r>
      <w:r>
        <w:rPr>
          <w:i/>
        </w:rPr>
        <w:t>Journal of Plant Nutrition </w:t>
      </w:r>
      <w:r>
        <w:rPr/>
        <w:t>23, 867-902. doi: 10.1080/01904160009382068</w:t>
      </w:r>
    </w:p>
    <w:p>
      <w:pPr>
        <w:pStyle w:val="BodyText"/>
        <w:spacing w:before="8"/>
        <w:ind w:left="101"/>
      </w:pPr>
      <w:r>
        <w:rPr/>
        <w:t>Devlin, R. M. (1976). Fisiología vegetal. Barcelona, España: Omega.</w:t>
      </w:r>
    </w:p>
    <w:p>
      <w:pPr>
        <w:pStyle w:val="BodyText"/>
      </w:pPr>
    </w:p>
    <w:p>
      <w:pPr>
        <w:pStyle w:val="BodyText"/>
        <w:spacing w:line="480" w:lineRule="auto"/>
        <w:ind w:left="809" w:right="117" w:hanging="708"/>
        <w:jc w:val="both"/>
      </w:pPr>
      <w:r>
        <w:rPr/>
        <w:t>Franco, M. O., Torres, M. E., Morales, R. E. J. &amp; Pérez, L. D. J. (2009). Vida en florero</w:t>
      </w:r>
      <w:r>
        <w:rPr>
          <w:spacing w:val="-9"/>
        </w:rPr>
        <w:t> </w:t>
      </w:r>
      <w:r>
        <w:rPr/>
        <w:t>de</w:t>
      </w:r>
      <w:r>
        <w:rPr>
          <w:spacing w:val="-12"/>
        </w:rPr>
        <w:t> </w:t>
      </w:r>
      <w:r>
        <w:rPr>
          <w:i/>
        </w:rPr>
        <w:t>Lilium</w:t>
      </w:r>
      <w:r>
        <w:rPr>
          <w:i/>
          <w:spacing w:val="45"/>
        </w:rPr>
        <w:t> </w:t>
      </w:r>
      <w:r>
        <w:rPr/>
        <w:t>‘Brindisi’</w:t>
      </w:r>
      <w:r>
        <w:rPr>
          <w:spacing w:val="-8"/>
        </w:rPr>
        <w:t> </w:t>
      </w:r>
      <w:r>
        <w:rPr/>
        <w:t>y</w:t>
      </w:r>
      <w:r>
        <w:rPr>
          <w:spacing w:val="-13"/>
        </w:rPr>
        <w:t> </w:t>
      </w:r>
      <w:r>
        <w:rPr/>
        <w:t>‘Menorca’</w:t>
      </w:r>
      <w:r>
        <w:rPr>
          <w:spacing w:val="-11"/>
        </w:rPr>
        <w:t> </w:t>
      </w:r>
      <w:r>
        <w:rPr/>
        <w:t>fertilizado</w:t>
      </w:r>
      <w:r>
        <w:rPr>
          <w:spacing w:val="-9"/>
        </w:rPr>
        <w:t> </w:t>
      </w:r>
      <w:r>
        <w:rPr/>
        <w:t>con</w:t>
      </w:r>
      <w:r>
        <w:rPr>
          <w:spacing w:val="-9"/>
        </w:rPr>
        <w:t> </w:t>
      </w:r>
      <w:r>
        <w:rPr/>
        <w:t>nitrato</w:t>
      </w:r>
      <w:r>
        <w:rPr>
          <w:spacing w:val="-9"/>
        </w:rPr>
        <w:t> </w:t>
      </w:r>
      <w:r>
        <w:rPr/>
        <w:t>y</w:t>
      </w:r>
      <w:r>
        <w:rPr>
          <w:spacing w:val="-13"/>
        </w:rPr>
        <w:t> </w:t>
      </w:r>
      <w:r>
        <w:rPr/>
        <w:t>oxido</w:t>
      </w:r>
      <w:r>
        <w:rPr>
          <w:spacing w:val="-9"/>
        </w:rPr>
        <w:t> </w:t>
      </w:r>
      <w:r>
        <w:rPr/>
        <w:t>de</w:t>
      </w:r>
      <w:r>
        <w:rPr>
          <w:spacing w:val="-9"/>
        </w:rPr>
        <w:t> </w:t>
      </w:r>
      <w:r>
        <w:rPr/>
        <w:t>calcio. Ciencias        Agrícolas        Informa        18,        4-12.        Disponible    </w:t>
      </w:r>
      <w:r>
        <w:rPr>
          <w:spacing w:val="34"/>
        </w:rPr>
        <w:t> </w:t>
      </w:r>
      <w:r>
        <w:rPr/>
        <w:t>en:</w:t>
      </w:r>
    </w:p>
    <w:p>
      <w:pPr>
        <w:spacing w:after="0" w:line="480" w:lineRule="auto"/>
        <w:jc w:val="both"/>
        <w:sectPr>
          <w:pgSz w:w="12240" w:h="15840"/>
          <w:pgMar w:header="0" w:footer="1005" w:top="1360" w:bottom="1200" w:left="1600" w:right="1580"/>
        </w:sectPr>
      </w:pPr>
    </w:p>
    <w:p>
      <w:pPr>
        <w:pStyle w:val="BodyText"/>
        <w:tabs>
          <w:tab w:pos="1572" w:val="left" w:leader="none"/>
        </w:tabs>
        <w:spacing w:line="480" w:lineRule="auto" w:before="51"/>
        <w:ind w:left="809" w:right="161"/>
      </w:pPr>
      <w:r>
        <w:rPr>
          <w:spacing w:val="-1"/>
        </w:rPr>
        <w:t>https://</w:t>
      </w:r>
      <w:hyperlink r:id="rId14">
        <w:r>
          <w:rPr>
            <w:spacing w:val="-1"/>
          </w:rPr>
          <w:t>www.researchgate.net/publication/262729404_Vida_en_florero_de_L</w:t>
        </w:r>
      </w:hyperlink>
      <w:r>
        <w:rPr>
          <w:spacing w:val="-1"/>
        </w:rPr>
        <w:t> </w:t>
      </w:r>
      <w:r>
        <w:rPr/>
        <w:t>ilium</w:t>
      </w:r>
      <w:r>
        <w:rPr>
          <w:u w:val="single"/>
        </w:rPr>
        <w:t> </w:t>
        <w:tab/>
      </w:r>
      <w:r>
        <w:rPr/>
        <w:t>Brindisi_y_Menorca_fertilizado_con_nitrato_y_oxido_de_calcio</w:t>
      </w:r>
    </w:p>
    <w:p>
      <w:pPr>
        <w:pStyle w:val="BodyText"/>
        <w:spacing w:line="480" w:lineRule="auto" w:before="8"/>
        <w:ind w:left="809" w:right="117" w:hanging="708"/>
        <w:jc w:val="both"/>
      </w:pPr>
      <w:r>
        <w:rPr/>
        <w:t>Gaytán-Acuña, E. A., Ochoa-Martínez, D. L., García-Velasco, R., Zavaleta-Mejía, E., &amp; Mora-Aguilera, G. (2006). Producción y calidad comercial de flor de crisantemo. </w:t>
      </w:r>
      <w:r>
        <w:rPr>
          <w:i/>
        </w:rPr>
        <w:t>Terra Latinoamericana </w:t>
      </w:r>
      <w:r>
        <w:rPr/>
        <w:t>24, 541-548. Obtenido de: </w:t>
      </w:r>
      <w:hyperlink r:id="rId15">
        <w:r>
          <w:rPr/>
          <w:t>http://www.redalyc.org/articulo.oa?id=57324412</w:t>
        </w:r>
      </w:hyperlink>
    </w:p>
    <w:p>
      <w:pPr>
        <w:spacing w:line="480" w:lineRule="auto" w:before="8"/>
        <w:ind w:left="809" w:right="115" w:hanging="708"/>
        <w:jc w:val="both"/>
        <w:rPr>
          <w:sz w:val="24"/>
        </w:rPr>
      </w:pPr>
      <w:r>
        <w:rPr>
          <w:sz w:val="24"/>
        </w:rPr>
        <w:t>Hermans, C. &amp; Verbruggen, N. (2005). Physiological characterization of Mg deficiency in </w:t>
      </w:r>
      <w:r>
        <w:rPr>
          <w:i/>
          <w:sz w:val="24"/>
        </w:rPr>
        <w:t>Arabidopsis thaliana</w:t>
      </w:r>
      <w:r>
        <w:rPr>
          <w:sz w:val="24"/>
        </w:rPr>
        <w:t>. </w:t>
      </w:r>
      <w:r>
        <w:rPr>
          <w:i/>
          <w:sz w:val="24"/>
        </w:rPr>
        <w:t>Journal of Experimental Botatany </w:t>
      </w:r>
      <w:r>
        <w:rPr>
          <w:sz w:val="24"/>
        </w:rPr>
        <w:t>56, 2153–2161. doi: 10.1093/jxb/eri215</w:t>
      </w:r>
    </w:p>
    <w:p>
      <w:pPr>
        <w:pStyle w:val="BodyText"/>
        <w:spacing w:line="480" w:lineRule="auto" w:before="8"/>
        <w:ind w:left="809" w:right="116" w:hanging="708"/>
        <w:jc w:val="both"/>
      </w:pPr>
      <w:r>
        <w:rPr/>
        <w:t>Kaya,</w:t>
      </w:r>
      <w:r>
        <w:rPr>
          <w:spacing w:val="-12"/>
        </w:rPr>
        <w:t> </w:t>
      </w:r>
      <w:r>
        <w:rPr/>
        <w:t>M.,</w:t>
      </w:r>
      <w:r>
        <w:rPr>
          <w:spacing w:val="-12"/>
        </w:rPr>
        <w:t> </w:t>
      </w:r>
      <w:r>
        <w:rPr/>
        <w:t>Atak,</w:t>
      </w:r>
      <w:r>
        <w:rPr>
          <w:spacing w:val="-14"/>
        </w:rPr>
        <w:t> </w:t>
      </w:r>
      <w:r>
        <w:rPr/>
        <w:t>M.,</w:t>
      </w:r>
      <w:r>
        <w:rPr>
          <w:spacing w:val="-12"/>
        </w:rPr>
        <w:t> </w:t>
      </w:r>
      <w:r>
        <w:rPr/>
        <w:t>Mahmood,</w:t>
      </w:r>
      <w:r>
        <w:rPr>
          <w:spacing w:val="-14"/>
        </w:rPr>
        <w:t> </w:t>
      </w:r>
      <w:r>
        <w:rPr/>
        <w:t>K.,</w:t>
      </w:r>
      <w:r>
        <w:rPr>
          <w:spacing w:val="-14"/>
        </w:rPr>
        <w:t> </w:t>
      </w:r>
      <w:r>
        <w:rPr/>
        <w:t>Ciftci,</w:t>
      </w:r>
      <w:r>
        <w:rPr>
          <w:spacing w:val="-12"/>
        </w:rPr>
        <w:t> </w:t>
      </w:r>
      <w:r>
        <w:rPr/>
        <w:t>Y.,</w:t>
      </w:r>
      <w:r>
        <w:rPr>
          <w:spacing w:val="-14"/>
        </w:rPr>
        <w:t> </w:t>
      </w:r>
      <w:r>
        <w:rPr/>
        <w:t>&amp;</w:t>
      </w:r>
      <w:r>
        <w:rPr>
          <w:spacing w:val="-14"/>
        </w:rPr>
        <w:t> </w:t>
      </w:r>
      <w:r>
        <w:rPr/>
        <w:t>Özcan,</w:t>
      </w:r>
      <w:r>
        <w:rPr>
          <w:spacing w:val="-12"/>
        </w:rPr>
        <w:t> </w:t>
      </w:r>
      <w:r>
        <w:rPr/>
        <w:t>S.</w:t>
      </w:r>
      <w:r>
        <w:rPr>
          <w:spacing w:val="-12"/>
        </w:rPr>
        <w:t> </w:t>
      </w:r>
      <w:r>
        <w:rPr/>
        <w:t>(2005).</w:t>
      </w:r>
      <w:r>
        <w:rPr>
          <w:spacing w:val="-12"/>
        </w:rPr>
        <w:t> </w:t>
      </w:r>
      <w:r>
        <w:rPr/>
        <w:t>Effect</w:t>
      </w:r>
      <w:r>
        <w:rPr>
          <w:spacing w:val="-12"/>
        </w:rPr>
        <w:t> </w:t>
      </w:r>
      <w:r>
        <w:rPr/>
        <w:t>of</w:t>
      </w:r>
      <w:r>
        <w:rPr>
          <w:spacing w:val="-12"/>
        </w:rPr>
        <w:t> </w:t>
      </w:r>
      <w:r>
        <w:rPr/>
        <w:t>pre-sowing seed treatment with zinc and foliar spray of humic acids on yield of common bean</w:t>
      </w:r>
      <w:r>
        <w:rPr>
          <w:spacing w:val="-8"/>
        </w:rPr>
        <w:t> </w:t>
      </w:r>
      <w:r>
        <w:rPr/>
        <w:t>(</w:t>
      </w:r>
      <w:r>
        <w:rPr>
          <w:i/>
        </w:rPr>
        <w:t>Phaseolus</w:t>
      </w:r>
      <w:r>
        <w:rPr>
          <w:i/>
          <w:spacing w:val="-11"/>
        </w:rPr>
        <w:t> </w:t>
      </w:r>
      <w:r>
        <w:rPr>
          <w:i/>
        </w:rPr>
        <w:t>vulgaris</w:t>
      </w:r>
      <w:r>
        <w:rPr>
          <w:i/>
          <w:spacing w:val="-9"/>
        </w:rPr>
        <w:t> </w:t>
      </w:r>
      <w:r>
        <w:rPr/>
        <w:t>L.).</w:t>
      </w:r>
      <w:r>
        <w:rPr>
          <w:spacing w:val="-8"/>
        </w:rPr>
        <w:t> </w:t>
      </w:r>
      <w:r>
        <w:rPr>
          <w:i/>
        </w:rPr>
        <w:t>International</w:t>
      </w:r>
      <w:r>
        <w:rPr>
          <w:i/>
          <w:spacing w:val="-9"/>
        </w:rPr>
        <w:t> </w:t>
      </w:r>
      <w:r>
        <w:rPr>
          <w:i/>
        </w:rPr>
        <w:t>Journal</w:t>
      </w:r>
      <w:r>
        <w:rPr>
          <w:i/>
          <w:spacing w:val="-9"/>
        </w:rPr>
        <w:t> </w:t>
      </w:r>
      <w:r>
        <w:rPr>
          <w:i/>
        </w:rPr>
        <w:t>of</w:t>
      </w:r>
      <w:r>
        <w:rPr>
          <w:i/>
          <w:spacing w:val="-11"/>
        </w:rPr>
        <w:t> </w:t>
      </w:r>
      <w:r>
        <w:rPr>
          <w:i/>
        </w:rPr>
        <w:t>Agriculture</w:t>
      </w:r>
      <w:r>
        <w:rPr>
          <w:i/>
          <w:spacing w:val="-8"/>
        </w:rPr>
        <w:t> </w:t>
      </w:r>
      <w:r>
        <w:rPr>
          <w:i/>
        </w:rPr>
        <w:t>&amp;</w:t>
      </w:r>
      <w:r>
        <w:rPr>
          <w:i/>
          <w:spacing w:val="-10"/>
        </w:rPr>
        <w:t> </w:t>
      </w:r>
      <w:r>
        <w:rPr>
          <w:i/>
        </w:rPr>
        <w:t>Biology</w:t>
      </w:r>
      <w:r>
        <w:rPr>
          <w:i/>
          <w:spacing w:val="-9"/>
        </w:rPr>
        <w:t> </w:t>
      </w:r>
      <w:r>
        <w:rPr/>
        <w:t>6, 875–878. Disponible en:</w:t>
      </w:r>
      <w:hyperlink r:id="rId16">
        <w:r>
          <w:rPr/>
          <w:t>http://www.academia.edu/2663692/Effect_of_pre-</w:t>
        </w:r>
      </w:hyperlink>
      <w:r>
        <w:rPr/>
        <w:t> sowing_seed_treatment_with_zinc_and_foliar_spray_of_humic_acid_on_yie ld_of_common_bean_Phaseolus_vulgaris_L._</w:t>
      </w:r>
    </w:p>
    <w:p>
      <w:pPr>
        <w:pStyle w:val="BodyText"/>
        <w:spacing w:line="480" w:lineRule="auto" w:before="5"/>
        <w:ind w:left="809" w:right="117" w:hanging="708"/>
        <w:jc w:val="both"/>
      </w:pPr>
      <w:r>
        <w:rPr/>
        <w:t>Kham,</w:t>
      </w:r>
      <w:r>
        <w:rPr>
          <w:spacing w:val="-12"/>
        </w:rPr>
        <w:t> </w:t>
      </w:r>
      <w:r>
        <w:rPr/>
        <w:t>M.</w:t>
      </w:r>
      <w:r>
        <w:rPr>
          <w:spacing w:val="-12"/>
        </w:rPr>
        <w:t> </w:t>
      </w:r>
      <w:r>
        <w:rPr/>
        <w:t>A.</w:t>
      </w:r>
      <w:r>
        <w:rPr>
          <w:spacing w:val="-14"/>
        </w:rPr>
        <w:t> </w:t>
      </w:r>
      <w:r>
        <w:rPr/>
        <w:t>&amp;</w:t>
      </w:r>
      <w:r>
        <w:rPr>
          <w:spacing w:val="-12"/>
        </w:rPr>
        <w:t> </w:t>
      </w:r>
      <w:r>
        <w:rPr/>
        <w:t>Ahmad,</w:t>
      </w:r>
      <w:r>
        <w:rPr>
          <w:spacing w:val="-14"/>
        </w:rPr>
        <w:t> </w:t>
      </w:r>
      <w:r>
        <w:rPr/>
        <w:t>I.</w:t>
      </w:r>
      <w:r>
        <w:rPr>
          <w:spacing w:val="-12"/>
        </w:rPr>
        <w:t> </w:t>
      </w:r>
      <w:r>
        <w:rPr/>
        <w:t>(2004).</w:t>
      </w:r>
      <w:r>
        <w:rPr>
          <w:spacing w:val="-12"/>
        </w:rPr>
        <w:t> </w:t>
      </w:r>
      <w:r>
        <w:rPr/>
        <w:t>Growth</w:t>
      </w:r>
      <w:r>
        <w:rPr>
          <w:spacing w:val="-12"/>
        </w:rPr>
        <w:t> </w:t>
      </w:r>
      <w:r>
        <w:rPr/>
        <w:t>and</w:t>
      </w:r>
      <w:r>
        <w:rPr>
          <w:spacing w:val="-14"/>
        </w:rPr>
        <w:t> </w:t>
      </w:r>
      <w:r>
        <w:rPr/>
        <w:t>flowering</w:t>
      </w:r>
      <w:r>
        <w:rPr>
          <w:spacing w:val="-14"/>
        </w:rPr>
        <w:t> </w:t>
      </w:r>
      <w:r>
        <w:rPr/>
        <w:t>of</w:t>
      </w:r>
      <w:r>
        <w:rPr>
          <w:spacing w:val="-10"/>
        </w:rPr>
        <w:t> </w:t>
      </w:r>
      <w:r>
        <w:rPr>
          <w:i/>
        </w:rPr>
        <w:t>Gladiolus</w:t>
      </w:r>
      <w:r>
        <w:rPr>
          <w:i/>
          <w:spacing w:val="-15"/>
        </w:rPr>
        <w:t> </w:t>
      </w:r>
      <w:r>
        <w:rPr>
          <w:i/>
        </w:rPr>
        <w:t>hortulanus</w:t>
      </w:r>
      <w:r>
        <w:rPr>
          <w:i/>
          <w:spacing w:val="-13"/>
        </w:rPr>
        <w:t> </w:t>
      </w:r>
      <w:r>
        <w:rPr/>
        <w:t>L.</w:t>
      </w:r>
      <w:r>
        <w:rPr>
          <w:spacing w:val="-12"/>
        </w:rPr>
        <w:t> </w:t>
      </w:r>
      <w:r>
        <w:rPr/>
        <w:t>cv. Wind Song as Influenced by Various Levels of NPK. </w:t>
      </w:r>
      <w:r>
        <w:rPr>
          <w:i/>
        </w:rPr>
        <w:t>International Journal of </w:t>
      </w:r>
      <w:r>
        <w:rPr>
          <w:i/>
        </w:rPr>
        <w:t>Agriculture &amp; Biology </w:t>
      </w:r>
      <w:r>
        <w:rPr/>
        <w:t>6: 1037–1039. Disponible en: https://</w:t>
      </w:r>
      <w:hyperlink r:id="rId17">
        <w:r>
          <w:rPr/>
          <w:t>www.researchgate.net/publication/266033621_Growth_and_Flowerin</w:t>
        </w:r>
      </w:hyperlink>
      <w:r>
        <w:rPr/>
        <w:t> g_of_Gladiolus_hortulanus_L._cv._Wind_Song_as_Influenced_by_Various_ Levels_of_NPK</w:t>
      </w:r>
    </w:p>
    <w:p>
      <w:pPr>
        <w:spacing w:line="480" w:lineRule="auto" w:before="8"/>
        <w:ind w:left="809" w:right="117" w:hanging="708"/>
        <w:jc w:val="both"/>
        <w:rPr>
          <w:sz w:val="24"/>
        </w:rPr>
      </w:pPr>
      <w:r>
        <w:rPr>
          <w:sz w:val="24"/>
        </w:rPr>
        <w:t>Kumar, R., Singh, G. N., &amp; Misra, R. L. (2003). Effect of boron, calcium and zinc on gladiolus. </w:t>
      </w:r>
      <w:r>
        <w:rPr>
          <w:i/>
          <w:sz w:val="24"/>
        </w:rPr>
        <w:t>Journal of Ornamental Horticulture. New Series </w:t>
      </w:r>
      <w:r>
        <w:rPr>
          <w:sz w:val="24"/>
        </w:rPr>
        <w:t>6, 104–106. Disponibleen:</w:t>
      </w:r>
    </w:p>
    <w:p>
      <w:pPr>
        <w:spacing w:after="0" w:line="480" w:lineRule="auto"/>
        <w:jc w:val="both"/>
        <w:rPr>
          <w:sz w:val="24"/>
        </w:rPr>
        <w:sectPr>
          <w:pgSz w:w="12240" w:h="15840"/>
          <w:pgMar w:header="0" w:footer="1005" w:top="1360" w:bottom="1200" w:left="1600" w:right="1580"/>
        </w:sectPr>
      </w:pPr>
    </w:p>
    <w:p>
      <w:pPr>
        <w:pStyle w:val="BodyText"/>
        <w:spacing w:line="480" w:lineRule="auto" w:before="51"/>
        <w:ind w:left="809" w:right="126"/>
      </w:pPr>
      <w:hyperlink r:id="rId18">
        <w:r>
          <w:rPr/>
          <w:t>http://www.indianjournals.com/ijor.aspx?target=ijor:joh&amp;volume=6&amp;issue=2&amp;</w:t>
        </w:r>
      </w:hyperlink>
      <w:r>
        <w:rPr/>
        <w:t> article=005</w:t>
      </w:r>
    </w:p>
    <w:p>
      <w:pPr>
        <w:pStyle w:val="BodyText"/>
        <w:spacing w:line="480" w:lineRule="auto" w:before="5"/>
        <w:ind w:left="809" w:right="117" w:hanging="708"/>
        <w:jc w:val="both"/>
      </w:pPr>
      <w:r>
        <w:rPr/>
        <w:t>Miller W. B. (2014). Postharvest of </w:t>
      </w:r>
      <w:r>
        <w:rPr>
          <w:i/>
        </w:rPr>
        <w:t>Lilium</w:t>
      </w:r>
      <w:r>
        <w:rPr/>
        <w:t>: experiment to industrial adaptation. </w:t>
      </w:r>
      <w:r>
        <w:rPr>
          <w:i/>
        </w:rPr>
        <w:t>In. </w:t>
      </w:r>
      <w:r>
        <w:rPr/>
        <w:t>Abstracts of the Third International Symposium on the Genus </w:t>
      </w:r>
      <w:r>
        <w:rPr>
          <w:i/>
        </w:rPr>
        <w:t>Lilium</w:t>
      </w:r>
      <w:r>
        <w:rPr/>
        <w:t>. April 1- 3, 2014, Zhangzhou, China p 28.</w:t>
      </w:r>
    </w:p>
    <w:p>
      <w:pPr>
        <w:pStyle w:val="BodyText"/>
        <w:tabs>
          <w:tab w:pos="2962" w:val="left" w:leader="none"/>
          <w:tab w:pos="4287" w:val="left" w:leader="none"/>
          <w:tab w:pos="6360" w:val="left" w:leader="none"/>
          <w:tab w:pos="8607" w:val="left" w:leader="none"/>
        </w:tabs>
        <w:spacing w:line="480" w:lineRule="auto" w:before="8"/>
        <w:ind w:left="809" w:right="117" w:hanging="708"/>
        <w:jc w:val="both"/>
      </w:pPr>
      <w:r>
        <w:rPr/>
        <w:t>Nadergoli, M. S., Yarnia, M., &amp; Khoei F. R. (2011). Effect of zinc and manganese and</w:t>
      </w:r>
      <w:r>
        <w:rPr>
          <w:spacing w:val="-8"/>
        </w:rPr>
        <w:t> </w:t>
      </w:r>
      <w:r>
        <w:rPr/>
        <w:t>their</w:t>
      </w:r>
      <w:r>
        <w:rPr>
          <w:spacing w:val="-7"/>
        </w:rPr>
        <w:t> </w:t>
      </w:r>
      <w:r>
        <w:rPr/>
        <w:t>application</w:t>
      </w:r>
      <w:r>
        <w:rPr>
          <w:spacing w:val="-8"/>
        </w:rPr>
        <w:t> </w:t>
      </w:r>
      <w:r>
        <w:rPr/>
        <w:t>method</w:t>
      </w:r>
      <w:r>
        <w:rPr>
          <w:spacing w:val="-8"/>
        </w:rPr>
        <w:t> </w:t>
      </w:r>
      <w:r>
        <w:rPr/>
        <w:t>on</w:t>
      </w:r>
      <w:r>
        <w:rPr>
          <w:spacing w:val="-8"/>
        </w:rPr>
        <w:t> </w:t>
      </w:r>
      <w:r>
        <w:rPr/>
        <w:t>yield</w:t>
      </w:r>
      <w:r>
        <w:rPr>
          <w:spacing w:val="-5"/>
        </w:rPr>
        <w:t> </w:t>
      </w:r>
      <w:r>
        <w:rPr/>
        <w:t>and</w:t>
      </w:r>
      <w:r>
        <w:rPr>
          <w:spacing w:val="-5"/>
        </w:rPr>
        <w:t> </w:t>
      </w:r>
      <w:r>
        <w:rPr/>
        <w:t>yield</w:t>
      </w:r>
      <w:r>
        <w:rPr>
          <w:spacing w:val="-5"/>
        </w:rPr>
        <w:t> </w:t>
      </w:r>
      <w:r>
        <w:rPr/>
        <w:t>components</w:t>
      </w:r>
      <w:r>
        <w:rPr>
          <w:spacing w:val="-9"/>
        </w:rPr>
        <w:t> </w:t>
      </w:r>
      <w:r>
        <w:rPr/>
        <w:t>of</w:t>
      </w:r>
      <w:r>
        <w:rPr>
          <w:spacing w:val="-6"/>
        </w:rPr>
        <w:t> </w:t>
      </w:r>
      <w:r>
        <w:rPr/>
        <w:t>common</w:t>
      </w:r>
      <w:r>
        <w:rPr>
          <w:spacing w:val="-8"/>
        </w:rPr>
        <w:t> </w:t>
      </w:r>
      <w:r>
        <w:rPr/>
        <w:t>bean (</w:t>
      </w:r>
      <w:r>
        <w:rPr>
          <w:i/>
        </w:rPr>
        <w:t>Phaseolus vulgaris </w:t>
      </w:r>
      <w:r>
        <w:rPr/>
        <w:t>L.) cv. Khomein. </w:t>
      </w:r>
      <w:r>
        <w:rPr>
          <w:i/>
        </w:rPr>
        <w:t>Middle-East Journal of Science </w:t>
      </w:r>
      <w:r>
        <w:rPr>
          <w:i/>
        </w:rPr>
        <w:t>Research</w:t>
        <w:tab/>
      </w:r>
      <w:r>
        <w:rPr/>
        <w:t>8,</w:t>
        <w:tab/>
        <w:t>859-865.</w:t>
        <w:tab/>
        <w:t>Disponible</w:t>
        <w:tab/>
        <w:t>en: </w:t>
      </w:r>
      <w:hyperlink r:id="rId19">
        <w:r>
          <w:rPr/>
          <w:t>http://www.idosi.org/mejsr/mejsr8(5)11/3.pdf</w:t>
        </w:r>
      </w:hyperlink>
    </w:p>
    <w:p>
      <w:pPr>
        <w:pStyle w:val="BodyText"/>
        <w:spacing w:line="480" w:lineRule="auto" w:before="8"/>
        <w:ind w:left="809" w:right="117" w:hanging="708"/>
        <w:jc w:val="both"/>
      </w:pPr>
      <w:r>
        <w:rPr/>
        <w:t>Ortega-Blu, R., Correa-Benguria, M., &amp; Olate-Muñoz, E. (2006). Determinación de las</w:t>
      </w:r>
      <w:r>
        <w:rPr>
          <w:spacing w:val="-13"/>
        </w:rPr>
        <w:t> </w:t>
      </w:r>
      <w:r>
        <w:rPr/>
        <w:t>curvas</w:t>
      </w:r>
      <w:r>
        <w:rPr>
          <w:spacing w:val="-13"/>
        </w:rPr>
        <w:t> </w:t>
      </w:r>
      <w:r>
        <w:rPr/>
        <w:t>de</w:t>
      </w:r>
      <w:r>
        <w:rPr>
          <w:spacing w:val="-14"/>
        </w:rPr>
        <w:t> </w:t>
      </w:r>
      <w:r>
        <w:rPr/>
        <w:t>acumulación</w:t>
      </w:r>
      <w:r>
        <w:rPr>
          <w:spacing w:val="-14"/>
        </w:rPr>
        <w:t> </w:t>
      </w:r>
      <w:r>
        <w:rPr/>
        <w:t>de</w:t>
      </w:r>
      <w:r>
        <w:rPr>
          <w:spacing w:val="-14"/>
        </w:rPr>
        <w:t> </w:t>
      </w:r>
      <w:r>
        <w:rPr/>
        <w:t>nutrientes</w:t>
      </w:r>
      <w:r>
        <w:rPr>
          <w:spacing w:val="-17"/>
        </w:rPr>
        <w:t> </w:t>
      </w:r>
      <w:r>
        <w:rPr/>
        <w:t>en</w:t>
      </w:r>
      <w:r>
        <w:rPr>
          <w:spacing w:val="-14"/>
        </w:rPr>
        <w:t> </w:t>
      </w:r>
      <w:r>
        <w:rPr/>
        <w:t>tres</w:t>
      </w:r>
      <w:r>
        <w:rPr>
          <w:spacing w:val="-13"/>
        </w:rPr>
        <w:t> </w:t>
      </w:r>
      <w:r>
        <w:rPr/>
        <w:t>cultivares</w:t>
      </w:r>
      <w:r>
        <w:rPr>
          <w:spacing w:val="-15"/>
        </w:rPr>
        <w:t> </w:t>
      </w:r>
      <w:r>
        <w:rPr/>
        <w:t>de</w:t>
      </w:r>
      <w:r>
        <w:rPr>
          <w:spacing w:val="-14"/>
        </w:rPr>
        <w:t> </w:t>
      </w:r>
      <w:r>
        <w:rPr>
          <w:i/>
        </w:rPr>
        <w:t>Lilium</w:t>
      </w:r>
      <w:r>
        <w:rPr>
          <w:i/>
          <w:spacing w:val="-16"/>
        </w:rPr>
        <w:t> </w:t>
      </w:r>
      <w:r>
        <w:rPr/>
        <w:t>spp.</w:t>
      </w:r>
      <w:r>
        <w:rPr>
          <w:spacing w:val="-14"/>
        </w:rPr>
        <w:t> </w:t>
      </w:r>
      <w:r>
        <w:rPr/>
        <w:t>para flor de corte. </w:t>
      </w:r>
      <w:r>
        <w:rPr>
          <w:i/>
        </w:rPr>
        <w:t>Agrociencia </w:t>
      </w:r>
      <w:r>
        <w:rPr/>
        <w:t>40, 77-88. Disponible en: </w:t>
      </w:r>
      <w:hyperlink r:id="rId20">
        <w:r>
          <w:rPr/>
          <w:t>http://www.colpos.mx/agrocien/Bimestral/2006/ene-feb/art-8.pdf</w:t>
        </w:r>
      </w:hyperlink>
    </w:p>
    <w:p>
      <w:pPr>
        <w:pStyle w:val="BodyText"/>
        <w:spacing w:line="480" w:lineRule="auto" w:before="5"/>
        <w:ind w:left="809" w:right="117" w:hanging="708"/>
        <w:jc w:val="both"/>
      </w:pPr>
      <w:r>
        <w:rPr/>
        <w:t>Rao,</w:t>
      </w:r>
      <w:r>
        <w:rPr>
          <w:spacing w:val="-14"/>
        </w:rPr>
        <w:t> </w:t>
      </w:r>
      <w:r>
        <w:rPr/>
        <w:t>B.</w:t>
      </w:r>
      <w:r>
        <w:rPr>
          <w:spacing w:val="-14"/>
        </w:rPr>
        <w:t> </w:t>
      </w:r>
      <w:r>
        <w:rPr/>
        <w:t>R.</w:t>
      </w:r>
      <w:r>
        <w:rPr>
          <w:spacing w:val="-12"/>
        </w:rPr>
        <w:t> </w:t>
      </w:r>
      <w:r>
        <w:rPr/>
        <w:t>R.,</w:t>
      </w:r>
      <w:r>
        <w:rPr>
          <w:spacing w:val="-14"/>
        </w:rPr>
        <w:t> </w:t>
      </w:r>
      <w:r>
        <w:rPr/>
        <w:t>&amp;</w:t>
      </w:r>
      <w:r>
        <w:rPr>
          <w:spacing w:val="-14"/>
        </w:rPr>
        <w:t> </w:t>
      </w:r>
      <w:r>
        <w:rPr/>
        <w:t>Rajput,</w:t>
      </w:r>
      <w:r>
        <w:rPr>
          <w:spacing w:val="-12"/>
        </w:rPr>
        <w:t> </w:t>
      </w:r>
      <w:r>
        <w:rPr/>
        <w:t>D.</w:t>
      </w:r>
      <w:r>
        <w:rPr>
          <w:spacing w:val="-14"/>
        </w:rPr>
        <w:t> </w:t>
      </w:r>
      <w:r>
        <w:rPr/>
        <w:t>K.</w:t>
      </w:r>
      <w:r>
        <w:rPr>
          <w:spacing w:val="-14"/>
        </w:rPr>
        <w:t> </w:t>
      </w:r>
      <w:r>
        <w:rPr/>
        <w:t>(2011).</w:t>
      </w:r>
      <w:r>
        <w:rPr>
          <w:spacing w:val="-14"/>
        </w:rPr>
        <w:t> </w:t>
      </w:r>
      <w:r>
        <w:rPr/>
        <w:t>Response</w:t>
      </w:r>
      <w:r>
        <w:rPr>
          <w:spacing w:val="-12"/>
        </w:rPr>
        <w:t> </w:t>
      </w:r>
      <w:r>
        <w:rPr/>
        <w:t>of</w:t>
      </w:r>
      <w:r>
        <w:rPr>
          <w:spacing w:val="-14"/>
        </w:rPr>
        <w:t> </w:t>
      </w:r>
      <w:r>
        <w:rPr/>
        <w:t>palmarosa</w:t>
      </w:r>
      <w:r>
        <w:rPr>
          <w:spacing w:val="-14"/>
        </w:rPr>
        <w:t> </w:t>
      </w:r>
      <w:r>
        <w:rPr/>
        <w:t>(</w:t>
      </w:r>
      <w:r>
        <w:rPr>
          <w:i/>
        </w:rPr>
        <w:t>Cymbopogon</w:t>
      </w:r>
      <w:r>
        <w:rPr>
          <w:i/>
          <w:spacing w:val="-14"/>
        </w:rPr>
        <w:t> </w:t>
      </w:r>
      <w:r>
        <w:rPr>
          <w:i/>
        </w:rPr>
        <w:t>martinii </w:t>
      </w:r>
      <w:r>
        <w:rPr/>
        <w:t>Roxb.) Wats. var. motia Burk to foliar application of magnesium and micronutrients. Industrial Crops &amp; Products 33, 277-281. doi:10.1016/j.indcrop.2010.12.020</w:t>
      </w:r>
    </w:p>
    <w:p>
      <w:pPr>
        <w:spacing w:line="482" w:lineRule="auto" w:before="5"/>
        <w:ind w:left="809" w:right="117" w:hanging="708"/>
        <w:jc w:val="both"/>
        <w:rPr>
          <w:sz w:val="24"/>
        </w:rPr>
      </w:pPr>
      <w:r>
        <w:rPr>
          <w:sz w:val="24"/>
        </w:rPr>
        <w:t>Rashid, A. (2005). </w:t>
      </w:r>
      <w:r>
        <w:rPr>
          <w:i/>
          <w:sz w:val="24"/>
        </w:rPr>
        <w:t>Secondary and micronutrients. Soil Science. </w:t>
      </w:r>
      <w:r>
        <w:rPr>
          <w:sz w:val="24"/>
        </w:rPr>
        <w:t>Islamabad, Pakistan: National Book Foundation</w:t>
      </w:r>
    </w:p>
    <w:p>
      <w:pPr>
        <w:pStyle w:val="BodyText"/>
        <w:spacing w:line="480" w:lineRule="auto" w:before="5"/>
        <w:ind w:left="809" w:right="118" w:hanging="708"/>
        <w:jc w:val="both"/>
      </w:pPr>
      <w:r>
        <w:rPr/>
        <w:t>Rodriguez-Landero, A. Del C., Franco-Mora, O., Morales-Rosales, E. J., Pérez- López, D. De J., &amp; Castañeda-Vildózola, A. (2012). Efecto del 1-MCP en la vida  poscosecha  de </w:t>
      </w:r>
      <w:r>
        <w:rPr>
          <w:i/>
        </w:rPr>
        <w:t>Lilium </w:t>
      </w:r>
      <w:r>
        <w:rPr/>
        <w:t>spp.  fertilizado foliarmente  con  calcio  y  boro.</w:t>
      </w:r>
    </w:p>
    <w:p>
      <w:pPr>
        <w:spacing w:after="0" w:line="480" w:lineRule="auto"/>
        <w:jc w:val="both"/>
        <w:sectPr>
          <w:pgSz w:w="12240" w:h="15840"/>
          <w:pgMar w:header="0" w:footer="1005" w:top="1360" w:bottom="1200" w:left="1600" w:right="1580"/>
        </w:sectPr>
      </w:pPr>
    </w:p>
    <w:p>
      <w:pPr>
        <w:spacing w:line="482" w:lineRule="auto" w:before="49"/>
        <w:ind w:left="809" w:right="117" w:firstLine="0"/>
        <w:jc w:val="both"/>
        <w:rPr>
          <w:sz w:val="24"/>
        </w:rPr>
      </w:pPr>
      <w:r>
        <w:rPr>
          <w:i/>
          <w:sz w:val="24"/>
        </w:rPr>
        <w:t>Revista Mexicana de Ciencias Agrícolas </w:t>
      </w:r>
      <w:r>
        <w:rPr>
          <w:sz w:val="24"/>
        </w:rPr>
        <w:t>3, 1623-1628. Disponible en: </w:t>
      </w:r>
      <w:hyperlink r:id="rId21">
        <w:r>
          <w:rPr>
            <w:sz w:val="24"/>
          </w:rPr>
          <w:t>www.inifap.gob.mx/Documents/revistas/rmca/vol3_num8_2012.pdf</w:t>
        </w:r>
      </w:hyperlink>
    </w:p>
    <w:p>
      <w:pPr>
        <w:pStyle w:val="BodyText"/>
        <w:spacing w:before="5"/>
        <w:ind w:left="101"/>
      </w:pPr>
      <w:r>
        <w:rPr/>
        <w:t>Rodríguez-Mendoza, M. N., Osorio-Rosales, B., Trejo-Téllez, L. I., Arévalo-Galarza,</w:t>
      </w:r>
    </w:p>
    <w:p>
      <w:pPr>
        <w:pStyle w:val="BodyText"/>
      </w:pPr>
    </w:p>
    <w:p>
      <w:pPr>
        <w:spacing w:line="480" w:lineRule="auto" w:before="0"/>
        <w:ind w:left="809" w:right="118" w:firstLine="0"/>
        <w:jc w:val="both"/>
        <w:rPr>
          <w:sz w:val="24"/>
        </w:rPr>
      </w:pPr>
      <w:r>
        <w:rPr>
          <w:sz w:val="24"/>
        </w:rPr>
        <w:t>M.</w:t>
      </w:r>
      <w:r>
        <w:rPr>
          <w:spacing w:val="-18"/>
          <w:sz w:val="24"/>
        </w:rPr>
        <w:t> </w:t>
      </w:r>
      <w:r>
        <w:rPr>
          <w:sz w:val="24"/>
        </w:rPr>
        <w:t>L.,</w:t>
      </w:r>
      <w:r>
        <w:rPr>
          <w:spacing w:val="-18"/>
          <w:sz w:val="24"/>
        </w:rPr>
        <w:t> </w:t>
      </w:r>
      <w:r>
        <w:rPr>
          <w:sz w:val="24"/>
        </w:rPr>
        <w:t>&amp;</w:t>
      </w:r>
      <w:r>
        <w:rPr>
          <w:spacing w:val="-18"/>
          <w:sz w:val="24"/>
        </w:rPr>
        <w:t> </w:t>
      </w:r>
      <w:r>
        <w:rPr>
          <w:sz w:val="24"/>
        </w:rPr>
        <w:t>Castillo-González,</w:t>
      </w:r>
      <w:r>
        <w:rPr>
          <w:spacing w:val="-18"/>
          <w:sz w:val="24"/>
        </w:rPr>
        <w:t> </w:t>
      </w:r>
      <w:r>
        <w:rPr>
          <w:sz w:val="24"/>
        </w:rPr>
        <w:t>A.</w:t>
      </w:r>
      <w:r>
        <w:rPr>
          <w:spacing w:val="-18"/>
          <w:sz w:val="24"/>
        </w:rPr>
        <w:t> </w:t>
      </w:r>
      <w:r>
        <w:rPr>
          <w:sz w:val="24"/>
        </w:rPr>
        <w:t>M.</w:t>
      </w:r>
      <w:r>
        <w:rPr>
          <w:spacing w:val="-18"/>
          <w:sz w:val="24"/>
        </w:rPr>
        <w:t> </w:t>
      </w:r>
      <w:r>
        <w:rPr>
          <w:sz w:val="24"/>
        </w:rPr>
        <w:t>(2011).</w:t>
      </w:r>
      <w:r>
        <w:rPr>
          <w:spacing w:val="-20"/>
          <w:sz w:val="24"/>
        </w:rPr>
        <w:t> </w:t>
      </w:r>
      <w:r>
        <w:rPr>
          <w:sz w:val="24"/>
        </w:rPr>
        <w:t>Producción</w:t>
      </w:r>
      <w:r>
        <w:rPr>
          <w:spacing w:val="-17"/>
          <w:sz w:val="24"/>
        </w:rPr>
        <w:t> </w:t>
      </w:r>
      <w:r>
        <w:rPr>
          <w:sz w:val="24"/>
        </w:rPr>
        <w:t>organomineral</w:t>
      </w:r>
      <w:r>
        <w:rPr>
          <w:spacing w:val="-21"/>
          <w:sz w:val="24"/>
        </w:rPr>
        <w:t> </w:t>
      </w:r>
      <w:r>
        <w:rPr>
          <w:sz w:val="24"/>
        </w:rPr>
        <w:t>de</w:t>
      </w:r>
      <w:r>
        <w:rPr>
          <w:spacing w:val="-17"/>
          <w:sz w:val="24"/>
        </w:rPr>
        <w:t> </w:t>
      </w:r>
      <w:r>
        <w:rPr>
          <w:sz w:val="24"/>
        </w:rPr>
        <w:t>tulipán (</w:t>
      </w:r>
      <w:r>
        <w:rPr>
          <w:i/>
          <w:sz w:val="24"/>
        </w:rPr>
        <w:t>Tulipa</w:t>
      </w:r>
      <w:r>
        <w:rPr>
          <w:i/>
          <w:spacing w:val="-5"/>
          <w:sz w:val="24"/>
        </w:rPr>
        <w:t> </w:t>
      </w:r>
      <w:r>
        <w:rPr>
          <w:i/>
          <w:sz w:val="24"/>
        </w:rPr>
        <w:t>gesneriana</w:t>
      </w:r>
      <w:r>
        <w:rPr>
          <w:i/>
          <w:spacing w:val="-8"/>
          <w:sz w:val="24"/>
        </w:rPr>
        <w:t> </w:t>
      </w:r>
      <w:r>
        <w:rPr>
          <w:sz w:val="24"/>
        </w:rPr>
        <w:t>L.)</w:t>
      </w:r>
      <w:r>
        <w:rPr>
          <w:spacing w:val="-11"/>
          <w:sz w:val="24"/>
        </w:rPr>
        <w:t> </w:t>
      </w:r>
      <w:r>
        <w:rPr>
          <w:sz w:val="24"/>
        </w:rPr>
        <w:t>para</w:t>
      </w:r>
      <w:r>
        <w:rPr>
          <w:spacing w:val="-9"/>
          <w:sz w:val="24"/>
        </w:rPr>
        <w:t> </w:t>
      </w:r>
      <w:r>
        <w:rPr>
          <w:sz w:val="24"/>
        </w:rPr>
        <w:t>flor</w:t>
      </w:r>
      <w:r>
        <w:rPr>
          <w:spacing w:val="-9"/>
          <w:sz w:val="24"/>
        </w:rPr>
        <w:t> </w:t>
      </w:r>
      <w:r>
        <w:rPr>
          <w:sz w:val="24"/>
        </w:rPr>
        <w:t>de</w:t>
      </w:r>
      <w:r>
        <w:rPr>
          <w:spacing w:val="-8"/>
          <w:sz w:val="24"/>
        </w:rPr>
        <w:t> </w:t>
      </w:r>
      <w:r>
        <w:rPr>
          <w:sz w:val="24"/>
        </w:rPr>
        <w:t>corte.</w:t>
      </w:r>
      <w:r>
        <w:rPr>
          <w:spacing w:val="-6"/>
          <w:sz w:val="24"/>
        </w:rPr>
        <w:t> </w:t>
      </w:r>
      <w:r>
        <w:rPr>
          <w:i/>
          <w:sz w:val="24"/>
        </w:rPr>
        <w:t>Revista</w:t>
      </w:r>
      <w:r>
        <w:rPr>
          <w:i/>
          <w:spacing w:val="-5"/>
          <w:sz w:val="24"/>
        </w:rPr>
        <w:t> </w:t>
      </w:r>
      <w:r>
        <w:rPr>
          <w:i/>
          <w:sz w:val="24"/>
        </w:rPr>
        <w:t>Chapingo</w:t>
      </w:r>
      <w:r>
        <w:rPr>
          <w:i/>
          <w:spacing w:val="-8"/>
          <w:sz w:val="24"/>
        </w:rPr>
        <w:t> </w:t>
      </w:r>
      <w:r>
        <w:rPr>
          <w:i/>
          <w:sz w:val="24"/>
        </w:rPr>
        <w:t>Serie</w:t>
      </w:r>
      <w:r>
        <w:rPr>
          <w:i/>
          <w:spacing w:val="-8"/>
          <w:sz w:val="24"/>
        </w:rPr>
        <w:t> </w:t>
      </w:r>
      <w:r>
        <w:rPr>
          <w:i/>
          <w:sz w:val="24"/>
        </w:rPr>
        <w:t>Horticultura </w:t>
      </w:r>
      <w:r>
        <w:rPr>
          <w:sz w:val="24"/>
        </w:rPr>
        <w:t>17, 117-127. doi:</w:t>
      </w:r>
      <w:r>
        <w:rPr>
          <w:spacing w:val="-28"/>
          <w:sz w:val="24"/>
        </w:rPr>
        <w:t> </w:t>
      </w:r>
      <w:r>
        <w:rPr>
          <w:sz w:val="24"/>
        </w:rPr>
        <w:t>10.5154/r.rchsh.2011.17.023</w:t>
      </w:r>
    </w:p>
    <w:p>
      <w:pPr>
        <w:pStyle w:val="BodyText"/>
        <w:spacing w:line="480" w:lineRule="auto" w:before="8"/>
        <w:ind w:left="809" w:right="118" w:hanging="641"/>
        <w:jc w:val="both"/>
      </w:pPr>
      <w:r>
        <w:rPr/>
        <w:t>Saeed, T., Hassan, I., Jilani, G., &amp;Akhtar, A. N. (2013). Zinc augments the growth and</w:t>
      </w:r>
      <w:r>
        <w:rPr>
          <w:spacing w:val="-10"/>
        </w:rPr>
        <w:t> </w:t>
      </w:r>
      <w:r>
        <w:rPr/>
        <w:t>floral</w:t>
      </w:r>
      <w:r>
        <w:rPr>
          <w:spacing w:val="-9"/>
        </w:rPr>
        <w:t> </w:t>
      </w:r>
      <w:r>
        <w:rPr/>
        <w:t>attributes</w:t>
      </w:r>
      <w:r>
        <w:rPr>
          <w:spacing w:val="-11"/>
        </w:rPr>
        <w:t> </w:t>
      </w:r>
      <w:r>
        <w:rPr/>
        <w:t>of</w:t>
      </w:r>
      <w:r>
        <w:rPr>
          <w:spacing w:val="-8"/>
        </w:rPr>
        <w:t> </w:t>
      </w:r>
      <w:r>
        <w:rPr/>
        <w:t>gladiolus,</w:t>
      </w:r>
      <w:r>
        <w:rPr>
          <w:spacing w:val="-8"/>
        </w:rPr>
        <w:t> </w:t>
      </w:r>
      <w:r>
        <w:rPr/>
        <w:t>and</w:t>
      </w:r>
      <w:r>
        <w:rPr>
          <w:spacing w:val="-8"/>
        </w:rPr>
        <w:t> </w:t>
      </w:r>
      <w:r>
        <w:rPr/>
        <w:t>alleviates</w:t>
      </w:r>
      <w:r>
        <w:rPr>
          <w:spacing w:val="-9"/>
        </w:rPr>
        <w:t> </w:t>
      </w:r>
      <w:r>
        <w:rPr/>
        <w:t>oxidative</w:t>
      </w:r>
      <w:r>
        <w:rPr>
          <w:spacing w:val="-8"/>
        </w:rPr>
        <w:t> </w:t>
      </w:r>
      <w:r>
        <w:rPr/>
        <w:t>stress</w:t>
      </w:r>
      <w:r>
        <w:rPr>
          <w:spacing w:val="-9"/>
        </w:rPr>
        <w:t> </w:t>
      </w:r>
      <w:r>
        <w:rPr/>
        <w:t>in</w:t>
      </w:r>
      <w:r>
        <w:rPr>
          <w:spacing w:val="-8"/>
        </w:rPr>
        <w:t> </w:t>
      </w:r>
      <w:r>
        <w:rPr/>
        <w:t>cut</w:t>
      </w:r>
      <w:r>
        <w:rPr>
          <w:spacing w:val="-8"/>
        </w:rPr>
        <w:t> </w:t>
      </w:r>
      <w:r>
        <w:rPr/>
        <w:t>flowers. </w:t>
      </w:r>
      <w:r>
        <w:rPr>
          <w:i/>
        </w:rPr>
        <w:t>Scientia Horticulturae </w:t>
      </w:r>
      <w:r>
        <w:rPr/>
        <w:t>164, 124-129. doi:</w:t>
      </w:r>
      <w:r>
        <w:rPr>
          <w:spacing w:val="-40"/>
        </w:rPr>
        <w:t> </w:t>
      </w:r>
      <w:r>
        <w:rPr/>
        <w:t>10.1016/j.scienta.2013.09.017</w:t>
      </w:r>
    </w:p>
    <w:p>
      <w:pPr>
        <w:pStyle w:val="BodyText"/>
        <w:spacing w:line="480" w:lineRule="auto" w:before="10"/>
        <w:ind w:left="809" w:right="116" w:hanging="708"/>
        <w:jc w:val="both"/>
      </w:pPr>
      <w:r>
        <w:rPr/>
        <w:t>Salazar-Orozco, G., Ruiz-Sánchez, M. C., Valdez-Aguilar, L. A., Pistelli, L., Ruíz- Olmos, C., &amp; Grassotti, A. (2013). Influencia de la fertilización nitrogenada y potásica en la calidad aromática de flores de </w:t>
      </w:r>
      <w:r>
        <w:rPr>
          <w:i/>
        </w:rPr>
        <w:t>Lilium</w:t>
      </w:r>
      <w:r>
        <w:rPr/>
        <w:t>‘Starfighter’. </w:t>
      </w:r>
      <w:r>
        <w:rPr>
          <w:i/>
        </w:rPr>
        <w:t>ITEA </w:t>
      </w:r>
      <w:r>
        <w:rPr/>
        <w:t>109,</w:t>
      </w:r>
      <w:r>
        <w:rPr>
          <w:spacing w:val="-47"/>
        </w:rPr>
        <w:t> </w:t>
      </w:r>
      <w:r>
        <w:rPr/>
        <w:t>3-</w:t>
      </w:r>
    </w:p>
    <w:p>
      <w:pPr>
        <w:pStyle w:val="ListParagraph"/>
        <w:numPr>
          <w:ilvl w:val="0"/>
          <w:numId w:val="11"/>
        </w:numPr>
        <w:tabs>
          <w:tab w:pos="2755" w:val="left" w:leader="none"/>
          <w:tab w:pos="2756" w:val="left" w:leader="none"/>
          <w:tab w:pos="5484" w:val="left" w:leader="none"/>
        </w:tabs>
        <w:spacing w:line="480" w:lineRule="auto" w:before="10" w:after="0"/>
        <w:ind w:left="809" w:right="118" w:firstLine="0"/>
        <w:jc w:val="both"/>
        <w:rPr>
          <w:sz w:val="24"/>
        </w:rPr>
      </w:pPr>
      <w:r>
        <w:rPr>
          <w:sz w:val="24"/>
        </w:rPr>
        <w:t>Disponible</w:t>
        <w:tab/>
      </w:r>
      <w:r>
        <w:rPr>
          <w:spacing w:val="-1"/>
          <w:sz w:val="24"/>
        </w:rPr>
        <w:t>en:</w:t>
      </w:r>
      <w:hyperlink r:id="rId22">
        <w:r>
          <w:rPr>
            <w:spacing w:val="-1"/>
            <w:sz w:val="24"/>
          </w:rPr>
          <w:t>http://www.aida-itea.org/aida-</w:t>
        </w:r>
      </w:hyperlink>
      <w:r>
        <w:rPr>
          <w:spacing w:val="-1"/>
          <w:sz w:val="24"/>
        </w:rPr>
        <w:t> </w:t>
      </w:r>
      <w:r>
        <w:rPr>
          <w:sz w:val="24"/>
        </w:rPr>
        <w:t>itea/files/itea/revistas/2013/109-1/(001-132)%20ITEA%20109-1.pdf</w:t>
      </w:r>
    </w:p>
    <w:p>
      <w:pPr>
        <w:pStyle w:val="BodyText"/>
        <w:spacing w:line="480" w:lineRule="auto" w:before="8"/>
        <w:ind w:left="809" w:right="117" w:hanging="708"/>
        <w:jc w:val="both"/>
      </w:pPr>
      <w:r>
        <w:rPr/>
        <w:t>Samreen, T., Humaira, Hamid Ullah Shah, H. U., Ullah, S., Javid, M. (2013). Zinc effect on growth rate, chlorophyll, protein and mineral contents of hydroponically grown mungbeans plant (</w:t>
      </w:r>
      <w:r>
        <w:rPr>
          <w:i/>
        </w:rPr>
        <w:t>Vigna radiata</w:t>
      </w:r>
      <w:r>
        <w:rPr/>
        <w:t>). </w:t>
      </w:r>
      <w:r>
        <w:rPr>
          <w:i/>
        </w:rPr>
        <w:t>Arabian Journal of </w:t>
      </w:r>
      <w:r>
        <w:rPr>
          <w:i/>
        </w:rPr>
        <w:t>Chemistry</w:t>
      </w:r>
      <w:r>
        <w:rPr/>
        <w:t>. doi: . 10.1016/j.arabjc.2013.07.005</w:t>
      </w:r>
    </w:p>
    <w:p>
      <w:pPr>
        <w:pStyle w:val="BodyText"/>
        <w:spacing w:line="480" w:lineRule="auto" w:before="10"/>
        <w:ind w:left="809" w:right="117" w:hanging="708"/>
      </w:pPr>
      <w:r>
        <w:rPr/>
        <w:t>Sarwar, M., Jilani, G., Rafique, E., Akhtar, M. E., &amp; Chaudhry, A. N. (2012). Impact of integrated nutrient management on yield and nutrient uptake by maize underrain-fed conditions. </w:t>
      </w:r>
      <w:r>
        <w:rPr>
          <w:i/>
        </w:rPr>
        <w:t>Pakistan Journal of Nutrition </w:t>
      </w:r>
      <w:r>
        <w:rPr/>
        <w:t>11, 27-33. Disponible en: https://</w:t>
      </w:r>
      <w:hyperlink r:id="rId23">
        <w:r>
          <w:rPr/>
          <w:t>www.researchgate.net/publication/233421670_Impact_of_integrated_</w:t>
        </w:r>
      </w:hyperlink>
    </w:p>
    <w:p>
      <w:pPr>
        <w:spacing w:after="0" w:line="480" w:lineRule="auto"/>
        <w:sectPr>
          <w:pgSz w:w="12240" w:h="15840"/>
          <w:pgMar w:header="0" w:footer="1005" w:top="1360" w:bottom="1200" w:left="1600" w:right="1580"/>
        </w:sectPr>
      </w:pPr>
    </w:p>
    <w:p>
      <w:pPr>
        <w:pStyle w:val="BodyText"/>
        <w:spacing w:before="51"/>
        <w:ind w:left="809"/>
      </w:pPr>
      <w:r>
        <w:rPr/>
        <w:t>nutrient_management_on_yield_and_nutrient_uptake_by_maize_under_rain</w:t>
      </w:r>
    </w:p>
    <w:p>
      <w:pPr>
        <w:pStyle w:val="BodyText"/>
      </w:pPr>
    </w:p>
    <w:p>
      <w:pPr>
        <w:pStyle w:val="BodyText"/>
        <w:ind w:left="809"/>
      </w:pPr>
      <w:r>
        <w:rPr/>
        <w:t>-fed_conditions</w:t>
      </w:r>
    </w:p>
    <w:p>
      <w:pPr>
        <w:pStyle w:val="BodyText"/>
      </w:pPr>
    </w:p>
    <w:p>
      <w:pPr>
        <w:spacing w:line="480" w:lineRule="auto" w:before="0"/>
        <w:ind w:left="809" w:right="116" w:hanging="708"/>
        <w:jc w:val="both"/>
        <w:rPr>
          <w:sz w:val="24"/>
        </w:rPr>
      </w:pPr>
      <w:r>
        <w:rPr>
          <w:sz w:val="24"/>
        </w:rPr>
        <w:t>Sharma, P. N., Chatterjee, C., Agarwala, S. C., &amp; Sharma. C. P. (1990). Zinc deficiency and pollen fertility in maize (</w:t>
      </w:r>
      <w:r>
        <w:rPr>
          <w:i/>
          <w:sz w:val="24"/>
        </w:rPr>
        <w:t>Zea mays</w:t>
      </w:r>
      <w:r>
        <w:rPr>
          <w:sz w:val="24"/>
        </w:rPr>
        <w:t>). </w:t>
      </w:r>
      <w:r>
        <w:rPr>
          <w:i/>
          <w:sz w:val="24"/>
        </w:rPr>
        <w:t>Plant Nutrition &amp; Physical </w:t>
      </w:r>
      <w:r>
        <w:rPr>
          <w:i/>
          <w:sz w:val="24"/>
        </w:rPr>
        <w:t>Application </w:t>
      </w:r>
      <w:r>
        <w:rPr>
          <w:sz w:val="24"/>
        </w:rPr>
        <w:t>124, 261-265.</w:t>
      </w:r>
    </w:p>
    <w:p>
      <w:pPr>
        <w:pStyle w:val="BodyText"/>
        <w:spacing w:line="480" w:lineRule="auto" w:before="10"/>
        <w:ind w:left="809" w:right="118" w:hanging="708"/>
        <w:jc w:val="both"/>
      </w:pPr>
      <w:r>
        <w:rPr/>
        <w:t>Secretaría de Agricultura, Ganadería, Desarrollo Rural, Pesca y Alimentación (SAGARPA), (2012). Garantizada la disponibilidad de flores para cubrir la demanda</w:t>
      </w:r>
      <w:r>
        <w:rPr>
          <w:spacing w:val="-8"/>
        </w:rPr>
        <w:t> </w:t>
      </w:r>
      <w:r>
        <w:rPr/>
        <w:t>nacional.</w:t>
      </w:r>
      <w:r>
        <w:rPr>
          <w:spacing w:val="-8"/>
        </w:rPr>
        <w:t> </w:t>
      </w:r>
      <w:r>
        <w:rPr/>
        <w:t>Comunicado</w:t>
      </w:r>
      <w:r>
        <w:rPr>
          <w:spacing w:val="-10"/>
        </w:rPr>
        <w:t> </w:t>
      </w:r>
      <w:r>
        <w:rPr/>
        <w:t>de</w:t>
      </w:r>
      <w:r>
        <w:rPr>
          <w:spacing w:val="-8"/>
        </w:rPr>
        <w:t> </w:t>
      </w:r>
      <w:r>
        <w:rPr/>
        <w:t>prensa</w:t>
      </w:r>
      <w:r>
        <w:rPr>
          <w:spacing w:val="-8"/>
        </w:rPr>
        <w:t> </w:t>
      </w:r>
      <w:r>
        <w:rPr/>
        <w:t>Num.098/12.</w:t>
      </w:r>
      <w:r>
        <w:rPr>
          <w:spacing w:val="-8"/>
        </w:rPr>
        <w:t> </w:t>
      </w:r>
      <w:r>
        <w:rPr/>
        <w:t>México,</w:t>
      </w:r>
      <w:r>
        <w:rPr>
          <w:spacing w:val="-8"/>
        </w:rPr>
        <w:t> </w:t>
      </w:r>
      <w:r>
        <w:rPr/>
        <w:t>D.F.,</w:t>
      </w:r>
      <w:r>
        <w:rPr>
          <w:spacing w:val="-8"/>
        </w:rPr>
        <w:t> </w:t>
      </w:r>
      <w:r>
        <w:rPr/>
        <w:t>14</w:t>
      </w:r>
      <w:r>
        <w:rPr>
          <w:spacing w:val="-8"/>
        </w:rPr>
        <w:t> </w:t>
      </w:r>
      <w:r>
        <w:rPr/>
        <w:t>de febrero de</w:t>
      </w:r>
      <w:r>
        <w:rPr>
          <w:spacing w:val="-7"/>
        </w:rPr>
        <w:t> </w:t>
      </w:r>
      <w:r>
        <w:rPr/>
        <w:t>2012.</w:t>
      </w:r>
    </w:p>
    <w:p>
      <w:pPr>
        <w:pStyle w:val="BodyText"/>
        <w:spacing w:line="480" w:lineRule="auto" w:before="8"/>
        <w:ind w:left="809" w:right="117" w:hanging="708"/>
        <w:jc w:val="both"/>
      </w:pPr>
      <w:r>
        <w:rPr/>
        <w:t>Steiner,</w:t>
      </w:r>
      <w:r>
        <w:rPr>
          <w:spacing w:val="-12"/>
        </w:rPr>
        <w:t> </w:t>
      </w:r>
      <w:r>
        <w:rPr/>
        <w:t>A.</w:t>
      </w:r>
      <w:r>
        <w:rPr>
          <w:spacing w:val="-10"/>
        </w:rPr>
        <w:t> </w:t>
      </w:r>
      <w:r>
        <w:rPr/>
        <w:t>A.</w:t>
      </w:r>
      <w:r>
        <w:rPr>
          <w:spacing w:val="-10"/>
        </w:rPr>
        <w:t> </w:t>
      </w:r>
      <w:r>
        <w:rPr/>
        <w:t>(1961).</w:t>
      </w:r>
      <w:r>
        <w:rPr>
          <w:spacing w:val="-10"/>
        </w:rPr>
        <w:t> </w:t>
      </w:r>
      <w:r>
        <w:rPr/>
        <w:t>A</w:t>
      </w:r>
      <w:r>
        <w:rPr>
          <w:spacing w:val="-12"/>
        </w:rPr>
        <w:t> </w:t>
      </w:r>
      <w:r>
        <w:rPr/>
        <w:t>universal</w:t>
      </w:r>
      <w:r>
        <w:rPr>
          <w:spacing w:val="-11"/>
        </w:rPr>
        <w:t> </w:t>
      </w:r>
      <w:r>
        <w:rPr/>
        <w:t>method</w:t>
      </w:r>
      <w:r>
        <w:rPr>
          <w:spacing w:val="-12"/>
        </w:rPr>
        <w:t> </w:t>
      </w:r>
      <w:r>
        <w:rPr/>
        <w:t>for</w:t>
      </w:r>
      <w:r>
        <w:rPr>
          <w:spacing w:val="-11"/>
        </w:rPr>
        <w:t> </w:t>
      </w:r>
      <w:r>
        <w:rPr/>
        <w:t>preparing</w:t>
      </w:r>
      <w:r>
        <w:rPr>
          <w:spacing w:val="-12"/>
        </w:rPr>
        <w:t> </w:t>
      </w:r>
      <w:r>
        <w:rPr/>
        <w:t>nutrient</w:t>
      </w:r>
      <w:r>
        <w:rPr>
          <w:spacing w:val="-10"/>
        </w:rPr>
        <w:t> </w:t>
      </w:r>
      <w:r>
        <w:rPr/>
        <w:t>solutions</w:t>
      </w:r>
      <w:r>
        <w:rPr>
          <w:spacing w:val="-10"/>
        </w:rPr>
        <w:t> </w:t>
      </w:r>
      <w:r>
        <w:rPr/>
        <w:t>of</w:t>
      </w:r>
      <w:r>
        <w:rPr>
          <w:spacing w:val="-10"/>
        </w:rPr>
        <w:t> </w:t>
      </w:r>
      <w:r>
        <w:rPr/>
        <w:t>a</w:t>
      </w:r>
      <w:r>
        <w:rPr>
          <w:spacing w:val="-9"/>
        </w:rPr>
        <w:t> </w:t>
      </w:r>
      <w:r>
        <w:rPr/>
        <w:t>certain desired composition. </w:t>
      </w:r>
      <w:r>
        <w:rPr>
          <w:i/>
        </w:rPr>
        <w:t>Plant &amp; Soil</w:t>
      </w:r>
      <w:r>
        <w:rPr/>
        <w:t>. 15, 134-154. Disponible en: </w:t>
      </w:r>
      <w:hyperlink r:id="rId24">
        <w:r>
          <w:rPr/>
          <w:t>http://link.springer.com/article/10.1007%2FBF01347224</w:t>
        </w:r>
      </w:hyperlink>
    </w:p>
    <w:p>
      <w:pPr>
        <w:pStyle w:val="BodyText"/>
        <w:spacing w:line="480" w:lineRule="auto" w:before="8"/>
        <w:ind w:left="809" w:right="117" w:hanging="708"/>
        <w:jc w:val="both"/>
      </w:pPr>
      <w:r>
        <w:rPr/>
        <w:t>Treder, J. (2005). Growth and quality of oriental lilies at different fertilization levels. </w:t>
      </w:r>
      <w:r>
        <w:rPr>
          <w:i/>
        </w:rPr>
        <w:t>Acta Horticulturae </w:t>
      </w:r>
      <w:r>
        <w:rPr/>
        <w:t>673, 297-302. Disponible en: </w:t>
      </w:r>
      <w:hyperlink r:id="rId25">
        <w:r>
          <w:rPr/>
          <w:t>http://www.ishs.org/ishs-</w:t>
        </w:r>
      </w:hyperlink>
      <w:r>
        <w:rPr/>
        <w:t> article/673_37</w:t>
      </w:r>
    </w:p>
    <w:p>
      <w:pPr>
        <w:pStyle w:val="BodyText"/>
        <w:spacing w:line="480" w:lineRule="auto" w:before="8"/>
        <w:ind w:left="809" w:right="117" w:hanging="708"/>
        <w:jc w:val="both"/>
      </w:pPr>
      <w:r>
        <w:rPr/>
        <w:t>Trinidad, S. A. &amp; Aguilar, M. D. (1991). Fertilización foliar, un respaldo importante en el rendimiento de los cultivos. </w:t>
      </w:r>
      <w:r>
        <w:rPr>
          <w:i/>
        </w:rPr>
        <w:t>Terra Latinoamericana </w:t>
      </w:r>
      <w:r>
        <w:rPr/>
        <w:t>17, 247-255. Disponible en: </w:t>
      </w:r>
      <w:hyperlink r:id="rId26">
        <w:r>
          <w:rPr/>
          <w:t>http://www.redalyc.org/articulo.oa?id=57317309</w:t>
        </w:r>
      </w:hyperlink>
    </w:p>
    <w:p>
      <w:pPr>
        <w:pStyle w:val="BodyText"/>
        <w:spacing w:line="480" w:lineRule="auto" w:before="7"/>
        <w:ind w:left="809" w:right="117" w:hanging="708"/>
        <w:jc w:val="both"/>
      </w:pPr>
      <w:r>
        <w:rPr>
          <w:position w:val="1"/>
        </w:rPr>
        <w:t>Whitman, C. M., Heins. R. D., Moe, R., &amp; Funnell, K. A. (2001). GA</w:t>
      </w:r>
      <w:r>
        <w:rPr>
          <w:sz w:val="16"/>
        </w:rPr>
        <w:t>4+7 </w:t>
      </w:r>
      <w:r>
        <w:rPr>
          <w:position w:val="1"/>
        </w:rPr>
        <w:t>plus </w:t>
      </w:r>
      <w:r>
        <w:rPr/>
        <w:t>benzyladenine reduce foliar chlorosis of </w:t>
      </w:r>
      <w:r>
        <w:rPr>
          <w:i/>
        </w:rPr>
        <w:t>Lilium longiflorum</w:t>
      </w:r>
      <w:r>
        <w:rPr/>
        <w:t>. Scientia Horticulturae 89, 143-154. doi: 10.1016/S0304-4238(00)00238-7</w:t>
      </w:r>
    </w:p>
    <w:p>
      <w:pPr>
        <w:pStyle w:val="BodyText"/>
        <w:spacing w:line="480" w:lineRule="auto" w:before="8"/>
        <w:ind w:left="809" w:right="114" w:hanging="708"/>
        <w:jc w:val="both"/>
      </w:pPr>
      <w:r>
        <w:rPr/>
        <w:t>Xiao, J. X., Hu, C. Y., Chen, Y. Y., Yang, B., &amp; Hua, J. (2014). Effects of low magnesium</w:t>
      </w:r>
      <w:r>
        <w:rPr>
          <w:spacing w:val="-13"/>
        </w:rPr>
        <w:t> </w:t>
      </w:r>
      <w:r>
        <w:rPr/>
        <w:t>and</w:t>
      </w:r>
      <w:r>
        <w:rPr>
          <w:spacing w:val="-14"/>
        </w:rPr>
        <w:t> </w:t>
      </w:r>
      <w:r>
        <w:rPr/>
        <w:t>an</w:t>
      </w:r>
      <w:r>
        <w:rPr>
          <w:spacing w:val="-14"/>
        </w:rPr>
        <w:t> </w:t>
      </w:r>
      <w:r>
        <w:rPr/>
        <w:t>arbuscular</w:t>
      </w:r>
      <w:r>
        <w:rPr>
          <w:spacing w:val="-15"/>
        </w:rPr>
        <w:t> </w:t>
      </w:r>
      <w:r>
        <w:rPr/>
        <w:t>mycorrhizal</w:t>
      </w:r>
      <w:r>
        <w:rPr>
          <w:spacing w:val="-13"/>
        </w:rPr>
        <w:t> </w:t>
      </w:r>
      <w:r>
        <w:rPr/>
        <w:t>fungus</w:t>
      </w:r>
      <w:r>
        <w:rPr>
          <w:spacing w:val="-12"/>
        </w:rPr>
        <w:t> </w:t>
      </w:r>
      <w:r>
        <w:rPr/>
        <w:t>on</w:t>
      </w:r>
      <w:r>
        <w:rPr>
          <w:spacing w:val="-14"/>
        </w:rPr>
        <w:t> </w:t>
      </w:r>
      <w:r>
        <w:rPr/>
        <w:t>the</w:t>
      </w:r>
      <w:r>
        <w:rPr>
          <w:spacing w:val="-14"/>
        </w:rPr>
        <w:t> </w:t>
      </w:r>
      <w:r>
        <w:rPr/>
        <w:t>growth,</w:t>
      </w:r>
      <w:r>
        <w:rPr>
          <w:spacing w:val="-12"/>
        </w:rPr>
        <w:t> </w:t>
      </w:r>
      <w:r>
        <w:rPr/>
        <w:t>magnesium</w:t>
      </w:r>
    </w:p>
    <w:p>
      <w:pPr>
        <w:spacing w:after="0" w:line="480" w:lineRule="auto"/>
        <w:jc w:val="both"/>
        <w:sectPr>
          <w:pgSz w:w="12240" w:h="15840"/>
          <w:pgMar w:header="0" w:footer="1005" w:top="1360" w:bottom="1200" w:left="1600" w:right="1580"/>
        </w:sectPr>
      </w:pPr>
    </w:p>
    <w:p>
      <w:pPr>
        <w:spacing w:before="49"/>
        <w:ind w:left="809" w:right="0" w:firstLine="0"/>
        <w:jc w:val="left"/>
        <w:rPr>
          <w:i/>
          <w:sz w:val="24"/>
        </w:rPr>
      </w:pPr>
      <w:r>
        <w:rPr>
          <w:sz w:val="24"/>
        </w:rPr>
        <w:t>distribution and photosynthesis of two citrus cultivars. </w:t>
      </w:r>
      <w:r>
        <w:rPr>
          <w:i/>
          <w:sz w:val="24"/>
        </w:rPr>
        <w:t>Scientia  Horticulturae</w:t>
      </w:r>
    </w:p>
    <w:p>
      <w:pPr>
        <w:pStyle w:val="BodyText"/>
        <w:spacing w:before="2"/>
        <w:rPr>
          <w:i/>
        </w:rPr>
      </w:pPr>
    </w:p>
    <w:p>
      <w:pPr>
        <w:pStyle w:val="BodyText"/>
        <w:ind w:left="809"/>
      </w:pPr>
      <w:r>
        <w:rPr/>
        <w:t>177, 14-20.  Doi: 10.1016/j.scienta.2014.07.016</w:t>
      </w:r>
    </w:p>
    <w:p>
      <w:pPr>
        <w:pStyle w:val="BodyText"/>
      </w:pPr>
    </w:p>
    <w:p>
      <w:pPr>
        <w:pStyle w:val="BodyText"/>
        <w:spacing w:line="480" w:lineRule="auto"/>
        <w:ind w:left="809" w:right="117" w:hanging="708"/>
        <w:jc w:val="both"/>
      </w:pPr>
      <w:r>
        <w:rPr/>
        <w:t>Ying, K., Bai, J.R., Kong, X.D., Dou, X.Y., &amp; Wang, N. Y. (2014). Floral scent composition of </w:t>
      </w:r>
      <w:r>
        <w:rPr>
          <w:i/>
        </w:rPr>
        <w:t>Lilium </w:t>
      </w:r>
      <w:r>
        <w:rPr/>
        <w:t>‘Regale’Wilson. </w:t>
      </w:r>
      <w:r>
        <w:rPr>
          <w:i/>
        </w:rPr>
        <w:t>Acta Horticulturae </w:t>
      </w:r>
      <w:r>
        <w:rPr/>
        <w:t>1027, 81-86. Disponible en: </w:t>
      </w:r>
      <w:hyperlink r:id="rId28">
        <w:r>
          <w:rPr/>
          <w:t>http://www.ishs.org/ishs-article/1027_8</w:t>
        </w:r>
      </w:hyperlink>
    </w:p>
    <w:p>
      <w:pPr>
        <w:spacing w:after="0" w:line="480" w:lineRule="auto"/>
        <w:jc w:val="both"/>
        <w:sectPr>
          <w:footerReference w:type="default" r:id="rId27"/>
          <w:pgSz w:w="12240" w:h="15840"/>
          <w:pgMar w:footer="1005" w:header="0" w:top="1360" w:bottom="1200" w:left="1600" w:right="1580"/>
          <w:pgNumType w:start="50"/>
        </w:sectPr>
      </w:pPr>
    </w:p>
    <w:p>
      <w:pPr>
        <w:pStyle w:val="BodyText"/>
        <w:spacing w:before="51"/>
        <w:ind w:left="121"/>
      </w:pPr>
      <w:r>
        <w:rPr/>
        <w:t>Cuadro 1. Composición  de  la  solución Steiner aplicada al sustrato en cultivo   de</w:t>
      </w:r>
    </w:p>
    <w:p>
      <w:pPr>
        <w:pStyle w:val="BodyText"/>
        <w:spacing w:before="9"/>
        <w:rPr>
          <w:sz w:val="23"/>
        </w:rPr>
      </w:pPr>
    </w:p>
    <w:p>
      <w:pPr>
        <w:spacing w:before="0"/>
        <w:ind w:left="121" w:right="0" w:firstLine="0"/>
        <w:jc w:val="left"/>
        <w:rPr>
          <w:sz w:val="24"/>
        </w:rPr>
      </w:pPr>
      <w:r>
        <w:rPr>
          <w:i/>
          <w:sz w:val="24"/>
        </w:rPr>
        <w:t>Lilium</w:t>
      </w:r>
      <w:r>
        <w:rPr>
          <w:sz w:val="24"/>
        </w:rPr>
        <w:t>, ciclos 2012 y 2013.</w:t>
      </w:r>
    </w:p>
    <w:p>
      <w:pPr>
        <w:pStyle w:val="BodyText"/>
        <w:spacing w:before="2"/>
        <w:rPr>
          <w:sz w:val="21"/>
        </w:rPr>
      </w:pPr>
      <w:r>
        <w:rPr/>
        <w:pict>
          <v:group style="position:absolute;margin-left:84.830002pt;margin-top:14.126795pt;width:441.9pt;height:.5pt;mso-position-horizontal-relative:page;mso-position-vertical-relative:paragraph;z-index:1528;mso-wrap-distance-left:0;mso-wrap-distance-right:0" coordorigin="1697,283" coordsize="8838,10">
            <v:line style="position:absolute" from="1702,288" to="4642,288" stroked="true" strokeweight=".48pt" strokecolor="#000000"/>
            <v:line style="position:absolute" from="4642,288" to="4651,288" stroked="true" strokeweight=".48pt" strokecolor="#000000"/>
            <v:line style="position:absolute" from="4651,288" to="7586,288" stroked="true" strokeweight=".48pt" strokecolor="#000000"/>
            <v:line style="position:absolute" from="7586,288" to="7596,288" stroked="true" strokeweight=".48pt" strokecolor="#000000"/>
            <v:line style="position:absolute" from="7596,288" to="10529,288" stroked="true" strokeweight=".48pt" strokecolor="#000000"/>
            <w10:wrap type="topAndBottom"/>
          </v:group>
        </w:pict>
      </w:r>
    </w:p>
    <w:p>
      <w:pPr>
        <w:pStyle w:val="BodyText"/>
        <w:tabs>
          <w:tab w:pos="4297" w:val="left" w:leader="none"/>
          <w:tab w:pos="7103" w:val="left" w:leader="none"/>
        </w:tabs>
        <w:ind w:left="229"/>
        <w:rPr>
          <w:sz w:val="16"/>
        </w:rPr>
      </w:pPr>
      <w:r>
        <w:rPr/>
        <w:t>Compuesto</w:t>
      </w:r>
      <w:r>
        <w:rPr>
          <w:spacing w:val="-1"/>
        </w:rPr>
        <w:t> </w:t>
      </w:r>
      <w:r>
        <w:rPr/>
        <w:t>(sal)</w:t>
        <w:tab/>
        <w:t>ppm</w:t>
        <w:tab/>
      </w:r>
      <w:r>
        <w:rPr>
          <w:color w:val="221E1F"/>
        </w:rPr>
        <w:t>g·litro</w:t>
      </w:r>
      <w:r>
        <w:rPr>
          <w:color w:val="221E1F"/>
          <w:position w:val="8"/>
          <w:sz w:val="16"/>
        </w:rPr>
        <w:t>-1</w:t>
      </w:r>
    </w:p>
    <w:p>
      <w:pPr>
        <w:pStyle w:val="BodyText"/>
        <w:spacing w:before="4"/>
      </w:pPr>
    </w:p>
    <w:p>
      <w:pPr>
        <w:pStyle w:val="BodyText"/>
        <w:spacing w:line="20" w:lineRule="exact"/>
        <w:ind w:left="116"/>
        <w:rPr>
          <w:sz w:val="2"/>
        </w:rPr>
      </w:pPr>
      <w:r>
        <w:rPr>
          <w:sz w:val="2"/>
        </w:rPr>
        <w:pict>
          <v:group style="width:441.9pt;height:.5pt;mso-position-horizontal-relative:char;mso-position-vertical-relative:line" coordorigin="0,0" coordsize="8838,10">
            <v:line style="position:absolute" from="5,5" to="2945,5" stroked="true" strokeweight=".48pt" strokecolor="#000000"/>
            <v:line style="position:absolute" from="2945,5" to="2955,5" stroked="true" strokeweight=".48pt" strokecolor="#000000"/>
            <v:line style="position:absolute" from="2955,5" to="5890,5" stroked="true" strokeweight=".48pt" strokecolor="#000000"/>
            <v:line style="position:absolute" from="5890,5" to="5899,5" stroked="true" strokeweight=".48pt" strokecolor="#000000"/>
            <v:line style="position:absolute" from="5899,5" to="8832,5" stroked="true" strokeweight=".48pt" strokecolor="#000000"/>
          </v:group>
        </w:pict>
      </w:r>
      <w:r>
        <w:rPr>
          <w:sz w:val="2"/>
        </w:rPr>
      </w:r>
    </w:p>
    <w:p>
      <w:pPr>
        <w:spacing w:after="0" w:line="20" w:lineRule="exact"/>
        <w:rPr>
          <w:sz w:val="2"/>
        </w:rPr>
        <w:sectPr>
          <w:pgSz w:w="12240" w:h="15840"/>
          <w:pgMar w:header="0" w:footer="1005" w:top="1360" w:bottom="1200" w:left="1580" w:right="1600"/>
        </w:sectPr>
      </w:pPr>
    </w:p>
    <w:p>
      <w:pPr>
        <w:spacing w:line="261" w:lineRule="exact" w:before="0"/>
        <w:ind w:left="229" w:right="0" w:firstLine="0"/>
        <w:jc w:val="left"/>
        <w:rPr>
          <w:sz w:val="24"/>
        </w:rPr>
      </w:pPr>
      <w:r>
        <w:rPr/>
        <w:pict>
          <v:shape style="position:absolute;margin-left:140.639938pt;margin-top:.045124pt;width:2.25pt;height:8.0500pt;mso-position-horizontal-relative:page;mso-position-vertical-relative:paragraph;z-index:-84976"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osition w:val="1"/>
          <w:sz w:val="24"/>
        </w:rPr>
        <w:t>Ca(NO</w:t>
      </w:r>
      <w:r>
        <w:rPr>
          <w:sz w:val="16"/>
        </w:rPr>
        <w:t>3</w:t>
      </w:r>
      <w:r>
        <w:rPr>
          <w:position w:val="1"/>
          <w:sz w:val="24"/>
        </w:rPr>
        <w:t>)</w:t>
      </w:r>
      <w:r>
        <w:rPr>
          <w:sz w:val="16"/>
        </w:rPr>
        <w:t>2  </w:t>
      </w:r>
      <w:r>
        <w:rPr>
          <w:position w:val="1"/>
          <w:sz w:val="24"/>
        </w:rPr>
        <w:t>4H</w:t>
      </w:r>
      <w:r>
        <w:rPr>
          <w:sz w:val="16"/>
        </w:rPr>
        <w:t>2</w:t>
      </w:r>
      <w:r>
        <w:rPr>
          <w:position w:val="1"/>
          <w:sz w:val="24"/>
        </w:rPr>
        <w:t>O</w:t>
      </w:r>
    </w:p>
    <w:p>
      <w:pPr>
        <w:pStyle w:val="BodyText"/>
      </w:pPr>
    </w:p>
    <w:p>
      <w:pPr>
        <w:spacing w:before="0"/>
        <w:ind w:left="229" w:right="0" w:firstLine="0"/>
        <w:jc w:val="left"/>
        <w:rPr>
          <w:sz w:val="24"/>
        </w:rPr>
      </w:pPr>
      <w:r>
        <w:rPr/>
        <w:pict>
          <v:shape style="position:absolute;margin-left:129.599945pt;margin-top:.790755pt;width:2.25pt;height:8.0500pt;mso-position-horizontal-relative:page;mso-position-vertical-relative:paragraph;z-index:-84952"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osition w:val="1"/>
          <w:sz w:val="24"/>
        </w:rPr>
        <w:t>Mg S0</w:t>
      </w:r>
      <w:r>
        <w:rPr>
          <w:sz w:val="16"/>
        </w:rPr>
        <w:t>4 </w:t>
      </w:r>
      <w:r>
        <w:rPr>
          <w:position w:val="1"/>
          <w:sz w:val="24"/>
        </w:rPr>
        <w:t>7H</w:t>
      </w:r>
      <w:r>
        <w:rPr>
          <w:sz w:val="16"/>
        </w:rPr>
        <w:t>2</w:t>
      </w:r>
      <w:r>
        <w:rPr>
          <w:position w:val="1"/>
          <w:sz w:val="24"/>
        </w:rPr>
        <w:t>O</w:t>
      </w:r>
    </w:p>
    <w:p>
      <w:pPr>
        <w:spacing w:line="261" w:lineRule="exact" w:before="0"/>
        <w:ind w:left="229" w:right="-18" w:firstLine="0"/>
        <w:jc w:val="left"/>
        <w:rPr>
          <w:sz w:val="24"/>
        </w:rPr>
      </w:pPr>
      <w:r>
        <w:rPr/>
        <w:br w:type="column"/>
      </w:r>
      <w:r>
        <w:rPr>
          <w:sz w:val="24"/>
        </w:rPr>
        <w:t>989</w:t>
      </w:r>
    </w:p>
    <w:p>
      <w:pPr>
        <w:pStyle w:val="BodyText"/>
      </w:pPr>
    </w:p>
    <w:p>
      <w:pPr>
        <w:pStyle w:val="BodyText"/>
        <w:ind w:left="229" w:right="-18"/>
      </w:pPr>
      <w:r>
        <w:rPr/>
        <w:t>494</w:t>
      </w:r>
    </w:p>
    <w:p>
      <w:pPr>
        <w:pStyle w:val="BodyText"/>
        <w:spacing w:line="261" w:lineRule="exact"/>
        <w:ind w:left="229"/>
      </w:pPr>
      <w:r>
        <w:rPr/>
        <w:br w:type="column"/>
      </w:r>
      <w:r>
        <w:rPr/>
        <w:t>39.56</w:t>
      </w:r>
    </w:p>
    <w:p>
      <w:pPr>
        <w:pStyle w:val="BodyText"/>
      </w:pPr>
    </w:p>
    <w:p>
      <w:pPr>
        <w:pStyle w:val="BodyText"/>
        <w:ind w:left="229"/>
      </w:pPr>
      <w:r>
        <w:rPr/>
        <w:t>19.76</w:t>
      </w:r>
    </w:p>
    <w:p>
      <w:pPr>
        <w:spacing w:after="0"/>
        <w:sectPr>
          <w:type w:val="continuous"/>
          <w:pgSz w:w="12240" w:h="15840"/>
          <w:pgMar w:top="1360" w:bottom="280" w:left="1580" w:right="1600"/>
          <w:cols w:num="3" w:equalWidth="0">
            <w:col w:w="1929" w:space="2173"/>
            <w:col w:w="632" w:space="2212"/>
            <w:col w:w="2114"/>
          </w:cols>
        </w:sectPr>
      </w:pPr>
    </w:p>
    <w:p>
      <w:pPr>
        <w:pStyle w:val="BodyText"/>
        <w:spacing w:before="10" w:after="1"/>
        <w:rPr>
          <w:sz w:val="17"/>
        </w:rPr>
      </w:pPr>
    </w:p>
    <w:tbl>
      <w:tblPr>
        <w:tblW w:w="0" w:type="auto"/>
        <w:jc w:val="left"/>
        <w:tblInd w:w="1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9"/>
        <w:gridCol w:w="3330"/>
        <w:gridCol w:w="1857"/>
      </w:tblGrid>
      <w:tr>
        <w:trPr>
          <w:trHeight w:val="496" w:hRule="exact"/>
        </w:trPr>
        <w:tc>
          <w:tcPr>
            <w:tcW w:w="2429" w:type="dxa"/>
          </w:tcPr>
          <w:p>
            <w:pPr>
              <w:pStyle w:val="TableParagraph"/>
              <w:spacing w:before="69"/>
              <w:ind w:left="35"/>
              <w:rPr>
                <w:sz w:val="16"/>
              </w:rPr>
            </w:pPr>
            <w:r>
              <w:rPr>
                <w:position w:val="1"/>
                <w:sz w:val="24"/>
              </w:rPr>
              <w:t>KNO</w:t>
            </w:r>
            <w:r>
              <w:rPr>
                <w:sz w:val="16"/>
              </w:rPr>
              <w:t>3</w:t>
            </w:r>
          </w:p>
        </w:tc>
        <w:tc>
          <w:tcPr>
            <w:tcW w:w="3330" w:type="dxa"/>
          </w:tcPr>
          <w:p>
            <w:pPr>
              <w:pStyle w:val="TableParagraph"/>
              <w:spacing w:before="69"/>
              <w:ind w:right="1218"/>
              <w:jc w:val="right"/>
              <w:rPr>
                <w:sz w:val="24"/>
              </w:rPr>
            </w:pPr>
            <w:r>
              <w:rPr>
                <w:w w:val="95"/>
                <w:sz w:val="24"/>
              </w:rPr>
              <w:t>100</w:t>
            </w:r>
          </w:p>
        </w:tc>
        <w:tc>
          <w:tcPr>
            <w:tcW w:w="1857" w:type="dxa"/>
          </w:tcPr>
          <w:p>
            <w:pPr>
              <w:pStyle w:val="TableParagraph"/>
              <w:spacing w:before="69"/>
              <w:ind w:right="100"/>
              <w:jc w:val="right"/>
              <w:rPr>
                <w:sz w:val="24"/>
              </w:rPr>
            </w:pPr>
            <w:r>
              <w:rPr>
                <w:sz w:val="24"/>
              </w:rPr>
              <w:t>4.00</w:t>
            </w:r>
          </w:p>
        </w:tc>
      </w:tr>
      <w:tr>
        <w:trPr>
          <w:trHeight w:val="496" w:hRule="exact"/>
        </w:trPr>
        <w:tc>
          <w:tcPr>
            <w:tcW w:w="2429" w:type="dxa"/>
          </w:tcPr>
          <w:p>
            <w:pPr>
              <w:pStyle w:val="TableParagraph"/>
              <w:spacing w:before="125"/>
              <w:ind w:left="35"/>
              <w:rPr>
                <w:sz w:val="16"/>
              </w:rPr>
            </w:pPr>
            <w:r>
              <w:rPr>
                <w:position w:val="1"/>
                <w:sz w:val="24"/>
              </w:rPr>
              <w:t>K</w:t>
            </w:r>
            <w:r>
              <w:rPr>
                <w:sz w:val="16"/>
              </w:rPr>
              <w:t>2</w:t>
            </w:r>
            <w:r>
              <w:rPr>
                <w:position w:val="1"/>
                <w:sz w:val="24"/>
              </w:rPr>
              <w:t>SO</w:t>
            </w:r>
            <w:r>
              <w:rPr>
                <w:sz w:val="16"/>
              </w:rPr>
              <w:t>4</w:t>
            </w:r>
          </w:p>
        </w:tc>
        <w:tc>
          <w:tcPr>
            <w:tcW w:w="3330" w:type="dxa"/>
          </w:tcPr>
          <w:p>
            <w:pPr>
              <w:pStyle w:val="TableParagraph"/>
              <w:spacing w:before="125"/>
              <w:ind w:right="1218"/>
              <w:jc w:val="right"/>
              <w:rPr>
                <w:sz w:val="24"/>
              </w:rPr>
            </w:pPr>
            <w:r>
              <w:rPr>
                <w:w w:val="95"/>
                <w:sz w:val="24"/>
              </w:rPr>
              <w:t>350</w:t>
            </w:r>
          </w:p>
        </w:tc>
        <w:tc>
          <w:tcPr>
            <w:tcW w:w="1857" w:type="dxa"/>
          </w:tcPr>
          <w:p>
            <w:pPr>
              <w:pStyle w:val="TableParagraph"/>
              <w:spacing w:before="125"/>
              <w:ind w:right="33"/>
              <w:jc w:val="right"/>
              <w:rPr>
                <w:sz w:val="24"/>
              </w:rPr>
            </w:pPr>
            <w:r>
              <w:rPr>
                <w:sz w:val="24"/>
              </w:rPr>
              <w:t>14.00</w:t>
            </w:r>
          </w:p>
        </w:tc>
      </w:tr>
    </w:tbl>
    <w:p>
      <w:pPr>
        <w:pStyle w:val="BodyText"/>
        <w:spacing w:before="5"/>
        <w:rPr>
          <w:sz w:val="8"/>
        </w:rPr>
      </w:pPr>
    </w:p>
    <w:p>
      <w:pPr>
        <w:spacing w:after="0"/>
        <w:rPr>
          <w:sz w:val="8"/>
        </w:rPr>
        <w:sectPr>
          <w:type w:val="continuous"/>
          <w:pgSz w:w="12240" w:h="15840"/>
          <w:pgMar w:top="1360" w:bottom="280" w:left="1580" w:right="1600"/>
        </w:sectPr>
      </w:pPr>
    </w:p>
    <w:p>
      <w:pPr>
        <w:spacing w:line="480" w:lineRule="auto" w:before="84"/>
        <w:ind w:left="229" w:right="-19" w:firstLine="0"/>
        <w:jc w:val="left"/>
        <w:rPr>
          <w:sz w:val="16"/>
        </w:rPr>
      </w:pPr>
      <w:r>
        <w:rPr/>
        <w:pict>
          <v:shape style="position:absolute;margin-left:127.679947pt;margin-top:4.990734pt;width:2.25pt;height:8.0500pt;mso-position-horizontal-relative:page;mso-position-vertical-relative:paragraph;z-index:-84928"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ict>
          <v:shape style="position:absolute;margin-left:143.159943pt;margin-top:60.190712pt;width:2.25pt;height:8.0500pt;mso-position-horizontal-relative:page;mso-position-vertical-relative:paragraph;z-index:-84904"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ict>
          <v:shape style="position:absolute;margin-left:128.999954pt;margin-top:87.790703pt;width:2.25pt;height:8.0500pt;mso-position-horizontal-relative:page;mso-position-vertical-relative:paragraph;z-index:-84880"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position w:val="1"/>
          <w:sz w:val="24"/>
        </w:rPr>
        <w:t>CuSO</w:t>
      </w:r>
      <w:r>
        <w:rPr>
          <w:sz w:val="16"/>
        </w:rPr>
        <w:t>4 </w:t>
      </w:r>
      <w:r>
        <w:rPr>
          <w:position w:val="1"/>
          <w:sz w:val="24"/>
        </w:rPr>
        <w:t>5H</w:t>
      </w:r>
      <w:r>
        <w:rPr>
          <w:sz w:val="16"/>
        </w:rPr>
        <w:t>2</w:t>
      </w:r>
      <w:r>
        <w:rPr>
          <w:position w:val="1"/>
          <w:sz w:val="24"/>
        </w:rPr>
        <w:t>O H</w:t>
      </w:r>
      <w:r>
        <w:rPr>
          <w:sz w:val="16"/>
        </w:rPr>
        <w:t>3</w:t>
      </w:r>
      <w:r>
        <w:rPr>
          <w:position w:val="1"/>
          <w:sz w:val="24"/>
        </w:rPr>
        <w:t>BO</w:t>
      </w:r>
      <w:r>
        <w:rPr>
          <w:sz w:val="16"/>
        </w:rPr>
        <w:t>3 </w:t>
      </w:r>
      <w:r>
        <w:rPr>
          <w:position w:val="1"/>
          <w:sz w:val="24"/>
        </w:rPr>
        <w:t>Fe</w:t>
      </w:r>
      <w:r>
        <w:rPr>
          <w:sz w:val="16"/>
        </w:rPr>
        <w:t>2</w:t>
      </w:r>
      <w:r>
        <w:rPr>
          <w:position w:val="1"/>
          <w:sz w:val="24"/>
        </w:rPr>
        <w:t>(SO</w:t>
      </w:r>
      <w:r>
        <w:rPr>
          <w:sz w:val="16"/>
        </w:rPr>
        <w:t>4</w:t>
      </w:r>
      <w:r>
        <w:rPr>
          <w:position w:val="1"/>
          <w:sz w:val="24"/>
        </w:rPr>
        <w:t>)</w:t>
      </w:r>
      <w:r>
        <w:rPr>
          <w:sz w:val="16"/>
        </w:rPr>
        <w:t>3 </w:t>
      </w:r>
      <w:r>
        <w:rPr>
          <w:position w:val="1"/>
          <w:sz w:val="24"/>
        </w:rPr>
        <w:t>H</w:t>
      </w:r>
      <w:r>
        <w:rPr>
          <w:sz w:val="16"/>
        </w:rPr>
        <w:t>2</w:t>
      </w:r>
      <w:r>
        <w:rPr>
          <w:position w:val="1"/>
          <w:sz w:val="24"/>
        </w:rPr>
        <w:t>O MnSO</w:t>
      </w:r>
      <w:r>
        <w:rPr>
          <w:sz w:val="16"/>
        </w:rPr>
        <w:t>4 </w:t>
      </w:r>
      <w:r>
        <w:rPr>
          <w:position w:val="1"/>
          <w:sz w:val="24"/>
        </w:rPr>
        <w:t>H</w:t>
      </w:r>
      <w:r>
        <w:rPr>
          <w:sz w:val="16"/>
        </w:rPr>
        <w:t>2</w:t>
      </w:r>
      <w:r>
        <w:rPr>
          <w:position w:val="1"/>
          <w:sz w:val="24"/>
        </w:rPr>
        <w:t>O H</w:t>
      </w:r>
      <w:r>
        <w:rPr>
          <w:sz w:val="16"/>
        </w:rPr>
        <w:t>2</w:t>
      </w:r>
      <w:r>
        <w:rPr>
          <w:position w:val="1"/>
          <w:sz w:val="24"/>
        </w:rPr>
        <w:t>Mo</w:t>
      </w:r>
      <w:r>
        <w:rPr>
          <w:sz w:val="16"/>
        </w:rPr>
        <w:t>4 </w:t>
      </w:r>
      <w:r>
        <w:rPr>
          <w:position w:val="1"/>
          <w:sz w:val="24"/>
        </w:rPr>
        <w:t>. H</w:t>
      </w:r>
      <w:r>
        <w:rPr>
          <w:sz w:val="16"/>
        </w:rPr>
        <w:t>2</w:t>
      </w:r>
      <w:r>
        <w:rPr>
          <w:position w:val="1"/>
          <w:sz w:val="24"/>
        </w:rPr>
        <w:t>O ZnSO</w:t>
      </w:r>
      <w:r>
        <w:rPr>
          <w:sz w:val="16"/>
        </w:rPr>
        <w:t>4 </w:t>
      </w:r>
      <w:r>
        <w:rPr>
          <w:position w:val="1"/>
          <w:sz w:val="24"/>
        </w:rPr>
        <w:t>. 7H</w:t>
      </w:r>
      <w:r>
        <w:rPr>
          <w:sz w:val="16"/>
        </w:rPr>
        <w:t>2</w:t>
      </w:r>
      <w:r>
        <w:rPr>
          <w:position w:val="1"/>
          <w:sz w:val="24"/>
        </w:rPr>
        <w:t>O KH</w:t>
      </w:r>
      <w:r>
        <w:rPr>
          <w:sz w:val="16"/>
        </w:rPr>
        <w:t>2</w:t>
      </w:r>
      <w:r>
        <w:rPr>
          <w:position w:val="1"/>
          <w:sz w:val="24"/>
        </w:rPr>
        <w:t>PO</w:t>
      </w:r>
      <w:r>
        <w:rPr>
          <w:sz w:val="16"/>
        </w:rPr>
        <w:t>4</w:t>
      </w:r>
    </w:p>
    <w:p>
      <w:pPr>
        <w:spacing w:before="84"/>
        <w:ind w:left="229" w:right="0" w:firstLine="0"/>
        <w:jc w:val="center"/>
        <w:rPr>
          <w:sz w:val="24"/>
        </w:rPr>
      </w:pPr>
      <w:r>
        <w:rPr/>
        <w:br w:type="column"/>
      </w:r>
      <w:r>
        <w:rPr>
          <w:sz w:val="24"/>
        </w:rPr>
        <w:t>0.1</w:t>
      </w:r>
    </w:p>
    <w:p>
      <w:pPr>
        <w:pStyle w:val="BodyText"/>
      </w:pPr>
    </w:p>
    <w:p>
      <w:pPr>
        <w:pStyle w:val="BodyText"/>
        <w:ind w:left="229"/>
        <w:jc w:val="center"/>
      </w:pPr>
      <w:r>
        <w:rPr/>
        <w:t>2.5</w:t>
      </w:r>
    </w:p>
    <w:p>
      <w:pPr>
        <w:pStyle w:val="BodyText"/>
      </w:pPr>
    </w:p>
    <w:p>
      <w:pPr>
        <w:pStyle w:val="BodyText"/>
        <w:ind w:left="229"/>
        <w:jc w:val="center"/>
      </w:pPr>
      <w:r>
        <w:rPr/>
        <w:t>12</w:t>
      </w:r>
    </w:p>
    <w:p>
      <w:pPr>
        <w:pStyle w:val="BodyText"/>
      </w:pPr>
    </w:p>
    <w:p>
      <w:pPr>
        <w:pStyle w:val="BodyText"/>
        <w:ind w:left="229"/>
        <w:jc w:val="center"/>
      </w:pPr>
      <w:r>
        <w:rPr>
          <w:w w:val="99"/>
        </w:rPr>
        <w:t>6</w:t>
      </w:r>
    </w:p>
    <w:p>
      <w:pPr>
        <w:pStyle w:val="BodyText"/>
      </w:pPr>
    </w:p>
    <w:p>
      <w:pPr>
        <w:pStyle w:val="BodyText"/>
        <w:ind w:left="229"/>
        <w:jc w:val="center"/>
      </w:pPr>
      <w:r>
        <w:rPr/>
        <w:t>0.02</w:t>
      </w:r>
    </w:p>
    <w:p>
      <w:pPr>
        <w:pStyle w:val="BodyText"/>
      </w:pPr>
    </w:p>
    <w:p>
      <w:pPr>
        <w:pStyle w:val="BodyText"/>
        <w:ind w:left="229"/>
        <w:jc w:val="center"/>
      </w:pPr>
      <w:r>
        <w:rPr>
          <w:w w:val="99"/>
        </w:rPr>
        <w:t>1</w:t>
      </w:r>
    </w:p>
    <w:p>
      <w:pPr>
        <w:pStyle w:val="BodyText"/>
        <w:spacing w:before="9"/>
        <w:rPr>
          <w:sz w:val="23"/>
        </w:rPr>
      </w:pPr>
    </w:p>
    <w:p>
      <w:pPr>
        <w:pStyle w:val="BodyText"/>
        <w:ind w:left="229"/>
        <w:jc w:val="center"/>
      </w:pPr>
      <w:r>
        <w:rPr/>
        <w:t>136</w:t>
      </w:r>
    </w:p>
    <w:p>
      <w:pPr>
        <w:pStyle w:val="BodyText"/>
        <w:spacing w:before="84"/>
        <w:ind w:left="211" w:right="1195"/>
        <w:jc w:val="center"/>
      </w:pPr>
      <w:r>
        <w:rPr/>
        <w:br w:type="column"/>
      </w:r>
      <w:r>
        <w:rPr/>
        <w:t>0.004</w:t>
      </w:r>
    </w:p>
    <w:p>
      <w:pPr>
        <w:pStyle w:val="BodyText"/>
      </w:pPr>
    </w:p>
    <w:p>
      <w:pPr>
        <w:pStyle w:val="BodyText"/>
        <w:ind w:left="209" w:right="1195"/>
        <w:jc w:val="center"/>
      </w:pPr>
      <w:r>
        <w:rPr/>
        <w:t>0.1</w:t>
      </w:r>
    </w:p>
    <w:p>
      <w:pPr>
        <w:pStyle w:val="BodyText"/>
      </w:pPr>
    </w:p>
    <w:p>
      <w:pPr>
        <w:pStyle w:val="BodyText"/>
        <w:ind w:left="209" w:right="1195"/>
        <w:jc w:val="center"/>
      </w:pPr>
      <w:r>
        <w:rPr/>
        <w:t>0.48</w:t>
      </w:r>
    </w:p>
    <w:p>
      <w:pPr>
        <w:pStyle w:val="BodyText"/>
      </w:pPr>
    </w:p>
    <w:p>
      <w:pPr>
        <w:pStyle w:val="BodyText"/>
        <w:ind w:left="209" w:right="1195"/>
        <w:jc w:val="center"/>
      </w:pPr>
      <w:r>
        <w:rPr/>
        <w:t>0.24</w:t>
      </w:r>
    </w:p>
    <w:p>
      <w:pPr>
        <w:pStyle w:val="BodyText"/>
      </w:pPr>
    </w:p>
    <w:p>
      <w:pPr>
        <w:pStyle w:val="BodyText"/>
        <w:ind w:left="211" w:right="1195"/>
        <w:jc w:val="center"/>
      </w:pPr>
      <w:r>
        <w:rPr/>
        <w:t>0.0008</w:t>
      </w:r>
    </w:p>
    <w:p>
      <w:pPr>
        <w:pStyle w:val="BodyText"/>
      </w:pPr>
    </w:p>
    <w:p>
      <w:pPr>
        <w:pStyle w:val="BodyText"/>
        <w:ind w:left="209" w:right="1195"/>
        <w:jc w:val="center"/>
      </w:pPr>
      <w:r>
        <w:rPr/>
        <w:t>0.04</w:t>
      </w:r>
    </w:p>
    <w:p>
      <w:pPr>
        <w:pStyle w:val="BodyText"/>
        <w:spacing w:before="9"/>
        <w:rPr>
          <w:sz w:val="23"/>
        </w:rPr>
      </w:pPr>
    </w:p>
    <w:p>
      <w:pPr>
        <w:pStyle w:val="BodyText"/>
        <w:ind w:left="209" w:right="1195"/>
        <w:jc w:val="center"/>
      </w:pPr>
      <w:r>
        <w:rPr/>
        <w:t>5.44</w:t>
      </w:r>
    </w:p>
    <w:p>
      <w:pPr>
        <w:spacing w:after="0"/>
        <w:jc w:val="center"/>
        <w:sectPr>
          <w:type w:val="continuous"/>
          <w:pgSz w:w="12240" w:h="15840"/>
          <w:pgMar w:top="1360" w:bottom="280" w:left="1580" w:right="1600"/>
          <w:cols w:num="3" w:equalWidth="0">
            <w:col w:w="1778" w:space="2290"/>
            <w:col w:w="700" w:space="2111"/>
            <w:col w:w="2181"/>
          </w:cols>
        </w:sectPr>
      </w:pPr>
    </w:p>
    <w:p>
      <w:pPr>
        <w:pStyle w:val="BodyText"/>
        <w:spacing w:line="20" w:lineRule="exact"/>
        <w:ind w:left="102"/>
        <w:rPr>
          <w:sz w:val="2"/>
        </w:rPr>
      </w:pPr>
      <w:r>
        <w:rPr>
          <w:sz w:val="2"/>
        </w:rPr>
        <w:pict>
          <v:group style="width:442.6pt;height:.5pt;mso-position-horizontal-relative:char;mso-position-vertical-relative:line" coordorigin="0,0" coordsize="8852,10">
            <v:line style="position:absolute" from="5,5" to="2959,5" stroked="true" strokeweight=".48pt" strokecolor="#000000"/>
            <v:line style="position:absolute" from="2945,5" to="2955,5" stroked="true" strokeweight=".48pt" strokecolor="#000000"/>
            <v:line style="position:absolute" from="2955,5" to="5904,5" stroked="true" strokeweight=".48pt" strokecolor="#000000"/>
            <v:line style="position:absolute" from="5890,5" to="5899,5" stroked="true" strokeweight=".48pt" strokecolor="#000000"/>
            <v:line style="position:absolute" from="5899,5" to="8847,5" stroked="true" strokeweight=".48pt" strokecolor="#000000"/>
          </v:group>
        </w:pict>
      </w:r>
      <w:r>
        <w:rPr>
          <w:sz w:val="2"/>
        </w:rPr>
      </w:r>
    </w:p>
    <w:p>
      <w:pPr>
        <w:pStyle w:val="BodyText"/>
        <w:ind w:left="121"/>
      </w:pPr>
      <w:r>
        <w:rPr/>
        <w:t>Steiner (1961).</w:t>
      </w:r>
    </w:p>
    <w:p>
      <w:pPr>
        <w:spacing w:after="0"/>
        <w:sectPr>
          <w:type w:val="continuous"/>
          <w:pgSz w:w="12240" w:h="15840"/>
          <w:pgMar w:top="1360" w:bottom="280" w:left="1580" w:right="1600"/>
        </w:sectPr>
      </w:pPr>
    </w:p>
    <w:p>
      <w:pPr>
        <w:pStyle w:val="BodyText"/>
        <w:spacing w:line="482" w:lineRule="auto" w:before="49"/>
        <w:ind w:left="121"/>
      </w:pPr>
      <w:r>
        <w:rPr/>
        <w:t>Cuadro 2. Análisis de varianza para altura de planta en </w:t>
      </w:r>
      <w:r>
        <w:rPr>
          <w:i/>
        </w:rPr>
        <w:t>Lilium </w:t>
      </w:r>
      <w:r>
        <w:rPr/>
        <w:t>‘Acapulco’ fertilizado foliarmente con zinc y magnesio y al sustrato con solución Steiner, 2012.</w:t>
      </w:r>
    </w:p>
    <w:p>
      <w:pPr>
        <w:pStyle w:val="BodyText"/>
        <w:spacing w:before="2"/>
        <w:rPr>
          <w:sz w:val="15"/>
        </w:r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5"/>
        <w:gridCol w:w="1218"/>
        <w:gridCol w:w="1632"/>
        <w:gridCol w:w="1262"/>
        <w:gridCol w:w="1511"/>
        <w:gridCol w:w="1539"/>
      </w:tblGrid>
      <w:tr>
        <w:trPr>
          <w:trHeight w:val="722" w:hRule="exact"/>
        </w:trPr>
        <w:tc>
          <w:tcPr>
            <w:tcW w:w="1665" w:type="dxa"/>
            <w:tcBorders>
              <w:left w:val="nil"/>
              <w:right w:val="nil"/>
            </w:tcBorders>
          </w:tcPr>
          <w:p>
            <w:pPr>
              <w:pStyle w:val="TableParagraph"/>
              <w:spacing w:line="272" w:lineRule="exact"/>
              <w:ind w:left="143" w:right="331"/>
              <w:jc w:val="center"/>
              <w:rPr>
                <w:sz w:val="24"/>
              </w:rPr>
            </w:pPr>
            <w:r>
              <w:rPr>
                <w:sz w:val="24"/>
              </w:rPr>
              <w:t>Factor</w:t>
            </w:r>
          </w:p>
        </w:tc>
        <w:tc>
          <w:tcPr>
            <w:tcW w:w="1218" w:type="dxa"/>
            <w:tcBorders>
              <w:left w:val="nil"/>
              <w:right w:val="nil"/>
            </w:tcBorders>
          </w:tcPr>
          <w:p>
            <w:pPr>
              <w:pStyle w:val="TableParagraph"/>
              <w:spacing w:line="272" w:lineRule="exact"/>
              <w:ind w:right="491"/>
              <w:jc w:val="right"/>
              <w:rPr>
                <w:sz w:val="24"/>
              </w:rPr>
            </w:pPr>
            <w:r>
              <w:rPr>
                <w:sz w:val="24"/>
              </w:rPr>
              <w:t>Día</w:t>
            </w:r>
          </w:p>
        </w:tc>
        <w:tc>
          <w:tcPr>
            <w:tcW w:w="1632" w:type="dxa"/>
            <w:tcBorders>
              <w:left w:val="nil"/>
              <w:right w:val="nil"/>
            </w:tcBorders>
          </w:tcPr>
          <w:p>
            <w:pPr>
              <w:pStyle w:val="TableParagraph"/>
              <w:spacing w:line="272" w:lineRule="exact"/>
              <w:ind w:right="634"/>
              <w:jc w:val="right"/>
              <w:rPr>
                <w:sz w:val="24"/>
              </w:rPr>
            </w:pPr>
            <w:r>
              <w:rPr>
                <w:sz w:val="24"/>
              </w:rPr>
              <w:t>S.C</w:t>
            </w:r>
          </w:p>
        </w:tc>
        <w:tc>
          <w:tcPr>
            <w:tcW w:w="1262" w:type="dxa"/>
            <w:tcBorders>
              <w:left w:val="nil"/>
              <w:right w:val="nil"/>
            </w:tcBorders>
          </w:tcPr>
          <w:p>
            <w:pPr>
              <w:pStyle w:val="TableParagraph"/>
              <w:spacing w:line="272" w:lineRule="exact"/>
              <w:ind w:left="536"/>
              <w:rPr>
                <w:sz w:val="24"/>
              </w:rPr>
            </w:pPr>
            <w:r>
              <w:rPr>
                <w:sz w:val="24"/>
              </w:rPr>
              <w:t>gl</w:t>
            </w:r>
          </w:p>
        </w:tc>
        <w:tc>
          <w:tcPr>
            <w:tcW w:w="1511" w:type="dxa"/>
            <w:tcBorders>
              <w:left w:val="nil"/>
              <w:right w:val="nil"/>
            </w:tcBorders>
          </w:tcPr>
          <w:p>
            <w:pPr>
              <w:pStyle w:val="TableParagraph"/>
              <w:spacing w:line="272" w:lineRule="exact"/>
              <w:ind w:left="516" w:right="350"/>
              <w:jc w:val="center"/>
              <w:rPr>
                <w:sz w:val="24"/>
              </w:rPr>
            </w:pPr>
            <w:r>
              <w:rPr>
                <w:sz w:val="24"/>
              </w:rPr>
              <w:t>MC</w:t>
            </w:r>
          </w:p>
        </w:tc>
        <w:tc>
          <w:tcPr>
            <w:tcW w:w="1539" w:type="dxa"/>
            <w:tcBorders>
              <w:left w:val="nil"/>
              <w:right w:val="nil"/>
            </w:tcBorders>
          </w:tcPr>
          <w:p>
            <w:pPr>
              <w:pStyle w:val="TableParagraph"/>
              <w:spacing w:line="272" w:lineRule="exact"/>
              <w:ind w:left="67"/>
              <w:jc w:val="center"/>
              <w:rPr>
                <w:sz w:val="24"/>
              </w:rPr>
            </w:pPr>
            <w:r>
              <w:rPr>
                <w:w w:val="100"/>
                <w:sz w:val="24"/>
              </w:rPr>
              <w:t>F</w:t>
            </w:r>
          </w:p>
        </w:tc>
      </w:tr>
      <w:tr>
        <w:trPr>
          <w:trHeight w:val="507" w:hRule="exact"/>
        </w:trPr>
        <w:tc>
          <w:tcPr>
            <w:tcW w:w="1665" w:type="dxa"/>
            <w:tcBorders>
              <w:left w:val="nil"/>
              <w:bottom w:val="nil"/>
              <w:right w:val="nil"/>
            </w:tcBorders>
          </w:tcPr>
          <w:p>
            <w:pPr/>
          </w:p>
        </w:tc>
        <w:tc>
          <w:tcPr>
            <w:tcW w:w="1218" w:type="dxa"/>
            <w:tcBorders>
              <w:left w:val="nil"/>
              <w:bottom w:val="nil"/>
              <w:right w:val="nil"/>
            </w:tcBorders>
          </w:tcPr>
          <w:p>
            <w:pPr>
              <w:pStyle w:val="TableParagraph"/>
              <w:spacing w:line="272" w:lineRule="exact"/>
              <w:ind w:right="539"/>
              <w:jc w:val="right"/>
              <w:rPr>
                <w:sz w:val="24"/>
              </w:rPr>
            </w:pPr>
            <w:r>
              <w:rPr>
                <w:sz w:val="24"/>
              </w:rPr>
              <w:t>35</w:t>
            </w:r>
          </w:p>
        </w:tc>
        <w:tc>
          <w:tcPr>
            <w:tcW w:w="1632" w:type="dxa"/>
            <w:tcBorders>
              <w:left w:val="nil"/>
              <w:bottom w:val="nil"/>
              <w:right w:val="nil"/>
            </w:tcBorders>
          </w:tcPr>
          <w:p>
            <w:pPr>
              <w:pStyle w:val="TableParagraph"/>
              <w:spacing w:line="272" w:lineRule="exact"/>
              <w:ind w:right="599"/>
              <w:jc w:val="right"/>
              <w:rPr>
                <w:sz w:val="24"/>
              </w:rPr>
            </w:pPr>
            <w:r>
              <w:rPr>
                <w:sz w:val="24"/>
              </w:rPr>
              <w:t>20.7</w:t>
            </w:r>
          </w:p>
        </w:tc>
        <w:tc>
          <w:tcPr>
            <w:tcW w:w="1262" w:type="dxa"/>
            <w:tcBorders>
              <w:left w:val="nil"/>
              <w:bottom w:val="nil"/>
              <w:right w:val="nil"/>
            </w:tcBorders>
          </w:tcPr>
          <w:p>
            <w:pPr>
              <w:pStyle w:val="TableParagraph"/>
              <w:spacing w:line="272" w:lineRule="exact"/>
              <w:ind w:left="563"/>
              <w:rPr>
                <w:sz w:val="24"/>
              </w:rPr>
            </w:pPr>
            <w:r>
              <w:rPr>
                <w:w w:val="99"/>
                <w:sz w:val="24"/>
              </w:rPr>
              <w:t>1</w:t>
            </w:r>
          </w:p>
        </w:tc>
        <w:tc>
          <w:tcPr>
            <w:tcW w:w="1511" w:type="dxa"/>
            <w:tcBorders>
              <w:left w:val="nil"/>
              <w:bottom w:val="nil"/>
              <w:right w:val="nil"/>
            </w:tcBorders>
          </w:tcPr>
          <w:p>
            <w:pPr>
              <w:pStyle w:val="TableParagraph"/>
              <w:spacing w:line="272" w:lineRule="exact"/>
              <w:ind w:left="519" w:right="347"/>
              <w:jc w:val="center"/>
              <w:rPr>
                <w:sz w:val="24"/>
              </w:rPr>
            </w:pPr>
            <w:r>
              <w:rPr>
                <w:sz w:val="24"/>
              </w:rPr>
              <w:t>20.7</w:t>
            </w:r>
          </w:p>
        </w:tc>
        <w:tc>
          <w:tcPr>
            <w:tcW w:w="1539" w:type="dxa"/>
            <w:tcBorders>
              <w:left w:val="nil"/>
              <w:bottom w:val="nil"/>
              <w:right w:val="nil"/>
            </w:tcBorders>
          </w:tcPr>
          <w:p>
            <w:pPr>
              <w:pStyle w:val="TableParagraph"/>
              <w:spacing w:line="272" w:lineRule="exact"/>
              <w:ind w:left="370"/>
              <w:rPr>
                <w:sz w:val="24"/>
              </w:rPr>
            </w:pPr>
            <w:r>
              <w:rPr>
                <w:sz w:val="24"/>
              </w:rPr>
              <w:t>1.06 NS</w:t>
            </w:r>
          </w:p>
        </w:tc>
      </w:tr>
      <w:tr>
        <w:trPr>
          <w:trHeight w:val="712" w:hRule="exact"/>
        </w:trPr>
        <w:tc>
          <w:tcPr>
            <w:tcW w:w="1665" w:type="dxa"/>
            <w:tcBorders>
              <w:top w:val="nil"/>
              <w:left w:val="nil"/>
              <w:bottom w:val="nil"/>
              <w:right w:val="nil"/>
            </w:tcBorders>
          </w:tcPr>
          <w:p>
            <w:pPr>
              <w:pStyle w:val="TableParagraph"/>
              <w:spacing w:before="206"/>
              <w:ind w:left="143" w:right="333"/>
              <w:jc w:val="center"/>
              <w:rPr>
                <w:sz w:val="24"/>
              </w:rPr>
            </w:pPr>
            <w:r>
              <w:rPr>
                <w:sz w:val="24"/>
              </w:rPr>
              <w:t>Steiner (S)</w:t>
            </w:r>
          </w:p>
        </w:tc>
        <w:tc>
          <w:tcPr>
            <w:tcW w:w="1218" w:type="dxa"/>
            <w:tcBorders>
              <w:top w:val="nil"/>
              <w:left w:val="nil"/>
              <w:bottom w:val="nil"/>
              <w:right w:val="nil"/>
            </w:tcBorders>
          </w:tcPr>
          <w:p>
            <w:pPr>
              <w:pStyle w:val="TableParagraph"/>
              <w:spacing w:before="206"/>
              <w:ind w:right="539"/>
              <w:jc w:val="right"/>
              <w:rPr>
                <w:sz w:val="24"/>
              </w:rPr>
            </w:pPr>
            <w:r>
              <w:rPr>
                <w:sz w:val="24"/>
              </w:rPr>
              <w:t>55</w:t>
            </w:r>
          </w:p>
        </w:tc>
        <w:tc>
          <w:tcPr>
            <w:tcW w:w="1632" w:type="dxa"/>
            <w:tcBorders>
              <w:top w:val="nil"/>
              <w:left w:val="nil"/>
              <w:bottom w:val="nil"/>
              <w:right w:val="nil"/>
            </w:tcBorders>
          </w:tcPr>
          <w:p>
            <w:pPr>
              <w:pStyle w:val="TableParagraph"/>
              <w:spacing w:before="206"/>
              <w:ind w:right="534"/>
              <w:jc w:val="right"/>
              <w:rPr>
                <w:sz w:val="24"/>
              </w:rPr>
            </w:pPr>
            <w:r>
              <w:rPr>
                <w:sz w:val="24"/>
              </w:rPr>
              <w:t>513.3</w:t>
            </w:r>
          </w:p>
        </w:tc>
        <w:tc>
          <w:tcPr>
            <w:tcW w:w="1262" w:type="dxa"/>
            <w:tcBorders>
              <w:top w:val="nil"/>
              <w:left w:val="nil"/>
              <w:bottom w:val="nil"/>
              <w:right w:val="nil"/>
            </w:tcBorders>
          </w:tcPr>
          <w:p>
            <w:pPr>
              <w:pStyle w:val="TableParagraph"/>
              <w:spacing w:before="206"/>
              <w:ind w:left="563"/>
              <w:rPr>
                <w:sz w:val="24"/>
              </w:rPr>
            </w:pPr>
            <w:r>
              <w:rPr>
                <w:w w:val="99"/>
                <w:sz w:val="24"/>
              </w:rPr>
              <w:t>1</w:t>
            </w:r>
          </w:p>
        </w:tc>
        <w:tc>
          <w:tcPr>
            <w:tcW w:w="1511" w:type="dxa"/>
            <w:tcBorders>
              <w:top w:val="nil"/>
              <w:left w:val="nil"/>
              <w:bottom w:val="nil"/>
              <w:right w:val="nil"/>
            </w:tcBorders>
          </w:tcPr>
          <w:p>
            <w:pPr>
              <w:pStyle w:val="TableParagraph"/>
              <w:spacing w:before="206"/>
              <w:ind w:left="519" w:right="350"/>
              <w:jc w:val="center"/>
              <w:rPr>
                <w:sz w:val="24"/>
              </w:rPr>
            </w:pPr>
            <w:r>
              <w:rPr>
                <w:sz w:val="24"/>
              </w:rPr>
              <w:t>513.3</w:t>
            </w:r>
          </w:p>
        </w:tc>
        <w:tc>
          <w:tcPr>
            <w:tcW w:w="1539" w:type="dxa"/>
            <w:tcBorders>
              <w:top w:val="nil"/>
              <w:left w:val="nil"/>
              <w:bottom w:val="nil"/>
              <w:right w:val="nil"/>
            </w:tcBorders>
          </w:tcPr>
          <w:p>
            <w:pPr>
              <w:pStyle w:val="TableParagraph"/>
              <w:spacing w:before="206"/>
              <w:ind w:left="490" w:right="421"/>
              <w:jc w:val="center"/>
              <w:rPr>
                <w:sz w:val="24"/>
              </w:rPr>
            </w:pPr>
            <w:r>
              <w:rPr>
                <w:sz w:val="24"/>
              </w:rPr>
              <w:t>7.1 **</w:t>
            </w:r>
          </w:p>
        </w:tc>
      </w:tr>
      <w:tr>
        <w:trPr>
          <w:trHeight w:val="712"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before="205"/>
              <w:ind w:right="539"/>
              <w:jc w:val="right"/>
              <w:rPr>
                <w:sz w:val="24"/>
              </w:rPr>
            </w:pPr>
            <w:r>
              <w:rPr>
                <w:sz w:val="24"/>
              </w:rPr>
              <w:t>75</w:t>
            </w:r>
          </w:p>
        </w:tc>
        <w:tc>
          <w:tcPr>
            <w:tcW w:w="1632" w:type="dxa"/>
            <w:tcBorders>
              <w:top w:val="nil"/>
              <w:left w:val="nil"/>
              <w:bottom w:val="nil"/>
              <w:right w:val="nil"/>
            </w:tcBorders>
          </w:tcPr>
          <w:p>
            <w:pPr>
              <w:pStyle w:val="TableParagraph"/>
              <w:spacing w:before="205"/>
              <w:ind w:right="534"/>
              <w:jc w:val="right"/>
              <w:rPr>
                <w:sz w:val="24"/>
              </w:rPr>
            </w:pPr>
            <w:r>
              <w:rPr>
                <w:sz w:val="24"/>
              </w:rPr>
              <w:t>139.8</w:t>
            </w:r>
          </w:p>
        </w:tc>
        <w:tc>
          <w:tcPr>
            <w:tcW w:w="1262" w:type="dxa"/>
            <w:tcBorders>
              <w:top w:val="nil"/>
              <w:left w:val="nil"/>
              <w:bottom w:val="nil"/>
              <w:right w:val="nil"/>
            </w:tcBorders>
          </w:tcPr>
          <w:p>
            <w:pPr>
              <w:pStyle w:val="TableParagraph"/>
              <w:spacing w:before="205"/>
              <w:ind w:left="563"/>
              <w:rPr>
                <w:sz w:val="24"/>
              </w:rPr>
            </w:pPr>
            <w:r>
              <w:rPr>
                <w:w w:val="99"/>
                <w:sz w:val="24"/>
              </w:rPr>
              <w:t>1</w:t>
            </w:r>
          </w:p>
        </w:tc>
        <w:tc>
          <w:tcPr>
            <w:tcW w:w="1511" w:type="dxa"/>
            <w:tcBorders>
              <w:top w:val="nil"/>
              <w:left w:val="nil"/>
              <w:bottom w:val="nil"/>
              <w:right w:val="nil"/>
            </w:tcBorders>
          </w:tcPr>
          <w:p>
            <w:pPr>
              <w:pStyle w:val="TableParagraph"/>
              <w:spacing w:before="205"/>
              <w:ind w:left="519" w:right="350"/>
              <w:jc w:val="center"/>
              <w:rPr>
                <w:sz w:val="24"/>
              </w:rPr>
            </w:pPr>
            <w:r>
              <w:rPr>
                <w:sz w:val="24"/>
              </w:rPr>
              <w:t>139.8</w:t>
            </w:r>
          </w:p>
        </w:tc>
        <w:tc>
          <w:tcPr>
            <w:tcW w:w="1539" w:type="dxa"/>
            <w:tcBorders>
              <w:top w:val="nil"/>
              <w:left w:val="nil"/>
              <w:bottom w:val="nil"/>
              <w:right w:val="nil"/>
            </w:tcBorders>
          </w:tcPr>
          <w:p>
            <w:pPr>
              <w:pStyle w:val="TableParagraph"/>
              <w:spacing w:before="205"/>
              <w:ind w:left="490" w:right="421"/>
              <w:jc w:val="center"/>
              <w:rPr>
                <w:sz w:val="24"/>
              </w:rPr>
            </w:pPr>
            <w:r>
              <w:rPr>
                <w:sz w:val="24"/>
              </w:rPr>
              <w:t>7.3 **</w:t>
            </w:r>
          </w:p>
        </w:tc>
      </w:tr>
      <w:tr>
        <w:trPr>
          <w:trHeight w:val="713"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before="206"/>
              <w:ind w:right="539"/>
              <w:jc w:val="right"/>
              <w:rPr>
                <w:sz w:val="24"/>
              </w:rPr>
            </w:pPr>
            <w:r>
              <w:rPr>
                <w:sz w:val="24"/>
              </w:rPr>
              <w:t>95</w:t>
            </w:r>
          </w:p>
        </w:tc>
        <w:tc>
          <w:tcPr>
            <w:tcW w:w="1632" w:type="dxa"/>
            <w:tcBorders>
              <w:top w:val="nil"/>
              <w:left w:val="nil"/>
              <w:bottom w:val="nil"/>
              <w:right w:val="nil"/>
            </w:tcBorders>
          </w:tcPr>
          <w:p>
            <w:pPr>
              <w:pStyle w:val="TableParagraph"/>
              <w:spacing w:before="206"/>
              <w:ind w:right="534"/>
              <w:jc w:val="right"/>
              <w:rPr>
                <w:sz w:val="24"/>
              </w:rPr>
            </w:pPr>
            <w:r>
              <w:rPr>
                <w:sz w:val="24"/>
              </w:rPr>
              <w:t>576.2</w:t>
            </w:r>
          </w:p>
        </w:tc>
        <w:tc>
          <w:tcPr>
            <w:tcW w:w="1262" w:type="dxa"/>
            <w:tcBorders>
              <w:top w:val="nil"/>
              <w:left w:val="nil"/>
              <w:bottom w:val="nil"/>
              <w:right w:val="nil"/>
            </w:tcBorders>
          </w:tcPr>
          <w:p>
            <w:pPr>
              <w:pStyle w:val="TableParagraph"/>
              <w:spacing w:before="206"/>
              <w:ind w:left="563"/>
              <w:rPr>
                <w:sz w:val="24"/>
              </w:rPr>
            </w:pPr>
            <w:r>
              <w:rPr>
                <w:w w:val="99"/>
                <w:sz w:val="24"/>
              </w:rPr>
              <w:t>1</w:t>
            </w:r>
          </w:p>
        </w:tc>
        <w:tc>
          <w:tcPr>
            <w:tcW w:w="1511" w:type="dxa"/>
            <w:tcBorders>
              <w:top w:val="nil"/>
              <w:left w:val="nil"/>
              <w:bottom w:val="nil"/>
              <w:right w:val="nil"/>
            </w:tcBorders>
          </w:tcPr>
          <w:p>
            <w:pPr>
              <w:pStyle w:val="TableParagraph"/>
              <w:spacing w:before="206"/>
              <w:ind w:left="519" w:right="350"/>
              <w:jc w:val="center"/>
              <w:rPr>
                <w:sz w:val="24"/>
              </w:rPr>
            </w:pPr>
            <w:r>
              <w:rPr>
                <w:sz w:val="24"/>
              </w:rPr>
              <w:t>576.2</w:t>
            </w:r>
          </w:p>
        </w:tc>
        <w:tc>
          <w:tcPr>
            <w:tcW w:w="1539" w:type="dxa"/>
            <w:tcBorders>
              <w:top w:val="nil"/>
              <w:left w:val="nil"/>
              <w:bottom w:val="nil"/>
              <w:right w:val="nil"/>
            </w:tcBorders>
          </w:tcPr>
          <w:p>
            <w:pPr>
              <w:pStyle w:val="TableParagraph"/>
              <w:spacing w:before="206"/>
              <w:ind w:left="490" w:right="421"/>
              <w:jc w:val="center"/>
              <w:rPr>
                <w:sz w:val="24"/>
              </w:rPr>
            </w:pPr>
            <w:r>
              <w:rPr>
                <w:sz w:val="24"/>
              </w:rPr>
              <w:t>7.9 **</w:t>
            </w:r>
          </w:p>
        </w:tc>
      </w:tr>
      <w:tr>
        <w:trPr>
          <w:trHeight w:val="712"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before="206"/>
              <w:ind w:right="539"/>
              <w:jc w:val="right"/>
              <w:rPr>
                <w:sz w:val="24"/>
              </w:rPr>
            </w:pPr>
            <w:r>
              <w:rPr>
                <w:sz w:val="24"/>
              </w:rPr>
              <w:t>35</w:t>
            </w:r>
          </w:p>
        </w:tc>
        <w:tc>
          <w:tcPr>
            <w:tcW w:w="1632" w:type="dxa"/>
            <w:tcBorders>
              <w:top w:val="nil"/>
              <w:left w:val="nil"/>
              <w:bottom w:val="nil"/>
              <w:right w:val="nil"/>
            </w:tcBorders>
          </w:tcPr>
          <w:p>
            <w:pPr>
              <w:pStyle w:val="TableParagraph"/>
              <w:spacing w:before="206"/>
              <w:ind w:right="599"/>
              <w:jc w:val="right"/>
              <w:rPr>
                <w:sz w:val="24"/>
              </w:rPr>
            </w:pPr>
            <w:r>
              <w:rPr>
                <w:sz w:val="24"/>
              </w:rPr>
              <w:t>74.4</w:t>
            </w:r>
          </w:p>
        </w:tc>
        <w:tc>
          <w:tcPr>
            <w:tcW w:w="1262" w:type="dxa"/>
            <w:tcBorders>
              <w:top w:val="nil"/>
              <w:left w:val="nil"/>
              <w:bottom w:val="nil"/>
              <w:right w:val="nil"/>
            </w:tcBorders>
          </w:tcPr>
          <w:p>
            <w:pPr>
              <w:pStyle w:val="TableParagraph"/>
              <w:spacing w:before="206"/>
              <w:ind w:left="563"/>
              <w:rPr>
                <w:sz w:val="24"/>
              </w:rPr>
            </w:pPr>
            <w:r>
              <w:rPr>
                <w:w w:val="99"/>
                <w:sz w:val="24"/>
              </w:rPr>
              <w:t>2</w:t>
            </w:r>
          </w:p>
        </w:tc>
        <w:tc>
          <w:tcPr>
            <w:tcW w:w="1511" w:type="dxa"/>
            <w:tcBorders>
              <w:top w:val="nil"/>
              <w:left w:val="nil"/>
              <w:bottom w:val="nil"/>
              <w:right w:val="nil"/>
            </w:tcBorders>
          </w:tcPr>
          <w:p>
            <w:pPr>
              <w:pStyle w:val="TableParagraph"/>
              <w:spacing w:before="206"/>
              <w:ind w:left="519" w:right="347"/>
              <w:jc w:val="center"/>
              <w:rPr>
                <w:sz w:val="24"/>
              </w:rPr>
            </w:pPr>
            <w:r>
              <w:rPr>
                <w:sz w:val="24"/>
              </w:rPr>
              <w:t>37.2</w:t>
            </w:r>
          </w:p>
        </w:tc>
        <w:tc>
          <w:tcPr>
            <w:tcW w:w="1539" w:type="dxa"/>
            <w:tcBorders>
              <w:top w:val="nil"/>
              <w:left w:val="nil"/>
              <w:bottom w:val="nil"/>
              <w:right w:val="nil"/>
            </w:tcBorders>
          </w:tcPr>
          <w:p>
            <w:pPr>
              <w:pStyle w:val="TableParagraph"/>
              <w:spacing w:before="206"/>
              <w:ind w:left="434"/>
              <w:rPr>
                <w:sz w:val="24"/>
              </w:rPr>
            </w:pPr>
            <w:r>
              <w:rPr>
                <w:sz w:val="24"/>
              </w:rPr>
              <w:t>1.9 NS</w:t>
            </w:r>
          </w:p>
        </w:tc>
      </w:tr>
      <w:tr>
        <w:trPr>
          <w:trHeight w:val="475" w:hRule="exact"/>
        </w:trPr>
        <w:tc>
          <w:tcPr>
            <w:tcW w:w="1665" w:type="dxa"/>
            <w:tcBorders>
              <w:top w:val="nil"/>
              <w:left w:val="nil"/>
              <w:bottom w:val="nil"/>
              <w:right w:val="nil"/>
            </w:tcBorders>
          </w:tcPr>
          <w:p>
            <w:pPr>
              <w:pStyle w:val="TableParagraph"/>
              <w:spacing w:before="205"/>
              <w:ind w:left="143" w:right="333"/>
              <w:jc w:val="center"/>
              <w:rPr>
                <w:sz w:val="24"/>
              </w:rPr>
            </w:pPr>
            <w:r>
              <w:rPr>
                <w:sz w:val="24"/>
              </w:rPr>
              <w:t>Zn – Mg</w:t>
            </w:r>
          </w:p>
        </w:tc>
        <w:tc>
          <w:tcPr>
            <w:tcW w:w="1218" w:type="dxa"/>
            <w:tcBorders>
              <w:top w:val="nil"/>
              <w:left w:val="nil"/>
              <w:bottom w:val="nil"/>
              <w:right w:val="nil"/>
            </w:tcBorders>
          </w:tcPr>
          <w:p>
            <w:pPr>
              <w:pStyle w:val="TableParagraph"/>
              <w:spacing w:before="205"/>
              <w:ind w:right="539"/>
              <w:jc w:val="right"/>
              <w:rPr>
                <w:sz w:val="24"/>
              </w:rPr>
            </w:pPr>
            <w:r>
              <w:rPr>
                <w:sz w:val="24"/>
              </w:rPr>
              <w:t>55</w:t>
            </w:r>
          </w:p>
        </w:tc>
        <w:tc>
          <w:tcPr>
            <w:tcW w:w="1632" w:type="dxa"/>
            <w:tcBorders>
              <w:top w:val="nil"/>
              <w:left w:val="nil"/>
              <w:bottom w:val="nil"/>
              <w:right w:val="nil"/>
            </w:tcBorders>
          </w:tcPr>
          <w:p>
            <w:pPr>
              <w:pStyle w:val="TableParagraph"/>
              <w:spacing w:before="205"/>
              <w:ind w:right="534"/>
              <w:jc w:val="right"/>
              <w:rPr>
                <w:sz w:val="24"/>
              </w:rPr>
            </w:pPr>
            <w:r>
              <w:rPr>
                <w:sz w:val="24"/>
              </w:rPr>
              <w:t>826.5</w:t>
            </w:r>
          </w:p>
        </w:tc>
        <w:tc>
          <w:tcPr>
            <w:tcW w:w="1262" w:type="dxa"/>
            <w:tcBorders>
              <w:top w:val="nil"/>
              <w:left w:val="nil"/>
              <w:bottom w:val="nil"/>
              <w:right w:val="nil"/>
            </w:tcBorders>
          </w:tcPr>
          <w:p>
            <w:pPr>
              <w:pStyle w:val="TableParagraph"/>
              <w:spacing w:before="205"/>
              <w:ind w:left="563"/>
              <w:rPr>
                <w:sz w:val="24"/>
              </w:rPr>
            </w:pPr>
            <w:r>
              <w:rPr>
                <w:w w:val="99"/>
                <w:sz w:val="24"/>
              </w:rPr>
              <w:t>2</w:t>
            </w:r>
          </w:p>
        </w:tc>
        <w:tc>
          <w:tcPr>
            <w:tcW w:w="1511" w:type="dxa"/>
            <w:tcBorders>
              <w:top w:val="nil"/>
              <w:left w:val="nil"/>
              <w:bottom w:val="nil"/>
              <w:right w:val="nil"/>
            </w:tcBorders>
          </w:tcPr>
          <w:p>
            <w:pPr>
              <w:pStyle w:val="TableParagraph"/>
              <w:spacing w:before="205"/>
              <w:ind w:left="519" w:right="350"/>
              <w:jc w:val="center"/>
              <w:rPr>
                <w:sz w:val="24"/>
              </w:rPr>
            </w:pPr>
            <w:r>
              <w:rPr>
                <w:sz w:val="24"/>
              </w:rPr>
              <w:t>413.3</w:t>
            </w:r>
          </w:p>
        </w:tc>
        <w:tc>
          <w:tcPr>
            <w:tcW w:w="1539" w:type="dxa"/>
            <w:tcBorders>
              <w:top w:val="nil"/>
              <w:left w:val="nil"/>
              <w:bottom w:val="nil"/>
              <w:right w:val="nil"/>
            </w:tcBorders>
          </w:tcPr>
          <w:p>
            <w:pPr>
              <w:pStyle w:val="TableParagraph"/>
              <w:spacing w:before="205"/>
              <w:ind w:left="490" w:right="421"/>
              <w:jc w:val="center"/>
              <w:rPr>
                <w:sz w:val="24"/>
              </w:rPr>
            </w:pPr>
            <w:r>
              <w:rPr>
                <w:sz w:val="24"/>
              </w:rPr>
              <w:t>5.7 **</w:t>
            </w:r>
          </w:p>
        </w:tc>
      </w:tr>
      <w:tr>
        <w:trPr>
          <w:trHeight w:val="512" w:hRule="exact"/>
        </w:trPr>
        <w:tc>
          <w:tcPr>
            <w:tcW w:w="1665" w:type="dxa"/>
            <w:tcBorders>
              <w:top w:val="nil"/>
              <w:left w:val="nil"/>
              <w:bottom w:val="nil"/>
              <w:right w:val="nil"/>
            </w:tcBorders>
          </w:tcPr>
          <w:p>
            <w:pPr>
              <w:pStyle w:val="TableParagraph"/>
              <w:spacing w:before="5"/>
              <w:rPr>
                <w:sz w:val="24"/>
              </w:rPr>
            </w:pPr>
          </w:p>
          <w:p>
            <w:pPr>
              <w:pStyle w:val="TableParagraph"/>
              <w:spacing w:line="271" w:lineRule="exact"/>
              <w:ind w:left="140" w:right="333"/>
              <w:jc w:val="center"/>
              <w:rPr>
                <w:sz w:val="24"/>
              </w:rPr>
            </w:pPr>
            <w:r>
              <w:rPr>
                <w:sz w:val="24"/>
              </w:rPr>
              <w:t>(ZM)</w:t>
            </w:r>
          </w:p>
        </w:tc>
        <w:tc>
          <w:tcPr>
            <w:tcW w:w="1218" w:type="dxa"/>
            <w:tcBorders>
              <w:top w:val="nil"/>
              <w:left w:val="nil"/>
              <w:bottom w:val="nil"/>
              <w:right w:val="nil"/>
            </w:tcBorders>
          </w:tcPr>
          <w:p>
            <w:pPr/>
          </w:p>
        </w:tc>
        <w:tc>
          <w:tcPr>
            <w:tcW w:w="1632" w:type="dxa"/>
            <w:tcBorders>
              <w:top w:val="nil"/>
              <w:left w:val="nil"/>
              <w:bottom w:val="nil"/>
              <w:right w:val="nil"/>
            </w:tcBorders>
          </w:tcPr>
          <w:p>
            <w:pPr/>
          </w:p>
        </w:tc>
        <w:tc>
          <w:tcPr>
            <w:tcW w:w="1262" w:type="dxa"/>
            <w:tcBorders>
              <w:top w:val="nil"/>
              <w:left w:val="nil"/>
              <w:bottom w:val="nil"/>
              <w:right w:val="nil"/>
            </w:tcBorders>
          </w:tcPr>
          <w:p>
            <w:pPr/>
          </w:p>
        </w:tc>
        <w:tc>
          <w:tcPr>
            <w:tcW w:w="1511" w:type="dxa"/>
            <w:tcBorders>
              <w:top w:val="nil"/>
              <w:left w:val="nil"/>
              <w:bottom w:val="nil"/>
              <w:right w:val="nil"/>
            </w:tcBorders>
          </w:tcPr>
          <w:p>
            <w:pPr/>
          </w:p>
        </w:tc>
        <w:tc>
          <w:tcPr>
            <w:tcW w:w="1539" w:type="dxa"/>
            <w:tcBorders>
              <w:top w:val="nil"/>
              <w:left w:val="nil"/>
              <w:bottom w:val="nil"/>
              <w:right w:val="nil"/>
            </w:tcBorders>
          </w:tcPr>
          <w:p>
            <w:pPr/>
          </w:p>
        </w:tc>
      </w:tr>
      <w:tr>
        <w:trPr>
          <w:trHeight w:val="437"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line="206" w:lineRule="exact"/>
              <w:ind w:right="539"/>
              <w:jc w:val="right"/>
              <w:rPr>
                <w:sz w:val="24"/>
              </w:rPr>
            </w:pPr>
            <w:r>
              <w:rPr>
                <w:sz w:val="24"/>
              </w:rPr>
              <w:t>75</w:t>
            </w:r>
          </w:p>
        </w:tc>
        <w:tc>
          <w:tcPr>
            <w:tcW w:w="1632" w:type="dxa"/>
            <w:tcBorders>
              <w:top w:val="nil"/>
              <w:left w:val="nil"/>
              <w:bottom w:val="nil"/>
              <w:right w:val="nil"/>
            </w:tcBorders>
          </w:tcPr>
          <w:p>
            <w:pPr>
              <w:pStyle w:val="TableParagraph"/>
              <w:spacing w:line="206" w:lineRule="exact"/>
              <w:ind w:right="534"/>
              <w:jc w:val="right"/>
              <w:rPr>
                <w:sz w:val="24"/>
              </w:rPr>
            </w:pPr>
            <w:r>
              <w:rPr>
                <w:sz w:val="24"/>
              </w:rPr>
              <w:t>225.7</w:t>
            </w:r>
          </w:p>
        </w:tc>
        <w:tc>
          <w:tcPr>
            <w:tcW w:w="1262" w:type="dxa"/>
            <w:tcBorders>
              <w:top w:val="nil"/>
              <w:left w:val="nil"/>
              <w:bottom w:val="nil"/>
              <w:right w:val="nil"/>
            </w:tcBorders>
          </w:tcPr>
          <w:p>
            <w:pPr>
              <w:pStyle w:val="TableParagraph"/>
              <w:spacing w:line="206" w:lineRule="exact"/>
              <w:ind w:left="563"/>
              <w:rPr>
                <w:sz w:val="24"/>
              </w:rPr>
            </w:pPr>
            <w:r>
              <w:rPr>
                <w:w w:val="99"/>
                <w:sz w:val="24"/>
              </w:rPr>
              <w:t>2</w:t>
            </w:r>
          </w:p>
        </w:tc>
        <w:tc>
          <w:tcPr>
            <w:tcW w:w="1511" w:type="dxa"/>
            <w:tcBorders>
              <w:top w:val="nil"/>
              <w:left w:val="nil"/>
              <w:bottom w:val="nil"/>
              <w:right w:val="nil"/>
            </w:tcBorders>
          </w:tcPr>
          <w:p>
            <w:pPr>
              <w:pStyle w:val="TableParagraph"/>
              <w:spacing w:line="206" w:lineRule="exact"/>
              <w:ind w:left="519" w:right="350"/>
              <w:jc w:val="center"/>
              <w:rPr>
                <w:sz w:val="24"/>
              </w:rPr>
            </w:pPr>
            <w:r>
              <w:rPr>
                <w:sz w:val="24"/>
              </w:rPr>
              <w:t>112.9</w:t>
            </w:r>
          </w:p>
        </w:tc>
        <w:tc>
          <w:tcPr>
            <w:tcW w:w="1539" w:type="dxa"/>
            <w:tcBorders>
              <w:top w:val="nil"/>
              <w:left w:val="nil"/>
              <w:bottom w:val="nil"/>
              <w:right w:val="nil"/>
            </w:tcBorders>
          </w:tcPr>
          <w:p>
            <w:pPr>
              <w:pStyle w:val="TableParagraph"/>
              <w:spacing w:line="206" w:lineRule="exact"/>
              <w:ind w:left="490" w:right="421"/>
              <w:jc w:val="center"/>
              <w:rPr>
                <w:sz w:val="24"/>
              </w:rPr>
            </w:pPr>
            <w:r>
              <w:rPr>
                <w:sz w:val="24"/>
              </w:rPr>
              <w:t>5.9 **</w:t>
            </w:r>
          </w:p>
        </w:tc>
      </w:tr>
      <w:tr>
        <w:trPr>
          <w:trHeight w:val="712"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before="206"/>
              <w:ind w:right="539"/>
              <w:jc w:val="right"/>
              <w:rPr>
                <w:sz w:val="24"/>
              </w:rPr>
            </w:pPr>
            <w:r>
              <w:rPr>
                <w:sz w:val="24"/>
              </w:rPr>
              <w:t>95</w:t>
            </w:r>
          </w:p>
        </w:tc>
        <w:tc>
          <w:tcPr>
            <w:tcW w:w="1632" w:type="dxa"/>
            <w:tcBorders>
              <w:top w:val="nil"/>
              <w:left w:val="nil"/>
              <w:bottom w:val="nil"/>
              <w:right w:val="nil"/>
            </w:tcBorders>
          </w:tcPr>
          <w:p>
            <w:pPr>
              <w:pStyle w:val="TableParagraph"/>
              <w:spacing w:before="206"/>
              <w:ind w:right="534"/>
              <w:jc w:val="right"/>
              <w:rPr>
                <w:sz w:val="24"/>
              </w:rPr>
            </w:pPr>
            <w:r>
              <w:rPr>
                <w:sz w:val="24"/>
              </w:rPr>
              <w:t>693.8</w:t>
            </w:r>
          </w:p>
        </w:tc>
        <w:tc>
          <w:tcPr>
            <w:tcW w:w="1262" w:type="dxa"/>
            <w:tcBorders>
              <w:top w:val="nil"/>
              <w:left w:val="nil"/>
              <w:bottom w:val="nil"/>
              <w:right w:val="nil"/>
            </w:tcBorders>
          </w:tcPr>
          <w:p>
            <w:pPr>
              <w:pStyle w:val="TableParagraph"/>
              <w:spacing w:before="206"/>
              <w:ind w:left="563"/>
              <w:rPr>
                <w:sz w:val="24"/>
              </w:rPr>
            </w:pPr>
            <w:r>
              <w:rPr>
                <w:w w:val="99"/>
                <w:sz w:val="24"/>
              </w:rPr>
              <w:t>2</w:t>
            </w:r>
          </w:p>
        </w:tc>
        <w:tc>
          <w:tcPr>
            <w:tcW w:w="1511" w:type="dxa"/>
            <w:tcBorders>
              <w:top w:val="nil"/>
              <w:left w:val="nil"/>
              <w:bottom w:val="nil"/>
              <w:right w:val="nil"/>
            </w:tcBorders>
          </w:tcPr>
          <w:p>
            <w:pPr>
              <w:pStyle w:val="TableParagraph"/>
              <w:spacing w:before="206"/>
              <w:ind w:left="519" w:right="350"/>
              <w:jc w:val="center"/>
              <w:rPr>
                <w:sz w:val="24"/>
              </w:rPr>
            </w:pPr>
            <w:r>
              <w:rPr>
                <w:sz w:val="24"/>
              </w:rPr>
              <w:t>346.9</w:t>
            </w:r>
          </w:p>
        </w:tc>
        <w:tc>
          <w:tcPr>
            <w:tcW w:w="1539" w:type="dxa"/>
            <w:tcBorders>
              <w:top w:val="nil"/>
              <w:left w:val="nil"/>
              <w:bottom w:val="nil"/>
              <w:right w:val="nil"/>
            </w:tcBorders>
          </w:tcPr>
          <w:p>
            <w:pPr>
              <w:pStyle w:val="TableParagraph"/>
              <w:spacing w:before="206"/>
              <w:ind w:left="490" w:right="421"/>
              <w:jc w:val="center"/>
              <w:rPr>
                <w:sz w:val="24"/>
              </w:rPr>
            </w:pPr>
            <w:r>
              <w:rPr>
                <w:sz w:val="24"/>
              </w:rPr>
              <w:t>4.8 **</w:t>
            </w:r>
          </w:p>
        </w:tc>
      </w:tr>
      <w:tr>
        <w:trPr>
          <w:trHeight w:val="712" w:hRule="exact"/>
        </w:trPr>
        <w:tc>
          <w:tcPr>
            <w:tcW w:w="1665" w:type="dxa"/>
            <w:tcBorders>
              <w:top w:val="nil"/>
              <w:left w:val="nil"/>
              <w:bottom w:val="nil"/>
              <w:right w:val="nil"/>
            </w:tcBorders>
          </w:tcPr>
          <w:p>
            <w:pPr>
              <w:pStyle w:val="TableParagraph"/>
              <w:spacing w:before="205"/>
              <w:ind w:left="141" w:right="333"/>
              <w:jc w:val="center"/>
              <w:rPr>
                <w:sz w:val="24"/>
              </w:rPr>
            </w:pPr>
            <w:r>
              <w:rPr>
                <w:sz w:val="24"/>
              </w:rPr>
              <w:t>S × ZnMg</w:t>
            </w:r>
          </w:p>
        </w:tc>
        <w:tc>
          <w:tcPr>
            <w:tcW w:w="1218" w:type="dxa"/>
            <w:tcBorders>
              <w:top w:val="nil"/>
              <w:left w:val="nil"/>
              <w:bottom w:val="nil"/>
              <w:right w:val="nil"/>
            </w:tcBorders>
          </w:tcPr>
          <w:p>
            <w:pPr>
              <w:pStyle w:val="TableParagraph"/>
              <w:spacing w:before="205"/>
              <w:ind w:right="539"/>
              <w:jc w:val="right"/>
              <w:rPr>
                <w:sz w:val="24"/>
              </w:rPr>
            </w:pPr>
            <w:r>
              <w:rPr>
                <w:sz w:val="24"/>
              </w:rPr>
              <w:t>35</w:t>
            </w:r>
          </w:p>
        </w:tc>
        <w:tc>
          <w:tcPr>
            <w:tcW w:w="1632" w:type="dxa"/>
            <w:tcBorders>
              <w:top w:val="nil"/>
              <w:left w:val="nil"/>
              <w:bottom w:val="nil"/>
              <w:right w:val="nil"/>
            </w:tcBorders>
          </w:tcPr>
          <w:p>
            <w:pPr>
              <w:pStyle w:val="TableParagraph"/>
              <w:spacing w:before="205"/>
              <w:ind w:right="599"/>
              <w:jc w:val="right"/>
              <w:rPr>
                <w:sz w:val="24"/>
              </w:rPr>
            </w:pPr>
            <w:r>
              <w:rPr>
                <w:sz w:val="24"/>
              </w:rPr>
              <w:t>32.3</w:t>
            </w:r>
          </w:p>
        </w:tc>
        <w:tc>
          <w:tcPr>
            <w:tcW w:w="1262" w:type="dxa"/>
            <w:tcBorders>
              <w:top w:val="nil"/>
              <w:left w:val="nil"/>
              <w:bottom w:val="nil"/>
              <w:right w:val="nil"/>
            </w:tcBorders>
          </w:tcPr>
          <w:p>
            <w:pPr>
              <w:pStyle w:val="TableParagraph"/>
              <w:spacing w:before="205"/>
              <w:ind w:left="563"/>
              <w:rPr>
                <w:sz w:val="24"/>
              </w:rPr>
            </w:pPr>
            <w:r>
              <w:rPr>
                <w:w w:val="99"/>
                <w:sz w:val="24"/>
              </w:rPr>
              <w:t>2</w:t>
            </w:r>
          </w:p>
        </w:tc>
        <w:tc>
          <w:tcPr>
            <w:tcW w:w="1511" w:type="dxa"/>
            <w:tcBorders>
              <w:top w:val="nil"/>
              <w:left w:val="nil"/>
              <w:bottom w:val="nil"/>
              <w:right w:val="nil"/>
            </w:tcBorders>
          </w:tcPr>
          <w:p>
            <w:pPr>
              <w:pStyle w:val="TableParagraph"/>
              <w:spacing w:before="205"/>
              <w:ind w:left="519" w:right="347"/>
              <w:jc w:val="center"/>
              <w:rPr>
                <w:sz w:val="24"/>
              </w:rPr>
            </w:pPr>
            <w:r>
              <w:rPr>
                <w:sz w:val="24"/>
              </w:rPr>
              <w:t>16.2</w:t>
            </w:r>
          </w:p>
        </w:tc>
        <w:tc>
          <w:tcPr>
            <w:tcW w:w="1539" w:type="dxa"/>
            <w:tcBorders>
              <w:top w:val="nil"/>
              <w:left w:val="nil"/>
              <w:bottom w:val="nil"/>
              <w:right w:val="nil"/>
            </w:tcBorders>
          </w:tcPr>
          <w:p>
            <w:pPr>
              <w:pStyle w:val="TableParagraph"/>
              <w:spacing w:before="205"/>
              <w:ind w:left="487" w:right="421"/>
              <w:jc w:val="center"/>
              <w:rPr>
                <w:sz w:val="24"/>
              </w:rPr>
            </w:pPr>
            <w:r>
              <w:rPr>
                <w:sz w:val="24"/>
              </w:rPr>
              <w:t>NS</w:t>
            </w:r>
          </w:p>
        </w:tc>
      </w:tr>
      <w:tr>
        <w:trPr>
          <w:trHeight w:val="712"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before="206"/>
              <w:ind w:right="539"/>
              <w:jc w:val="right"/>
              <w:rPr>
                <w:sz w:val="24"/>
              </w:rPr>
            </w:pPr>
            <w:r>
              <w:rPr>
                <w:sz w:val="24"/>
              </w:rPr>
              <w:t>55</w:t>
            </w:r>
          </w:p>
        </w:tc>
        <w:tc>
          <w:tcPr>
            <w:tcW w:w="1632" w:type="dxa"/>
            <w:tcBorders>
              <w:top w:val="nil"/>
              <w:left w:val="nil"/>
              <w:bottom w:val="nil"/>
              <w:right w:val="nil"/>
            </w:tcBorders>
          </w:tcPr>
          <w:p>
            <w:pPr>
              <w:pStyle w:val="TableParagraph"/>
              <w:spacing w:before="206"/>
              <w:ind w:right="534"/>
              <w:jc w:val="right"/>
              <w:rPr>
                <w:sz w:val="24"/>
              </w:rPr>
            </w:pPr>
            <w:r>
              <w:rPr>
                <w:sz w:val="24"/>
              </w:rPr>
              <w:t>142.9</w:t>
            </w:r>
          </w:p>
        </w:tc>
        <w:tc>
          <w:tcPr>
            <w:tcW w:w="1262" w:type="dxa"/>
            <w:tcBorders>
              <w:top w:val="nil"/>
              <w:left w:val="nil"/>
              <w:bottom w:val="nil"/>
              <w:right w:val="nil"/>
            </w:tcBorders>
          </w:tcPr>
          <w:p>
            <w:pPr>
              <w:pStyle w:val="TableParagraph"/>
              <w:spacing w:before="206"/>
              <w:ind w:left="563"/>
              <w:rPr>
                <w:sz w:val="24"/>
              </w:rPr>
            </w:pPr>
            <w:r>
              <w:rPr>
                <w:w w:val="99"/>
                <w:sz w:val="24"/>
              </w:rPr>
              <w:t>2</w:t>
            </w:r>
          </w:p>
        </w:tc>
        <w:tc>
          <w:tcPr>
            <w:tcW w:w="1511" w:type="dxa"/>
            <w:tcBorders>
              <w:top w:val="nil"/>
              <w:left w:val="nil"/>
              <w:bottom w:val="nil"/>
              <w:right w:val="nil"/>
            </w:tcBorders>
          </w:tcPr>
          <w:p>
            <w:pPr>
              <w:pStyle w:val="TableParagraph"/>
              <w:spacing w:before="206"/>
              <w:ind w:left="519" w:right="347"/>
              <w:jc w:val="center"/>
              <w:rPr>
                <w:sz w:val="24"/>
              </w:rPr>
            </w:pPr>
            <w:r>
              <w:rPr>
                <w:sz w:val="24"/>
              </w:rPr>
              <w:t>71.4</w:t>
            </w:r>
          </w:p>
        </w:tc>
        <w:tc>
          <w:tcPr>
            <w:tcW w:w="1539" w:type="dxa"/>
            <w:tcBorders>
              <w:top w:val="nil"/>
              <w:left w:val="nil"/>
              <w:bottom w:val="nil"/>
              <w:right w:val="nil"/>
            </w:tcBorders>
          </w:tcPr>
          <w:p>
            <w:pPr>
              <w:pStyle w:val="TableParagraph"/>
              <w:spacing w:before="206"/>
              <w:ind w:left="487" w:right="421"/>
              <w:jc w:val="center"/>
              <w:rPr>
                <w:sz w:val="24"/>
              </w:rPr>
            </w:pPr>
            <w:r>
              <w:rPr>
                <w:sz w:val="24"/>
              </w:rPr>
              <w:t>NS</w:t>
            </w:r>
          </w:p>
        </w:tc>
      </w:tr>
      <w:tr>
        <w:trPr>
          <w:trHeight w:val="712"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before="205"/>
              <w:ind w:right="539"/>
              <w:jc w:val="right"/>
              <w:rPr>
                <w:sz w:val="24"/>
              </w:rPr>
            </w:pPr>
            <w:r>
              <w:rPr>
                <w:sz w:val="24"/>
              </w:rPr>
              <w:t>75</w:t>
            </w:r>
          </w:p>
        </w:tc>
        <w:tc>
          <w:tcPr>
            <w:tcW w:w="1632" w:type="dxa"/>
            <w:tcBorders>
              <w:top w:val="nil"/>
              <w:left w:val="nil"/>
              <w:bottom w:val="nil"/>
              <w:right w:val="nil"/>
            </w:tcBorders>
          </w:tcPr>
          <w:p>
            <w:pPr>
              <w:pStyle w:val="TableParagraph"/>
              <w:spacing w:before="205"/>
              <w:ind w:right="599"/>
              <w:jc w:val="right"/>
              <w:rPr>
                <w:sz w:val="24"/>
              </w:rPr>
            </w:pPr>
            <w:r>
              <w:rPr>
                <w:sz w:val="24"/>
              </w:rPr>
              <w:t>70.6</w:t>
            </w:r>
          </w:p>
        </w:tc>
        <w:tc>
          <w:tcPr>
            <w:tcW w:w="1262" w:type="dxa"/>
            <w:tcBorders>
              <w:top w:val="nil"/>
              <w:left w:val="nil"/>
              <w:bottom w:val="nil"/>
              <w:right w:val="nil"/>
            </w:tcBorders>
          </w:tcPr>
          <w:p>
            <w:pPr>
              <w:pStyle w:val="TableParagraph"/>
              <w:spacing w:before="205"/>
              <w:ind w:left="563"/>
              <w:rPr>
                <w:sz w:val="24"/>
              </w:rPr>
            </w:pPr>
            <w:r>
              <w:rPr>
                <w:w w:val="99"/>
                <w:sz w:val="24"/>
              </w:rPr>
              <w:t>2</w:t>
            </w:r>
          </w:p>
        </w:tc>
        <w:tc>
          <w:tcPr>
            <w:tcW w:w="1511" w:type="dxa"/>
            <w:tcBorders>
              <w:top w:val="nil"/>
              <w:left w:val="nil"/>
              <w:bottom w:val="nil"/>
              <w:right w:val="nil"/>
            </w:tcBorders>
          </w:tcPr>
          <w:p>
            <w:pPr>
              <w:pStyle w:val="TableParagraph"/>
              <w:spacing w:before="205"/>
              <w:ind w:left="519" w:right="347"/>
              <w:jc w:val="center"/>
              <w:rPr>
                <w:sz w:val="24"/>
              </w:rPr>
            </w:pPr>
            <w:r>
              <w:rPr>
                <w:sz w:val="24"/>
              </w:rPr>
              <w:t>35.3</w:t>
            </w:r>
          </w:p>
        </w:tc>
        <w:tc>
          <w:tcPr>
            <w:tcW w:w="1539" w:type="dxa"/>
            <w:tcBorders>
              <w:top w:val="nil"/>
              <w:left w:val="nil"/>
              <w:bottom w:val="nil"/>
              <w:right w:val="nil"/>
            </w:tcBorders>
          </w:tcPr>
          <w:p>
            <w:pPr>
              <w:pStyle w:val="TableParagraph"/>
              <w:spacing w:before="205"/>
              <w:ind w:left="487" w:right="421"/>
              <w:jc w:val="center"/>
              <w:rPr>
                <w:sz w:val="24"/>
              </w:rPr>
            </w:pPr>
            <w:r>
              <w:rPr>
                <w:sz w:val="24"/>
              </w:rPr>
              <w:t>NS</w:t>
            </w:r>
          </w:p>
        </w:tc>
      </w:tr>
      <w:tr>
        <w:trPr>
          <w:trHeight w:val="576" w:hRule="exact"/>
        </w:trPr>
        <w:tc>
          <w:tcPr>
            <w:tcW w:w="1665" w:type="dxa"/>
            <w:tcBorders>
              <w:top w:val="nil"/>
              <w:left w:val="nil"/>
              <w:bottom w:val="nil"/>
              <w:right w:val="nil"/>
            </w:tcBorders>
          </w:tcPr>
          <w:p>
            <w:pPr/>
          </w:p>
        </w:tc>
        <w:tc>
          <w:tcPr>
            <w:tcW w:w="1218" w:type="dxa"/>
            <w:tcBorders>
              <w:top w:val="nil"/>
              <w:left w:val="nil"/>
              <w:bottom w:val="nil"/>
              <w:right w:val="nil"/>
            </w:tcBorders>
          </w:tcPr>
          <w:p>
            <w:pPr>
              <w:pStyle w:val="TableParagraph"/>
              <w:spacing w:before="206"/>
              <w:ind w:right="539"/>
              <w:jc w:val="right"/>
              <w:rPr>
                <w:sz w:val="24"/>
              </w:rPr>
            </w:pPr>
            <w:r>
              <w:rPr>
                <w:sz w:val="24"/>
              </w:rPr>
              <w:t>95</w:t>
            </w:r>
          </w:p>
        </w:tc>
        <w:tc>
          <w:tcPr>
            <w:tcW w:w="1632" w:type="dxa"/>
            <w:tcBorders>
              <w:top w:val="nil"/>
              <w:left w:val="nil"/>
              <w:bottom w:val="nil"/>
              <w:right w:val="nil"/>
            </w:tcBorders>
          </w:tcPr>
          <w:p>
            <w:pPr>
              <w:pStyle w:val="TableParagraph"/>
              <w:spacing w:before="206"/>
              <w:ind w:right="599"/>
              <w:jc w:val="right"/>
              <w:rPr>
                <w:sz w:val="24"/>
              </w:rPr>
            </w:pPr>
            <w:r>
              <w:rPr>
                <w:sz w:val="24"/>
              </w:rPr>
              <w:t>48.3</w:t>
            </w:r>
          </w:p>
        </w:tc>
        <w:tc>
          <w:tcPr>
            <w:tcW w:w="1262" w:type="dxa"/>
            <w:tcBorders>
              <w:top w:val="nil"/>
              <w:left w:val="nil"/>
              <w:bottom w:val="nil"/>
              <w:right w:val="nil"/>
            </w:tcBorders>
          </w:tcPr>
          <w:p>
            <w:pPr>
              <w:pStyle w:val="TableParagraph"/>
              <w:spacing w:before="206"/>
              <w:ind w:left="563"/>
              <w:rPr>
                <w:sz w:val="24"/>
              </w:rPr>
            </w:pPr>
            <w:r>
              <w:rPr>
                <w:w w:val="99"/>
                <w:sz w:val="24"/>
              </w:rPr>
              <w:t>2</w:t>
            </w:r>
          </w:p>
        </w:tc>
        <w:tc>
          <w:tcPr>
            <w:tcW w:w="1511" w:type="dxa"/>
            <w:tcBorders>
              <w:top w:val="nil"/>
              <w:left w:val="nil"/>
              <w:bottom w:val="nil"/>
              <w:right w:val="nil"/>
            </w:tcBorders>
          </w:tcPr>
          <w:p>
            <w:pPr>
              <w:pStyle w:val="TableParagraph"/>
              <w:spacing w:before="206"/>
              <w:ind w:left="519" w:right="347"/>
              <w:jc w:val="center"/>
              <w:rPr>
                <w:sz w:val="24"/>
              </w:rPr>
            </w:pPr>
            <w:r>
              <w:rPr>
                <w:sz w:val="24"/>
              </w:rPr>
              <w:t>24.1</w:t>
            </w:r>
          </w:p>
        </w:tc>
        <w:tc>
          <w:tcPr>
            <w:tcW w:w="1539" w:type="dxa"/>
            <w:tcBorders>
              <w:top w:val="nil"/>
              <w:left w:val="nil"/>
              <w:bottom w:val="nil"/>
              <w:right w:val="nil"/>
            </w:tcBorders>
          </w:tcPr>
          <w:p>
            <w:pPr>
              <w:pStyle w:val="TableParagraph"/>
              <w:spacing w:before="206"/>
              <w:ind w:left="487" w:right="421"/>
              <w:jc w:val="center"/>
              <w:rPr>
                <w:sz w:val="24"/>
              </w:rPr>
            </w:pPr>
            <w:r>
              <w:rPr>
                <w:sz w:val="24"/>
              </w:rPr>
              <w:t>NS</w:t>
            </w:r>
          </w:p>
        </w:tc>
      </w:tr>
    </w:tbl>
    <w:p>
      <w:pPr>
        <w:pStyle w:val="BodyText"/>
        <w:spacing w:before="8"/>
        <w:rPr>
          <w:sz w:val="26"/>
        </w:rPr>
      </w:pPr>
      <w:r>
        <w:rPr/>
        <w:pict>
          <v:group style="position:absolute;margin-left:84.110001pt;margin-top:17.328897pt;width:442.6pt;height:.5pt;mso-position-horizontal-relative:page;mso-position-vertical-relative:paragraph;z-index:1720;mso-wrap-distance-left:0;mso-wrap-distance-right:0" coordorigin="1682,347" coordsize="8852,10">
            <v:line style="position:absolute" from="1687,352" to="3173,352" stroked="true" strokeweight=".48pt" strokecolor="#000000"/>
            <v:line style="position:absolute" from="3158,352" to="3168,352" stroked="true" strokeweight=".48pt" strokecolor="#000000"/>
            <v:line style="position:absolute" from="3168,352" to="4644,352" stroked="true" strokeweight=".48pt" strokecolor="#000000"/>
            <v:line style="position:absolute" from="4630,352" to="4639,352" stroked="true" strokeweight=".48pt" strokecolor="#000000"/>
            <v:line style="position:absolute" from="4639,352" to="6115,352" stroked="true" strokeweight=".48pt" strokecolor="#000000"/>
            <v:line style="position:absolute" from="6101,352" to="6110,352" stroked="true" strokeweight=".48pt" strokecolor="#000000"/>
            <v:line style="position:absolute" from="6110,352" to="7586,352" stroked="true" strokeweight=".48pt" strokecolor="#000000"/>
            <v:line style="position:absolute" from="7572,352" to="7582,352" stroked="true" strokeweight=".48pt" strokecolor="#000000"/>
            <v:line style="position:absolute" from="7582,352" to="9058,352" stroked="true" strokeweight=".48pt" strokecolor="#000000"/>
            <v:line style="position:absolute" from="9043,352" to="9053,352" stroked="true" strokeweight=".48pt" strokecolor="#000000"/>
            <v:line style="position:absolute" from="9053,352" to="10529,352" stroked="true" strokeweight=".48pt" strokecolor="#000000"/>
            <w10:wrap type="topAndBottom"/>
          </v:group>
        </w:pict>
      </w:r>
    </w:p>
    <w:p>
      <w:pPr>
        <w:pStyle w:val="BodyText"/>
        <w:spacing w:line="242" w:lineRule="exact"/>
        <w:ind w:left="121"/>
      </w:pPr>
      <w:r>
        <w:rPr>
          <w:color w:val="221E1F"/>
          <w:position w:val="8"/>
          <w:sz w:val="16"/>
        </w:rPr>
        <w:t>z</w:t>
      </w:r>
      <w:r>
        <w:rPr>
          <w:color w:val="221E1F"/>
        </w:rPr>
        <w:t>Valores con la misma letra dentro de factor en cada columna son iguales de</w:t>
      </w:r>
    </w:p>
    <w:p>
      <w:pPr>
        <w:pStyle w:val="BodyText"/>
        <w:spacing w:before="9"/>
        <w:rPr>
          <w:sz w:val="23"/>
        </w:rPr>
      </w:pPr>
    </w:p>
    <w:p>
      <w:pPr>
        <w:pStyle w:val="BodyText"/>
        <w:ind w:left="121"/>
      </w:pPr>
      <w:r>
        <w:rPr>
          <w:color w:val="221E1F"/>
        </w:rPr>
        <w:t>acuerdo con la prueba de Tukey con una </w:t>
      </w:r>
      <w:r>
        <w:rPr>
          <w:i/>
          <w:color w:val="221E1F"/>
        </w:rPr>
        <w:t>P </w:t>
      </w:r>
      <w:r>
        <w:rPr>
          <w:color w:val="221E1F"/>
        </w:rPr>
        <w:t>≤ 0.05.</w:t>
      </w:r>
    </w:p>
    <w:p>
      <w:pPr>
        <w:pStyle w:val="BodyText"/>
        <w:spacing w:before="6"/>
        <w:rPr>
          <w:sz w:val="23"/>
        </w:rPr>
      </w:pPr>
    </w:p>
    <w:p>
      <w:pPr>
        <w:pStyle w:val="BodyText"/>
        <w:ind w:left="121"/>
      </w:pPr>
      <w:r>
        <w:rPr>
          <w:position w:val="8"/>
          <w:sz w:val="16"/>
        </w:rPr>
        <w:t>NS</w:t>
      </w:r>
      <w:r>
        <w:rPr/>
        <w:t>, *, **; no significativo y significativo a una </w:t>
      </w:r>
      <w:r>
        <w:rPr>
          <w:i/>
          <w:color w:val="221E1F"/>
        </w:rPr>
        <w:t>P </w:t>
      </w:r>
      <w:r>
        <w:rPr>
          <w:color w:val="221E1F"/>
        </w:rPr>
        <w:t>≤ 0.05 y 0.01 respectivamente</w:t>
      </w:r>
    </w:p>
    <w:p>
      <w:pPr>
        <w:spacing w:after="0"/>
        <w:sectPr>
          <w:pgSz w:w="12240" w:h="15840"/>
          <w:pgMar w:header="0" w:footer="1005" w:top="1360" w:bottom="1200" w:left="1580" w:right="1600"/>
        </w:sectPr>
      </w:pPr>
    </w:p>
    <w:p>
      <w:pPr>
        <w:pStyle w:val="BodyText"/>
        <w:spacing w:line="482" w:lineRule="auto" w:before="49"/>
        <w:ind w:left="121" w:right="53"/>
      </w:pPr>
      <w:r>
        <w:rPr/>
        <w:t>Cuadro 3. Altura de la planta en </w:t>
      </w:r>
      <w:r>
        <w:rPr>
          <w:i/>
        </w:rPr>
        <w:t>Lilium </w:t>
      </w:r>
      <w:r>
        <w:rPr/>
        <w:t>‘Acapulco’, fertilizado con solución Steiner al sustrato.</w:t>
      </w:r>
    </w:p>
    <w:p>
      <w:pPr>
        <w:pStyle w:val="BodyText"/>
        <w:spacing w:before="4"/>
        <w:rPr>
          <w:sz w:val="11"/>
        </w:rPr>
      </w:pPr>
      <w:r>
        <w:rPr/>
        <w:pict>
          <v:group style="position:absolute;margin-left:84.830002pt;margin-top:8.506487pt;width:441.9pt;height:.5pt;mso-position-horizontal-relative:page;mso-position-vertical-relative:paragraph;z-index:1744;mso-wrap-distance-left:0;mso-wrap-distance-right:0" coordorigin="1697,170" coordsize="8838,10">
            <v:line style="position:absolute" from="1702,175" to="3910,175" stroked="true" strokeweight=".48pt" strokecolor="#000000"/>
            <v:line style="position:absolute" from="3910,175" to="3919,175" stroked="true" strokeweight=".48pt" strokecolor="#000000"/>
            <v:line style="position:absolute" from="3919,175" to="6115,175" stroked="true" strokeweight=".48pt" strokecolor="#000000"/>
            <v:line style="position:absolute" from="6115,175" to="6125,175" stroked="true" strokeweight=".48pt" strokecolor="#000000"/>
            <v:line style="position:absolute" from="6125,175" to="8323,175" stroked="true" strokeweight=".48pt" strokecolor="#000000"/>
            <v:line style="position:absolute" from="8323,175" to="8333,175" stroked="true" strokeweight=".48pt" strokecolor="#000000"/>
            <v:line style="position:absolute" from="8333,175" to="10529,175" stroked="true" strokeweight=".48pt" strokecolor="#000000"/>
            <w10:wrap type="topAndBottom"/>
          </v:group>
        </w:pict>
      </w:r>
    </w:p>
    <w:p>
      <w:pPr>
        <w:pStyle w:val="BodyText"/>
        <w:tabs>
          <w:tab w:pos="3135" w:val="left" w:leader="none"/>
          <w:tab w:pos="5343" w:val="left" w:leader="none"/>
          <w:tab w:pos="7172" w:val="left" w:leader="none"/>
        </w:tabs>
        <w:ind w:left="1038" w:right="378"/>
      </w:pPr>
      <w:r>
        <w:rPr/>
        <w:t>Día</w:t>
        <w:tab/>
        <w:t>10</w:t>
      </w:r>
      <w:r>
        <w:rPr>
          <w:spacing w:val="-1"/>
        </w:rPr>
        <w:t> </w:t>
      </w:r>
      <w:r>
        <w:rPr/>
        <w:t>ml</w:t>
        <w:tab/>
        <w:t>20</w:t>
      </w:r>
      <w:r>
        <w:rPr>
          <w:spacing w:val="-1"/>
        </w:rPr>
        <w:t> </w:t>
      </w:r>
      <w:r>
        <w:rPr/>
        <w:t>ml</w:t>
        <w:tab/>
        <w:t>Significancia</w:t>
      </w:r>
    </w:p>
    <w:p>
      <w:pPr>
        <w:pStyle w:val="BodyText"/>
        <w:rPr>
          <w:sz w:val="20"/>
        </w:rPr>
      </w:pPr>
    </w:p>
    <w:p>
      <w:pPr>
        <w:pStyle w:val="BodyText"/>
        <w:spacing w:before="3" w:after="1"/>
        <w:rPr>
          <w:sz w:val="18"/>
        </w:rPr>
      </w:pPr>
    </w:p>
    <w:p>
      <w:pPr>
        <w:pStyle w:val="BodyText"/>
        <w:spacing w:line="20" w:lineRule="exact"/>
        <w:ind w:left="116"/>
        <w:rPr>
          <w:sz w:val="2"/>
        </w:rPr>
      </w:pPr>
      <w:r>
        <w:rPr>
          <w:sz w:val="2"/>
        </w:rPr>
        <w:pict>
          <v:group style="width:441.9pt;height:.5pt;mso-position-horizontal-relative:char;mso-position-vertical-relative:line" coordorigin="0,0" coordsize="8838,10">
            <v:line style="position:absolute" from="5,5" to="2213,5" stroked="true" strokeweight=".48pt" strokecolor="#000000"/>
            <v:line style="position:absolute" from="2213,5" to="2223,5" stroked="true" strokeweight=".48pt" strokecolor="#000000"/>
            <v:line style="position:absolute" from="2223,5" to="4419,5" stroked="true" strokeweight=".48pt" strokecolor="#000000"/>
            <v:line style="position:absolute" from="4419,5" to="4428,5" stroked="true" strokeweight=".48pt" strokecolor="#000000"/>
            <v:line style="position:absolute" from="4428,5" to="6627,5" stroked="true" strokeweight=".48pt" strokecolor="#000000"/>
            <v:line style="position:absolute" from="6627,5" to="6636,5" stroked="true" strokeweight=".48pt" strokecolor="#000000"/>
            <v:line style="position:absolute" from="6636,5" to="8832,5" stroked="true" strokeweight=".48pt" strokecolor="#000000"/>
          </v:group>
        </w:pict>
      </w:r>
      <w:r>
        <w:rPr>
          <w:sz w:val="2"/>
        </w:rPr>
      </w:r>
    </w:p>
    <w:p>
      <w:pPr>
        <w:spacing w:after="0" w:line="20" w:lineRule="exact"/>
        <w:rPr>
          <w:sz w:val="2"/>
        </w:rPr>
        <w:sectPr>
          <w:pgSz w:w="12240" w:h="15840"/>
          <w:pgMar w:header="0" w:footer="1005" w:top="1360" w:bottom="1200" w:left="1580" w:right="1580"/>
        </w:sectPr>
      </w:pPr>
    </w:p>
    <w:p>
      <w:pPr>
        <w:pStyle w:val="BodyText"/>
        <w:tabs>
          <w:tab w:pos="3195" w:val="left" w:leader="none"/>
        </w:tabs>
        <w:spacing w:line="261" w:lineRule="exact"/>
        <w:ind w:left="1091"/>
      </w:pPr>
      <w:r>
        <w:rPr/>
        <w:t>35</w:t>
        <w:tab/>
        <w:t>22.8</w:t>
      </w:r>
    </w:p>
    <w:p>
      <w:pPr>
        <w:pStyle w:val="BodyText"/>
      </w:pPr>
    </w:p>
    <w:p>
      <w:pPr>
        <w:pStyle w:val="BodyText"/>
        <w:tabs>
          <w:tab w:pos="3195" w:val="left" w:leader="none"/>
        </w:tabs>
        <w:spacing w:before="161"/>
        <w:ind w:left="1091"/>
      </w:pPr>
      <w:r>
        <w:rPr/>
        <w:t>55</w:t>
        <w:tab/>
        <w:t>53.8</w:t>
      </w:r>
    </w:p>
    <w:p>
      <w:pPr>
        <w:pStyle w:val="BodyText"/>
      </w:pPr>
    </w:p>
    <w:p>
      <w:pPr>
        <w:pStyle w:val="BodyText"/>
        <w:tabs>
          <w:tab w:pos="3195" w:val="left" w:leader="none"/>
        </w:tabs>
        <w:spacing w:before="158"/>
        <w:ind w:left="1091"/>
      </w:pPr>
      <w:r>
        <w:rPr/>
        <w:t>75</w:t>
        <w:tab/>
        <w:t>89.0</w:t>
      </w:r>
    </w:p>
    <w:p>
      <w:pPr>
        <w:pStyle w:val="BodyText"/>
      </w:pPr>
    </w:p>
    <w:p>
      <w:pPr>
        <w:pStyle w:val="BodyText"/>
        <w:tabs>
          <w:tab w:pos="3195" w:val="left" w:leader="none"/>
        </w:tabs>
        <w:spacing w:before="161"/>
        <w:ind w:left="1091"/>
      </w:pPr>
      <w:r>
        <w:rPr/>
        <w:t>95</w:t>
        <w:tab/>
        <w:t>98.3</w:t>
      </w:r>
    </w:p>
    <w:p>
      <w:pPr>
        <w:pStyle w:val="BodyText"/>
        <w:tabs>
          <w:tab w:pos="3366" w:val="left" w:leader="none"/>
        </w:tabs>
        <w:spacing w:line="261" w:lineRule="exact"/>
        <w:ind w:left="1091"/>
      </w:pPr>
      <w:r>
        <w:rPr/>
        <w:br w:type="column"/>
      </w:r>
      <w:r>
        <w:rPr/>
        <w:t>21.6</w:t>
        <w:tab/>
        <w:t>NS</w:t>
      </w:r>
    </w:p>
    <w:p>
      <w:pPr>
        <w:pStyle w:val="BodyText"/>
      </w:pPr>
    </w:p>
    <w:p>
      <w:pPr>
        <w:pStyle w:val="BodyText"/>
        <w:tabs>
          <w:tab w:pos="3440" w:val="left" w:leader="none"/>
        </w:tabs>
        <w:spacing w:before="161"/>
        <w:ind w:left="1091"/>
      </w:pPr>
      <w:r>
        <w:rPr/>
        <w:t>47.5</w:t>
        <w:tab/>
        <w:t>**</w:t>
      </w:r>
    </w:p>
    <w:p>
      <w:pPr>
        <w:pStyle w:val="BodyText"/>
      </w:pPr>
    </w:p>
    <w:p>
      <w:pPr>
        <w:pStyle w:val="BodyText"/>
        <w:tabs>
          <w:tab w:pos="3440" w:val="left" w:leader="none"/>
        </w:tabs>
        <w:spacing w:before="158"/>
        <w:ind w:left="1091"/>
      </w:pPr>
      <w:r>
        <w:rPr/>
        <w:t>82.3</w:t>
        <w:tab/>
        <w:t>**</w:t>
      </w:r>
    </w:p>
    <w:p>
      <w:pPr>
        <w:pStyle w:val="BodyText"/>
      </w:pPr>
    </w:p>
    <w:p>
      <w:pPr>
        <w:pStyle w:val="BodyText"/>
        <w:tabs>
          <w:tab w:pos="3440" w:val="left" w:leader="none"/>
        </w:tabs>
        <w:spacing w:before="161"/>
        <w:ind w:left="1191"/>
      </w:pPr>
      <w:r>
        <w:rPr/>
        <w:t>95</w:t>
        <w:tab/>
        <w:t>**</w:t>
      </w:r>
    </w:p>
    <w:p>
      <w:pPr>
        <w:spacing w:after="0"/>
        <w:sectPr>
          <w:type w:val="continuous"/>
          <w:pgSz w:w="12240" w:h="15840"/>
          <w:pgMar w:top="1360" w:bottom="280" w:left="1580" w:right="1580"/>
          <w:cols w:num="2" w:equalWidth="0">
            <w:col w:w="3666" w:space="647"/>
            <w:col w:w="4767"/>
          </w:cols>
        </w:sectPr>
      </w:pPr>
    </w:p>
    <w:p>
      <w:pPr>
        <w:pStyle w:val="BodyText"/>
        <w:rPr>
          <w:sz w:val="20"/>
        </w:rPr>
      </w:pPr>
    </w:p>
    <w:p>
      <w:pPr>
        <w:pStyle w:val="BodyText"/>
        <w:spacing w:before="3" w:after="1"/>
        <w:rPr>
          <w:sz w:val="18"/>
        </w:rPr>
      </w:pPr>
    </w:p>
    <w:p>
      <w:pPr>
        <w:pStyle w:val="BodyText"/>
        <w:spacing w:line="20" w:lineRule="exact"/>
        <w:ind w:left="102"/>
        <w:rPr>
          <w:sz w:val="2"/>
        </w:rPr>
      </w:pPr>
      <w:r>
        <w:rPr>
          <w:sz w:val="2"/>
        </w:rPr>
        <w:pict>
          <v:group style="width:442.6pt;height:.5pt;mso-position-horizontal-relative:char;mso-position-vertical-relative:line" coordorigin="0,0" coordsize="8852,10">
            <v:line style="position:absolute" from="5,5" to="2227,5" stroked="true" strokeweight=".48pt" strokecolor="#000000"/>
            <v:line style="position:absolute" from="2213,5" to="2223,5" stroked="true" strokeweight=".48pt" strokecolor="#000000"/>
            <v:line style="position:absolute" from="2223,5" to="4433,5" stroked="true" strokeweight=".48pt" strokecolor="#000000"/>
            <v:line style="position:absolute" from="4419,5" to="4428,5" stroked="true" strokeweight=".48pt" strokecolor="#000000"/>
            <v:line style="position:absolute" from="4428,5" to="6641,5" stroked="true" strokeweight=".48pt" strokecolor="#000000"/>
            <v:line style="position:absolute" from="6627,5" to="6636,5" stroked="true" strokeweight=".48pt" strokecolor="#000000"/>
            <v:line style="position:absolute" from="6636,5" to="8847,5" stroked="true" strokeweight=".48pt" strokecolor="#000000"/>
          </v:group>
        </w:pict>
      </w:r>
      <w:r>
        <w:rPr>
          <w:sz w:val="2"/>
        </w:rPr>
      </w:r>
    </w:p>
    <w:p>
      <w:pPr>
        <w:pStyle w:val="BodyText"/>
        <w:spacing w:line="480" w:lineRule="auto"/>
        <w:ind w:left="121" w:right="378"/>
      </w:pPr>
      <w:r>
        <w:rPr/>
        <w:t>Los valores son la media de 10 repeticiones, una planta por repetición. ** Significativo al 0.01; NS, no significativo al 0.05.</w:t>
      </w:r>
    </w:p>
    <w:p>
      <w:pPr>
        <w:spacing w:after="0" w:line="480" w:lineRule="auto"/>
        <w:sectPr>
          <w:type w:val="continuous"/>
          <w:pgSz w:w="12240" w:h="15840"/>
          <w:pgMar w:top="1360" w:bottom="280" w:left="1580" w:right="1580"/>
        </w:sectPr>
      </w:pPr>
    </w:p>
    <w:p>
      <w:pPr>
        <w:pStyle w:val="BodyText"/>
        <w:spacing w:before="49"/>
        <w:ind w:left="121"/>
      </w:pPr>
      <w:r>
        <w:rPr>
          <w:color w:val="221E1F"/>
        </w:rPr>
        <w:t>Cuadro 4. Altura de la planta en </w:t>
      </w:r>
      <w:r>
        <w:rPr>
          <w:i/>
        </w:rPr>
        <w:t>Lilium </w:t>
      </w:r>
      <w:r>
        <w:rPr/>
        <w:t>‘Acapulco’ al aplicar zinc y magnesio.</w:t>
      </w:r>
    </w:p>
    <w:p>
      <w:pPr>
        <w:pStyle w:val="BodyText"/>
        <w:rPr>
          <w:sz w:val="20"/>
        </w:rPr>
      </w:pPr>
    </w:p>
    <w:p>
      <w:pPr>
        <w:pStyle w:val="BodyText"/>
        <w:spacing w:before="11"/>
        <w:rPr>
          <w:sz w:val="18"/>
        </w:r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8"/>
        <w:gridCol w:w="1712"/>
        <w:gridCol w:w="1766"/>
        <w:gridCol w:w="1765"/>
        <w:gridCol w:w="1766"/>
      </w:tblGrid>
      <w:tr>
        <w:trPr>
          <w:trHeight w:val="767" w:hRule="exact"/>
        </w:trPr>
        <w:tc>
          <w:tcPr>
            <w:tcW w:w="1818" w:type="dxa"/>
            <w:tcBorders>
              <w:left w:val="nil"/>
              <w:bottom w:val="nil"/>
              <w:right w:val="nil"/>
            </w:tcBorders>
          </w:tcPr>
          <w:p>
            <w:pPr>
              <w:pStyle w:val="TableParagraph"/>
              <w:spacing w:line="360" w:lineRule="auto"/>
              <w:ind w:left="107" w:right="825"/>
              <w:rPr>
                <w:sz w:val="24"/>
              </w:rPr>
            </w:pPr>
            <w:r>
              <w:rPr>
                <w:sz w:val="24"/>
              </w:rPr>
              <w:t>Dosis Zn –</w:t>
            </w:r>
            <w:r>
              <w:rPr>
                <w:spacing w:val="-1"/>
                <w:sz w:val="24"/>
              </w:rPr>
              <w:t> </w:t>
            </w:r>
            <w:r>
              <w:rPr>
                <w:sz w:val="24"/>
              </w:rPr>
              <w:t>Mg</w:t>
            </w:r>
          </w:p>
        </w:tc>
        <w:tc>
          <w:tcPr>
            <w:tcW w:w="1712" w:type="dxa"/>
            <w:tcBorders>
              <w:left w:val="nil"/>
              <w:bottom w:val="nil"/>
              <w:right w:val="nil"/>
            </w:tcBorders>
          </w:tcPr>
          <w:p>
            <w:pPr>
              <w:pStyle w:val="TableParagraph"/>
              <w:spacing w:line="274" w:lineRule="exact"/>
              <w:ind w:left="676" w:right="728"/>
              <w:jc w:val="center"/>
              <w:rPr>
                <w:sz w:val="24"/>
              </w:rPr>
            </w:pPr>
            <w:r>
              <w:rPr>
                <w:sz w:val="24"/>
              </w:rPr>
              <w:t>35</w:t>
            </w:r>
          </w:p>
        </w:tc>
        <w:tc>
          <w:tcPr>
            <w:tcW w:w="1766" w:type="dxa"/>
            <w:tcBorders>
              <w:left w:val="nil"/>
              <w:bottom w:val="nil"/>
              <w:right w:val="nil"/>
            </w:tcBorders>
          </w:tcPr>
          <w:p>
            <w:pPr>
              <w:pStyle w:val="TableParagraph"/>
              <w:spacing w:line="274" w:lineRule="exact"/>
              <w:ind w:left="729" w:right="729"/>
              <w:jc w:val="center"/>
              <w:rPr>
                <w:sz w:val="24"/>
              </w:rPr>
            </w:pPr>
            <w:r>
              <w:rPr>
                <w:sz w:val="24"/>
              </w:rPr>
              <w:t>55</w:t>
            </w:r>
          </w:p>
        </w:tc>
        <w:tc>
          <w:tcPr>
            <w:tcW w:w="1765" w:type="dxa"/>
            <w:tcBorders>
              <w:left w:val="nil"/>
              <w:bottom w:val="nil"/>
              <w:right w:val="nil"/>
            </w:tcBorders>
          </w:tcPr>
          <w:p>
            <w:pPr>
              <w:pStyle w:val="TableParagraph"/>
              <w:spacing w:line="274" w:lineRule="exact"/>
              <w:ind w:left="728" w:right="729"/>
              <w:jc w:val="center"/>
              <w:rPr>
                <w:sz w:val="24"/>
              </w:rPr>
            </w:pPr>
            <w:r>
              <w:rPr>
                <w:sz w:val="24"/>
              </w:rPr>
              <w:t>75</w:t>
            </w:r>
          </w:p>
        </w:tc>
        <w:tc>
          <w:tcPr>
            <w:tcW w:w="1766" w:type="dxa"/>
            <w:tcBorders>
              <w:left w:val="nil"/>
              <w:bottom w:val="nil"/>
              <w:right w:val="nil"/>
            </w:tcBorders>
          </w:tcPr>
          <w:p>
            <w:pPr>
              <w:pStyle w:val="TableParagraph"/>
              <w:spacing w:line="274" w:lineRule="exact"/>
              <w:ind w:left="728" w:right="729"/>
              <w:jc w:val="center"/>
              <w:rPr>
                <w:sz w:val="24"/>
              </w:rPr>
            </w:pPr>
            <w:r>
              <w:rPr>
                <w:sz w:val="24"/>
              </w:rPr>
              <w:t>95</w:t>
            </w:r>
          </w:p>
        </w:tc>
      </w:tr>
      <w:tr>
        <w:trPr>
          <w:trHeight w:val="485" w:hRule="exact"/>
        </w:trPr>
        <w:tc>
          <w:tcPr>
            <w:tcW w:w="1818" w:type="dxa"/>
            <w:tcBorders>
              <w:top w:val="nil"/>
              <w:left w:val="nil"/>
              <w:right w:val="nil"/>
            </w:tcBorders>
          </w:tcPr>
          <w:p>
            <w:pPr>
              <w:pStyle w:val="TableParagraph"/>
              <w:spacing w:before="58"/>
              <w:ind w:left="107"/>
              <w:rPr>
                <w:sz w:val="24"/>
              </w:rPr>
            </w:pPr>
            <w:r>
              <w:rPr>
                <w:sz w:val="24"/>
              </w:rPr>
              <w:t>(mg·litro</w:t>
            </w:r>
            <w:r>
              <w:rPr>
                <w:position w:val="8"/>
                <w:sz w:val="16"/>
              </w:rPr>
              <w:t>-1</w:t>
            </w:r>
            <w:r>
              <w:rPr>
                <w:sz w:val="24"/>
              </w:rPr>
              <w:t>)</w:t>
            </w:r>
          </w:p>
        </w:tc>
        <w:tc>
          <w:tcPr>
            <w:tcW w:w="1712" w:type="dxa"/>
            <w:tcBorders>
              <w:top w:val="nil"/>
              <w:left w:val="nil"/>
              <w:right w:val="nil"/>
            </w:tcBorders>
          </w:tcPr>
          <w:p>
            <w:pPr/>
          </w:p>
        </w:tc>
        <w:tc>
          <w:tcPr>
            <w:tcW w:w="1766" w:type="dxa"/>
            <w:tcBorders>
              <w:top w:val="nil"/>
              <w:left w:val="nil"/>
              <w:right w:val="nil"/>
            </w:tcBorders>
          </w:tcPr>
          <w:p>
            <w:pPr/>
          </w:p>
        </w:tc>
        <w:tc>
          <w:tcPr>
            <w:tcW w:w="1765" w:type="dxa"/>
            <w:tcBorders>
              <w:top w:val="nil"/>
              <w:left w:val="nil"/>
              <w:right w:val="nil"/>
            </w:tcBorders>
          </w:tcPr>
          <w:p>
            <w:pPr/>
          </w:p>
        </w:tc>
        <w:tc>
          <w:tcPr>
            <w:tcW w:w="1766" w:type="dxa"/>
            <w:tcBorders>
              <w:top w:val="nil"/>
              <w:left w:val="nil"/>
              <w:right w:val="nil"/>
            </w:tcBorders>
          </w:tcPr>
          <w:p>
            <w:pPr/>
          </w:p>
        </w:tc>
      </w:tr>
      <w:tr>
        <w:trPr>
          <w:trHeight w:val="507" w:hRule="exact"/>
        </w:trPr>
        <w:tc>
          <w:tcPr>
            <w:tcW w:w="1818" w:type="dxa"/>
            <w:tcBorders>
              <w:left w:val="nil"/>
              <w:bottom w:val="nil"/>
              <w:right w:val="nil"/>
            </w:tcBorders>
          </w:tcPr>
          <w:p>
            <w:pPr>
              <w:pStyle w:val="TableParagraph"/>
              <w:spacing w:line="272" w:lineRule="exact"/>
              <w:ind w:left="595" w:right="647"/>
              <w:jc w:val="center"/>
              <w:rPr>
                <w:sz w:val="24"/>
              </w:rPr>
            </w:pPr>
            <w:r>
              <w:rPr>
                <w:color w:val="221E1F"/>
                <w:sz w:val="24"/>
              </w:rPr>
              <w:t>0 – 0</w:t>
            </w:r>
          </w:p>
        </w:tc>
        <w:tc>
          <w:tcPr>
            <w:tcW w:w="1712" w:type="dxa"/>
            <w:tcBorders>
              <w:left w:val="nil"/>
              <w:bottom w:val="nil"/>
              <w:right w:val="nil"/>
            </w:tcBorders>
          </w:tcPr>
          <w:p>
            <w:pPr>
              <w:pStyle w:val="TableParagraph"/>
              <w:spacing w:line="272" w:lineRule="exact"/>
              <w:ind w:left="493"/>
              <w:rPr>
                <w:sz w:val="24"/>
              </w:rPr>
            </w:pPr>
            <w:r>
              <w:rPr>
                <w:color w:val="221E1F"/>
                <w:sz w:val="24"/>
              </w:rPr>
              <w:t>21.2 a</w:t>
            </w:r>
          </w:p>
        </w:tc>
        <w:tc>
          <w:tcPr>
            <w:tcW w:w="1766" w:type="dxa"/>
            <w:tcBorders>
              <w:left w:val="nil"/>
              <w:bottom w:val="nil"/>
              <w:right w:val="nil"/>
            </w:tcBorders>
          </w:tcPr>
          <w:p>
            <w:pPr>
              <w:pStyle w:val="TableParagraph"/>
              <w:spacing w:line="272" w:lineRule="exact"/>
              <w:ind w:left="550"/>
              <w:rPr>
                <w:sz w:val="24"/>
              </w:rPr>
            </w:pPr>
            <w:r>
              <w:rPr>
                <w:color w:val="221E1F"/>
                <w:sz w:val="24"/>
              </w:rPr>
              <w:t>48.1 b</w:t>
            </w:r>
          </w:p>
        </w:tc>
        <w:tc>
          <w:tcPr>
            <w:tcW w:w="1765" w:type="dxa"/>
            <w:tcBorders>
              <w:left w:val="nil"/>
              <w:bottom w:val="nil"/>
              <w:right w:val="nil"/>
            </w:tcBorders>
          </w:tcPr>
          <w:p>
            <w:pPr>
              <w:pStyle w:val="TableParagraph"/>
              <w:spacing w:line="272" w:lineRule="exact"/>
              <w:ind w:left="547"/>
              <w:rPr>
                <w:sz w:val="24"/>
              </w:rPr>
            </w:pPr>
            <w:r>
              <w:rPr>
                <w:color w:val="221E1F"/>
                <w:sz w:val="24"/>
              </w:rPr>
              <w:t>82.3 b</w:t>
            </w:r>
          </w:p>
        </w:tc>
        <w:tc>
          <w:tcPr>
            <w:tcW w:w="1766" w:type="dxa"/>
            <w:tcBorders>
              <w:left w:val="nil"/>
              <w:bottom w:val="nil"/>
              <w:right w:val="nil"/>
            </w:tcBorders>
          </w:tcPr>
          <w:p>
            <w:pPr>
              <w:pStyle w:val="TableParagraph"/>
              <w:spacing w:line="272" w:lineRule="exact"/>
              <w:ind w:left="548"/>
              <w:rPr>
                <w:sz w:val="24"/>
              </w:rPr>
            </w:pPr>
            <w:r>
              <w:rPr>
                <w:color w:val="221E1F"/>
                <w:sz w:val="24"/>
              </w:rPr>
              <w:t>95.6 b</w:t>
            </w:r>
          </w:p>
        </w:tc>
      </w:tr>
      <w:tr>
        <w:trPr>
          <w:trHeight w:val="712" w:hRule="exact"/>
        </w:trPr>
        <w:tc>
          <w:tcPr>
            <w:tcW w:w="1818" w:type="dxa"/>
            <w:tcBorders>
              <w:top w:val="nil"/>
              <w:left w:val="nil"/>
              <w:bottom w:val="nil"/>
              <w:right w:val="nil"/>
            </w:tcBorders>
          </w:tcPr>
          <w:p>
            <w:pPr>
              <w:pStyle w:val="TableParagraph"/>
              <w:spacing w:before="206"/>
              <w:ind w:right="532"/>
              <w:jc w:val="right"/>
              <w:rPr>
                <w:sz w:val="24"/>
              </w:rPr>
            </w:pPr>
            <w:r>
              <w:rPr>
                <w:color w:val="221E1F"/>
                <w:sz w:val="24"/>
              </w:rPr>
              <w:t>72 – 80</w:t>
            </w:r>
          </w:p>
        </w:tc>
        <w:tc>
          <w:tcPr>
            <w:tcW w:w="1712" w:type="dxa"/>
            <w:tcBorders>
              <w:top w:val="nil"/>
              <w:left w:val="nil"/>
              <w:bottom w:val="nil"/>
              <w:right w:val="nil"/>
            </w:tcBorders>
          </w:tcPr>
          <w:p>
            <w:pPr>
              <w:pStyle w:val="TableParagraph"/>
              <w:spacing w:before="206"/>
              <w:ind w:left="493"/>
              <w:rPr>
                <w:sz w:val="24"/>
              </w:rPr>
            </w:pPr>
            <w:r>
              <w:rPr>
                <w:color w:val="221E1F"/>
                <w:sz w:val="24"/>
              </w:rPr>
              <w:t>21.5 a</w:t>
            </w:r>
          </w:p>
        </w:tc>
        <w:tc>
          <w:tcPr>
            <w:tcW w:w="1766" w:type="dxa"/>
            <w:tcBorders>
              <w:top w:val="nil"/>
              <w:left w:val="nil"/>
              <w:bottom w:val="nil"/>
              <w:right w:val="nil"/>
            </w:tcBorders>
          </w:tcPr>
          <w:p>
            <w:pPr>
              <w:pStyle w:val="TableParagraph"/>
              <w:spacing w:before="206"/>
              <w:ind w:left="550"/>
              <w:rPr>
                <w:sz w:val="24"/>
              </w:rPr>
            </w:pPr>
            <w:r>
              <w:rPr>
                <w:color w:val="221E1F"/>
                <w:sz w:val="24"/>
              </w:rPr>
              <w:t>47.1 b</w:t>
            </w:r>
          </w:p>
        </w:tc>
        <w:tc>
          <w:tcPr>
            <w:tcW w:w="1765" w:type="dxa"/>
            <w:tcBorders>
              <w:top w:val="nil"/>
              <w:left w:val="nil"/>
              <w:bottom w:val="nil"/>
              <w:right w:val="nil"/>
            </w:tcBorders>
          </w:tcPr>
          <w:p>
            <w:pPr>
              <w:pStyle w:val="TableParagraph"/>
              <w:spacing w:before="206"/>
              <w:ind w:left="547"/>
              <w:rPr>
                <w:sz w:val="24"/>
              </w:rPr>
            </w:pPr>
            <w:r>
              <w:rPr>
                <w:color w:val="221E1F"/>
                <w:sz w:val="24"/>
              </w:rPr>
              <w:t>83.1 b</w:t>
            </w:r>
          </w:p>
        </w:tc>
        <w:tc>
          <w:tcPr>
            <w:tcW w:w="1766" w:type="dxa"/>
            <w:tcBorders>
              <w:top w:val="nil"/>
              <w:left w:val="nil"/>
              <w:bottom w:val="nil"/>
              <w:right w:val="nil"/>
            </w:tcBorders>
          </w:tcPr>
          <w:p>
            <w:pPr>
              <w:pStyle w:val="TableParagraph"/>
              <w:spacing w:before="206"/>
              <w:ind w:left="548"/>
              <w:rPr>
                <w:sz w:val="24"/>
              </w:rPr>
            </w:pPr>
            <w:r>
              <w:rPr>
                <w:color w:val="221E1F"/>
                <w:sz w:val="24"/>
              </w:rPr>
              <w:t>94.1 b</w:t>
            </w:r>
          </w:p>
        </w:tc>
      </w:tr>
      <w:tr>
        <w:trPr>
          <w:trHeight w:val="575" w:hRule="exact"/>
        </w:trPr>
        <w:tc>
          <w:tcPr>
            <w:tcW w:w="1818" w:type="dxa"/>
            <w:tcBorders>
              <w:top w:val="nil"/>
              <w:left w:val="nil"/>
              <w:bottom w:val="nil"/>
              <w:right w:val="nil"/>
            </w:tcBorders>
          </w:tcPr>
          <w:p>
            <w:pPr>
              <w:pStyle w:val="TableParagraph"/>
              <w:spacing w:before="205"/>
              <w:ind w:right="491"/>
              <w:jc w:val="right"/>
              <w:rPr>
                <w:sz w:val="24"/>
              </w:rPr>
            </w:pPr>
            <w:r>
              <w:rPr>
                <w:color w:val="221E1F"/>
                <w:sz w:val="24"/>
              </w:rPr>
              <w:t>144-160</w:t>
            </w:r>
          </w:p>
        </w:tc>
        <w:tc>
          <w:tcPr>
            <w:tcW w:w="1712" w:type="dxa"/>
            <w:tcBorders>
              <w:top w:val="nil"/>
              <w:left w:val="nil"/>
              <w:bottom w:val="nil"/>
              <w:right w:val="nil"/>
            </w:tcBorders>
          </w:tcPr>
          <w:p>
            <w:pPr>
              <w:pStyle w:val="TableParagraph"/>
              <w:spacing w:before="205"/>
              <w:ind w:left="493"/>
              <w:rPr>
                <w:sz w:val="24"/>
              </w:rPr>
            </w:pPr>
            <w:r>
              <w:rPr>
                <w:color w:val="221E1F"/>
                <w:sz w:val="24"/>
              </w:rPr>
              <w:t>23.9 a</w:t>
            </w:r>
          </w:p>
        </w:tc>
        <w:tc>
          <w:tcPr>
            <w:tcW w:w="1766" w:type="dxa"/>
            <w:tcBorders>
              <w:top w:val="nil"/>
              <w:left w:val="nil"/>
              <w:bottom w:val="nil"/>
              <w:right w:val="nil"/>
            </w:tcBorders>
          </w:tcPr>
          <w:p>
            <w:pPr>
              <w:pStyle w:val="TableParagraph"/>
              <w:spacing w:before="205"/>
              <w:ind w:left="550"/>
              <w:rPr>
                <w:sz w:val="24"/>
              </w:rPr>
            </w:pPr>
            <w:r>
              <w:rPr>
                <w:color w:val="221E1F"/>
                <w:sz w:val="24"/>
              </w:rPr>
              <w:t>56.5 a</w:t>
            </w:r>
          </w:p>
        </w:tc>
        <w:tc>
          <w:tcPr>
            <w:tcW w:w="1765" w:type="dxa"/>
            <w:tcBorders>
              <w:top w:val="nil"/>
              <w:left w:val="nil"/>
              <w:bottom w:val="nil"/>
              <w:right w:val="nil"/>
            </w:tcBorders>
          </w:tcPr>
          <w:p>
            <w:pPr>
              <w:pStyle w:val="TableParagraph"/>
              <w:spacing w:before="205"/>
              <w:ind w:left="547"/>
              <w:rPr>
                <w:sz w:val="24"/>
              </w:rPr>
            </w:pPr>
            <w:r>
              <w:rPr>
                <w:color w:val="221E1F"/>
                <w:sz w:val="24"/>
              </w:rPr>
              <w:t>90.9 a</w:t>
            </w:r>
          </w:p>
        </w:tc>
        <w:tc>
          <w:tcPr>
            <w:tcW w:w="1766" w:type="dxa"/>
            <w:tcBorders>
              <w:top w:val="nil"/>
              <w:left w:val="nil"/>
              <w:bottom w:val="nil"/>
              <w:right w:val="nil"/>
            </w:tcBorders>
          </w:tcPr>
          <w:p>
            <w:pPr>
              <w:pStyle w:val="TableParagraph"/>
              <w:spacing w:before="205"/>
              <w:ind w:left="548"/>
              <w:rPr>
                <w:sz w:val="24"/>
              </w:rPr>
            </w:pPr>
            <w:r>
              <w:rPr>
                <w:color w:val="221E1F"/>
                <w:sz w:val="24"/>
              </w:rPr>
              <w:t>99.5 a</w:t>
            </w:r>
          </w:p>
        </w:tc>
      </w:tr>
    </w:tbl>
    <w:p>
      <w:pPr>
        <w:pStyle w:val="BodyText"/>
        <w:spacing w:before="8"/>
        <w:rPr>
          <w:sz w:val="26"/>
        </w:rPr>
      </w:pPr>
      <w:r>
        <w:rPr/>
        <w:pict>
          <v:group style="position:absolute;margin-left:84.110001pt;margin-top:17.328777pt;width:442.6pt;height:.5pt;mso-position-horizontal-relative:page;mso-position-vertical-relative:paragraph;z-index:1816;mso-wrap-distance-left:0;mso-wrap-distance-right:0" coordorigin="1682,347" coordsize="8852,10">
            <v:line style="position:absolute" from="1687,352" to="3466,352" stroked="true" strokeweight=".48pt" strokecolor="#000000"/>
            <v:line style="position:absolute" from="3451,352" to="3461,352" stroked="true" strokeweight=".48pt" strokecolor="#000000"/>
            <v:line style="position:absolute" from="3461,352" to="5232,352" stroked="true" strokeweight=".48pt" strokecolor="#000000"/>
            <v:line style="position:absolute" from="5218,352" to="5227,352" stroked="true" strokeweight=".48pt" strokecolor="#000000"/>
            <v:line style="position:absolute" from="5227,352" to="6998,352" stroked="true" strokeweight=".48pt" strokecolor="#000000"/>
            <v:line style="position:absolute" from="6984,352" to="6994,352" stroked="true" strokeweight=".48pt" strokecolor="#000000"/>
            <v:line style="position:absolute" from="6994,352" to="8765,352" stroked="true" strokeweight=".48pt" strokecolor="#000000"/>
            <v:line style="position:absolute" from="8750,352" to="8760,352" stroked="true" strokeweight=".48pt" strokecolor="#000000"/>
            <v:line style="position:absolute" from="8760,352" to="10529,352" stroked="true" strokeweight=".48pt" strokecolor="#000000"/>
            <w10:wrap type="topAndBottom"/>
          </v:group>
        </w:pict>
      </w:r>
    </w:p>
    <w:p>
      <w:pPr>
        <w:pStyle w:val="BodyText"/>
        <w:spacing w:line="242" w:lineRule="exact"/>
        <w:ind w:left="121"/>
      </w:pPr>
      <w:r>
        <w:rPr/>
        <w:t>Los valores son la media de 10 repeticiones, una planta por repetición. Valores</w:t>
      </w:r>
    </w:p>
    <w:p>
      <w:pPr>
        <w:pStyle w:val="BodyText"/>
      </w:pPr>
    </w:p>
    <w:p>
      <w:pPr>
        <w:pStyle w:val="BodyText"/>
        <w:ind w:left="121"/>
      </w:pPr>
      <w:r>
        <w:rPr/>
        <w:t>con letras iguales no son diferentes con la prueba de Tukey al 0.05.</w:t>
      </w:r>
    </w:p>
    <w:p>
      <w:pPr>
        <w:spacing w:after="0"/>
        <w:sectPr>
          <w:pgSz w:w="12240" w:h="15840"/>
          <w:pgMar w:header="0" w:footer="1005" w:top="1360" w:bottom="1200" w:left="1580" w:right="1600"/>
        </w:sectPr>
      </w:pPr>
    </w:p>
    <w:p>
      <w:pPr>
        <w:pStyle w:val="BodyText"/>
        <w:spacing w:line="477" w:lineRule="auto" w:before="51"/>
        <w:ind w:left="121"/>
      </w:pPr>
      <w:r>
        <w:rPr/>
        <w:pict>
          <v:shape style="position:absolute;margin-left:85.080002pt;margin-top:58.205605pt;width:441.4pt;height:.1pt;mso-position-horizontal-relative:page;mso-position-vertical-relative:paragraph;z-index:1864" coordorigin="1702,1164" coordsize="8828,0" path="m1702,1164l4642,1164m4642,1164l4651,1164m4651,1164l7586,1164m7586,1164l7596,1164m7596,1164l10529,1164e" filled="false" stroked="true" strokeweight=".48pt" strokecolor="#000000">
            <v:path arrowok="t"/>
            <w10:wrap type="none"/>
          </v:shape>
        </w:pict>
      </w:r>
      <w:r>
        <w:rPr/>
        <w:t>Cuadro 5. Efecto de la fertilización con solución Steiner, zinc y magnesio sobre lecturas SPAD en </w:t>
      </w:r>
      <w:r>
        <w:rPr>
          <w:i/>
        </w:rPr>
        <w:t>Lilium</w:t>
      </w:r>
      <w:r>
        <w:rPr/>
        <w:t>‘Acapulco’.</w:t>
      </w:r>
    </w:p>
    <w:p>
      <w:pPr>
        <w:spacing w:after="0" w:line="477" w:lineRule="auto"/>
        <w:sectPr>
          <w:pgSz w:w="12240" w:h="15840"/>
          <w:pgMar w:header="0" w:footer="1005" w:top="1360" w:bottom="1200" w:left="1580" w:right="1600"/>
        </w:sectPr>
      </w:pPr>
    </w:p>
    <w:p>
      <w:pPr>
        <w:pStyle w:val="BodyText"/>
        <w:spacing w:line="360" w:lineRule="auto" w:before="27"/>
        <w:ind w:left="1043" w:right="-17" w:hanging="293"/>
      </w:pPr>
      <w:r>
        <w:rPr/>
        <w:t>Día después de plantación</w:t>
      </w:r>
    </w:p>
    <w:p>
      <w:pPr>
        <w:pStyle w:val="BodyText"/>
        <w:spacing w:line="360" w:lineRule="auto" w:before="27"/>
        <w:ind w:left="750"/>
        <w:jc w:val="center"/>
      </w:pPr>
      <w:r>
        <w:rPr/>
        <w:br w:type="column"/>
      </w:r>
      <w:r>
        <w:rPr>
          <w:spacing w:val="-1"/>
        </w:rPr>
        <w:t>Tratamiento </w:t>
      </w:r>
      <w:r>
        <w:rPr/>
        <w:t>Zn – Mg (mg·litro</w:t>
      </w:r>
      <w:r>
        <w:rPr>
          <w:position w:val="8"/>
          <w:sz w:val="16"/>
        </w:rPr>
        <w:t>-1</w:t>
      </w:r>
      <w:r>
        <w:rPr/>
        <w:t>) 0 -</w:t>
      </w:r>
      <w:r>
        <w:rPr>
          <w:spacing w:val="-1"/>
        </w:rPr>
        <w:t> </w:t>
      </w:r>
      <w:r>
        <w:rPr/>
        <w:t>0</w:t>
      </w:r>
    </w:p>
    <w:p>
      <w:pPr>
        <w:pStyle w:val="BodyText"/>
        <w:spacing w:before="142"/>
        <w:ind w:left="747"/>
        <w:jc w:val="center"/>
      </w:pPr>
      <w:r>
        <w:rPr/>
        <w:pict>
          <v:shape style="position:absolute;margin-left:85.080002pt;margin-top:-20.524382pt;width:441.4pt;height:.1pt;mso-position-horizontal-relative:page;mso-position-vertical-relative:paragraph;z-index:-84688" coordorigin="1702,-410" coordsize="8828,0" path="m1702,-410l4642,-410m4642,-410l4651,-410m4651,-410l7586,-410m7586,-410l7596,-410m7596,-410l10529,-410e" filled="false" stroked="true" strokeweight=".48pt" strokecolor="#000000">
            <v:path arrowok="t"/>
            <w10:wrap type="none"/>
          </v:shape>
        </w:pict>
      </w:r>
      <w:r>
        <w:rPr/>
        <w:pict>
          <v:shape style="position:absolute;margin-left:146.809937pt;margin-top:16.656853pt;width:327.85pt;height:285pt;mso-position-horizontal-relative:page;mso-position-vertical-relative:paragraph;z-index:19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3"/>
                    <w:gridCol w:w="3149"/>
                    <w:gridCol w:w="1855"/>
                  </w:tblGrid>
                  <w:tr>
                    <w:trPr>
                      <w:trHeight w:val="787" w:hRule="exact"/>
                    </w:trPr>
                    <w:tc>
                      <w:tcPr>
                        <w:tcW w:w="1553" w:type="dxa"/>
                      </w:tcPr>
                      <w:p>
                        <w:pPr>
                          <w:pStyle w:val="TableParagraph"/>
                          <w:spacing w:line="246" w:lineRule="exact"/>
                          <w:ind w:left="102"/>
                          <w:rPr>
                            <w:sz w:val="24"/>
                          </w:rPr>
                        </w:pPr>
                        <w:r>
                          <w:rPr>
                            <w:sz w:val="24"/>
                          </w:rPr>
                          <w:t>43</w:t>
                        </w:r>
                      </w:p>
                    </w:tc>
                    <w:tc>
                      <w:tcPr>
                        <w:tcW w:w="3149" w:type="dxa"/>
                      </w:tcPr>
                      <w:p>
                        <w:pPr>
                          <w:pStyle w:val="TableParagraph"/>
                          <w:spacing w:before="4"/>
                          <w:rPr>
                            <w:sz w:val="31"/>
                          </w:rPr>
                        </w:pPr>
                      </w:p>
                      <w:p>
                        <w:pPr>
                          <w:pStyle w:val="TableParagraph"/>
                          <w:ind w:left="1096" w:right="998"/>
                          <w:jc w:val="center"/>
                          <w:rPr>
                            <w:sz w:val="24"/>
                          </w:rPr>
                        </w:pPr>
                        <w:r>
                          <w:rPr>
                            <w:sz w:val="24"/>
                          </w:rPr>
                          <w:t>144 - 160</w:t>
                        </w:r>
                      </w:p>
                    </w:tc>
                    <w:tc>
                      <w:tcPr>
                        <w:tcW w:w="1855" w:type="dxa"/>
                      </w:tcPr>
                      <w:p>
                        <w:pPr>
                          <w:pStyle w:val="TableParagraph"/>
                          <w:spacing w:before="4"/>
                          <w:rPr>
                            <w:sz w:val="31"/>
                          </w:rPr>
                        </w:pPr>
                      </w:p>
                      <w:p>
                        <w:pPr>
                          <w:pStyle w:val="TableParagraph"/>
                          <w:ind w:right="100"/>
                          <w:jc w:val="right"/>
                          <w:rPr>
                            <w:sz w:val="24"/>
                          </w:rPr>
                        </w:pPr>
                        <w:r>
                          <w:rPr>
                            <w:sz w:val="24"/>
                          </w:rPr>
                          <w:t>27.5 a</w:t>
                        </w:r>
                      </w:p>
                    </w:tc>
                  </w:tr>
                  <w:tr>
                    <w:trPr>
                      <w:trHeight w:val="552" w:hRule="exact"/>
                    </w:trPr>
                    <w:tc>
                      <w:tcPr>
                        <w:tcW w:w="1553" w:type="dxa"/>
                      </w:tcPr>
                      <w:p>
                        <w:pPr/>
                      </w:p>
                    </w:tc>
                    <w:tc>
                      <w:tcPr>
                        <w:tcW w:w="3149" w:type="dxa"/>
                      </w:tcPr>
                      <w:p>
                        <w:pPr>
                          <w:pStyle w:val="TableParagraph"/>
                          <w:spacing w:before="125"/>
                          <w:ind w:left="1096" w:right="996"/>
                          <w:jc w:val="center"/>
                          <w:rPr>
                            <w:sz w:val="24"/>
                          </w:rPr>
                        </w:pPr>
                        <w:r>
                          <w:rPr>
                            <w:sz w:val="24"/>
                          </w:rPr>
                          <w:t>0 - 0</w:t>
                        </w:r>
                      </w:p>
                    </w:tc>
                    <w:tc>
                      <w:tcPr>
                        <w:tcW w:w="1855" w:type="dxa"/>
                      </w:tcPr>
                      <w:p>
                        <w:pPr>
                          <w:pStyle w:val="TableParagraph"/>
                          <w:spacing w:before="125"/>
                          <w:ind w:right="100"/>
                          <w:jc w:val="right"/>
                          <w:rPr>
                            <w:sz w:val="24"/>
                          </w:rPr>
                        </w:pPr>
                        <w:r>
                          <w:rPr>
                            <w:sz w:val="24"/>
                          </w:rPr>
                          <w:t>46.1 b</w:t>
                        </w:r>
                      </w:p>
                    </w:tc>
                  </w:tr>
                  <w:tr>
                    <w:trPr>
                      <w:trHeight w:val="552" w:hRule="exact"/>
                    </w:trPr>
                    <w:tc>
                      <w:tcPr>
                        <w:tcW w:w="1553" w:type="dxa"/>
                      </w:tcPr>
                      <w:p>
                        <w:pPr>
                          <w:pStyle w:val="TableParagraph"/>
                          <w:spacing w:before="53"/>
                          <w:ind w:left="102"/>
                          <w:rPr>
                            <w:sz w:val="24"/>
                          </w:rPr>
                        </w:pPr>
                        <w:r>
                          <w:rPr>
                            <w:sz w:val="24"/>
                          </w:rPr>
                          <w:t>63</w:t>
                        </w:r>
                      </w:p>
                    </w:tc>
                    <w:tc>
                      <w:tcPr>
                        <w:tcW w:w="3149" w:type="dxa"/>
                      </w:tcPr>
                      <w:p>
                        <w:pPr>
                          <w:pStyle w:val="TableParagraph"/>
                          <w:spacing w:before="125"/>
                          <w:ind w:left="1096" w:right="996"/>
                          <w:jc w:val="center"/>
                          <w:rPr>
                            <w:sz w:val="24"/>
                          </w:rPr>
                        </w:pPr>
                        <w:r>
                          <w:rPr>
                            <w:sz w:val="24"/>
                          </w:rPr>
                          <w:t>72</w:t>
                        </w:r>
                        <w:r>
                          <w:rPr>
                            <w:spacing w:val="65"/>
                            <w:sz w:val="24"/>
                          </w:rPr>
                          <w:t> </w:t>
                        </w:r>
                        <w:r>
                          <w:rPr>
                            <w:sz w:val="24"/>
                          </w:rPr>
                          <w:t>80</w:t>
                        </w:r>
                      </w:p>
                    </w:tc>
                    <w:tc>
                      <w:tcPr>
                        <w:tcW w:w="1855" w:type="dxa"/>
                      </w:tcPr>
                      <w:p>
                        <w:pPr>
                          <w:pStyle w:val="TableParagraph"/>
                          <w:spacing w:before="125"/>
                          <w:ind w:right="33"/>
                          <w:jc w:val="right"/>
                          <w:rPr>
                            <w:sz w:val="24"/>
                          </w:rPr>
                        </w:pPr>
                        <w:r>
                          <w:rPr>
                            <w:sz w:val="24"/>
                          </w:rPr>
                          <w:t>47.8 ab</w:t>
                        </w:r>
                      </w:p>
                    </w:tc>
                  </w:tr>
                  <w:tr>
                    <w:trPr>
                      <w:trHeight w:val="552" w:hRule="exact"/>
                    </w:trPr>
                    <w:tc>
                      <w:tcPr>
                        <w:tcW w:w="1553" w:type="dxa"/>
                      </w:tcPr>
                      <w:p>
                        <w:pPr/>
                      </w:p>
                    </w:tc>
                    <w:tc>
                      <w:tcPr>
                        <w:tcW w:w="3149" w:type="dxa"/>
                      </w:tcPr>
                      <w:p>
                        <w:pPr>
                          <w:pStyle w:val="TableParagraph"/>
                          <w:spacing w:before="125"/>
                          <w:ind w:left="1096" w:right="998"/>
                          <w:jc w:val="center"/>
                          <w:rPr>
                            <w:sz w:val="24"/>
                          </w:rPr>
                        </w:pPr>
                        <w:r>
                          <w:rPr>
                            <w:sz w:val="24"/>
                          </w:rPr>
                          <w:t>144 - 160</w:t>
                        </w:r>
                      </w:p>
                    </w:tc>
                    <w:tc>
                      <w:tcPr>
                        <w:tcW w:w="1855" w:type="dxa"/>
                      </w:tcPr>
                      <w:p>
                        <w:pPr>
                          <w:pStyle w:val="TableParagraph"/>
                          <w:spacing w:before="125"/>
                          <w:ind w:right="100"/>
                          <w:jc w:val="right"/>
                          <w:rPr>
                            <w:sz w:val="24"/>
                          </w:rPr>
                        </w:pPr>
                        <w:r>
                          <w:rPr>
                            <w:sz w:val="24"/>
                          </w:rPr>
                          <w:t>49.9 a</w:t>
                        </w:r>
                      </w:p>
                    </w:tc>
                  </w:tr>
                  <w:tr>
                    <w:trPr>
                      <w:trHeight w:val="676" w:hRule="exact"/>
                    </w:trPr>
                    <w:tc>
                      <w:tcPr>
                        <w:tcW w:w="1553" w:type="dxa"/>
                      </w:tcPr>
                      <w:p>
                        <w:pPr>
                          <w:pStyle w:val="TableParagraph"/>
                          <w:spacing w:before="4"/>
                          <w:rPr>
                            <w:sz w:val="32"/>
                          </w:rPr>
                        </w:pPr>
                      </w:p>
                      <w:p>
                        <w:pPr>
                          <w:pStyle w:val="TableParagraph"/>
                          <w:spacing w:before="1"/>
                          <w:ind w:left="102"/>
                          <w:rPr>
                            <w:sz w:val="24"/>
                          </w:rPr>
                        </w:pPr>
                        <w:r>
                          <w:rPr>
                            <w:sz w:val="24"/>
                          </w:rPr>
                          <w:t>83</w:t>
                        </w:r>
                      </w:p>
                    </w:tc>
                    <w:tc>
                      <w:tcPr>
                        <w:tcW w:w="3149" w:type="dxa"/>
                      </w:tcPr>
                      <w:p>
                        <w:pPr>
                          <w:pStyle w:val="TableParagraph"/>
                          <w:spacing w:before="125"/>
                          <w:ind w:left="1096" w:right="996"/>
                          <w:jc w:val="center"/>
                          <w:rPr>
                            <w:sz w:val="24"/>
                          </w:rPr>
                        </w:pPr>
                        <w:r>
                          <w:rPr>
                            <w:sz w:val="24"/>
                          </w:rPr>
                          <w:t>0 - 0</w:t>
                        </w:r>
                      </w:p>
                    </w:tc>
                    <w:tc>
                      <w:tcPr>
                        <w:tcW w:w="1855" w:type="dxa"/>
                      </w:tcPr>
                      <w:p>
                        <w:pPr>
                          <w:pStyle w:val="TableParagraph"/>
                          <w:spacing w:before="125"/>
                          <w:ind w:right="100"/>
                          <w:jc w:val="right"/>
                          <w:rPr>
                            <w:sz w:val="24"/>
                          </w:rPr>
                        </w:pPr>
                        <w:r>
                          <w:rPr>
                            <w:sz w:val="24"/>
                          </w:rPr>
                          <w:t>44.6 b</w:t>
                        </w:r>
                      </w:p>
                    </w:tc>
                  </w:tr>
                  <w:tr>
                    <w:trPr>
                      <w:trHeight w:val="428" w:hRule="exact"/>
                    </w:trPr>
                    <w:tc>
                      <w:tcPr>
                        <w:tcW w:w="1553" w:type="dxa"/>
                      </w:tcPr>
                      <w:p>
                        <w:pPr/>
                      </w:p>
                    </w:tc>
                    <w:tc>
                      <w:tcPr>
                        <w:tcW w:w="3149" w:type="dxa"/>
                      </w:tcPr>
                      <w:p>
                        <w:pPr>
                          <w:pStyle w:val="TableParagraph"/>
                          <w:spacing w:before="2"/>
                          <w:ind w:left="1096" w:right="998"/>
                          <w:jc w:val="center"/>
                          <w:rPr>
                            <w:sz w:val="24"/>
                          </w:rPr>
                        </w:pPr>
                        <w:r>
                          <w:rPr>
                            <w:sz w:val="24"/>
                          </w:rPr>
                          <w:t>72 - 80</w:t>
                        </w:r>
                      </w:p>
                    </w:tc>
                    <w:tc>
                      <w:tcPr>
                        <w:tcW w:w="1855" w:type="dxa"/>
                      </w:tcPr>
                      <w:p>
                        <w:pPr>
                          <w:pStyle w:val="TableParagraph"/>
                          <w:spacing w:before="2"/>
                          <w:ind w:right="100"/>
                          <w:jc w:val="right"/>
                          <w:rPr>
                            <w:sz w:val="24"/>
                          </w:rPr>
                        </w:pPr>
                        <w:r>
                          <w:rPr>
                            <w:sz w:val="24"/>
                          </w:rPr>
                          <w:t>48.2 a</w:t>
                        </w:r>
                      </w:p>
                    </w:tc>
                  </w:tr>
                  <w:tr>
                    <w:trPr>
                      <w:trHeight w:val="552" w:hRule="exact"/>
                    </w:trPr>
                    <w:tc>
                      <w:tcPr>
                        <w:tcW w:w="1553" w:type="dxa"/>
                      </w:tcPr>
                      <w:p>
                        <w:pPr/>
                      </w:p>
                    </w:tc>
                    <w:tc>
                      <w:tcPr>
                        <w:tcW w:w="3149" w:type="dxa"/>
                      </w:tcPr>
                      <w:p>
                        <w:pPr>
                          <w:pStyle w:val="TableParagraph"/>
                          <w:spacing w:before="125"/>
                          <w:ind w:left="1096" w:right="998"/>
                          <w:jc w:val="center"/>
                          <w:rPr>
                            <w:sz w:val="24"/>
                          </w:rPr>
                        </w:pPr>
                        <w:r>
                          <w:rPr>
                            <w:sz w:val="24"/>
                          </w:rPr>
                          <w:t>144 - 160</w:t>
                        </w:r>
                      </w:p>
                    </w:tc>
                    <w:tc>
                      <w:tcPr>
                        <w:tcW w:w="1855" w:type="dxa"/>
                      </w:tcPr>
                      <w:p>
                        <w:pPr>
                          <w:pStyle w:val="TableParagraph"/>
                          <w:spacing w:before="125"/>
                          <w:ind w:right="33"/>
                          <w:jc w:val="right"/>
                          <w:rPr>
                            <w:sz w:val="24"/>
                          </w:rPr>
                        </w:pPr>
                        <w:r>
                          <w:rPr>
                            <w:sz w:val="24"/>
                          </w:rPr>
                          <w:t>47.0 ab</w:t>
                        </w:r>
                      </w:p>
                    </w:tc>
                  </w:tr>
                  <w:tr>
                    <w:trPr>
                      <w:trHeight w:val="560" w:hRule="exact"/>
                    </w:trPr>
                    <w:tc>
                      <w:tcPr>
                        <w:tcW w:w="1553" w:type="dxa"/>
                      </w:tcPr>
                      <w:p>
                        <w:pPr>
                          <w:pStyle w:val="TableParagraph"/>
                          <w:spacing w:before="142"/>
                          <w:ind w:left="35"/>
                          <w:rPr>
                            <w:sz w:val="24"/>
                          </w:rPr>
                        </w:pPr>
                        <w:r>
                          <w:rPr>
                            <w:sz w:val="24"/>
                          </w:rPr>
                          <w:t>103</w:t>
                        </w:r>
                      </w:p>
                    </w:tc>
                    <w:tc>
                      <w:tcPr>
                        <w:tcW w:w="3149" w:type="dxa"/>
                      </w:tcPr>
                      <w:p>
                        <w:pPr>
                          <w:pStyle w:val="TableParagraph"/>
                          <w:spacing w:before="125"/>
                          <w:ind w:left="1096" w:right="996"/>
                          <w:jc w:val="center"/>
                          <w:rPr>
                            <w:sz w:val="24"/>
                          </w:rPr>
                        </w:pPr>
                        <w:r>
                          <w:rPr>
                            <w:sz w:val="24"/>
                          </w:rPr>
                          <w:t>0 - 0</w:t>
                        </w:r>
                      </w:p>
                    </w:tc>
                    <w:tc>
                      <w:tcPr>
                        <w:tcW w:w="1855" w:type="dxa"/>
                      </w:tcPr>
                      <w:p>
                        <w:pPr>
                          <w:pStyle w:val="TableParagraph"/>
                          <w:spacing w:before="125"/>
                          <w:ind w:right="100"/>
                          <w:jc w:val="right"/>
                          <w:rPr>
                            <w:sz w:val="24"/>
                          </w:rPr>
                        </w:pPr>
                        <w:r>
                          <w:rPr>
                            <w:sz w:val="24"/>
                          </w:rPr>
                          <w:t>40.5 b</w:t>
                        </w:r>
                      </w:p>
                    </w:tc>
                  </w:tr>
                  <w:tr>
                    <w:trPr>
                      <w:trHeight w:val="544" w:hRule="exact"/>
                    </w:trPr>
                    <w:tc>
                      <w:tcPr>
                        <w:tcW w:w="1553" w:type="dxa"/>
                      </w:tcPr>
                      <w:p>
                        <w:pPr/>
                      </w:p>
                    </w:tc>
                    <w:tc>
                      <w:tcPr>
                        <w:tcW w:w="3149" w:type="dxa"/>
                      </w:tcPr>
                      <w:p>
                        <w:pPr>
                          <w:pStyle w:val="TableParagraph"/>
                          <w:spacing w:before="117"/>
                          <w:ind w:left="1096" w:right="998"/>
                          <w:jc w:val="center"/>
                          <w:rPr>
                            <w:sz w:val="24"/>
                          </w:rPr>
                        </w:pPr>
                        <w:r>
                          <w:rPr>
                            <w:sz w:val="24"/>
                          </w:rPr>
                          <w:t>72 - 80</w:t>
                        </w:r>
                      </w:p>
                    </w:tc>
                    <w:tc>
                      <w:tcPr>
                        <w:tcW w:w="1855" w:type="dxa"/>
                      </w:tcPr>
                      <w:p>
                        <w:pPr>
                          <w:pStyle w:val="TableParagraph"/>
                          <w:spacing w:before="117"/>
                          <w:ind w:right="100"/>
                          <w:jc w:val="right"/>
                          <w:rPr>
                            <w:sz w:val="24"/>
                          </w:rPr>
                        </w:pPr>
                        <w:r>
                          <w:rPr>
                            <w:sz w:val="24"/>
                          </w:rPr>
                          <w:t>46.3 a</w:t>
                        </w:r>
                      </w:p>
                    </w:tc>
                  </w:tr>
                  <w:tr>
                    <w:trPr>
                      <w:trHeight w:val="496" w:hRule="exact"/>
                    </w:trPr>
                    <w:tc>
                      <w:tcPr>
                        <w:tcW w:w="1553" w:type="dxa"/>
                      </w:tcPr>
                      <w:p>
                        <w:pPr/>
                      </w:p>
                    </w:tc>
                    <w:tc>
                      <w:tcPr>
                        <w:tcW w:w="3149" w:type="dxa"/>
                      </w:tcPr>
                      <w:p>
                        <w:pPr>
                          <w:pStyle w:val="TableParagraph"/>
                          <w:spacing w:before="125"/>
                          <w:ind w:left="1096" w:right="998"/>
                          <w:jc w:val="center"/>
                          <w:rPr>
                            <w:sz w:val="24"/>
                          </w:rPr>
                        </w:pPr>
                        <w:r>
                          <w:rPr>
                            <w:sz w:val="24"/>
                          </w:rPr>
                          <w:t>144 - 160</w:t>
                        </w:r>
                      </w:p>
                    </w:tc>
                    <w:tc>
                      <w:tcPr>
                        <w:tcW w:w="1855" w:type="dxa"/>
                      </w:tcPr>
                      <w:p>
                        <w:pPr>
                          <w:pStyle w:val="TableParagraph"/>
                          <w:spacing w:before="125"/>
                          <w:ind w:right="100"/>
                          <w:jc w:val="right"/>
                          <w:rPr>
                            <w:sz w:val="24"/>
                          </w:rPr>
                        </w:pPr>
                        <w:r>
                          <w:rPr>
                            <w:sz w:val="24"/>
                          </w:rPr>
                          <w:t>44.4 a</w:t>
                        </w:r>
                      </w:p>
                    </w:tc>
                  </w:tr>
                </w:tbl>
                <w:p>
                  <w:pPr>
                    <w:pStyle w:val="BodyText"/>
                  </w:pPr>
                </w:p>
              </w:txbxContent>
            </v:textbox>
            <w10:wrap type="none"/>
          </v:shape>
        </w:pict>
      </w:r>
      <w:r>
        <w:rPr/>
        <w:t>72 - 80</w:t>
      </w:r>
    </w:p>
    <w:p>
      <w:pPr>
        <w:pStyle w:val="BodyText"/>
        <w:spacing w:before="27"/>
        <w:ind w:left="750"/>
      </w:pPr>
      <w:r>
        <w:rPr/>
        <w:br w:type="column"/>
      </w:r>
      <w:r>
        <w:rPr/>
        <w:t>Lecturas SPAD</w:t>
      </w:r>
    </w:p>
    <w:p>
      <w:pPr>
        <w:pStyle w:val="BodyText"/>
      </w:pPr>
    </w:p>
    <w:p>
      <w:pPr>
        <w:pStyle w:val="BodyText"/>
      </w:pPr>
    </w:p>
    <w:p>
      <w:pPr>
        <w:pStyle w:val="BodyText"/>
      </w:pPr>
    </w:p>
    <w:p>
      <w:pPr>
        <w:pStyle w:val="BodyText"/>
        <w:spacing w:before="144"/>
        <w:ind w:left="1170"/>
      </w:pPr>
      <w:r>
        <w:rPr/>
        <w:t>24.1 ab</w:t>
      </w:r>
    </w:p>
    <w:p>
      <w:pPr>
        <w:pStyle w:val="BodyText"/>
      </w:pPr>
    </w:p>
    <w:p>
      <w:pPr>
        <w:pStyle w:val="BodyText"/>
        <w:ind w:left="1237"/>
      </w:pPr>
      <w:r>
        <w:rPr/>
        <w:t>23.3 b</w:t>
      </w:r>
    </w:p>
    <w:p>
      <w:pPr>
        <w:spacing w:after="0"/>
        <w:sectPr>
          <w:type w:val="continuous"/>
          <w:pgSz w:w="12240" w:h="15840"/>
          <w:pgMar w:top="1360" w:bottom="280" w:left="1580" w:right="1600"/>
          <w:cols w:num="3" w:equalWidth="0">
            <w:col w:w="2435" w:space="707"/>
            <w:col w:w="2034" w:space="728"/>
            <w:col w:w="315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BodyText"/>
        <w:spacing w:line="20" w:lineRule="exact"/>
        <w:ind w:left="102"/>
        <w:rPr>
          <w:sz w:val="2"/>
        </w:rPr>
      </w:pPr>
      <w:r>
        <w:rPr>
          <w:sz w:val="2"/>
        </w:rPr>
        <w:pict>
          <v:group style="width:442.6pt;height:.5pt;mso-position-horizontal-relative:char;mso-position-vertical-relative:line" coordorigin="0,0" coordsize="8852,10">
            <v:line style="position:absolute" from="5,5" to="2959,5" stroked="true" strokeweight=".48pt" strokecolor="#000000"/>
            <v:line style="position:absolute" from="2945,5" to="2955,5" stroked="true" strokeweight=".48pt" strokecolor="#000000"/>
            <v:line style="position:absolute" from="2955,5" to="5904,5" stroked="true" strokeweight=".48pt" strokecolor="#000000"/>
            <v:line style="position:absolute" from="5890,5" to="5899,5" stroked="true" strokeweight=".48pt" strokecolor="#000000"/>
            <v:line style="position:absolute" from="5899,5" to="8847,5" stroked="true" strokeweight=".48pt" strokecolor="#000000"/>
          </v:group>
        </w:pict>
      </w:r>
      <w:r>
        <w:rPr>
          <w:sz w:val="2"/>
        </w:rPr>
      </w:r>
    </w:p>
    <w:p>
      <w:pPr>
        <w:pStyle w:val="BodyText"/>
        <w:spacing w:line="480" w:lineRule="auto"/>
        <w:ind w:left="121" w:right="513"/>
      </w:pPr>
      <w:r>
        <w:rPr/>
        <w:t>Los valores son la media de 10 repeticiones, una planta por repetición. Valores con letras iguales no son diferentes con la prueba de Tukey al 0.05.</w:t>
      </w:r>
    </w:p>
    <w:p>
      <w:pPr>
        <w:spacing w:after="0" w:line="480" w:lineRule="auto"/>
        <w:sectPr>
          <w:type w:val="continuous"/>
          <w:pgSz w:w="12240" w:h="15840"/>
          <w:pgMar w:top="1360" w:bottom="280" w:left="1580" w:right="1600"/>
        </w:sectPr>
      </w:pPr>
    </w:p>
    <w:p>
      <w:pPr>
        <w:pStyle w:val="BodyText"/>
        <w:spacing w:line="477" w:lineRule="auto" w:before="51"/>
        <w:ind w:left="121"/>
      </w:pPr>
      <w:r>
        <w:rPr/>
        <w:pict>
          <v:shape style="position:absolute;margin-left:85.080002pt;margin-top:58.205605pt;width:441.4pt;height:.1pt;mso-position-horizontal-relative:page;mso-position-vertical-relative:paragraph;z-index:1960" coordorigin="1702,1164" coordsize="8828,0" path="m1702,1164l4642,1164m4642,1164l4651,1164m4651,1164l7586,1164m7586,1164l7596,1164m7596,1164l10529,1164e" filled="false" stroked="true" strokeweight=".48pt" strokecolor="#000000">
            <v:path arrowok="t"/>
            <w10:wrap type="none"/>
          </v:shape>
        </w:pict>
      </w:r>
      <w:r>
        <w:rPr/>
        <w:t>Cuadro 6. Efecto de la fertilización con solución Steiner, zinc y magnesio sobre lecturas SPAD en </w:t>
      </w:r>
      <w:r>
        <w:rPr>
          <w:i/>
        </w:rPr>
        <w:t>Lilium </w:t>
      </w:r>
      <w:r>
        <w:rPr/>
        <w:t>cv.  ‘Serrada’, días después de plantado (DDP).</w:t>
      </w:r>
    </w:p>
    <w:p>
      <w:pPr>
        <w:spacing w:after="0" w:line="477" w:lineRule="auto"/>
        <w:sectPr>
          <w:pgSz w:w="12240" w:h="15840"/>
          <w:pgMar w:header="0" w:footer="1005" w:top="1360" w:bottom="1200" w:left="1580" w:right="1600"/>
        </w:sectPr>
      </w:pPr>
    </w:p>
    <w:p>
      <w:pPr>
        <w:pStyle w:val="BodyText"/>
        <w:tabs>
          <w:tab w:pos="3891" w:val="left" w:leader="none"/>
        </w:tabs>
        <w:spacing w:before="27"/>
        <w:ind w:left="1403"/>
      </w:pPr>
      <w:r>
        <w:rPr/>
        <w:t>Día</w:t>
        <w:tab/>
        <w:t>Tratamiento</w:t>
      </w:r>
    </w:p>
    <w:p>
      <w:pPr>
        <w:pStyle w:val="BodyText"/>
        <w:spacing w:line="362" w:lineRule="auto" w:before="137"/>
        <w:ind w:left="3980" w:right="92" w:firstLine="3"/>
        <w:jc w:val="center"/>
      </w:pPr>
      <w:r>
        <w:rPr/>
        <w:pict>
          <v:shape style="position:absolute;margin-left:85.080002pt;margin-top:48.585606pt;width:441.4pt;height:.1pt;mso-position-horizontal-relative:page;mso-position-vertical-relative:paragraph;z-index:-84592" coordorigin="1702,972" coordsize="8828,0" path="m1702,972l4642,972m4642,972l4651,972m4651,972l7586,972m7586,972l7596,972m7596,972l10529,972e" filled="false" stroked="true" strokeweight=".48pt" strokecolor="#000000">
            <v:path arrowok="t"/>
            <w10:wrap type="none"/>
          </v:shape>
        </w:pict>
      </w:r>
      <w:r>
        <w:rPr/>
        <w:t>Zn – Mg </w:t>
      </w:r>
      <w:r>
        <w:rPr>
          <w:w w:val="95"/>
        </w:rPr>
        <w:t>(mg·litro</w:t>
      </w:r>
      <w:r>
        <w:rPr>
          <w:w w:val="95"/>
          <w:position w:val="8"/>
          <w:sz w:val="16"/>
        </w:rPr>
        <w:t>-1</w:t>
      </w:r>
      <w:r>
        <w:rPr>
          <w:w w:val="95"/>
        </w:rPr>
        <w:t>) </w:t>
      </w:r>
      <w:r>
        <w:rPr/>
        <w:t>144 -160</w:t>
      </w:r>
    </w:p>
    <w:p>
      <w:pPr>
        <w:pStyle w:val="BodyText"/>
        <w:tabs>
          <w:tab w:pos="2565" w:val="left" w:leader="none"/>
        </w:tabs>
        <w:spacing w:line="424" w:lineRule="exact" w:before="2"/>
        <w:ind w:right="132"/>
        <w:jc w:val="right"/>
      </w:pPr>
      <w:r>
        <w:rPr>
          <w:position w:val="-15"/>
        </w:rPr>
        <w:t>35</w:t>
        <w:tab/>
      </w:r>
      <w:r>
        <w:rPr/>
        <w:t>288 -</w:t>
      </w:r>
      <w:r>
        <w:rPr>
          <w:spacing w:val="-3"/>
        </w:rPr>
        <w:t> </w:t>
      </w:r>
      <w:r>
        <w:rPr/>
        <w:t>320</w:t>
      </w:r>
    </w:p>
    <w:p>
      <w:pPr>
        <w:pStyle w:val="BodyText"/>
        <w:spacing w:line="264" w:lineRule="exact"/>
        <w:ind w:right="132"/>
        <w:jc w:val="right"/>
      </w:pPr>
      <w:r>
        <w:rPr/>
        <w:t>432 - 480</w:t>
      </w:r>
    </w:p>
    <w:p>
      <w:pPr>
        <w:pStyle w:val="BodyText"/>
        <w:spacing w:before="139"/>
        <w:ind w:right="199"/>
        <w:jc w:val="right"/>
      </w:pPr>
      <w:r>
        <w:rPr/>
        <w:t>144 - 80</w:t>
      </w:r>
    </w:p>
    <w:p>
      <w:pPr>
        <w:pStyle w:val="BodyText"/>
        <w:spacing w:before="137"/>
        <w:ind w:right="199"/>
        <w:jc w:val="right"/>
      </w:pPr>
      <w:r>
        <w:rPr/>
        <w:t>72 - 160</w:t>
      </w:r>
    </w:p>
    <w:p>
      <w:pPr>
        <w:pStyle w:val="BodyText"/>
        <w:spacing w:before="139"/>
        <w:ind w:right="398"/>
        <w:jc w:val="right"/>
      </w:pPr>
      <w:r>
        <w:rPr/>
        <w:t>0 - 0</w:t>
      </w:r>
    </w:p>
    <w:p>
      <w:pPr>
        <w:pStyle w:val="BodyText"/>
      </w:pPr>
    </w:p>
    <w:p>
      <w:pPr>
        <w:pStyle w:val="BodyText"/>
      </w:pPr>
    </w:p>
    <w:p>
      <w:pPr>
        <w:pStyle w:val="BodyText"/>
        <w:spacing w:before="158"/>
        <w:ind w:right="167"/>
        <w:jc w:val="right"/>
      </w:pPr>
      <w:r>
        <w:rPr/>
        <w:t>144 -160</w:t>
      </w:r>
    </w:p>
    <w:p>
      <w:pPr>
        <w:pStyle w:val="BodyText"/>
        <w:spacing w:before="139"/>
        <w:ind w:right="132"/>
        <w:jc w:val="right"/>
      </w:pPr>
      <w:r>
        <w:rPr/>
        <w:t>288 - 320</w:t>
      </w:r>
    </w:p>
    <w:p>
      <w:pPr>
        <w:pStyle w:val="BodyText"/>
        <w:tabs>
          <w:tab w:pos="2565" w:val="left" w:leader="none"/>
        </w:tabs>
        <w:spacing w:before="137"/>
        <w:ind w:right="132"/>
        <w:jc w:val="right"/>
      </w:pPr>
      <w:r>
        <w:rPr>
          <w:position w:val="-12"/>
        </w:rPr>
        <w:t>55</w:t>
        <w:tab/>
      </w:r>
      <w:r>
        <w:rPr/>
        <w:t>432 -</w:t>
      </w:r>
      <w:r>
        <w:rPr>
          <w:spacing w:val="-3"/>
        </w:rPr>
        <w:t> </w:t>
      </w:r>
      <w:r>
        <w:rPr/>
        <w:t>480</w:t>
      </w:r>
    </w:p>
    <w:p>
      <w:pPr>
        <w:pStyle w:val="BodyText"/>
        <w:spacing w:before="9"/>
        <w:ind w:right="199"/>
        <w:jc w:val="right"/>
      </w:pPr>
      <w:r>
        <w:rPr/>
        <w:t>144 - 80</w:t>
      </w:r>
    </w:p>
    <w:p>
      <w:pPr>
        <w:pStyle w:val="BodyText"/>
        <w:spacing w:before="137"/>
        <w:ind w:right="233"/>
        <w:jc w:val="right"/>
      </w:pPr>
      <w:r>
        <w:rPr/>
        <w:t>72 -160</w:t>
      </w:r>
    </w:p>
    <w:p>
      <w:pPr>
        <w:pStyle w:val="BodyText"/>
        <w:spacing w:before="139"/>
        <w:ind w:right="398"/>
        <w:jc w:val="right"/>
      </w:pPr>
      <w:r>
        <w:rPr/>
        <w:t>0 - 0</w:t>
      </w:r>
    </w:p>
    <w:p>
      <w:pPr>
        <w:pStyle w:val="BodyText"/>
      </w:pPr>
    </w:p>
    <w:p>
      <w:pPr>
        <w:pStyle w:val="BodyText"/>
      </w:pPr>
    </w:p>
    <w:p>
      <w:pPr>
        <w:pStyle w:val="BodyText"/>
        <w:spacing w:before="158"/>
        <w:ind w:right="167"/>
        <w:jc w:val="right"/>
      </w:pPr>
      <w:r>
        <w:rPr/>
        <w:t>144 -160</w:t>
      </w:r>
    </w:p>
    <w:p>
      <w:pPr>
        <w:pStyle w:val="BodyText"/>
        <w:spacing w:before="139"/>
        <w:ind w:right="132"/>
        <w:jc w:val="right"/>
      </w:pPr>
      <w:r>
        <w:rPr/>
        <w:t>288 - 320</w:t>
      </w:r>
    </w:p>
    <w:p>
      <w:pPr>
        <w:pStyle w:val="BodyText"/>
        <w:tabs>
          <w:tab w:pos="2565" w:val="left" w:leader="none"/>
        </w:tabs>
        <w:spacing w:before="77"/>
        <w:ind w:right="132"/>
        <w:jc w:val="right"/>
      </w:pPr>
      <w:r>
        <w:rPr>
          <w:position w:val="6"/>
        </w:rPr>
        <w:t>75</w:t>
        <w:tab/>
      </w:r>
      <w:r>
        <w:rPr/>
        <w:t>432 -</w:t>
      </w:r>
      <w:r>
        <w:rPr>
          <w:spacing w:val="-3"/>
        </w:rPr>
        <w:t> </w:t>
      </w:r>
      <w:r>
        <w:rPr/>
        <w:t>480</w:t>
      </w:r>
    </w:p>
    <w:p>
      <w:pPr>
        <w:pStyle w:val="BodyText"/>
        <w:spacing w:before="139"/>
        <w:ind w:right="199"/>
        <w:jc w:val="right"/>
      </w:pPr>
      <w:r>
        <w:rPr/>
        <w:t>144 - 80</w:t>
      </w:r>
    </w:p>
    <w:p>
      <w:pPr>
        <w:pStyle w:val="BodyText"/>
        <w:spacing w:before="137"/>
        <w:ind w:right="233"/>
        <w:jc w:val="right"/>
      </w:pPr>
      <w:r>
        <w:rPr/>
        <w:t>72 -160</w:t>
      </w:r>
    </w:p>
    <w:p>
      <w:pPr>
        <w:pStyle w:val="BodyText"/>
        <w:spacing w:before="139"/>
        <w:ind w:right="398"/>
        <w:jc w:val="right"/>
      </w:pPr>
      <w:r>
        <w:rPr/>
        <w:t>0 - 0</w:t>
      </w:r>
    </w:p>
    <w:p>
      <w:pPr>
        <w:pStyle w:val="BodyText"/>
        <w:spacing w:before="27"/>
        <w:ind w:left="1383" w:right="744"/>
        <w:jc w:val="center"/>
      </w:pPr>
      <w:r>
        <w:rPr/>
        <w:br w:type="column"/>
      </w:r>
      <w:r>
        <w:rPr/>
        <w:t>Lecturas SPAD</w:t>
      </w:r>
    </w:p>
    <w:p>
      <w:pPr>
        <w:pStyle w:val="BodyText"/>
      </w:pPr>
    </w:p>
    <w:p>
      <w:pPr>
        <w:pStyle w:val="BodyText"/>
      </w:pPr>
    </w:p>
    <w:p>
      <w:pPr>
        <w:pStyle w:val="BodyText"/>
      </w:pPr>
    </w:p>
    <w:p>
      <w:pPr>
        <w:pStyle w:val="BodyText"/>
        <w:spacing w:before="146"/>
        <w:ind w:left="1890"/>
      </w:pPr>
      <w:r>
        <w:rPr/>
        <w:t>51.5 b</w:t>
      </w:r>
    </w:p>
    <w:p>
      <w:pPr>
        <w:pStyle w:val="BodyText"/>
        <w:spacing w:before="139"/>
        <w:ind w:left="1890"/>
      </w:pPr>
      <w:r>
        <w:rPr/>
        <w:t>53.2 ab</w:t>
      </w:r>
    </w:p>
    <w:p>
      <w:pPr>
        <w:pStyle w:val="BodyText"/>
        <w:spacing w:before="137"/>
        <w:ind w:left="1890"/>
      </w:pPr>
      <w:r>
        <w:rPr/>
        <w:t>54.6 a</w:t>
      </w:r>
    </w:p>
    <w:p>
      <w:pPr>
        <w:pStyle w:val="BodyText"/>
        <w:spacing w:before="139"/>
        <w:ind w:left="1890"/>
      </w:pPr>
      <w:r>
        <w:rPr/>
        <w:t>53.1 ab</w:t>
      </w:r>
    </w:p>
    <w:p>
      <w:pPr>
        <w:pStyle w:val="BodyText"/>
        <w:spacing w:before="137"/>
        <w:ind w:left="1890"/>
      </w:pPr>
      <w:r>
        <w:rPr/>
        <w:t>56.1 a</w:t>
      </w:r>
    </w:p>
    <w:p>
      <w:pPr>
        <w:pStyle w:val="BodyText"/>
        <w:spacing w:before="139"/>
        <w:ind w:left="1890"/>
      </w:pPr>
      <w:r>
        <w:rPr/>
        <w:t>54.5 ab</w:t>
      </w:r>
    </w:p>
    <w:p>
      <w:pPr>
        <w:pStyle w:val="BodyText"/>
      </w:pPr>
    </w:p>
    <w:p>
      <w:pPr>
        <w:pStyle w:val="BodyText"/>
      </w:pPr>
    </w:p>
    <w:p>
      <w:pPr>
        <w:pStyle w:val="BodyText"/>
        <w:spacing w:before="158"/>
        <w:ind w:left="1890"/>
      </w:pPr>
      <w:r>
        <w:rPr/>
        <w:t>55.3 a</w:t>
      </w:r>
    </w:p>
    <w:p>
      <w:pPr>
        <w:pStyle w:val="ListParagraph"/>
        <w:numPr>
          <w:ilvl w:val="1"/>
          <w:numId w:val="12"/>
        </w:numPr>
        <w:tabs>
          <w:tab w:pos="2426" w:val="left" w:leader="none"/>
        </w:tabs>
        <w:spacing w:line="240" w:lineRule="auto" w:before="139" w:after="0"/>
        <w:ind w:left="2425" w:right="0" w:hanging="535"/>
        <w:jc w:val="left"/>
        <w:rPr>
          <w:sz w:val="24"/>
        </w:rPr>
      </w:pPr>
      <w:r>
        <w:rPr>
          <w:w w:val="99"/>
          <w:sz w:val="24"/>
        </w:rPr>
        <w:t>a</w:t>
      </w:r>
      <w:r>
        <w:rPr>
          <w:sz w:val="24"/>
        </w:rPr>
      </w:r>
    </w:p>
    <w:p>
      <w:pPr>
        <w:pStyle w:val="ListParagraph"/>
        <w:numPr>
          <w:ilvl w:val="1"/>
          <w:numId w:val="12"/>
        </w:numPr>
        <w:tabs>
          <w:tab w:pos="2426" w:val="left" w:leader="none"/>
        </w:tabs>
        <w:spacing w:line="240" w:lineRule="auto" w:before="137" w:after="0"/>
        <w:ind w:left="2425" w:right="0" w:hanging="535"/>
        <w:jc w:val="left"/>
        <w:rPr>
          <w:sz w:val="24"/>
        </w:rPr>
      </w:pPr>
      <w:r>
        <w:rPr>
          <w:w w:val="99"/>
          <w:sz w:val="24"/>
        </w:rPr>
        <w:t>a</w:t>
      </w:r>
      <w:r>
        <w:rPr>
          <w:sz w:val="24"/>
        </w:rPr>
      </w:r>
    </w:p>
    <w:p>
      <w:pPr>
        <w:pStyle w:val="BodyText"/>
        <w:spacing w:line="360" w:lineRule="auto" w:before="139"/>
        <w:ind w:left="1856" w:right="1197" w:firstLine="33"/>
      </w:pPr>
      <w:r>
        <w:rPr/>
        <w:t>54.9 a 52.6ab</w:t>
      </w:r>
    </w:p>
    <w:p>
      <w:pPr>
        <w:pStyle w:val="BodyText"/>
        <w:spacing w:before="5"/>
        <w:ind w:left="1890"/>
      </w:pPr>
      <w:r>
        <w:rPr/>
        <w:t>49.9 b</w:t>
      </w:r>
    </w:p>
    <w:p>
      <w:pPr>
        <w:pStyle w:val="BodyText"/>
      </w:pPr>
    </w:p>
    <w:p>
      <w:pPr>
        <w:pStyle w:val="BodyText"/>
      </w:pPr>
    </w:p>
    <w:p>
      <w:pPr>
        <w:pStyle w:val="BodyText"/>
        <w:spacing w:before="158"/>
        <w:ind w:left="1890"/>
      </w:pPr>
      <w:r>
        <w:rPr/>
        <w:t>51 5 b</w:t>
      </w:r>
    </w:p>
    <w:p>
      <w:pPr>
        <w:pStyle w:val="BodyText"/>
        <w:spacing w:before="139"/>
        <w:ind w:left="1823"/>
      </w:pPr>
      <w:r>
        <w:rPr/>
        <w:t>53.2 ab</w:t>
      </w:r>
    </w:p>
    <w:p>
      <w:pPr>
        <w:pStyle w:val="BodyText"/>
        <w:spacing w:before="137"/>
        <w:ind w:left="1890"/>
      </w:pPr>
      <w:r>
        <w:rPr/>
        <w:t>54.6 a</w:t>
      </w:r>
    </w:p>
    <w:p>
      <w:pPr>
        <w:pStyle w:val="BodyText"/>
        <w:spacing w:before="139"/>
        <w:ind w:left="1823"/>
      </w:pPr>
      <w:r>
        <w:rPr/>
        <w:t>53.1 ab</w:t>
      </w:r>
    </w:p>
    <w:p>
      <w:pPr>
        <w:pStyle w:val="BodyText"/>
        <w:spacing w:before="137"/>
        <w:ind w:left="1890"/>
      </w:pPr>
      <w:r>
        <w:rPr/>
        <w:t>56.1 a</w:t>
      </w:r>
    </w:p>
    <w:p>
      <w:pPr>
        <w:pStyle w:val="BodyText"/>
        <w:spacing w:before="139"/>
        <w:ind w:left="1823"/>
      </w:pPr>
      <w:r>
        <w:rPr/>
        <w:t>54.6 ab</w:t>
      </w:r>
    </w:p>
    <w:p>
      <w:pPr>
        <w:spacing w:after="0"/>
        <w:sectPr>
          <w:type w:val="continuous"/>
          <w:pgSz w:w="12240" w:h="15840"/>
          <w:pgMar w:top="1360" w:bottom="280" w:left="1580" w:right="1600"/>
          <w:cols w:num="2" w:equalWidth="0">
            <w:col w:w="5176" w:space="76"/>
            <w:col w:w="3808"/>
          </w:cols>
        </w:sectPr>
      </w:pPr>
    </w:p>
    <w:p>
      <w:pPr>
        <w:pStyle w:val="BodyText"/>
        <w:spacing w:before="1"/>
        <w:rPr>
          <w:sz w:val="18"/>
        </w:rPr>
      </w:pPr>
    </w:p>
    <w:p>
      <w:pPr>
        <w:pStyle w:val="BodyText"/>
        <w:spacing w:line="20" w:lineRule="exact"/>
        <w:ind w:left="102"/>
        <w:rPr>
          <w:sz w:val="2"/>
        </w:rPr>
      </w:pPr>
      <w:r>
        <w:rPr>
          <w:sz w:val="2"/>
        </w:rPr>
        <w:pict>
          <v:group style="width:442.6pt;height:.5pt;mso-position-horizontal-relative:char;mso-position-vertical-relative:line" coordorigin="0,0" coordsize="8852,10">
            <v:line style="position:absolute" from="5,5" to="2959,5" stroked="true" strokeweight=".48pt" strokecolor="#000000"/>
            <v:line style="position:absolute" from="2945,5" to="2955,5" stroked="true" strokeweight=".48pt" strokecolor="#000000"/>
            <v:line style="position:absolute" from="2955,5" to="5904,5" stroked="true" strokeweight=".48pt" strokecolor="#000000"/>
            <v:line style="position:absolute" from="5890,5" to="5899,5" stroked="true" strokeweight=".48pt" strokecolor="#000000"/>
            <v:line style="position:absolute" from="5899,5" to="8847,5" stroked="true" strokeweight=".48pt" strokecolor="#000000"/>
          </v:group>
        </w:pict>
      </w:r>
      <w:r>
        <w:rPr>
          <w:sz w:val="2"/>
        </w:rPr>
      </w:r>
    </w:p>
    <w:p>
      <w:pPr>
        <w:pStyle w:val="BodyText"/>
        <w:spacing w:line="480" w:lineRule="auto"/>
        <w:ind w:left="121" w:right="513"/>
      </w:pPr>
      <w:r>
        <w:rPr/>
        <w:t>Los valores son la media de 10 repeticiones, una planta por repetición. Valores con letras iguales no son diferentes con la prueba de Tukey al 0.05.</w:t>
      </w:r>
    </w:p>
    <w:p>
      <w:pPr>
        <w:spacing w:after="0" w:line="480" w:lineRule="auto"/>
        <w:sectPr>
          <w:type w:val="continuous"/>
          <w:pgSz w:w="12240" w:h="15840"/>
          <w:pgMar w:top="1360" w:bottom="280" w:left="1580" w:right="1600"/>
        </w:sectPr>
      </w:pPr>
    </w:p>
    <w:p>
      <w:pPr>
        <w:pStyle w:val="BodyText"/>
        <w:spacing w:before="11"/>
        <w:rPr>
          <w:sz w:val="11"/>
        </w:rPr>
      </w:pPr>
    </w:p>
    <w:p>
      <w:pPr>
        <w:spacing w:before="82"/>
        <w:ind w:left="612" w:right="1074" w:firstLine="0"/>
        <w:jc w:val="left"/>
        <w:rPr>
          <w:sz w:val="19"/>
        </w:rPr>
      </w:pPr>
      <w:r>
        <w:rPr/>
        <w:pict>
          <v:group style="position:absolute;margin-left:125.504997pt;margin-top:9.035616pt;width:359.35pt;height:253.35pt;mso-position-horizontal-relative:page;mso-position-vertical-relative:paragraph;z-index:2128" coordorigin="2510,181" coordsize="7187,5067">
            <v:shape style="position:absolute;left:20980;top:-102578;width:59760;height:42100" coordorigin="20980,-102578" coordsize="59760,42100" path="m2587,5168l9689,5168m2587,5240l2587,5168m4008,5240l4008,5168m5429,5240l5429,5168m6847,5240l6847,5168m8268,5240l8268,5168m9689,5240l9689,5168m2587,188l9689,188m2587,5168l2587,188m2518,5168l2587,5168m2518,4338l2587,4338m2518,3507l2587,3507m2518,2677l2587,2677m2518,1849l2587,1849m2518,1019l2587,1019m2518,188l2587,188m9689,5168l9689,188m3298,4362l6139,1789,8978,445m3298,4662l6139,2072,8978,759m3298,4607l6139,2312,8978,968m3298,4604l6139,2214,8978,935m3298,4297l6139,1815,8978,543m3298,4743l6139,2413,8978,1100e" filled="false" stroked="true" strokeweight=".708pt" strokecolor="#000000">
              <v:path arrowok="t"/>
            </v:shape>
            <v:shape style="position:absolute;left:3238;top:4302;width:101;height:101" coordorigin="3238,4302" coordsize="101,101" path="m3332,4378l3245,4378,3250,4385,3256,4391,3263,4396,3271,4400,3279,4402,3288,4403,3297,4402,3306,4400,3314,4396,3321,4391,3327,4385,3332,4378xm3288,4302l3279,4303,3271,4305,3263,4308,3256,4313,3250,4319,3245,4326,3241,4334,3238,4343,3238,4352,3238,4362,3338,4362,3338,4352,3338,4343,3335,4334,3332,4326,3327,4319,3321,4313,3314,4308,3306,4305,3297,4303,3288,4302xe" filled="true" fillcolor="#000000" stroked="false">
              <v:path arrowok="t"/>
              <v:fill type="solid"/>
            </v:shape>
            <v:shape style="position:absolute;left:3238;top:4302;width:101;height:101" coordorigin="3238,4302" coordsize="101,101" path="m3338,4352l3297,4303,3288,4302,3279,4303,3238,4352,3238,4362,3288,4403,3297,4402,3338,4352xe" filled="false" stroked="true" strokeweight=".708pt" strokecolor="#000000">
              <v:path arrowok="t"/>
            </v:shape>
            <v:shape style="position:absolute;left:6079;top:1727;width:101;height:104" coordorigin="6079,1727" coordsize="101,104" path="m6130,1727l6080,1768,6079,1777,6080,1786,6130,1830,6138,1829,6180,1779,6179,1770,6130,1727xe" filled="true" fillcolor="#000000" stroked="false">
              <v:path arrowok="t"/>
              <v:fill type="solid"/>
            </v:shape>
            <v:shape style="position:absolute;left:6079;top:1727;width:101;height:104" coordorigin="6079,1727" coordsize="101,104" path="m6180,1779l6138,1727,6130,1727,6120,1727,6079,1777,6080,1786,6130,1830,6138,1829,6180,1779xe" filled="false" stroked="true" strokeweight=".708pt" strokecolor="#000000">
              <v:path arrowok="t"/>
            </v:shape>
            <v:shape style="position:absolute;left:8918;top:383;width:101;height:101" coordorigin="8918,383" coordsize="101,101" path="m8969,383l8919,424,8918,433,8919,442,8969,483,8978,483,9019,433,9018,424,8969,383xe" filled="true" fillcolor="#000000" stroked="false">
              <v:path arrowok="t"/>
              <v:fill type="solid"/>
            </v:shape>
            <v:shape style="position:absolute;left:8918;top:383;width:101;height:101" coordorigin="8918,383" coordsize="101,101" path="m9019,433l8978,383,8969,383,8960,383,8918,433,8919,442,8969,483,8978,483,9019,433xe" filled="false" stroked="true" strokeweight=".708pt" strokecolor="#000000">
              <v:path arrowok="t"/>
            </v:shape>
            <v:shape style="position:absolute;left:3238;top:4599;width:101;height:104" coordorigin="3238,4599" coordsize="101,104" path="m3288,4599l3238,4640,3238,4650,3238,4659,3288,4703,3297,4702,3338,4650,3338,4640,3288,4599xe" filled="true" fillcolor="#ffffff" stroked="false">
              <v:path arrowok="t"/>
              <v:fill type="solid"/>
            </v:shape>
            <v:shape style="position:absolute;left:26980;top:-87398;width:24520;height:22440" coordorigin="26980,-87398" coordsize="24520,22440" path="m3338,4650l3338,4641,3335,4632,3332,4624,3327,4617,3321,4611,3314,4606,3306,4602,3297,4600,3288,4599,3279,4600,3271,4602,3263,4606,3256,4611,3250,4617,3245,4624,3241,4632,3238,4641,3238,4650,3238,4659,3241,4668,3245,4676,3250,4684,3256,4690,3263,4695,3271,4699,3279,4702,3288,4703,3297,4702,3306,4699,3314,4695,3321,4690,3327,4684,3332,4676,3335,4668,3338,4659,3338,4650xm6180,2063l6179,2053,6177,2044,6173,2036,6168,2029,6161,2022,6154,2017,6147,2013,6138,2011,6130,2010,6120,2011,6112,2013,6104,2017,6097,2022,6091,2028,6086,2035,6082,2043,6080,2052,6079,2060,6080,2070,6082,2078,6086,2087,6091,2094,6097,2100,6104,2106,6112,2110,6120,2112,6130,2113,6138,2112,6147,2110,6154,2106,6161,2101,6168,2094,6173,2087,6177,2080,6179,2071,6180,2063xe" filled="false" stroked="true" strokeweight=".708pt" strokecolor="#000000">
              <v:path arrowok="t"/>
            </v:shape>
            <v:shape style="position:absolute;left:8911;top:692;width:115;height:115" type="#_x0000_t75" stroked="false">
              <v:imagedata r:id="rId29" o:title=""/>
            </v:shape>
            <v:shape style="position:absolute;left:3238;top:4573;width:123;height:106" coordorigin="3238,4573" coordsize="123,106" path="m3360,4573l3238,4573,3298,4679,3360,4573xe" filled="true" fillcolor="#000000" stroked="false">
              <v:path arrowok="t"/>
              <v:fill type="solid"/>
            </v:shape>
            <v:shape style="position:absolute;left:3238;top:4573;width:123;height:106" coordorigin="3238,4573" coordsize="123,106" path="m3298,4679l3360,4573,3238,4573,3298,4679xe" filled="false" stroked="true" strokeweight=".708pt" strokecolor="#000000">
              <v:path arrowok="t"/>
            </v:shape>
            <v:shape style="position:absolute;left:6077;top:2279;width:123;height:106" coordorigin="6077,2279" coordsize="123,106" path="m6199,2279l6077,2279,6139,2384,6199,2279xe" filled="true" fillcolor="#000000" stroked="false">
              <v:path arrowok="t"/>
              <v:fill type="solid"/>
            </v:shape>
            <v:shape style="position:absolute;left:6077;top:2279;width:123;height:106" coordorigin="6077,2279" coordsize="123,106" path="m6139,2384l6199,2279,6077,2279,6139,2384xe" filled="false" stroked="true" strokeweight=".708pt" strokecolor="#000000">
              <v:path arrowok="t"/>
            </v:shape>
            <v:shape style="position:absolute;left:8918;top:932;width:120;height:108" coordorigin="8918,932" coordsize="120,108" path="m9038,932l8918,932,8978,1040,9038,932xe" filled="true" fillcolor="#000000" stroked="false">
              <v:path arrowok="t"/>
              <v:fill type="solid"/>
            </v:shape>
            <v:shape style="position:absolute;left:8918;top:932;width:120;height:108" coordorigin="8918,932" coordsize="120,108" path="m8978,1040l9038,932,8918,932,8978,1040xe" filled="false" stroked="true" strokeweight=".708pt" strokecolor="#000000">
              <v:path arrowok="t"/>
            </v:shape>
            <v:shape style="position:absolute;left:3238;top:4532;width:123;height:106" coordorigin="3238,4532" coordsize="123,106" path="m3298,4532l3238,4638,3360,4638,3298,4532xe" filled="true" fillcolor="#ffffff" stroked="false">
              <v:path arrowok="t"/>
              <v:fill type="solid"/>
            </v:shape>
            <v:shape style="position:absolute;left:26980;top:-86298;width:24680;height:20800" coordorigin="26980,-86298" coordsize="24680,20800" path="m3298,4532l3238,4638,3360,4638,3298,4532xm6139,2142l6079,2247,6199,2247,6139,2142xe" filled="false" stroked="true" strokeweight=".708pt" strokecolor="#000000">
              <v:path arrowok="t"/>
            </v:shape>
            <v:shape style="position:absolute;left:8918;top:863;width:120;height:106" coordorigin="8918,863" coordsize="120,106" path="m8978,863l8918,968,9038,968,8978,863xe" filled="true" fillcolor="#ffffff" stroked="false">
              <v:path arrowok="t"/>
              <v:fill type="solid"/>
            </v:shape>
            <v:shape style="position:absolute;left:8918;top:863;width:120;height:106" coordorigin="8918,863" coordsize="120,106" path="m8978,863l8918,968,9038,968,8978,863xe" filled="false" stroked="true" strokeweight=".708pt" strokecolor="#000000">
              <v:path arrowok="t"/>
            </v:shape>
            <v:rect style="position:absolute;left:3245;top:4244;width:106;height:103" filled="true" fillcolor="#000000" stroked="false">
              <v:fill type="solid"/>
            </v:rect>
            <v:rect style="position:absolute;left:3245;top:4244;width:106;height:103" filled="false" stroked="true" strokeweight=".708pt" strokecolor="#000000"/>
            <v:rect style="position:absolute;left:6086;top:1763;width:103;height:106" filled="true" fillcolor="#000000" stroked="false">
              <v:fill type="solid"/>
            </v:rect>
            <v:rect style="position:absolute;left:6086;top:1763;width:103;height:106" filled="false" stroked="true" strokeweight=".708pt" strokecolor="#000000"/>
            <v:rect style="position:absolute;left:8926;top:491;width:106;height:106" filled="true" fillcolor="#000000" stroked="false">
              <v:fill type="solid"/>
            </v:rect>
            <v:rect style="position:absolute;left:8926;top:491;width:106;height:106" filled="false" stroked="true" strokeweight=".708pt" strokecolor="#000000"/>
            <v:rect style="position:absolute;left:3247;top:4691;width:103;height:106" filled="true" fillcolor="#ffffff" stroked="false">
              <v:fill type="solid"/>
            </v:rect>
            <v:rect style="position:absolute;left:3247;top:4691;width:103;height:106" filled="false" stroked="true" strokeweight=".708pt" strokecolor="#000000"/>
            <v:rect style="position:absolute;left:6086;top:2360;width:103;height:103" filled="true" fillcolor="#ffffff" stroked="false">
              <v:fill type="solid"/>
            </v:rect>
            <v:rect style="position:absolute;left:6086;top:2360;width:103;height:103" filled="false" stroked="true" strokeweight=".708pt" strokecolor="#000000"/>
            <v:rect style="position:absolute;left:8928;top:1047;width:103;height:106" filled="true" fillcolor="#ffffff" stroked="false">
              <v:fill type="solid"/>
            </v:rect>
            <v:rect style="position:absolute;left:8928;top:1047;width:103;height:106" filled="false" stroked="true" strokeweight=".708pt" strokecolor="#000000"/>
            <v:rect style="position:absolute;left:5755;top:3227;width:2945;height:1853" filled="true" fillcolor="#ffffff" stroked="false">
              <v:fill type="solid"/>
            </v:rect>
            <v:line style="position:absolute" from="5897,3488" to="6341,3488" stroked="true" strokeweight=".708pt" strokecolor="#000000"/>
            <v:shape style="position:absolute;left:6051;top:3419;width:115;height:115" type="#_x0000_t75" stroked="false">
              <v:imagedata r:id="rId30" o:title=""/>
            </v:shape>
            <v:line style="position:absolute" from="5897,3755" to="6341,3755" stroked="true" strokeweight=".708pt" strokecolor="#000000"/>
            <v:shape style="position:absolute;left:6051;top:3685;width:115;height:115" type="#_x0000_t75" stroked="false">
              <v:imagedata r:id="rId31" o:title=""/>
            </v:shape>
            <v:line style="position:absolute" from="5897,4019" to="6341,4019" stroked="true" strokeweight=".708pt" strokecolor="#000000"/>
            <v:shape style="position:absolute;left:6051;top:3978;width:137;height:120" type="#_x0000_t75" stroked="false">
              <v:imagedata r:id="rId32" o:title=""/>
            </v:shape>
            <v:line style="position:absolute" from="5897,4285" to="6341,4285" stroked="true" strokeweight=".708pt" strokecolor="#000000"/>
            <v:shape style="position:absolute;left:6051;top:4208;width:137;height:120" type="#_x0000_t75" stroked="false">
              <v:imagedata r:id="rId33" o:title=""/>
            </v:shape>
            <v:shape style="position:absolute;left:49140;top:-66218;width:3700;height:2" coordorigin="49140,-66218" coordsize="3700,0" path="m6170,4551l6341,4551m5897,4551l6065,4551e" filled="false" stroked="true" strokeweight=".708pt" strokecolor="#000000">
              <v:path arrowok="t"/>
            </v:shape>
            <v:rect style="position:absolute;left:6065;top:4499;width:106;height:106" filled="true" fillcolor="#000000" stroked="false">
              <v:fill type="solid"/>
            </v:rect>
            <v:shape style="position:absolute;left:49140;top:-66658;width:3700;height:2660" coordorigin="49140,-66658" coordsize="3700,2660" path="m6065,4604l6170,4604,6170,4499,6065,4499,6065,4604xm6170,4818l6341,4818m5897,4818l6067,4818e" filled="false" stroked="true" strokeweight=".708pt" strokecolor="#000000">
              <v:path arrowok="t"/>
            </v:shape>
            <v:rect style="position:absolute;left:6067;top:4765;width:103;height:106" filled="true" fillcolor="#ffffff" stroked="false">
              <v:fill type="solid"/>
            </v:rect>
            <v:rect style="position:absolute;left:6067;top:4765;width:103;height:106" filled="false" stroked="true" strokeweight=".708pt" strokecolor="#000000"/>
            <v:shape style="position:absolute;left:9062;top:243;width:485;height:819" type="#_x0000_t202" filled="false" stroked="false">
              <v:textbox inset="0,0,0,0">
                <w:txbxContent>
                  <w:p>
                    <w:pPr>
                      <w:spacing w:line="196" w:lineRule="auto" w:before="14"/>
                      <w:ind w:left="0" w:right="0" w:firstLine="38"/>
                      <w:jc w:val="both"/>
                      <w:rPr>
                        <w:b/>
                        <w:sz w:val="23"/>
                      </w:rPr>
                    </w:pPr>
                    <w:r>
                      <w:rPr>
                        <w:b/>
                        <w:w w:val="105"/>
                        <w:position w:val="15"/>
                        <w:sz w:val="23"/>
                      </w:rPr>
                      <w:t>a</w:t>
                    </w:r>
                    <w:r>
                      <w:rPr>
                        <w:b/>
                        <w:w w:val="105"/>
                        <w:sz w:val="23"/>
                      </w:rPr>
                      <w:t>ab abc abc</w:t>
                    </w:r>
                  </w:p>
                </w:txbxContent>
              </v:textbox>
              <w10:wrap type="none"/>
            </v:shape>
            <v:shape style="position:absolute;left:5796;top:1209;width:317;height:396" type="#_x0000_t202" filled="false" stroked="false">
              <v:textbox inset="0,0,0,0">
                <w:txbxContent>
                  <w:p>
                    <w:pPr>
                      <w:spacing w:line="396" w:lineRule="exact" w:before="0"/>
                      <w:ind w:left="0" w:right="-7" w:firstLine="0"/>
                      <w:jc w:val="left"/>
                      <w:rPr>
                        <w:b/>
                        <w:sz w:val="39"/>
                      </w:rPr>
                    </w:pPr>
                    <w:r>
                      <w:rPr>
                        <w:b/>
                        <w:sz w:val="39"/>
                      </w:rPr>
                      <w:t>**</w:t>
                    </w:r>
                  </w:p>
                </w:txbxContent>
              </v:textbox>
              <w10:wrap type="none"/>
            </v:shape>
            <v:shape style="position:absolute;left:8873;top:992;width:562;height:957" type="#_x0000_t202" filled="false" stroked="false">
              <v:textbox inset="0,0,0,0">
                <w:txbxContent>
                  <w:p>
                    <w:pPr>
                      <w:spacing w:line="184" w:lineRule="auto" w:before="26"/>
                      <w:ind w:left="194" w:right="-7" w:firstLine="86"/>
                      <w:jc w:val="left"/>
                      <w:rPr>
                        <w:b/>
                        <w:sz w:val="23"/>
                      </w:rPr>
                    </w:pPr>
                    <w:r>
                      <w:rPr>
                        <w:b/>
                        <w:sz w:val="23"/>
                      </w:rPr>
                      <w:t>bc </w:t>
                    </w:r>
                    <w:r>
                      <w:rPr>
                        <w:b/>
                        <w:w w:val="105"/>
                        <w:sz w:val="23"/>
                      </w:rPr>
                      <w:t>c</w:t>
                    </w:r>
                  </w:p>
                  <w:p>
                    <w:pPr>
                      <w:spacing w:line="441" w:lineRule="exact" w:before="81"/>
                      <w:ind w:left="0" w:right="-7" w:firstLine="0"/>
                      <w:jc w:val="left"/>
                      <w:rPr>
                        <w:b/>
                        <w:sz w:val="39"/>
                      </w:rPr>
                    </w:pPr>
                    <w:r>
                      <w:rPr>
                        <w:b/>
                        <w:sz w:val="39"/>
                      </w:rPr>
                      <w:t>**</w:t>
                    </w:r>
                  </w:p>
                </w:txbxContent>
              </v:textbox>
              <w10:wrap type="none"/>
            </v:shape>
            <v:shape style="position:absolute;left:3077;top:3832;width:317;height:396" type="#_x0000_t202" filled="false" stroked="false">
              <v:textbox inset="0,0,0,0">
                <w:txbxContent>
                  <w:p>
                    <w:pPr>
                      <w:spacing w:line="396" w:lineRule="exact" w:before="0"/>
                      <w:ind w:left="0" w:right="-7" w:firstLine="0"/>
                      <w:jc w:val="left"/>
                      <w:rPr>
                        <w:b/>
                        <w:sz w:val="39"/>
                      </w:rPr>
                    </w:pPr>
                    <w:r>
                      <w:rPr>
                        <w:b/>
                        <w:sz w:val="39"/>
                      </w:rPr>
                      <w:t>**</w:t>
                    </w:r>
                  </w:p>
                </w:txbxContent>
              </v:textbox>
              <w10:wrap type="none"/>
            </v:shape>
            <v:shape style="position:absolute;left:5755;top:3227;width:2945;height:1853" type="#_x0000_t202" filled="false" stroked="true" strokeweight=".4956pt" strokecolor="#000000">
              <v:textbox inset="0,0,0,0">
                <w:txbxContent>
                  <w:p>
                    <w:pPr>
                      <w:spacing w:line="292" w:lineRule="auto" w:before="153"/>
                      <w:ind w:left="691" w:right="116" w:firstLine="0"/>
                      <w:jc w:val="left"/>
                      <w:rPr>
                        <w:sz w:val="19"/>
                      </w:rPr>
                    </w:pPr>
                    <w:r>
                      <w:rPr>
                        <w:w w:val="105"/>
                        <w:sz w:val="19"/>
                      </w:rPr>
                      <w:t>Zn 144 mg / Mg 160 mg Zn 288 mg / Mg 320 mg Zn 432 mg / Mg 480 mg Zn 144 mg / Mg 80 mg Zn 72 mg / Mg 160 mg Zn 0 mg / Mg 0 mg</w:t>
                    </w:r>
                  </w:p>
                </w:txbxContent>
              </v:textbox>
              <w10:wrap type="none"/>
            </v:shape>
            <w10:wrap type="none"/>
          </v:group>
        </w:pict>
      </w:r>
      <w:r>
        <w:rPr>
          <w:w w:val="105"/>
          <w:sz w:val="19"/>
        </w:rPr>
        <w:t>90</w:t>
      </w:r>
    </w:p>
    <w:p>
      <w:pPr>
        <w:pStyle w:val="BodyText"/>
        <w:rPr>
          <w:sz w:val="20"/>
        </w:rPr>
      </w:pPr>
    </w:p>
    <w:p>
      <w:pPr>
        <w:pStyle w:val="BodyText"/>
        <w:spacing w:before="3"/>
        <w:rPr>
          <w:sz w:val="26"/>
        </w:rPr>
      </w:pPr>
    </w:p>
    <w:p>
      <w:pPr>
        <w:spacing w:before="82"/>
        <w:ind w:left="612" w:right="1074" w:firstLine="0"/>
        <w:jc w:val="left"/>
        <w:rPr>
          <w:sz w:val="19"/>
        </w:rPr>
      </w:pPr>
      <w:r>
        <w:rPr>
          <w:w w:val="105"/>
          <w:sz w:val="19"/>
        </w:rPr>
        <w:t>80</w:t>
      </w:r>
    </w:p>
    <w:p>
      <w:pPr>
        <w:pStyle w:val="BodyText"/>
        <w:rPr>
          <w:sz w:val="20"/>
        </w:rPr>
      </w:pPr>
    </w:p>
    <w:p>
      <w:pPr>
        <w:pStyle w:val="BodyText"/>
        <w:spacing w:before="9"/>
        <w:rPr>
          <w:sz w:val="25"/>
        </w:rPr>
      </w:pPr>
    </w:p>
    <w:p>
      <w:pPr>
        <w:spacing w:before="83"/>
        <w:ind w:left="612" w:right="1074" w:firstLine="0"/>
        <w:jc w:val="left"/>
        <w:rPr>
          <w:sz w:val="19"/>
        </w:rPr>
      </w:pPr>
      <w:r>
        <w:rPr/>
        <w:pict>
          <v:shape style="position:absolute;margin-left:88.835373pt;margin-top:-13.40707pt;width:13.9pt;height:128.4pt;mso-position-horizontal-relative:page;mso-position-vertical-relative:paragraph;z-index:2152" type="#_x0000_t202" filled="false" stroked="false">
            <v:textbox inset="0,0,0,0" style="layout-flow:vertical;mso-layout-flow-alt:bottom-to-top">
              <w:txbxContent>
                <w:p>
                  <w:pPr>
                    <w:spacing w:line="262" w:lineRule="exact" w:before="0"/>
                    <w:ind w:left="20" w:right="0" w:firstLine="0"/>
                    <w:jc w:val="left"/>
                    <w:rPr>
                      <w:sz w:val="23"/>
                    </w:rPr>
                  </w:pPr>
                  <w:r>
                    <w:rPr>
                      <w:spacing w:val="5"/>
                      <w:w w:val="103"/>
                      <w:sz w:val="23"/>
                    </w:rPr>
                    <w:t>A</w:t>
                  </w:r>
                  <w:r>
                    <w:rPr>
                      <w:spacing w:val="-10"/>
                      <w:w w:val="102"/>
                      <w:sz w:val="23"/>
                    </w:rPr>
                    <w:t>l</w:t>
                  </w:r>
                  <w:r>
                    <w:rPr>
                      <w:spacing w:val="-6"/>
                      <w:w w:val="103"/>
                      <w:sz w:val="23"/>
                    </w:rPr>
                    <w:t>t</w:t>
                  </w:r>
                  <w:r>
                    <w:rPr>
                      <w:spacing w:val="-15"/>
                      <w:w w:val="102"/>
                      <w:sz w:val="23"/>
                    </w:rPr>
                    <w:t>u</w:t>
                  </w:r>
                  <w:r>
                    <w:rPr>
                      <w:spacing w:val="-5"/>
                      <w:w w:val="103"/>
                      <w:sz w:val="23"/>
                    </w:rPr>
                    <w:t>r</w:t>
                  </w:r>
                  <w:r>
                    <w:rPr>
                      <w:w w:val="102"/>
                      <w:sz w:val="23"/>
                    </w:rPr>
                    <w:t>a</w:t>
                  </w:r>
                  <w:r>
                    <w:rPr>
                      <w:spacing w:val="-2"/>
                      <w:sz w:val="23"/>
                    </w:rPr>
                    <w:t> </w:t>
                  </w:r>
                  <w:r>
                    <w:rPr>
                      <w:spacing w:val="2"/>
                      <w:w w:val="102"/>
                      <w:sz w:val="23"/>
                    </w:rPr>
                    <w:t>d</w:t>
                  </w:r>
                  <w:r>
                    <w:rPr>
                      <w:w w:val="102"/>
                      <w:sz w:val="23"/>
                    </w:rPr>
                    <w:t>e</w:t>
                  </w:r>
                  <w:r>
                    <w:rPr>
                      <w:spacing w:val="-4"/>
                      <w:sz w:val="23"/>
                    </w:rPr>
                    <w:t> </w:t>
                  </w:r>
                  <w:r>
                    <w:rPr>
                      <w:spacing w:val="-7"/>
                      <w:w w:val="102"/>
                      <w:sz w:val="23"/>
                    </w:rPr>
                    <w:t>l</w:t>
                  </w:r>
                  <w:r>
                    <w:rPr>
                      <w:w w:val="102"/>
                      <w:sz w:val="23"/>
                    </w:rPr>
                    <w:t>a</w:t>
                  </w:r>
                  <w:r>
                    <w:rPr>
                      <w:spacing w:val="-4"/>
                      <w:sz w:val="23"/>
                    </w:rPr>
                    <w:t> </w:t>
                  </w:r>
                  <w:r>
                    <w:rPr>
                      <w:spacing w:val="2"/>
                      <w:w w:val="102"/>
                      <w:sz w:val="23"/>
                    </w:rPr>
                    <w:t>p</w:t>
                  </w:r>
                  <w:r>
                    <w:rPr>
                      <w:spacing w:val="-7"/>
                      <w:w w:val="102"/>
                      <w:sz w:val="23"/>
                    </w:rPr>
                    <w:t>l</w:t>
                  </w:r>
                  <w:r>
                    <w:rPr>
                      <w:w w:val="102"/>
                      <w:sz w:val="23"/>
                    </w:rPr>
                    <w:t>a</w:t>
                  </w:r>
                  <w:r>
                    <w:rPr>
                      <w:spacing w:val="-15"/>
                      <w:w w:val="102"/>
                      <w:sz w:val="23"/>
                    </w:rPr>
                    <w:t>n</w:t>
                  </w:r>
                  <w:r>
                    <w:rPr>
                      <w:spacing w:val="-6"/>
                      <w:w w:val="103"/>
                      <w:sz w:val="23"/>
                    </w:rPr>
                    <w:t>t</w:t>
                  </w:r>
                  <w:r>
                    <w:rPr>
                      <w:w w:val="102"/>
                      <w:sz w:val="23"/>
                    </w:rPr>
                    <w:t>a</w:t>
                  </w:r>
                  <w:r>
                    <w:rPr>
                      <w:spacing w:val="-2"/>
                      <w:sz w:val="23"/>
                    </w:rPr>
                    <w:t> </w:t>
                  </w:r>
                  <w:r>
                    <w:rPr>
                      <w:spacing w:val="2"/>
                      <w:w w:val="102"/>
                      <w:sz w:val="23"/>
                    </w:rPr>
                    <w:t>e</w:t>
                  </w:r>
                  <w:r>
                    <w:rPr>
                      <w:w w:val="102"/>
                      <w:sz w:val="23"/>
                    </w:rPr>
                    <w:t>n</w:t>
                  </w:r>
                  <w:r>
                    <w:rPr>
                      <w:spacing w:val="-19"/>
                      <w:sz w:val="23"/>
                    </w:rPr>
                    <w:t> </w:t>
                  </w:r>
                  <w:r>
                    <w:rPr>
                      <w:spacing w:val="-1"/>
                      <w:w w:val="103"/>
                      <w:sz w:val="23"/>
                    </w:rPr>
                    <w:t>c</w:t>
                  </w:r>
                  <w:r>
                    <w:rPr>
                      <w:w w:val="103"/>
                      <w:sz w:val="23"/>
                    </w:rPr>
                    <w:t>m</w:t>
                  </w:r>
                </w:p>
              </w:txbxContent>
            </v:textbox>
            <w10:wrap type="none"/>
          </v:shape>
        </w:pict>
      </w:r>
      <w:r>
        <w:rPr>
          <w:w w:val="105"/>
          <w:sz w:val="19"/>
        </w:rPr>
        <w:t>70</w:t>
      </w:r>
    </w:p>
    <w:p>
      <w:pPr>
        <w:pStyle w:val="BodyText"/>
        <w:rPr>
          <w:sz w:val="20"/>
        </w:rPr>
      </w:pPr>
    </w:p>
    <w:p>
      <w:pPr>
        <w:pStyle w:val="BodyText"/>
        <w:rPr>
          <w:sz w:val="26"/>
        </w:rPr>
      </w:pPr>
    </w:p>
    <w:p>
      <w:pPr>
        <w:spacing w:before="83"/>
        <w:ind w:left="612" w:right="1074" w:firstLine="0"/>
        <w:jc w:val="left"/>
        <w:rPr>
          <w:sz w:val="19"/>
        </w:rPr>
      </w:pPr>
      <w:r>
        <w:rPr>
          <w:w w:val="105"/>
          <w:sz w:val="19"/>
        </w:rPr>
        <w:t>60</w:t>
      </w:r>
    </w:p>
    <w:p>
      <w:pPr>
        <w:pStyle w:val="BodyText"/>
        <w:rPr>
          <w:sz w:val="20"/>
        </w:rPr>
      </w:pPr>
    </w:p>
    <w:p>
      <w:pPr>
        <w:pStyle w:val="BodyText"/>
        <w:rPr>
          <w:sz w:val="26"/>
        </w:rPr>
      </w:pPr>
    </w:p>
    <w:p>
      <w:pPr>
        <w:spacing w:before="83"/>
        <w:ind w:left="612" w:right="1074" w:firstLine="0"/>
        <w:jc w:val="left"/>
        <w:rPr>
          <w:sz w:val="19"/>
        </w:rPr>
      </w:pPr>
      <w:r>
        <w:rPr>
          <w:w w:val="105"/>
          <w:sz w:val="19"/>
        </w:rPr>
        <w:t>50</w:t>
      </w:r>
    </w:p>
    <w:p>
      <w:pPr>
        <w:pStyle w:val="BodyText"/>
        <w:rPr>
          <w:sz w:val="20"/>
        </w:rPr>
      </w:pPr>
    </w:p>
    <w:p>
      <w:pPr>
        <w:pStyle w:val="BodyText"/>
        <w:spacing w:before="9"/>
        <w:rPr>
          <w:sz w:val="25"/>
        </w:rPr>
      </w:pPr>
    </w:p>
    <w:p>
      <w:pPr>
        <w:spacing w:before="83"/>
        <w:ind w:left="612" w:right="1074" w:firstLine="0"/>
        <w:jc w:val="left"/>
        <w:rPr>
          <w:sz w:val="19"/>
        </w:rPr>
      </w:pPr>
      <w:r>
        <w:rPr>
          <w:w w:val="105"/>
          <w:sz w:val="19"/>
        </w:rPr>
        <w:t>40</w:t>
      </w:r>
    </w:p>
    <w:p>
      <w:pPr>
        <w:pStyle w:val="BodyText"/>
        <w:rPr>
          <w:sz w:val="20"/>
        </w:rPr>
      </w:pPr>
    </w:p>
    <w:p>
      <w:pPr>
        <w:pStyle w:val="BodyText"/>
        <w:spacing w:before="3"/>
        <w:rPr>
          <w:sz w:val="26"/>
        </w:rPr>
      </w:pPr>
    </w:p>
    <w:p>
      <w:pPr>
        <w:spacing w:before="82"/>
        <w:ind w:left="612" w:right="1074" w:firstLine="0"/>
        <w:jc w:val="left"/>
        <w:rPr>
          <w:sz w:val="19"/>
        </w:rPr>
      </w:pPr>
      <w:r>
        <w:rPr>
          <w:w w:val="105"/>
          <w:sz w:val="19"/>
        </w:rPr>
        <w:t>30</w:t>
      </w:r>
    </w:p>
    <w:p>
      <w:pPr>
        <w:tabs>
          <w:tab w:pos="1418" w:val="left" w:leader="none"/>
          <w:tab w:pos="2839" w:val="left" w:leader="none"/>
          <w:tab w:pos="4259" w:val="left" w:leader="none"/>
          <w:tab w:pos="5678" w:val="left" w:leader="none"/>
          <w:tab w:pos="7099" w:val="left" w:leader="none"/>
        </w:tabs>
        <w:spacing w:before="69"/>
        <w:ind w:left="0" w:right="1553" w:firstLine="0"/>
        <w:jc w:val="center"/>
        <w:rPr>
          <w:sz w:val="19"/>
        </w:rPr>
      </w:pPr>
      <w:r>
        <w:rPr>
          <w:spacing w:val="-4"/>
          <w:w w:val="105"/>
          <w:sz w:val="19"/>
        </w:rPr>
        <w:t>30</w:t>
        <w:tab/>
      </w:r>
      <w:r>
        <w:rPr>
          <w:spacing w:val="-3"/>
          <w:w w:val="105"/>
          <w:sz w:val="19"/>
        </w:rPr>
        <w:t>40</w:t>
        <w:tab/>
      </w:r>
      <w:r>
        <w:rPr>
          <w:spacing w:val="-4"/>
          <w:w w:val="105"/>
          <w:sz w:val="19"/>
        </w:rPr>
        <w:t>50</w:t>
        <w:tab/>
        <w:t>60</w:t>
        <w:tab/>
      </w:r>
      <w:r>
        <w:rPr>
          <w:spacing w:val="-3"/>
          <w:w w:val="105"/>
          <w:sz w:val="19"/>
        </w:rPr>
        <w:t>70</w:t>
        <w:tab/>
      </w:r>
      <w:r>
        <w:rPr>
          <w:spacing w:val="-4"/>
          <w:w w:val="105"/>
          <w:sz w:val="19"/>
        </w:rPr>
        <w:t>80</w:t>
      </w:r>
    </w:p>
    <w:p>
      <w:pPr>
        <w:pStyle w:val="BodyText"/>
        <w:spacing w:before="6"/>
        <w:rPr>
          <w:sz w:val="16"/>
        </w:rPr>
      </w:pPr>
    </w:p>
    <w:p>
      <w:pPr>
        <w:spacing w:before="0"/>
        <w:ind w:left="0" w:right="1559" w:firstLine="0"/>
        <w:jc w:val="center"/>
        <w:rPr>
          <w:sz w:val="23"/>
        </w:rPr>
      </w:pPr>
      <w:r>
        <w:rPr>
          <w:w w:val="105"/>
          <w:sz w:val="23"/>
        </w:rPr>
        <w:t>Días después de plantado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line="482" w:lineRule="auto" w:before="70"/>
        <w:ind w:left="101" w:right="1074"/>
      </w:pPr>
      <w:r>
        <w:rPr/>
        <w:t>FIGURA 1. Cinética en el crecimiento de </w:t>
      </w:r>
      <w:r>
        <w:rPr>
          <w:i/>
        </w:rPr>
        <w:t>Lilium </w:t>
      </w:r>
      <w:r>
        <w:rPr/>
        <w:t>‘Serrada’ fertilizados con solución Steiner, zinc y magnesio. Los datos son la media de 10 repeticiones ± E. E.</w:t>
      </w:r>
    </w:p>
    <w:p>
      <w:pPr>
        <w:spacing w:after="0" w:line="482" w:lineRule="auto"/>
        <w:sectPr>
          <w:pgSz w:w="12240" w:h="15840"/>
          <w:pgMar w:header="0" w:footer="1005" w:top="1500" w:bottom="1200" w:left="1600" w:right="0"/>
        </w:sectPr>
      </w:pPr>
    </w:p>
    <w:p>
      <w:pPr>
        <w:pStyle w:val="Heading1"/>
        <w:numPr>
          <w:ilvl w:val="1"/>
          <w:numId w:val="9"/>
        </w:numPr>
        <w:tabs>
          <w:tab w:pos="772" w:val="left" w:leader="none"/>
        </w:tabs>
        <w:spacing w:line="240" w:lineRule="auto" w:before="51" w:after="0"/>
        <w:ind w:left="771" w:right="0" w:hanging="468"/>
        <w:jc w:val="left"/>
      </w:pPr>
      <w:bookmarkStart w:name="_TOC_250009" w:id="30"/>
      <w:bookmarkEnd w:id="30"/>
      <w:r>
        <w:rPr/>
        <w:t>Postcosecha.</w:t>
      </w:r>
    </w:p>
    <w:p>
      <w:pPr>
        <w:pStyle w:val="BodyText"/>
        <w:rPr>
          <w:b/>
        </w:rPr>
      </w:pPr>
    </w:p>
    <w:p>
      <w:pPr>
        <w:pStyle w:val="BodyText"/>
        <w:rPr>
          <w:b/>
        </w:rPr>
      </w:pPr>
    </w:p>
    <w:p>
      <w:pPr>
        <w:pStyle w:val="BodyText"/>
        <w:rPr>
          <w:b/>
        </w:rPr>
      </w:pPr>
    </w:p>
    <w:p>
      <w:pPr>
        <w:pStyle w:val="ListParagraph"/>
        <w:numPr>
          <w:ilvl w:val="2"/>
          <w:numId w:val="9"/>
        </w:numPr>
        <w:tabs>
          <w:tab w:pos="1480" w:val="left" w:leader="none"/>
        </w:tabs>
        <w:spacing w:line="240" w:lineRule="auto" w:before="0" w:after="0"/>
        <w:ind w:left="1479" w:right="0" w:hanging="670"/>
        <w:jc w:val="left"/>
        <w:rPr>
          <w:sz w:val="24"/>
        </w:rPr>
      </w:pPr>
      <w:r>
        <w:rPr>
          <w:sz w:val="24"/>
        </w:rPr>
        <w:t>‘Acapulco’</w:t>
      </w:r>
    </w:p>
    <w:p>
      <w:pPr>
        <w:pStyle w:val="BodyText"/>
        <w:spacing w:before="9"/>
        <w:rPr>
          <w:sz w:val="23"/>
        </w:rPr>
      </w:pPr>
    </w:p>
    <w:p>
      <w:pPr>
        <w:pStyle w:val="BodyText"/>
        <w:spacing w:line="480" w:lineRule="auto"/>
        <w:ind w:left="101" w:right="117"/>
        <w:jc w:val="both"/>
      </w:pPr>
      <w:r>
        <w:rPr/>
        <w:t>En</w:t>
      </w:r>
      <w:r>
        <w:rPr>
          <w:spacing w:val="-8"/>
        </w:rPr>
        <w:t> </w:t>
      </w:r>
      <w:r>
        <w:rPr>
          <w:i/>
        </w:rPr>
        <w:t>Lilium</w:t>
      </w:r>
      <w:r>
        <w:rPr>
          <w:i/>
          <w:spacing w:val="-12"/>
        </w:rPr>
        <w:t> </w:t>
      </w:r>
      <w:r>
        <w:rPr/>
        <w:t>‘Acapulco’</w:t>
      </w:r>
      <w:r>
        <w:rPr>
          <w:spacing w:val="-12"/>
        </w:rPr>
        <w:t> </w:t>
      </w:r>
      <w:r>
        <w:rPr/>
        <w:t>no</w:t>
      </w:r>
      <w:r>
        <w:rPr>
          <w:spacing w:val="-8"/>
        </w:rPr>
        <w:t> </w:t>
      </w:r>
      <w:r>
        <w:rPr/>
        <w:t>se</w:t>
      </w:r>
      <w:r>
        <w:rPr>
          <w:spacing w:val="-8"/>
        </w:rPr>
        <w:t> </w:t>
      </w:r>
      <w:r>
        <w:rPr/>
        <w:t>observaron</w:t>
      </w:r>
      <w:r>
        <w:rPr>
          <w:spacing w:val="-8"/>
        </w:rPr>
        <w:t> </w:t>
      </w:r>
      <w:r>
        <w:rPr/>
        <w:t>diferencias</w:t>
      </w:r>
      <w:r>
        <w:rPr>
          <w:spacing w:val="-9"/>
        </w:rPr>
        <w:t> </w:t>
      </w:r>
      <w:r>
        <w:rPr/>
        <w:t>significativas</w:t>
      </w:r>
      <w:r>
        <w:rPr>
          <w:spacing w:val="-9"/>
        </w:rPr>
        <w:t> </w:t>
      </w:r>
      <w:r>
        <w:rPr/>
        <w:t>en</w:t>
      </w:r>
      <w:r>
        <w:rPr>
          <w:spacing w:val="-10"/>
        </w:rPr>
        <w:t> </w:t>
      </w:r>
      <w:r>
        <w:rPr/>
        <w:t>unidades</w:t>
      </w:r>
      <w:r>
        <w:rPr>
          <w:spacing w:val="-11"/>
        </w:rPr>
        <w:t> </w:t>
      </w:r>
      <w:r>
        <w:rPr/>
        <w:t>SPAD, diámetro</w:t>
      </w:r>
      <w:r>
        <w:rPr>
          <w:spacing w:val="-7"/>
        </w:rPr>
        <w:t> </w:t>
      </w:r>
      <w:r>
        <w:rPr/>
        <w:t>de</w:t>
      </w:r>
      <w:r>
        <w:rPr>
          <w:spacing w:val="-9"/>
        </w:rPr>
        <w:t> </w:t>
      </w:r>
      <w:r>
        <w:rPr/>
        <w:t>flor,</w:t>
      </w:r>
      <w:r>
        <w:rPr>
          <w:spacing w:val="-7"/>
        </w:rPr>
        <w:t> </w:t>
      </w:r>
      <w:r>
        <w:rPr/>
        <w:t>color</w:t>
      </w:r>
      <w:r>
        <w:rPr>
          <w:spacing w:val="-8"/>
        </w:rPr>
        <w:t> </w:t>
      </w:r>
      <w:r>
        <w:rPr/>
        <w:t>de</w:t>
      </w:r>
      <w:r>
        <w:rPr>
          <w:spacing w:val="-4"/>
        </w:rPr>
        <w:t> </w:t>
      </w:r>
      <w:r>
        <w:rPr/>
        <w:t>tépalos,</w:t>
      </w:r>
      <w:r>
        <w:rPr>
          <w:spacing w:val="-7"/>
        </w:rPr>
        <w:t> </w:t>
      </w:r>
      <w:r>
        <w:rPr/>
        <w:t>y</w:t>
      </w:r>
      <w:r>
        <w:rPr>
          <w:spacing w:val="-8"/>
        </w:rPr>
        <w:t> </w:t>
      </w:r>
      <w:r>
        <w:rPr/>
        <w:t>materia</w:t>
      </w:r>
      <w:r>
        <w:rPr>
          <w:spacing w:val="-4"/>
        </w:rPr>
        <w:t> </w:t>
      </w:r>
      <w:r>
        <w:rPr/>
        <w:t>seca</w:t>
      </w:r>
      <w:r>
        <w:rPr>
          <w:spacing w:val="-7"/>
        </w:rPr>
        <w:t> </w:t>
      </w:r>
      <w:r>
        <w:rPr/>
        <w:t>en</w:t>
      </w:r>
      <w:r>
        <w:rPr>
          <w:spacing w:val="-7"/>
        </w:rPr>
        <w:t> </w:t>
      </w:r>
      <w:r>
        <w:rPr/>
        <w:t>ninguna</w:t>
      </w:r>
      <w:r>
        <w:rPr>
          <w:spacing w:val="-7"/>
        </w:rPr>
        <w:t> </w:t>
      </w:r>
      <w:r>
        <w:rPr/>
        <w:t>de</w:t>
      </w:r>
      <w:r>
        <w:rPr>
          <w:spacing w:val="-4"/>
        </w:rPr>
        <w:t> </w:t>
      </w:r>
      <w:r>
        <w:rPr/>
        <w:t>las</w:t>
      </w:r>
      <w:r>
        <w:rPr>
          <w:spacing w:val="-8"/>
        </w:rPr>
        <w:t> </w:t>
      </w:r>
      <w:r>
        <w:rPr/>
        <w:t>variables</w:t>
      </w:r>
      <w:r>
        <w:rPr>
          <w:spacing w:val="-5"/>
        </w:rPr>
        <w:t> </w:t>
      </w:r>
      <w:r>
        <w:rPr/>
        <w:t>en</w:t>
      </w:r>
      <w:r>
        <w:rPr>
          <w:spacing w:val="-7"/>
        </w:rPr>
        <w:t> </w:t>
      </w:r>
      <w:r>
        <w:rPr/>
        <w:t>las fechas</w:t>
      </w:r>
      <w:r>
        <w:rPr>
          <w:spacing w:val="-12"/>
        </w:rPr>
        <w:t> </w:t>
      </w:r>
      <w:r>
        <w:rPr/>
        <w:t>evaluadas;</w:t>
      </w:r>
      <w:r>
        <w:rPr>
          <w:spacing w:val="-11"/>
        </w:rPr>
        <w:t> </w:t>
      </w:r>
      <w:r>
        <w:rPr/>
        <w:t>0,</w:t>
      </w:r>
      <w:r>
        <w:rPr>
          <w:spacing w:val="-11"/>
        </w:rPr>
        <w:t> </w:t>
      </w:r>
      <w:r>
        <w:rPr/>
        <w:t>4,</w:t>
      </w:r>
      <w:r>
        <w:rPr>
          <w:spacing w:val="-11"/>
        </w:rPr>
        <w:t> </w:t>
      </w:r>
      <w:r>
        <w:rPr/>
        <w:t>8</w:t>
      </w:r>
      <w:r>
        <w:rPr>
          <w:spacing w:val="-8"/>
        </w:rPr>
        <w:t> </w:t>
      </w:r>
      <w:r>
        <w:rPr/>
        <w:t>y</w:t>
      </w:r>
      <w:r>
        <w:rPr>
          <w:spacing w:val="-12"/>
        </w:rPr>
        <w:t> </w:t>
      </w:r>
      <w:r>
        <w:rPr/>
        <w:t>12</w:t>
      </w:r>
      <w:r>
        <w:rPr>
          <w:spacing w:val="-11"/>
        </w:rPr>
        <w:t> </w:t>
      </w:r>
      <w:r>
        <w:rPr/>
        <w:t>días</w:t>
      </w:r>
      <w:r>
        <w:rPr>
          <w:spacing w:val="-9"/>
        </w:rPr>
        <w:t> </w:t>
      </w:r>
      <w:r>
        <w:rPr/>
        <w:t>después</w:t>
      </w:r>
      <w:r>
        <w:rPr>
          <w:spacing w:val="-12"/>
        </w:rPr>
        <w:t> </w:t>
      </w:r>
      <w:r>
        <w:rPr/>
        <w:t>del</w:t>
      </w:r>
      <w:r>
        <w:rPr>
          <w:spacing w:val="-10"/>
        </w:rPr>
        <w:t> </w:t>
      </w:r>
      <w:r>
        <w:rPr/>
        <w:t>corte</w:t>
      </w:r>
      <w:r>
        <w:rPr>
          <w:spacing w:val="-11"/>
        </w:rPr>
        <w:t> </w:t>
      </w:r>
      <w:r>
        <w:rPr/>
        <w:t>como</w:t>
      </w:r>
      <w:r>
        <w:rPr>
          <w:spacing w:val="-11"/>
        </w:rPr>
        <w:t> </w:t>
      </w:r>
      <w:r>
        <w:rPr/>
        <w:t>se</w:t>
      </w:r>
      <w:r>
        <w:rPr>
          <w:spacing w:val="-11"/>
        </w:rPr>
        <w:t> </w:t>
      </w:r>
      <w:r>
        <w:rPr/>
        <w:t>muestra</w:t>
      </w:r>
      <w:r>
        <w:rPr>
          <w:spacing w:val="-8"/>
        </w:rPr>
        <w:t> </w:t>
      </w:r>
      <w:r>
        <w:rPr/>
        <w:t>en</w:t>
      </w:r>
      <w:r>
        <w:rPr>
          <w:spacing w:val="-11"/>
        </w:rPr>
        <w:t> </w:t>
      </w:r>
      <w:r>
        <w:rPr/>
        <w:t>el</w:t>
      </w:r>
      <w:r>
        <w:rPr>
          <w:spacing w:val="-12"/>
        </w:rPr>
        <w:t> </w:t>
      </w:r>
      <w:r>
        <w:rPr/>
        <w:t>cuadro 5.</w:t>
      </w:r>
    </w:p>
    <w:p>
      <w:pPr>
        <w:spacing w:after="0" w:line="480" w:lineRule="auto"/>
        <w:jc w:val="both"/>
        <w:sectPr>
          <w:pgSz w:w="12240" w:h="15840"/>
          <w:pgMar w:header="0" w:footer="1005" w:top="1360" w:bottom="1200" w:left="1600" w:right="1580"/>
        </w:sectPr>
      </w:pPr>
    </w:p>
    <w:p>
      <w:pPr>
        <w:pStyle w:val="BodyText"/>
        <w:spacing w:line="256" w:lineRule="auto" w:before="54"/>
        <w:ind w:left="121" w:right="118"/>
        <w:jc w:val="both"/>
      </w:pPr>
      <w:r>
        <w:rPr/>
        <w:t>Cuadro 5. Efecto de la fertilización con solución Steiner, zinc y magnesio sobre unidades SPAD, diámetro de la flor, área foliar (cm</w:t>
      </w:r>
      <w:r>
        <w:rPr>
          <w:position w:val="8"/>
          <w:sz w:val="16"/>
        </w:rPr>
        <w:t>2</w:t>
      </w:r>
      <w:r>
        <w:rPr/>
        <w:t>) y materia seca en </w:t>
      </w:r>
      <w:r>
        <w:rPr>
          <w:i/>
        </w:rPr>
        <w:t>Lilium </w:t>
      </w:r>
      <w:r>
        <w:rPr/>
        <w:t>cv. ‘Acapulco’, días poscosecha.</w:t>
      </w:r>
    </w:p>
    <w:p>
      <w:pPr>
        <w:pStyle w:val="BodyText"/>
        <w:spacing w:before="9"/>
        <w:rPr>
          <w:sz w:val="14"/>
        </w:r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5"/>
        <w:gridCol w:w="2222"/>
        <w:gridCol w:w="1781"/>
        <w:gridCol w:w="2068"/>
        <w:gridCol w:w="2004"/>
      </w:tblGrid>
      <w:tr>
        <w:trPr>
          <w:trHeight w:val="994" w:hRule="exact"/>
        </w:trPr>
        <w:tc>
          <w:tcPr>
            <w:tcW w:w="765" w:type="dxa"/>
            <w:tcBorders>
              <w:left w:val="nil"/>
              <w:right w:val="nil"/>
            </w:tcBorders>
          </w:tcPr>
          <w:p>
            <w:pPr>
              <w:pStyle w:val="TableParagraph"/>
              <w:ind w:left="107"/>
              <w:rPr>
                <w:sz w:val="22"/>
              </w:rPr>
            </w:pPr>
            <w:r>
              <w:rPr>
                <w:sz w:val="22"/>
              </w:rPr>
              <w:t>Día</w:t>
            </w:r>
          </w:p>
        </w:tc>
        <w:tc>
          <w:tcPr>
            <w:tcW w:w="2222" w:type="dxa"/>
            <w:tcBorders>
              <w:left w:val="nil"/>
              <w:right w:val="nil"/>
            </w:tcBorders>
          </w:tcPr>
          <w:p>
            <w:pPr>
              <w:pStyle w:val="TableParagraph"/>
              <w:spacing w:line="460" w:lineRule="auto"/>
              <w:ind w:left="315" w:right="503" w:firstLine="105"/>
              <w:rPr>
                <w:sz w:val="22"/>
              </w:rPr>
            </w:pPr>
            <w:r>
              <w:rPr>
                <w:sz w:val="22"/>
              </w:rPr>
              <w:t>Tratamiento Zn:Mg (mgL</w:t>
            </w:r>
            <w:r>
              <w:rPr>
                <w:position w:val="8"/>
                <w:sz w:val="14"/>
              </w:rPr>
              <w:t>-1</w:t>
            </w:r>
            <w:r>
              <w:rPr>
                <w:sz w:val="22"/>
              </w:rPr>
              <w:t>)</w:t>
            </w:r>
          </w:p>
        </w:tc>
        <w:tc>
          <w:tcPr>
            <w:tcW w:w="1781" w:type="dxa"/>
            <w:tcBorders>
              <w:left w:val="nil"/>
              <w:right w:val="nil"/>
            </w:tcBorders>
          </w:tcPr>
          <w:p>
            <w:pPr>
              <w:pStyle w:val="TableParagraph"/>
              <w:spacing w:line="465" w:lineRule="auto"/>
              <w:ind w:left="688" w:right="309" w:hanging="166"/>
              <w:rPr>
                <w:sz w:val="22"/>
              </w:rPr>
            </w:pPr>
            <w:r>
              <w:rPr>
                <w:sz w:val="22"/>
              </w:rPr>
              <w:t>Unidades SPAD</w:t>
            </w:r>
          </w:p>
        </w:tc>
        <w:tc>
          <w:tcPr>
            <w:tcW w:w="2068" w:type="dxa"/>
            <w:tcBorders>
              <w:left w:val="nil"/>
              <w:right w:val="nil"/>
            </w:tcBorders>
          </w:tcPr>
          <w:p>
            <w:pPr>
              <w:pStyle w:val="TableParagraph"/>
              <w:spacing w:line="465" w:lineRule="auto"/>
              <w:ind w:left="740" w:right="335" w:hanging="226"/>
              <w:rPr>
                <w:sz w:val="22"/>
              </w:rPr>
            </w:pPr>
            <w:r>
              <w:rPr>
                <w:sz w:val="22"/>
              </w:rPr>
              <w:t>Diámetro de flor (cm)</w:t>
            </w:r>
          </w:p>
        </w:tc>
        <w:tc>
          <w:tcPr>
            <w:tcW w:w="2004" w:type="dxa"/>
            <w:tcBorders>
              <w:left w:val="nil"/>
              <w:right w:val="nil"/>
            </w:tcBorders>
          </w:tcPr>
          <w:p>
            <w:pPr>
              <w:pStyle w:val="TableParagraph"/>
              <w:spacing w:line="465" w:lineRule="auto"/>
              <w:ind w:left="811" w:right="372" w:hanging="459"/>
              <w:rPr>
                <w:sz w:val="22"/>
              </w:rPr>
            </w:pPr>
            <w:r>
              <w:rPr>
                <w:sz w:val="22"/>
              </w:rPr>
              <w:t>Materia seca (%)</w:t>
            </w:r>
          </w:p>
        </w:tc>
      </w:tr>
      <w:tr>
        <w:trPr>
          <w:trHeight w:val="411" w:hRule="exact"/>
        </w:trPr>
        <w:tc>
          <w:tcPr>
            <w:tcW w:w="765" w:type="dxa"/>
            <w:tcBorders>
              <w:left w:val="nil"/>
              <w:bottom w:val="nil"/>
              <w:right w:val="nil"/>
            </w:tcBorders>
          </w:tcPr>
          <w:p>
            <w:pPr/>
          </w:p>
        </w:tc>
        <w:tc>
          <w:tcPr>
            <w:tcW w:w="2222" w:type="dxa"/>
            <w:tcBorders>
              <w:left w:val="nil"/>
              <w:bottom w:val="nil"/>
              <w:right w:val="nil"/>
            </w:tcBorders>
          </w:tcPr>
          <w:p>
            <w:pPr>
              <w:pStyle w:val="TableParagraph"/>
              <w:spacing w:line="274" w:lineRule="exact"/>
              <w:ind w:left="479" w:right="684"/>
              <w:jc w:val="center"/>
              <w:rPr>
                <w:sz w:val="24"/>
              </w:rPr>
            </w:pPr>
            <w:r>
              <w:rPr>
                <w:sz w:val="24"/>
              </w:rPr>
              <w:t>0 - 0</w:t>
            </w:r>
          </w:p>
        </w:tc>
        <w:tc>
          <w:tcPr>
            <w:tcW w:w="1781" w:type="dxa"/>
            <w:tcBorders>
              <w:left w:val="nil"/>
              <w:bottom w:val="nil"/>
              <w:right w:val="nil"/>
            </w:tcBorders>
          </w:tcPr>
          <w:p>
            <w:pPr>
              <w:pStyle w:val="TableParagraph"/>
              <w:spacing w:line="274" w:lineRule="exact"/>
              <w:ind w:right="441"/>
              <w:jc w:val="right"/>
              <w:rPr>
                <w:sz w:val="24"/>
              </w:rPr>
            </w:pPr>
            <w:r>
              <w:rPr>
                <w:sz w:val="24"/>
              </w:rPr>
              <w:t>55.0 a</w:t>
            </w:r>
          </w:p>
        </w:tc>
        <w:tc>
          <w:tcPr>
            <w:tcW w:w="2068" w:type="dxa"/>
            <w:tcBorders>
              <w:left w:val="nil"/>
              <w:bottom w:val="nil"/>
              <w:right w:val="nil"/>
            </w:tcBorders>
          </w:tcPr>
          <w:p>
            <w:pPr>
              <w:pStyle w:val="TableParagraph"/>
              <w:spacing w:line="274" w:lineRule="exact"/>
              <w:ind w:right="1067"/>
              <w:jc w:val="right"/>
              <w:rPr>
                <w:sz w:val="24"/>
              </w:rPr>
            </w:pPr>
            <w:r>
              <w:rPr>
                <w:sz w:val="24"/>
              </w:rPr>
              <w:t>2.5 a</w:t>
            </w:r>
          </w:p>
        </w:tc>
        <w:tc>
          <w:tcPr>
            <w:tcW w:w="2004" w:type="dxa"/>
            <w:tcBorders>
              <w:left w:val="nil"/>
              <w:bottom w:val="nil"/>
              <w:right w:val="nil"/>
            </w:tcBorders>
          </w:tcPr>
          <w:p>
            <w:pPr>
              <w:pStyle w:val="TableParagraph"/>
              <w:spacing w:line="274" w:lineRule="exact"/>
              <w:ind w:left="525" w:right="372"/>
              <w:rPr>
                <w:sz w:val="24"/>
              </w:rPr>
            </w:pPr>
            <w:r>
              <w:rPr>
                <w:sz w:val="24"/>
              </w:rPr>
              <w:t>12.5 a</w:t>
            </w:r>
          </w:p>
        </w:tc>
      </w:tr>
      <w:tr>
        <w:trPr>
          <w:trHeight w:val="517" w:hRule="exact"/>
        </w:trPr>
        <w:tc>
          <w:tcPr>
            <w:tcW w:w="765" w:type="dxa"/>
            <w:tcBorders>
              <w:top w:val="nil"/>
              <w:left w:val="nil"/>
              <w:bottom w:val="nil"/>
              <w:right w:val="nil"/>
            </w:tcBorders>
          </w:tcPr>
          <w:p>
            <w:pPr>
              <w:pStyle w:val="TableParagraph"/>
              <w:spacing w:before="107"/>
              <w:ind w:left="211"/>
              <w:rPr>
                <w:sz w:val="24"/>
              </w:rPr>
            </w:pPr>
            <w:r>
              <w:rPr>
                <w:w w:val="99"/>
                <w:sz w:val="24"/>
              </w:rPr>
              <w:t>0</w:t>
            </w:r>
          </w:p>
        </w:tc>
        <w:tc>
          <w:tcPr>
            <w:tcW w:w="2222" w:type="dxa"/>
            <w:tcBorders>
              <w:top w:val="nil"/>
              <w:left w:val="nil"/>
              <w:bottom w:val="nil"/>
              <w:right w:val="nil"/>
            </w:tcBorders>
          </w:tcPr>
          <w:p>
            <w:pPr>
              <w:pStyle w:val="TableParagraph"/>
              <w:spacing w:before="107"/>
              <w:ind w:left="482" w:right="684"/>
              <w:jc w:val="center"/>
              <w:rPr>
                <w:sz w:val="24"/>
              </w:rPr>
            </w:pPr>
            <w:r>
              <w:rPr>
                <w:sz w:val="24"/>
              </w:rPr>
              <w:t>72 - 80</w:t>
            </w:r>
          </w:p>
        </w:tc>
        <w:tc>
          <w:tcPr>
            <w:tcW w:w="1781" w:type="dxa"/>
            <w:tcBorders>
              <w:top w:val="nil"/>
              <w:left w:val="nil"/>
              <w:bottom w:val="nil"/>
              <w:right w:val="nil"/>
            </w:tcBorders>
          </w:tcPr>
          <w:p>
            <w:pPr>
              <w:pStyle w:val="TableParagraph"/>
              <w:spacing w:before="107"/>
              <w:ind w:right="441"/>
              <w:jc w:val="right"/>
              <w:rPr>
                <w:sz w:val="24"/>
              </w:rPr>
            </w:pPr>
            <w:r>
              <w:rPr>
                <w:sz w:val="24"/>
              </w:rPr>
              <w:t>56.5 a</w:t>
            </w:r>
          </w:p>
        </w:tc>
        <w:tc>
          <w:tcPr>
            <w:tcW w:w="2068" w:type="dxa"/>
            <w:tcBorders>
              <w:top w:val="nil"/>
              <w:left w:val="nil"/>
              <w:bottom w:val="nil"/>
              <w:right w:val="nil"/>
            </w:tcBorders>
          </w:tcPr>
          <w:p>
            <w:pPr>
              <w:pStyle w:val="TableParagraph"/>
              <w:spacing w:before="107"/>
              <w:ind w:right="1067"/>
              <w:jc w:val="right"/>
              <w:rPr>
                <w:sz w:val="24"/>
              </w:rPr>
            </w:pPr>
            <w:r>
              <w:rPr>
                <w:sz w:val="24"/>
              </w:rPr>
              <w:t>2.5 a</w:t>
            </w:r>
          </w:p>
        </w:tc>
        <w:tc>
          <w:tcPr>
            <w:tcW w:w="2004" w:type="dxa"/>
            <w:tcBorders>
              <w:top w:val="nil"/>
              <w:left w:val="nil"/>
              <w:bottom w:val="nil"/>
              <w:right w:val="nil"/>
            </w:tcBorders>
          </w:tcPr>
          <w:p>
            <w:pPr>
              <w:pStyle w:val="TableParagraph"/>
              <w:spacing w:before="107"/>
              <w:ind w:left="527" w:right="372"/>
              <w:rPr>
                <w:sz w:val="24"/>
              </w:rPr>
            </w:pPr>
            <w:r>
              <w:rPr>
                <w:sz w:val="24"/>
              </w:rPr>
              <w:t>13.2 a</w:t>
            </w:r>
          </w:p>
        </w:tc>
      </w:tr>
      <w:tr>
        <w:trPr>
          <w:trHeight w:val="776" w:hRule="exact"/>
        </w:trPr>
        <w:tc>
          <w:tcPr>
            <w:tcW w:w="765" w:type="dxa"/>
            <w:tcBorders>
              <w:top w:val="nil"/>
              <w:left w:val="nil"/>
              <w:bottom w:val="nil"/>
              <w:right w:val="nil"/>
            </w:tcBorders>
          </w:tcPr>
          <w:p>
            <w:pPr/>
          </w:p>
        </w:tc>
        <w:tc>
          <w:tcPr>
            <w:tcW w:w="2222" w:type="dxa"/>
            <w:tcBorders>
              <w:top w:val="nil"/>
              <w:left w:val="nil"/>
              <w:bottom w:val="nil"/>
              <w:right w:val="nil"/>
            </w:tcBorders>
          </w:tcPr>
          <w:p>
            <w:pPr>
              <w:pStyle w:val="TableParagraph"/>
              <w:spacing w:before="109"/>
              <w:ind w:left="482" w:right="684"/>
              <w:jc w:val="center"/>
              <w:rPr>
                <w:sz w:val="24"/>
              </w:rPr>
            </w:pPr>
            <w:r>
              <w:rPr>
                <w:sz w:val="24"/>
              </w:rPr>
              <w:t>144 - 160</w:t>
            </w:r>
          </w:p>
        </w:tc>
        <w:tc>
          <w:tcPr>
            <w:tcW w:w="1781" w:type="dxa"/>
            <w:tcBorders>
              <w:top w:val="nil"/>
              <w:left w:val="nil"/>
              <w:bottom w:val="nil"/>
              <w:right w:val="nil"/>
            </w:tcBorders>
          </w:tcPr>
          <w:p>
            <w:pPr>
              <w:pStyle w:val="TableParagraph"/>
              <w:spacing w:before="109"/>
              <w:ind w:right="441"/>
              <w:jc w:val="right"/>
              <w:rPr>
                <w:sz w:val="24"/>
              </w:rPr>
            </w:pPr>
            <w:r>
              <w:rPr>
                <w:sz w:val="24"/>
              </w:rPr>
              <w:t>55.1 a</w:t>
            </w:r>
          </w:p>
        </w:tc>
        <w:tc>
          <w:tcPr>
            <w:tcW w:w="2068" w:type="dxa"/>
            <w:tcBorders>
              <w:top w:val="nil"/>
              <w:left w:val="nil"/>
              <w:bottom w:val="nil"/>
              <w:right w:val="nil"/>
            </w:tcBorders>
          </w:tcPr>
          <w:p>
            <w:pPr>
              <w:pStyle w:val="TableParagraph"/>
              <w:spacing w:before="109"/>
              <w:ind w:right="1067"/>
              <w:jc w:val="right"/>
              <w:rPr>
                <w:sz w:val="24"/>
              </w:rPr>
            </w:pPr>
            <w:r>
              <w:rPr>
                <w:sz w:val="24"/>
              </w:rPr>
              <w:t>2.5 a</w:t>
            </w:r>
          </w:p>
        </w:tc>
        <w:tc>
          <w:tcPr>
            <w:tcW w:w="2004" w:type="dxa"/>
            <w:tcBorders>
              <w:top w:val="nil"/>
              <w:left w:val="nil"/>
              <w:bottom w:val="nil"/>
              <w:right w:val="nil"/>
            </w:tcBorders>
          </w:tcPr>
          <w:p>
            <w:pPr>
              <w:pStyle w:val="TableParagraph"/>
              <w:spacing w:before="109"/>
              <w:ind w:left="527" w:right="372"/>
              <w:rPr>
                <w:sz w:val="24"/>
              </w:rPr>
            </w:pPr>
            <w:r>
              <w:rPr>
                <w:sz w:val="24"/>
              </w:rPr>
              <w:t>12.9 a</w:t>
            </w:r>
          </w:p>
        </w:tc>
      </w:tr>
      <w:tr>
        <w:trPr>
          <w:trHeight w:val="776" w:hRule="exact"/>
        </w:trPr>
        <w:tc>
          <w:tcPr>
            <w:tcW w:w="765" w:type="dxa"/>
            <w:tcBorders>
              <w:top w:val="nil"/>
              <w:left w:val="nil"/>
              <w:bottom w:val="nil"/>
              <w:right w:val="nil"/>
            </w:tcBorders>
          </w:tcPr>
          <w:p>
            <w:pPr/>
          </w:p>
        </w:tc>
        <w:tc>
          <w:tcPr>
            <w:tcW w:w="2222" w:type="dxa"/>
            <w:tcBorders>
              <w:top w:val="nil"/>
              <w:left w:val="nil"/>
              <w:bottom w:val="nil"/>
              <w:right w:val="nil"/>
            </w:tcBorders>
          </w:tcPr>
          <w:p>
            <w:pPr>
              <w:pStyle w:val="TableParagraph"/>
              <w:spacing w:before="10"/>
              <w:rPr>
                <w:sz w:val="31"/>
              </w:rPr>
            </w:pPr>
          </w:p>
          <w:p>
            <w:pPr>
              <w:pStyle w:val="TableParagraph"/>
              <w:ind w:left="482" w:right="682"/>
              <w:jc w:val="center"/>
              <w:rPr>
                <w:sz w:val="24"/>
              </w:rPr>
            </w:pPr>
            <w:r>
              <w:rPr>
                <w:sz w:val="24"/>
              </w:rPr>
              <w:t>0 - 0</w:t>
            </w:r>
          </w:p>
        </w:tc>
        <w:tc>
          <w:tcPr>
            <w:tcW w:w="1781" w:type="dxa"/>
            <w:tcBorders>
              <w:top w:val="nil"/>
              <w:left w:val="nil"/>
              <w:bottom w:val="nil"/>
              <w:right w:val="nil"/>
            </w:tcBorders>
          </w:tcPr>
          <w:p>
            <w:pPr>
              <w:pStyle w:val="TableParagraph"/>
              <w:spacing w:before="10"/>
              <w:rPr>
                <w:sz w:val="31"/>
              </w:rPr>
            </w:pPr>
          </w:p>
          <w:p>
            <w:pPr>
              <w:pStyle w:val="TableParagraph"/>
              <w:ind w:right="441"/>
              <w:jc w:val="right"/>
              <w:rPr>
                <w:sz w:val="24"/>
              </w:rPr>
            </w:pPr>
            <w:r>
              <w:rPr>
                <w:sz w:val="24"/>
              </w:rPr>
              <w:t>56.9 a</w:t>
            </w:r>
          </w:p>
        </w:tc>
        <w:tc>
          <w:tcPr>
            <w:tcW w:w="2068" w:type="dxa"/>
            <w:tcBorders>
              <w:top w:val="nil"/>
              <w:left w:val="nil"/>
              <w:bottom w:val="nil"/>
              <w:right w:val="nil"/>
            </w:tcBorders>
          </w:tcPr>
          <w:p>
            <w:pPr>
              <w:pStyle w:val="TableParagraph"/>
              <w:spacing w:before="10"/>
              <w:rPr>
                <w:sz w:val="31"/>
              </w:rPr>
            </w:pPr>
          </w:p>
          <w:p>
            <w:pPr>
              <w:pStyle w:val="TableParagraph"/>
              <w:ind w:right="1067"/>
              <w:jc w:val="right"/>
              <w:rPr>
                <w:sz w:val="24"/>
              </w:rPr>
            </w:pPr>
            <w:r>
              <w:rPr>
                <w:sz w:val="24"/>
              </w:rPr>
              <w:t>18.0 a</w:t>
            </w:r>
          </w:p>
        </w:tc>
        <w:tc>
          <w:tcPr>
            <w:tcW w:w="2004" w:type="dxa"/>
            <w:tcBorders>
              <w:top w:val="nil"/>
              <w:left w:val="nil"/>
              <w:bottom w:val="nil"/>
              <w:right w:val="nil"/>
            </w:tcBorders>
          </w:tcPr>
          <w:p>
            <w:pPr>
              <w:pStyle w:val="TableParagraph"/>
              <w:spacing w:before="10"/>
              <w:rPr>
                <w:sz w:val="31"/>
              </w:rPr>
            </w:pPr>
          </w:p>
          <w:p>
            <w:pPr>
              <w:pStyle w:val="TableParagraph"/>
              <w:ind w:left="527" w:right="372"/>
              <w:rPr>
                <w:sz w:val="24"/>
              </w:rPr>
            </w:pPr>
            <w:r>
              <w:rPr>
                <w:sz w:val="24"/>
              </w:rPr>
              <w:t>12.3 a</w:t>
            </w:r>
          </w:p>
        </w:tc>
      </w:tr>
      <w:tr>
        <w:trPr>
          <w:trHeight w:val="517" w:hRule="exact"/>
        </w:trPr>
        <w:tc>
          <w:tcPr>
            <w:tcW w:w="765" w:type="dxa"/>
            <w:tcBorders>
              <w:top w:val="nil"/>
              <w:left w:val="nil"/>
              <w:bottom w:val="nil"/>
              <w:right w:val="nil"/>
            </w:tcBorders>
          </w:tcPr>
          <w:p>
            <w:pPr>
              <w:pStyle w:val="TableParagraph"/>
              <w:spacing w:before="109"/>
              <w:ind w:left="211"/>
              <w:rPr>
                <w:sz w:val="24"/>
              </w:rPr>
            </w:pPr>
            <w:r>
              <w:rPr>
                <w:w w:val="99"/>
                <w:sz w:val="24"/>
              </w:rPr>
              <w:t>4</w:t>
            </w:r>
          </w:p>
        </w:tc>
        <w:tc>
          <w:tcPr>
            <w:tcW w:w="2222" w:type="dxa"/>
            <w:tcBorders>
              <w:top w:val="nil"/>
              <w:left w:val="nil"/>
              <w:bottom w:val="nil"/>
              <w:right w:val="nil"/>
            </w:tcBorders>
          </w:tcPr>
          <w:p>
            <w:pPr>
              <w:pStyle w:val="TableParagraph"/>
              <w:spacing w:before="109"/>
              <w:ind w:left="482" w:right="684"/>
              <w:jc w:val="center"/>
              <w:rPr>
                <w:sz w:val="24"/>
              </w:rPr>
            </w:pPr>
            <w:r>
              <w:rPr>
                <w:sz w:val="24"/>
              </w:rPr>
              <w:t>72 - 80</w:t>
            </w:r>
          </w:p>
        </w:tc>
        <w:tc>
          <w:tcPr>
            <w:tcW w:w="1781" w:type="dxa"/>
            <w:tcBorders>
              <w:top w:val="nil"/>
              <w:left w:val="nil"/>
              <w:bottom w:val="nil"/>
              <w:right w:val="nil"/>
            </w:tcBorders>
          </w:tcPr>
          <w:p>
            <w:pPr>
              <w:pStyle w:val="TableParagraph"/>
              <w:spacing w:before="109"/>
              <w:ind w:right="441"/>
              <w:jc w:val="right"/>
              <w:rPr>
                <w:sz w:val="24"/>
              </w:rPr>
            </w:pPr>
            <w:r>
              <w:rPr>
                <w:sz w:val="24"/>
              </w:rPr>
              <w:t>56.2 a</w:t>
            </w:r>
          </w:p>
        </w:tc>
        <w:tc>
          <w:tcPr>
            <w:tcW w:w="2068" w:type="dxa"/>
            <w:tcBorders>
              <w:top w:val="nil"/>
              <w:left w:val="nil"/>
              <w:bottom w:val="nil"/>
              <w:right w:val="nil"/>
            </w:tcBorders>
          </w:tcPr>
          <w:p>
            <w:pPr>
              <w:pStyle w:val="TableParagraph"/>
              <w:spacing w:before="109"/>
              <w:ind w:right="1067"/>
              <w:jc w:val="right"/>
              <w:rPr>
                <w:sz w:val="24"/>
              </w:rPr>
            </w:pPr>
            <w:r>
              <w:rPr>
                <w:sz w:val="24"/>
              </w:rPr>
              <w:t>17.5 a</w:t>
            </w:r>
          </w:p>
        </w:tc>
        <w:tc>
          <w:tcPr>
            <w:tcW w:w="2004" w:type="dxa"/>
            <w:tcBorders>
              <w:top w:val="nil"/>
              <w:left w:val="nil"/>
              <w:bottom w:val="nil"/>
              <w:right w:val="nil"/>
            </w:tcBorders>
          </w:tcPr>
          <w:p>
            <w:pPr>
              <w:pStyle w:val="TableParagraph"/>
              <w:spacing w:before="109"/>
              <w:ind w:left="527" w:right="372"/>
              <w:rPr>
                <w:sz w:val="24"/>
              </w:rPr>
            </w:pPr>
            <w:r>
              <w:rPr>
                <w:sz w:val="24"/>
              </w:rPr>
              <w:t>11.9 a</w:t>
            </w:r>
          </w:p>
        </w:tc>
      </w:tr>
      <w:tr>
        <w:trPr>
          <w:trHeight w:val="775" w:hRule="exact"/>
        </w:trPr>
        <w:tc>
          <w:tcPr>
            <w:tcW w:w="765" w:type="dxa"/>
            <w:tcBorders>
              <w:top w:val="nil"/>
              <w:left w:val="nil"/>
              <w:bottom w:val="nil"/>
              <w:right w:val="nil"/>
            </w:tcBorders>
          </w:tcPr>
          <w:p>
            <w:pPr/>
          </w:p>
        </w:tc>
        <w:tc>
          <w:tcPr>
            <w:tcW w:w="2222" w:type="dxa"/>
            <w:tcBorders>
              <w:top w:val="nil"/>
              <w:left w:val="nil"/>
              <w:bottom w:val="nil"/>
              <w:right w:val="nil"/>
            </w:tcBorders>
          </w:tcPr>
          <w:p>
            <w:pPr>
              <w:pStyle w:val="TableParagraph"/>
              <w:spacing w:before="107"/>
              <w:ind w:left="482" w:right="684"/>
              <w:jc w:val="center"/>
              <w:rPr>
                <w:sz w:val="24"/>
              </w:rPr>
            </w:pPr>
            <w:r>
              <w:rPr>
                <w:sz w:val="24"/>
              </w:rPr>
              <w:t>144 - 160</w:t>
            </w:r>
          </w:p>
        </w:tc>
        <w:tc>
          <w:tcPr>
            <w:tcW w:w="1781" w:type="dxa"/>
            <w:tcBorders>
              <w:top w:val="nil"/>
              <w:left w:val="nil"/>
              <w:bottom w:val="nil"/>
              <w:right w:val="nil"/>
            </w:tcBorders>
          </w:tcPr>
          <w:p>
            <w:pPr>
              <w:pStyle w:val="TableParagraph"/>
              <w:spacing w:before="107"/>
              <w:ind w:right="441"/>
              <w:jc w:val="right"/>
              <w:rPr>
                <w:sz w:val="24"/>
              </w:rPr>
            </w:pPr>
            <w:r>
              <w:rPr>
                <w:sz w:val="24"/>
              </w:rPr>
              <w:t>53.1 a</w:t>
            </w:r>
          </w:p>
        </w:tc>
        <w:tc>
          <w:tcPr>
            <w:tcW w:w="2068" w:type="dxa"/>
            <w:tcBorders>
              <w:top w:val="nil"/>
              <w:left w:val="nil"/>
              <w:bottom w:val="nil"/>
              <w:right w:val="nil"/>
            </w:tcBorders>
          </w:tcPr>
          <w:p>
            <w:pPr>
              <w:pStyle w:val="TableParagraph"/>
              <w:spacing w:before="107"/>
              <w:ind w:right="1067"/>
              <w:jc w:val="right"/>
              <w:rPr>
                <w:sz w:val="24"/>
              </w:rPr>
            </w:pPr>
            <w:r>
              <w:rPr>
                <w:sz w:val="24"/>
              </w:rPr>
              <w:t>16.2 a</w:t>
            </w:r>
          </w:p>
        </w:tc>
        <w:tc>
          <w:tcPr>
            <w:tcW w:w="2004" w:type="dxa"/>
            <w:tcBorders>
              <w:top w:val="nil"/>
              <w:left w:val="nil"/>
              <w:bottom w:val="nil"/>
              <w:right w:val="nil"/>
            </w:tcBorders>
          </w:tcPr>
          <w:p>
            <w:pPr>
              <w:pStyle w:val="TableParagraph"/>
              <w:spacing w:before="107"/>
              <w:ind w:left="525" w:right="372"/>
              <w:rPr>
                <w:sz w:val="24"/>
              </w:rPr>
            </w:pPr>
            <w:r>
              <w:rPr>
                <w:sz w:val="24"/>
              </w:rPr>
              <w:t>11.7 a</w:t>
            </w:r>
          </w:p>
        </w:tc>
      </w:tr>
      <w:tr>
        <w:trPr>
          <w:trHeight w:val="776" w:hRule="exact"/>
        </w:trPr>
        <w:tc>
          <w:tcPr>
            <w:tcW w:w="765" w:type="dxa"/>
            <w:tcBorders>
              <w:top w:val="nil"/>
              <w:left w:val="nil"/>
              <w:bottom w:val="nil"/>
              <w:right w:val="nil"/>
            </w:tcBorders>
          </w:tcPr>
          <w:p>
            <w:pPr/>
          </w:p>
        </w:tc>
        <w:tc>
          <w:tcPr>
            <w:tcW w:w="2222" w:type="dxa"/>
            <w:tcBorders>
              <w:top w:val="nil"/>
              <w:left w:val="nil"/>
              <w:bottom w:val="nil"/>
              <w:right w:val="nil"/>
            </w:tcBorders>
          </w:tcPr>
          <w:p>
            <w:pPr>
              <w:pStyle w:val="TableParagraph"/>
              <w:spacing w:before="10"/>
              <w:rPr>
                <w:sz w:val="31"/>
              </w:rPr>
            </w:pPr>
          </w:p>
          <w:p>
            <w:pPr>
              <w:pStyle w:val="TableParagraph"/>
              <w:ind w:left="479" w:right="684"/>
              <w:jc w:val="center"/>
              <w:rPr>
                <w:sz w:val="24"/>
              </w:rPr>
            </w:pPr>
            <w:r>
              <w:rPr>
                <w:sz w:val="24"/>
              </w:rPr>
              <w:t>0 - 0</w:t>
            </w:r>
          </w:p>
        </w:tc>
        <w:tc>
          <w:tcPr>
            <w:tcW w:w="1781" w:type="dxa"/>
            <w:tcBorders>
              <w:top w:val="nil"/>
              <w:left w:val="nil"/>
              <w:bottom w:val="nil"/>
              <w:right w:val="nil"/>
            </w:tcBorders>
          </w:tcPr>
          <w:p>
            <w:pPr>
              <w:pStyle w:val="TableParagraph"/>
              <w:spacing w:before="10"/>
              <w:rPr>
                <w:sz w:val="31"/>
              </w:rPr>
            </w:pPr>
          </w:p>
          <w:p>
            <w:pPr>
              <w:pStyle w:val="TableParagraph"/>
              <w:ind w:right="441"/>
              <w:jc w:val="right"/>
              <w:rPr>
                <w:sz w:val="24"/>
              </w:rPr>
            </w:pPr>
            <w:r>
              <w:rPr>
                <w:sz w:val="24"/>
              </w:rPr>
              <w:t>55.4 a</w:t>
            </w:r>
          </w:p>
        </w:tc>
        <w:tc>
          <w:tcPr>
            <w:tcW w:w="2068" w:type="dxa"/>
            <w:tcBorders>
              <w:top w:val="nil"/>
              <w:left w:val="nil"/>
              <w:bottom w:val="nil"/>
              <w:right w:val="nil"/>
            </w:tcBorders>
          </w:tcPr>
          <w:p>
            <w:pPr>
              <w:pStyle w:val="TableParagraph"/>
              <w:spacing w:before="10"/>
              <w:rPr>
                <w:sz w:val="31"/>
              </w:rPr>
            </w:pPr>
          </w:p>
          <w:p>
            <w:pPr>
              <w:pStyle w:val="TableParagraph"/>
              <w:ind w:right="1067"/>
              <w:jc w:val="right"/>
              <w:rPr>
                <w:sz w:val="24"/>
              </w:rPr>
            </w:pPr>
            <w:r>
              <w:rPr>
                <w:sz w:val="24"/>
              </w:rPr>
              <w:t>15.8 a</w:t>
            </w:r>
          </w:p>
        </w:tc>
        <w:tc>
          <w:tcPr>
            <w:tcW w:w="2004" w:type="dxa"/>
            <w:tcBorders>
              <w:top w:val="nil"/>
              <w:left w:val="nil"/>
              <w:bottom w:val="nil"/>
              <w:right w:val="nil"/>
            </w:tcBorders>
          </w:tcPr>
          <w:p>
            <w:pPr>
              <w:pStyle w:val="TableParagraph"/>
              <w:spacing w:before="10"/>
              <w:rPr>
                <w:sz w:val="31"/>
              </w:rPr>
            </w:pPr>
          </w:p>
          <w:p>
            <w:pPr>
              <w:pStyle w:val="TableParagraph"/>
              <w:ind w:left="525" w:right="372"/>
              <w:rPr>
                <w:sz w:val="24"/>
              </w:rPr>
            </w:pPr>
            <w:r>
              <w:rPr>
                <w:sz w:val="24"/>
              </w:rPr>
              <w:t>12.1 a</w:t>
            </w:r>
          </w:p>
        </w:tc>
      </w:tr>
      <w:tr>
        <w:trPr>
          <w:trHeight w:val="518" w:hRule="exact"/>
        </w:trPr>
        <w:tc>
          <w:tcPr>
            <w:tcW w:w="765" w:type="dxa"/>
            <w:tcBorders>
              <w:top w:val="nil"/>
              <w:left w:val="nil"/>
              <w:bottom w:val="nil"/>
              <w:right w:val="nil"/>
            </w:tcBorders>
          </w:tcPr>
          <w:p>
            <w:pPr>
              <w:pStyle w:val="TableParagraph"/>
              <w:spacing w:before="109"/>
              <w:ind w:left="211"/>
              <w:rPr>
                <w:sz w:val="24"/>
              </w:rPr>
            </w:pPr>
            <w:r>
              <w:rPr>
                <w:w w:val="99"/>
                <w:sz w:val="24"/>
              </w:rPr>
              <w:t>8</w:t>
            </w:r>
          </w:p>
        </w:tc>
        <w:tc>
          <w:tcPr>
            <w:tcW w:w="2222" w:type="dxa"/>
            <w:tcBorders>
              <w:top w:val="nil"/>
              <w:left w:val="nil"/>
              <w:bottom w:val="nil"/>
              <w:right w:val="nil"/>
            </w:tcBorders>
          </w:tcPr>
          <w:p>
            <w:pPr>
              <w:pStyle w:val="TableParagraph"/>
              <w:spacing w:before="109"/>
              <w:ind w:left="482" w:right="684"/>
              <w:jc w:val="center"/>
              <w:rPr>
                <w:sz w:val="24"/>
              </w:rPr>
            </w:pPr>
            <w:r>
              <w:rPr>
                <w:sz w:val="24"/>
              </w:rPr>
              <w:t>72 - 80</w:t>
            </w:r>
          </w:p>
        </w:tc>
        <w:tc>
          <w:tcPr>
            <w:tcW w:w="1781" w:type="dxa"/>
            <w:tcBorders>
              <w:top w:val="nil"/>
              <w:left w:val="nil"/>
              <w:bottom w:val="nil"/>
              <w:right w:val="nil"/>
            </w:tcBorders>
          </w:tcPr>
          <w:p>
            <w:pPr>
              <w:pStyle w:val="TableParagraph"/>
              <w:spacing w:before="109"/>
              <w:ind w:right="441"/>
              <w:jc w:val="right"/>
              <w:rPr>
                <w:sz w:val="24"/>
              </w:rPr>
            </w:pPr>
            <w:r>
              <w:rPr>
                <w:sz w:val="24"/>
              </w:rPr>
              <w:t>53.9 a</w:t>
            </w:r>
          </w:p>
        </w:tc>
        <w:tc>
          <w:tcPr>
            <w:tcW w:w="2068" w:type="dxa"/>
            <w:tcBorders>
              <w:top w:val="nil"/>
              <w:left w:val="nil"/>
              <w:bottom w:val="nil"/>
              <w:right w:val="nil"/>
            </w:tcBorders>
          </w:tcPr>
          <w:p>
            <w:pPr>
              <w:pStyle w:val="TableParagraph"/>
              <w:spacing w:before="109"/>
              <w:ind w:right="1067"/>
              <w:jc w:val="right"/>
              <w:rPr>
                <w:sz w:val="24"/>
              </w:rPr>
            </w:pPr>
            <w:r>
              <w:rPr>
                <w:sz w:val="24"/>
              </w:rPr>
              <w:t>13.5 a</w:t>
            </w:r>
          </w:p>
        </w:tc>
        <w:tc>
          <w:tcPr>
            <w:tcW w:w="2004" w:type="dxa"/>
            <w:tcBorders>
              <w:top w:val="nil"/>
              <w:left w:val="nil"/>
              <w:bottom w:val="nil"/>
              <w:right w:val="nil"/>
            </w:tcBorders>
          </w:tcPr>
          <w:p>
            <w:pPr>
              <w:pStyle w:val="TableParagraph"/>
              <w:spacing w:before="109"/>
              <w:ind w:left="525" w:right="372"/>
              <w:rPr>
                <w:sz w:val="24"/>
              </w:rPr>
            </w:pPr>
            <w:r>
              <w:rPr>
                <w:sz w:val="24"/>
              </w:rPr>
              <w:t>12.2 a</w:t>
            </w:r>
          </w:p>
        </w:tc>
      </w:tr>
      <w:tr>
        <w:trPr>
          <w:trHeight w:val="776" w:hRule="exact"/>
        </w:trPr>
        <w:tc>
          <w:tcPr>
            <w:tcW w:w="765" w:type="dxa"/>
            <w:tcBorders>
              <w:top w:val="nil"/>
              <w:left w:val="nil"/>
              <w:bottom w:val="nil"/>
              <w:right w:val="nil"/>
            </w:tcBorders>
          </w:tcPr>
          <w:p>
            <w:pPr/>
          </w:p>
        </w:tc>
        <w:tc>
          <w:tcPr>
            <w:tcW w:w="2222" w:type="dxa"/>
            <w:tcBorders>
              <w:top w:val="nil"/>
              <w:left w:val="nil"/>
              <w:bottom w:val="nil"/>
              <w:right w:val="nil"/>
            </w:tcBorders>
          </w:tcPr>
          <w:p>
            <w:pPr>
              <w:pStyle w:val="TableParagraph"/>
              <w:spacing w:before="109"/>
              <w:ind w:left="482" w:right="684"/>
              <w:jc w:val="center"/>
              <w:rPr>
                <w:sz w:val="24"/>
              </w:rPr>
            </w:pPr>
            <w:r>
              <w:rPr>
                <w:sz w:val="24"/>
              </w:rPr>
              <w:t>144 - 160</w:t>
            </w:r>
          </w:p>
        </w:tc>
        <w:tc>
          <w:tcPr>
            <w:tcW w:w="1781" w:type="dxa"/>
            <w:tcBorders>
              <w:top w:val="nil"/>
              <w:left w:val="nil"/>
              <w:bottom w:val="nil"/>
              <w:right w:val="nil"/>
            </w:tcBorders>
          </w:tcPr>
          <w:p>
            <w:pPr>
              <w:pStyle w:val="TableParagraph"/>
              <w:spacing w:before="109"/>
              <w:ind w:right="441"/>
              <w:jc w:val="right"/>
              <w:rPr>
                <w:sz w:val="24"/>
              </w:rPr>
            </w:pPr>
            <w:r>
              <w:rPr>
                <w:sz w:val="24"/>
              </w:rPr>
              <w:t>55.3 a</w:t>
            </w:r>
          </w:p>
        </w:tc>
        <w:tc>
          <w:tcPr>
            <w:tcW w:w="2068" w:type="dxa"/>
            <w:tcBorders>
              <w:top w:val="nil"/>
              <w:left w:val="nil"/>
              <w:bottom w:val="nil"/>
              <w:right w:val="nil"/>
            </w:tcBorders>
          </w:tcPr>
          <w:p>
            <w:pPr>
              <w:pStyle w:val="TableParagraph"/>
              <w:spacing w:before="109"/>
              <w:ind w:right="1067"/>
              <w:jc w:val="right"/>
              <w:rPr>
                <w:sz w:val="24"/>
              </w:rPr>
            </w:pPr>
            <w:r>
              <w:rPr>
                <w:sz w:val="24"/>
              </w:rPr>
              <w:t>14.9 a</w:t>
            </w:r>
          </w:p>
        </w:tc>
        <w:tc>
          <w:tcPr>
            <w:tcW w:w="2004" w:type="dxa"/>
            <w:tcBorders>
              <w:top w:val="nil"/>
              <w:left w:val="nil"/>
              <w:bottom w:val="nil"/>
              <w:right w:val="nil"/>
            </w:tcBorders>
          </w:tcPr>
          <w:p>
            <w:pPr>
              <w:pStyle w:val="TableParagraph"/>
              <w:spacing w:before="109"/>
              <w:ind w:left="525" w:right="372"/>
              <w:rPr>
                <w:sz w:val="24"/>
              </w:rPr>
            </w:pPr>
            <w:r>
              <w:rPr>
                <w:sz w:val="24"/>
              </w:rPr>
              <w:t>11.6 a</w:t>
            </w:r>
          </w:p>
        </w:tc>
      </w:tr>
      <w:tr>
        <w:trPr>
          <w:trHeight w:val="775" w:hRule="exact"/>
        </w:trPr>
        <w:tc>
          <w:tcPr>
            <w:tcW w:w="765" w:type="dxa"/>
            <w:tcBorders>
              <w:top w:val="nil"/>
              <w:left w:val="nil"/>
              <w:bottom w:val="nil"/>
              <w:right w:val="nil"/>
            </w:tcBorders>
          </w:tcPr>
          <w:p>
            <w:pPr/>
          </w:p>
        </w:tc>
        <w:tc>
          <w:tcPr>
            <w:tcW w:w="2222" w:type="dxa"/>
            <w:tcBorders>
              <w:top w:val="nil"/>
              <w:left w:val="nil"/>
              <w:bottom w:val="nil"/>
              <w:right w:val="nil"/>
            </w:tcBorders>
          </w:tcPr>
          <w:p>
            <w:pPr>
              <w:pStyle w:val="TableParagraph"/>
              <w:spacing w:before="10"/>
              <w:rPr>
                <w:sz w:val="31"/>
              </w:rPr>
            </w:pPr>
          </w:p>
          <w:p>
            <w:pPr>
              <w:pStyle w:val="TableParagraph"/>
              <w:ind w:left="482" w:right="682"/>
              <w:jc w:val="center"/>
              <w:rPr>
                <w:sz w:val="24"/>
              </w:rPr>
            </w:pPr>
            <w:r>
              <w:rPr>
                <w:sz w:val="24"/>
              </w:rPr>
              <w:t>0 - 0</w:t>
            </w:r>
          </w:p>
        </w:tc>
        <w:tc>
          <w:tcPr>
            <w:tcW w:w="1781" w:type="dxa"/>
            <w:tcBorders>
              <w:top w:val="nil"/>
              <w:left w:val="nil"/>
              <w:bottom w:val="nil"/>
              <w:right w:val="nil"/>
            </w:tcBorders>
          </w:tcPr>
          <w:p>
            <w:pPr>
              <w:pStyle w:val="TableParagraph"/>
              <w:spacing w:before="10"/>
              <w:rPr>
                <w:sz w:val="31"/>
              </w:rPr>
            </w:pPr>
          </w:p>
          <w:p>
            <w:pPr>
              <w:pStyle w:val="TableParagraph"/>
              <w:ind w:right="441"/>
              <w:jc w:val="right"/>
              <w:rPr>
                <w:sz w:val="24"/>
              </w:rPr>
            </w:pPr>
            <w:r>
              <w:rPr>
                <w:sz w:val="24"/>
              </w:rPr>
              <w:t>55.7 a</w:t>
            </w:r>
          </w:p>
        </w:tc>
        <w:tc>
          <w:tcPr>
            <w:tcW w:w="2068" w:type="dxa"/>
            <w:tcBorders>
              <w:top w:val="nil"/>
              <w:left w:val="nil"/>
              <w:bottom w:val="nil"/>
              <w:right w:val="nil"/>
            </w:tcBorders>
          </w:tcPr>
          <w:p>
            <w:pPr>
              <w:pStyle w:val="TableParagraph"/>
              <w:spacing w:before="10"/>
              <w:rPr>
                <w:sz w:val="31"/>
              </w:rPr>
            </w:pPr>
          </w:p>
          <w:p>
            <w:pPr>
              <w:pStyle w:val="TableParagraph"/>
              <w:ind w:right="1067"/>
              <w:jc w:val="right"/>
              <w:rPr>
                <w:sz w:val="24"/>
              </w:rPr>
            </w:pPr>
            <w:r>
              <w:rPr>
                <w:sz w:val="24"/>
              </w:rPr>
              <w:t>10.8 a</w:t>
            </w:r>
          </w:p>
        </w:tc>
        <w:tc>
          <w:tcPr>
            <w:tcW w:w="2004" w:type="dxa"/>
            <w:tcBorders>
              <w:top w:val="nil"/>
              <w:left w:val="nil"/>
              <w:bottom w:val="nil"/>
              <w:right w:val="nil"/>
            </w:tcBorders>
          </w:tcPr>
          <w:p>
            <w:pPr>
              <w:pStyle w:val="TableParagraph"/>
              <w:spacing w:before="10"/>
              <w:rPr>
                <w:sz w:val="31"/>
              </w:rPr>
            </w:pPr>
          </w:p>
          <w:p>
            <w:pPr>
              <w:pStyle w:val="TableParagraph"/>
              <w:ind w:left="525" w:right="372"/>
              <w:rPr>
                <w:sz w:val="24"/>
              </w:rPr>
            </w:pPr>
            <w:r>
              <w:rPr>
                <w:sz w:val="24"/>
              </w:rPr>
              <w:t>10.9 a</w:t>
            </w:r>
          </w:p>
        </w:tc>
      </w:tr>
      <w:tr>
        <w:trPr>
          <w:trHeight w:val="517" w:hRule="exact"/>
        </w:trPr>
        <w:tc>
          <w:tcPr>
            <w:tcW w:w="765" w:type="dxa"/>
            <w:tcBorders>
              <w:top w:val="nil"/>
              <w:left w:val="nil"/>
              <w:bottom w:val="nil"/>
              <w:right w:val="nil"/>
            </w:tcBorders>
          </w:tcPr>
          <w:p>
            <w:pPr>
              <w:pStyle w:val="TableParagraph"/>
              <w:spacing w:before="107"/>
              <w:ind w:left="146"/>
              <w:rPr>
                <w:sz w:val="24"/>
              </w:rPr>
            </w:pPr>
            <w:r>
              <w:rPr>
                <w:sz w:val="24"/>
              </w:rPr>
              <w:t>12</w:t>
            </w:r>
          </w:p>
        </w:tc>
        <w:tc>
          <w:tcPr>
            <w:tcW w:w="2222" w:type="dxa"/>
            <w:tcBorders>
              <w:top w:val="nil"/>
              <w:left w:val="nil"/>
              <w:bottom w:val="nil"/>
              <w:right w:val="nil"/>
            </w:tcBorders>
          </w:tcPr>
          <w:p>
            <w:pPr>
              <w:pStyle w:val="TableParagraph"/>
              <w:spacing w:before="107"/>
              <w:ind w:left="482" w:right="684"/>
              <w:jc w:val="center"/>
              <w:rPr>
                <w:sz w:val="24"/>
              </w:rPr>
            </w:pPr>
            <w:r>
              <w:rPr>
                <w:sz w:val="24"/>
              </w:rPr>
              <w:t>72 - 80</w:t>
            </w:r>
          </w:p>
        </w:tc>
        <w:tc>
          <w:tcPr>
            <w:tcW w:w="1781" w:type="dxa"/>
            <w:tcBorders>
              <w:top w:val="nil"/>
              <w:left w:val="nil"/>
              <w:bottom w:val="nil"/>
              <w:right w:val="nil"/>
            </w:tcBorders>
          </w:tcPr>
          <w:p>
            <w:pPr>
              <w:pStyle w:val="TableParagraph"/>
              <w:spacing w:before="107"/>
              <w:ind w:right="441"/>
              <w:jc w:val="right"/>
              <w:rPr>
                <w:sz w:val="24"/>
              </w:rPr>
            </w:pPr>
            <w:r>
              <w:rPr>
                <w:sz w:val="24"/>
              </w:rPr>
              <w:t>50.7 a</w:t>
            </w:r>
          </w:p>
        </w:tc>
        <w:tc>
          <w:tcPr>
            <w:tcW w:w="2068" w:type="dxa"/>
            <w:tcBorders>
              <w:top w:val="nil"/>
              <w:left w:val="nil"/>
              <w:bottom w:val="nil"/>
              <w:right w:val="nil"/>
            </w:tcBorders>
          </w:tcPr>
          <w:p>
            <w:pPr>
              <w:pStyle w:val="TableParagraph"/>
              <w:spacing w:before="107"/>
              <w:ind w:right="1067"/>
              <w:jc w:val="right"/>
              <w:rPr>
                <w:sz w:val="24"/>
              </w:rPr>
            </w:pPr>
            <w:r>
              <w:rPr>
                <w:sz w:val="24"/>
              </w:rPr>
              <w:t>11.5 a</w:t>
            </w:r>
          </w:p>
        </w:tc>
        <w:tc>
          <w:tcPr>
            <w:tcW w:w="2004" w:type="dxa"/>
            <w:tcBorders>
              <w:top w:val="nil"/>
              <w:left w:val="nil"/>
              <w:bottom w:val="nil"/>
              <w:right w:val="nil"/>
            </w:tcBorders>
          </w:tcPr>
          <w:p>
            <w:pPr>
              <w:pStyle w:val="TableParagraph"/>
              <w:spacing w:before="107"/>
              <w:ind w:left="525" w:right="372"/>
              <w:rPr>
                <w:sz w:val="24"/>
              </w:rPr>
            </w:pPr>
            <w:r>
              <w:rPr>
                <w:sz w:val="24"/>
              </w:rPr>
              <w:t>10.7 a</w:t>
            </w:r>
          </w:p>
        </w:tc>
      </w:tr>
      <w:tr>
        <w:trPr>
          <w:trHeight w:val="479" w:hRule="exact"/>
        </w:trPr>
        <w:tc>
          <w:tcPr>
            <w:tcW w:w="765" w:type="dxa"/>
            <w:tcBorders>
              <w:top w:val="nil"/>
              <w:left w:val="nil"/>
              <w:bottom w:val="nil"/>
              <w:right w:val="nil"/>
            </w:tcBorders>
          </w:tcPr>
          <w:p>
            <w:pPr/>
          </w:p>
        </w:tc>
        <w:tc>
          <w:tcPr>
            <w:tcW w:w="2222" w:type="dxa"/>
            <w:tcBorders>
              <w:top w:val="nil"/>
              <w:left w:val="nil"/>
              <w:bottom w:val="nil"/>
              <w:right w:val="nil"/>
            </w:tcBorders>
          </w:tcPr>
          <w:p>
            <w:pPr>
              <w:pStyle w:val="TableParagraph"/>
              <w:spacing w:before="109"/>
              <w:ind w:left="482" w:right="684"/>
              <w:jc w:val="center"/>
              <w:rPr>
                <w:sz w:val="24"/>
              </w:rPr>
            </w:pPr>
            <w:r>
              <w:rPr>
                <w:sz w:val="24"/>
              </w:rPr>
              <w:t>144 - 160</w:t>
            </w:r>
          </w:p>
        </w:tc>
        <w:tc>
          <w:tcPr>
            <w:tcW w:w="1781" w:type="dxa"/>
            <w:tcBorders>
              <w:top w:val="nil"/>
              <w:left w:val="nil"/>
              <w:bottom w:val="nil"/>
              <w:right w:val="nil"/>
            </w:tcBorders>
          </w:tcPr>
          <w:p>
            <w:pPr>
              <w:pStyle w:val="TableParagraph"/>
              <w:spacing w:before="109"/>
              <w:ind w:right="441"/>
              <w:jc w:val="right"/>
              <w:rPr>
                <w:sz w:val="24"/>
              </w:rPr>
            </w:pPr>
            <w:r>
              <w:rPr>
                <w:sz w:val="24"/>
              </w:rPr>
              <w:t>54.9 a</w:t>
            </w:r>
          </w:p>
        </w:tc>
        <w:tc>
          <w:tcPr>
            <w:tcW w:w="2068" w:type="dxa"/>
            <w:tcBorders>
              <w:top w:val="nil"/>
              <w:left w:val="nil"/>
              <w:bottom w:val="nil"/>
              <w:right w:val="nil"/>
            </w:tcBorders>
          </w:tcPr>
          <w:p>
            <w:pPr>
              <w:pStyle w:val="TableParagraph"/>
              <w:spacing w:before="109"/>
              <w:ind w:right="1067"/>
              <w:jc w:val="right"/>
              <w:rPr>
                <w:sz w:val="24"/>
              </w:rPr>
            </w:pPr>
            <w:r>
              <w:rPr>
                <w:sz w:val="24"/>
              </w:rPr>
              <w:t>11.5 a</w:t>
            </w:r>
          </w:p>
        </w:tc>
        <w:tc>
          <w:tcPr>
            <w:tcW w:w="2004" w:type="dxa"/>
            <w:tcBorders>
              <w:top w:val="nil"/>
              <w:left w:val="nil"/>
              <w:bottom w:val="nil"/>
              <w:right w:val="nil"/>
            </w:tcBorders>
          </w:tcPr>
          <w:p>
            <w:pPr>
              <w:pStyle w:val="TableParagraph"/>
              <w:spacing w:before="109"/>
              <w:ind w:left="525" w:right="372"/>
              <w:rPr>
                <w:sz w:val="24"/>
              </w:rPr>
            </w:pPr>
            <w:r>
              <w:rPr>
                <w:sz w:val="24"/>
              </w:rPr>
              <w:t>10.6 a</w:t>
            </w:r>
          </w:p>
        </w:tc>
      </w:tr>
    </w:tbl>
    <w:p>
      <w:pPr>
        <w:pStyle w:val="BodyText"/>
        <w:spacing w:before="7"/>
        <w:rPr>
          <w:sz w:val="9"/>
        </w:rPr>
      </w:pPr>
      <w:r>
        <w:rPr/>
        <w:pict>
          <v:group style="position:absolute;margin-left:84.110001pt;margin-top:7.488888pt;width:408.05pt;height:.5pt;mso-position-horizontal-relative:page;mso-position-vertical-relative:paragraph;z-index:2176;mso-wrap-distance-left:0;mso-wrap-distance-right:0" coordorigin="1682,150" coordsize="8161,10">
            <v:line style="position:absolute" from="1687,155" to="2261,155" stroked="true" strokeweight=".48pt" strokecolor="#000000"/>
            <v:line style="position:absolute" from="2246,155" to="2256,155" stroked="true" strokeweight=".48pt" strokecolor="#000000"/>
            <v:line style="position:absolute" from="2256,155" to="4690,155" stroked="true" strokeweight=".48pt" strokecolor="#000000"/>
            <v:line style="position:absolute" from="4675,155" to="4685,155" stroked="true" strokeweight=".48pt" strokecolor="#000000"/>
            <v:line style="position:absolute" from="4685,155" to="6132,155" stroked="true" strokeweight=".48pt" strokecolor="#000000"/>
            <v:line style="position:absolute" from="6118,155" to="6127,155" stroked="true" strokeweight=".48pt" strokecolor="#000000"/>
            <v:line style="position:absolute" from="6127,155" to="7574,155" stroked="true" strokeweight=".48pt" strokecolor="#000000"/>
            <v:line style="position:absolute" from="7560,155" to="7570,155" stroked="true" strokeweight=".48pt" strokecolor="#000000"/>
            <v:line style="position:absolute" from="7570,155" to="9838,155" stroked="true" strokeweight=".48pt" strokecolor="#000000"/>
            <w10:wrap type="topAndBottom"/>
          </v:group>
        </w:pict>
      </w:r>
    </w:p>
    <w:p>
      <w:pPr>
        <w:pStyle w:val="BodyText"/>
        <w:spacing w:line="242" w:lineRule="exact"/>
        <w:ind w:left="121" w:right="53"/>
      </w:pPr>
      <w:r>
        <w:rPr/>
        <w:t>Medias con la misma letra en cada columna son iguales de acuerdo con la prueba</w:t>
      </w:r>
    </w:p>
    <w:p>
      <w:pPr>
        <w:pStyle w:val="BodyText"/>
        <w:ind w:left="121" w:right="378"/>
      </w:pPr>
      <w:r>
        <w:rPr/>
        <w:t>de Tukey con p≤0.05</w:t>
      </w:r>
    </w:p>
    <w:p>
      <w:pPr>
        <w:spacing w:after="0"/>
        <w:sectPr>
          <w:pgSz w:w="12240" w:h="15840"/>
          <w:pgMar w:header="0" w:footer="1005" w:top="1360" w:bottom="1200" w:left="1580" w:right="1580"/>
        </w:sectPr>
      </w:pPr>
    </w:p>
    <w:p>
      <w:pPr>
        <w:pStyle w:val="Heading1"/>
        <w:numPr>
          <w:ilvl w:val="3"/>
          <w:numId w:val="9"/>
        </w:numPr>
        <w:tabs>
          <w:tab w:pos="2387" w:val="left" w:leader="none"/>
        </w:tabs>
        <w:spacing w:line="240" w:lineRule="auto" w:before="51" w:after="0"/>
        <w:ind w:left="2386" w:right="0" w:hanging="869"/>
        <w:jc w:val="left"/>
      </w:pPr>
      <w:r>
        <w:rPr/>
        <w:t>Peso</w:t>
      </w:r>
      <w:r>
        <w:rPr>
          <w:spacing w:val="-6"/>
        </w:rPr>
        <w:t> </w:t>
      </w:r>
      <w:r>
        <w:rPr/>
        <w:t>fresco</w:t>
      </w:r>
    </w:p>
    <w:p>
      <w:pPr>
        <w:pStyle w:val="BodyText"/>
        <w:rPr>
          <w:b/>
        </w:rPr>
      </w:pPr>
    </w:p>
    <w:p>
      <w:pPr>
        <w:pStyle w:val="BodyText"/>
        <w:spacing w:line="480" w:lineRule="auto"/>
        <w:ind w:left="101" w:right="117"/>
        <w:jc w:val="both"/>
      </w:pPr>
      <w:r>
        <w:rPr/>
        <w:t>El peso fresco se incrementó a partir del día 4, alcanzando su valor promedio más alto de 116.24 % (91.40 g), cuando el botón floral abre completamente. Para los días 8 y 12 decrece en promedio de 104.66 % (82.30 g) y 91.82 % (72.20 g), respectivamente. Lo anterior coincide con lo observado en otras especies, como resultado de un aumento del turgor de las células de los pétalos, necesario para lograr una adecuada apertura floral. Para los días 8 y 12 decrece el valor del peso fresco, debido a la pérdida del peso del tallo durante la senescencia y la abscisión de los tépalos (Villaseca, 2005; Verdugo </w:t>
      </w:r>
      <w:r>
        <w:rPr>
          <w:i/>
        </w:rPr>
        <w:t>et al.</w:t>
      </w:r>
      <w:r>
        <w:rPr/>
        <w:t>, 2006).</w:t>
      </w:r>
    </w:p>
    <w:p>
      <w:pPr>
        <w:pStyle w:val="BodyText"/>
      </w:pPr>
    </w:p>
    <w:p>
      <w:pPr>
        <w:pStyle w:val="BodyText"/>
        <w:spacing w:before="10"/>
      </w:pPr>
    </w:p>
    <w:p>
      <w:pPr>
        <w:pStyle w:val="Heading1"/>
        <w:numPr>
          <w:ilvl w:val="3"/>
          <w:numId w:val="9"/>
        </w:numPr>
        <w:tabs>
          <w:tab w:pos="2387" w:val="left" w:leader="none"/>
        </w:tabs>
        <w:spacing w:line="240" w:lineRule="auto" w:before="0" w:after="0"/>
        <w:ind w:left="2386" w:right="0" w:hanging="869"/>
        <w:jc w:val="left"/>
      </w:pPr>
      <w:bookmarkStart w:name="_TOC_250008" w:id="31"/>
      <w:r>
        <w:rPr/>
        <w:t>Unidades</w:t>
      </w:r>
      <w:r>
        <w:rPr>
          <w:spacing w:val="-14"/>
        </w:rPr>
        <w:t> </w:t>
      </w:r>
      <w:bookmarkEnd w:id="31"/>
      <w:r>
        <w:rPr/>
        <w:t>SPAD</w:t>
      </w:r>
    </w:p>
    <w:p>
      <w:pPr>
        <w:pStyle w:val="BodyText"/>
        <w:rPr>
          <w:b/>
        </w:rPr>
      </w:pPr>
    </w:p>
    <w:p>
      <w:pPr>
        <w:pStyle w:val="BodyText"/>
        <w:spacing w:line="480" w:lineRule="auto"/>
        <w:ind w:left="101" w:right="116"/>
        <w:jc w:val="both"/>
      </w:pPr>
      <w:r>
        <w:rPr/>
        <w:t>Los datos de SPAD no reflejan la cinética observada en precosecha, en donde el tratamiento 144-160 y 72-80 mg litro </w:t>
      </w:r>
      <w:r>
        <w:rPr>
          <w:position w:val="8"/>
          <w:sz w:val="16"/>
        </w:rPr>
        <w:t>-1 </w:t>
      </w:r>
      <w:r>
        <w:rPr/>
        <w:t>Zn-Mg superaban el valor SPAD de las plantas control. Lo cual sugiere que finalmente las plantas alcanzan un máximo de verdor a cosecha sin necesidad de la aplicación de los nutrimentos evaluados. Además los resultados indican que Mg y Zn no influyen en el área foliar ni en el contenido de materia seca. Su efecto en la altura de planta debe estudiarse de manera particular.</w:t>
      </w:r>
    </w:p>
    <w:p>
      <w:pPr>
        <w:pStyle w:val="BodyText"/>
        <w:spacing w:line="480" w:lineRule="auto" w:before="204"/>
        <w:ind w:left="101" w:right="116"/>
        <w:jc w:val="both"/>
      </w:pPr>
      <w:r>
        <w:rPr/>
        <w:t>A pesar de no haber diferencias significativas se aprecian valores más altos con el tratamiento</w:t>
      </w:r>
      <w:r>
        <w:rPr>
          <w:spacing w:val="-19"/>
        </w:rPr>
        <w:t> </w:t>
      </w:r>
      <w:r>
        <w:rPr/>
        <w:t>10</w:t>
      </w:r>
      <w:r>
        <w:rPr>
          <w:spacing w:val="-19"/>
        </w:rPr>
        <w:t> </w:t>
      </w:r>
      <w:r>
        <w:rPr/>
        <w:t>ml-144</w:t>
      </w:r>
      <w:r>
        <w:rPr>
          <w:spacing w:val="-19"/>
        </w:rPr>
        <w:t> </w:t>
      </w:r>
      <w:r>
        <w:rPr/>
        <w:t>mg-160</w:t>
      </w:r>
      <w:r>
        <w:rPr>
          <w:spacing w:val="-19"/>
        </w:rPr>
        <w:t> </w:t>
      </w:r>
      <w:r>
        <w:rPr/>
        <w:t>mg</w:t>
      </w:r>
      <w:r>
        <w:rPr>
          <w:spacing w:val="-19"/>
        </w:rPr>
        <w:t> </w:t>
      </w:r>
      <w:r>
        <w:rPr/>
        <w:t>de</w:t>
      </w:r>
      <w:r>
        <w:rPr>
          <w:spacing w:val="-16"/>
        </w:rPr>
        <w:t> </w:t>
      </w:r>
      <w:r>
        <w:rPr/>
        <w:t>solución</w:t>
      </w:r>
      <w:r>
        <w:rPr>
          <w:spacing w:val="-19"/>
        </w:rPr>
        <w:t> </w:t>
      </w:r>
      <w:r>
        <w:rPr/>
        <w:t>Steiner,</w:t>
      </w:r>
      <w:r>
        <w:rPr>
          <w:spacing w:val="-17"/>
        </w:rPr>
        <w:t> </w:t>
      </w:r>
      <w:r>
        <w:rPr/>
        <w:t>zinc</w:t>
      </w:r>
      <w:r>
        <w:rPr>
          <w:spacing w:val="-17"/>
        </w:rPr>
        <w:t> </w:t>
      </w:r>
      <w:r>
        <w:rPr/>
        <w:t>y</w:t>
      </w:r>
      <w:r>
        <w:rPr>
          <w:spacing w:val="-20"/>
        </w:rPr>
        <w:t> </w:t>
      </w:r>
      <w:r>
        <w:rPr/>
        <w:t>magnesio</w:t>
      </w:r>
      <w:r>
        <w:rPr>
          <w:spacing w:val="-16"/>
        </w:rPr>
        <w:t> </w:t>
      </w:r>
      <w:r>
        <w:rPr/>
        <w:t>con</w:t>
      </w:r>
      <w:r>
        <w:rPr>
          <w:spacing w:val="-19"/>
        </w:rPr>
        <w:t> </w:t>
      </w:r>
      <w:r>
        <w:rPr/>
        <w:t>respecto al control durante los muestreos a los 0, 4, 8, y 12 días (Cuadro 5). Los datos anteriores</w:t>
      </w:r>
      <w:r>
        <w:rPr>
          <w:spacing w:val="-18"/>
        </w:rPr>
        <w:t> </w:t>
      </w:r>
      <w:r>
        <w:rPr/>
        <w:t>son</w:t>
      </w:r>
      <w:r>
        <w:rPr>
          <w:spacing w:val="-17"/>
        </w:rPr>
        <w:t> </w:t>
      </w:r>
      <w:r>
        <w:rPr/>
        <w:t>menores</w:t>
      </w:r>
      <w:r>
        <w:rPr>
          <w:spacing w:val="-16"/>
        </w:rPr>
        <w:t> </w:t>
      </w:r>
      <w:r>
        <w:rPr/>
        <w:t>a</w:t>
      </w:r>
      <w:r>
        <w:rPr>
          <w:spacing w:val="-15"/>
        </w:rPr>
        <w:t> </w:t>
      </w:r>
      <w:r>
        <w:rPr/>
        <w:t>lo</w:t>
      </w:r>
      <w:r>
        <w:rPr>
          <w:spacing w:val="-15"/>
        </w:rPr>
        <w:t> </w:t>
      </w:r>
      <w:r>
        <w:rPr/>
        <w:t>propuesto</w:t>
      </w:r>
      <w:r>
        <w:rPr>
          <w:spacing w:val="-17"/>
        </w:rPr>
        <w:t> </w:t>
      </w:r>
      <w:r>
        <w:rPr/>
        <w:t>por</w:t>
      </w:r>
      <w:r>
        <w:rPr>
          <w:spacing w:val="-21"/>
        </w:rPr>
        <w:t> </w:t>
      </w:r>
      <w:r>
        <w:rPr/>
        <w:t>Treder</w:t>
      </w:r>
      <w:r>
        <w:rPr>
          <w:spacing w:val="-17"/>
        </w:rPr>
        <w:t> </w:t>
      </w:r>
      <w:r>
        <w:rPr/>
        <w:t>(2005);</w:t>
      </w:r>
      <w:r>
        <w:rPr>
          <w:spacing w:val="-15"/>
        </w:rPr>
        <w:t> </w:t>
      </w:r>
      <w:r>
        <w:rPr/>
        <w:t>Betancourt-Olvera</w:t>
      </w:r>
      <w:r>
        <w:rPr>
          <w:spacing w:val="-15"/>
        </w:rPr>
        <w:t> </w:t>
      </w:r>
      <w:r>
        <w:rPr/>
        <w:t>(2005). Esto pudiera ser de acuerdo a la variedad (Ortega-Blu, </w:t>
      </w:r>
      <w:r>
        <w:rPr>
          <w:i/>
        </w:rPr>
        <w:t>et al</w:t>
      </w:r>
      <w:r>
        <w:rPr/>
        <w:t>.,</w:t>
      </w:r>
      <w:r>
        <w:rPr>
          <w:spacing w:val="-31"/>
        </w:rPr>
        <w:t> </w:t>
      </w:r>
      <w:r>
        <w:rPr/>
        <w:t>2006)</w:t>
      </w:r>
    </w:p>
    <w:p>
      <w:pPr>
        <w:spacing w:after="0" w:line="480" w:lineRule="auto"/>
        <w:jc w:val="both"/>
        <w:sectPr>
          <w:footerReference w:type="default" r:id="rId34"/>
          <w:pgSz w:w="12240" w:h="15840"/>
          <w:pgMar w:footer="1005" w:header="0" w:top="1360" w:bottom="1200" w:left="1600" w:right="1580"/>
          <w:pgNumType w:start="60"/>
        </w:sectPr>
      </w:pPr>
    </w:p>
    <w:p>
      <w:pPr>
        <w:pStyle w:val="Heading1"/>
        <w:numPr>
          <w:ilvl w:val="3"/>
          <w:numId w:val="9"/>
        </w:numPr>
        <w:tabs>
          <w:tab w:pos="2387" w:val="left" w:leader="none"/>
        </w:tabs>
        <w:spacing w:line="240" w:lineRule="auto" w:before="54" w:after="0"/>
        <w:ind w:left="2386" w:right="0" w:hanging="869"/>
        <w:jc w:val="left"/>
      </w:pPr>
      <w:bookmarkStart w:name="_TOC_250007" w:id="32"/>
      <w:r>
        <w:rPr/>
        <w:t>Diámetro de</w:t>
      </w:r>
      <w:r>
        <w:rPr>
          <w:spacing w:val="-10"/>
        </w:rPr>
        <w:t> </w:t>
      </w:r>
      <w:bookmarkEnd w:id="32"/>
      <w:r>
        <w:rPr/>
        <w:t>flor</w:t>
      </w:r>
    </w:p>
    <w:p>
      <w:pPr>
        <w:pStyle w:val="BodyText"/>
        <w:rPr>
          <w:b/>
        </w:rPr>
      </w:pPr>
    </w:p>
    <w:p>
      <w:pPr>
        <w:pStyle w:val="BodyText"/>
        <w:spacing w:line="480" w:lineRule="auto" w:before="199"/>
        <w:ind w:left="101" w:right="117"/>
        <w:jc w:val="both"/>
      </w:pPr>
      <w:r>
        <w:rPr/>
        <w:t>Los datos relacionados al diámetro de la inflorescencia no muestran diferencias significativas estadísticamente. La cinética del diámetro de la flor central en postcosecha indica que la mayor apertura ocurrió al día 4 después del corte.</w:t>
      </w:r>
    </w:p>
    <w:p>
      <w:pPr>
        <w:pStyle w:val="BodyText"/>
      </w:pPr>
    </w:p>
    <w:p>
      <w:pPr>
        <w:pStyle w:val="BodyText"/>
        <w:spacing w:before="7"/>
      </w:pPr>
    </w:p>
    <w:p>
      <w:pPr>
        <w:pStyle w:val="Heading1"/>
        <w:numPr>
          <w:ilvl w:val="3"/>
          <w:numId w:val="9"/>
        </w:numPr>
        <w:tabs>
          <w:tab w:pos="2387" w:val="left" w:leader="none"/>
        </w:tabs>
        <w:spacing w:line="240" w:lineRule="auto" w:before="1" w:after="0"/>
        <w:ind w:left="2386" w:right="0" w:hanging="869"/>
        <w:jc w:val="left"/>
      </w:pPr>
      <w:bookmarkStart w:name="_TOC_250006" w:id="33"/>
      <w:r>
        <w:rPr/>
        <w:t>Materia</w:t>
      </w:r>
      <w:r>
        <w:rPr>
          <w:spacing w:val="-6"/>
        </w:rPr>
        <w:t> </w:t>
      </w:r>
      <w:bookmarkEnd w:id="33"/>
      <w:r>
        <w:rPr/>
        <w:t>seca</w:t>
      </w:r>
    </w:p>
    <w:p>
      <w:pPr>
        <w:pStyle w:val="BodyText"/>
        <w:rPr>
          <w:b/>
        </w:rPr>
      </w:pPr>
    </w:p>
    <w:p>
      <w:pPr>
        <w:pStyle w:val="BodyText"/>
        <w:spacing w:line="480" w:lineRule="auto"/>
        <w:ind w:left="101" w:right="116"/>
        <w:jc w:val="both"/>
      </w:pPr>
      <w:r>
        <w:rPr/>
        <w:t>No se encontró diferencia significativa en ninguno de los tratamientos y fechas evaluadas al aplicar Mg y Zn sobre la materia seca obtenida en lilium ‘Acapulco. Esto sugiere que el mayor tamaño de los tallos generado por la aplicación de Zn y Mg, no se debe a una acumulación de materia seca. Durante la vida en florero, el porcentaje de materia seca decrece con el paso de la vida en florero.</w:t>
      </w:r>
    </w:p>
    <w:p>
      <w:pPr>
        <w:pStyle w:val="BodyText"/>
      </w:pPr>
    </w:p>
    <w:p>
      <w:pPr>
        <w:pStyle w:val="BodyText"/>
        <w:spacing w:before="10"/>
      </w:pPr>
    </w:p>
    <w:p>
      <w:pPr>
        <w:pStyle w:val="Heading1"/>
        <w:numPr>
          <w:ilvl w:val="3"/>
          <w:numId w:val="9"/>
        </w:numPr>
        <w:tabs>
          <w:tab w:pos="2387" w:val="left" w:leader="none"/>
        </w:tabs>
        <w:spacing w:line="240" w:lineRule="auto" w:before="0" w:after="0"/>
        <w:ind w:left="2386" w:right="0" w:hanging="869"/>
        <w:jc w:val="left"/>
      </w:pPr>
      <w:bookmarkStart w:name="_TOC_250005" w:id="34"/>
      <w:r>
        <w:rPr/>
        <w:t>Color de</w:t>
      </w:r>
      <w:r>
        <w:rPr>
          <w:spacing w:val="-10"/>
        </w:rPr>
        <w:t> </w:t>
      </w:r>
      <w:bookmarkEnd w:id="34"/>
      <w:r>
        <w:rPr/>
        <w:t>tépalos</w:t>
      </w:r>
    </w:p>
    <w:p>
      <w:pPr>
        <w:pStyle w:val="BodyText"/>
        <w:rPr>
          <w:b/>
        </w:rPr>
      </w:pPr>
    </w:p>
    <w:p>
      <w:pPr>
        <w:pStyle w:val="BodyText"/>
        <w:spacing w:line="480" w:lineRule="auto" w:before="197"/>
        <w:ind w:left="101" w:right="116"/>
        <w:jc w:val="both"/>
      </w:pPr>
      <w:r>
        <w:rPr/>
        <w:t>En el experimento no se encontraron diferencias significativas entre tratamientos. Se puede apreciar que la luminosidad desciende del día 0 al 8 y se observa un incremento</w:t>
      </w:r>
      <w:r>
        <w:rPr>
          <w:spacing w:val="-13"/>
        </w:rPr>
        <w:t> </w:t>
      </w:r>
      <w:r>
        <w:rPr/>
        <w:t>al</w:t>
      </w:r>
      <w:r>
        <w:rPr>
          <w:spacing w:val="-14"/>
        </w:rPr>
        <w:t> </w:t>
      </w:r>
      <w:r>
        <w:rPr/>
        <w:t>día</w:t>
      </w:r>
      <w:r>
        <w:rPr>
          <w:spacing w:val="-13"/>
        </w:rPr>
        <w:t> </w:t>
      </w:r>
      <w:r>
        <w:rPr/>
        <w:t>12</w:t>
      </w:r>
      <w:r>
        <w:rPr>
          <w:spacing w:val="-13"/>
        </w:rPr>
        <w:t> </w:t>
      </w:r>
      <w:r>
        <w:rPr/>
        <w:t>en</w:t>
      </w:r>
      <w:r>
        <w:rPr>
          <w:spacing w:val="-11"/>
        </w:rPr>
        <w:t> </w:t>
      </w:r>
      <w:r>
        <w:rPr/>
        <w:t>0-0</w:t>
      </w:r>
      <w:r>
        <w:rPr>
          <w:spacing w:val="-13"/>
        </w:rPr>
        <w:t> </w:t>
      </w:r>
      <w:r>
        <w:rPr/>
        <w:t>y</w:t>
      </w:r>
      <w:r>
        <w:rPr>
          <w:spacing w:val="-14"/>
        </w:rPr>
        <w:t> </w:t>
      </w:r>
      <w:r>
        <w:rPr/>
        <w:t>72-80;</w:t>
      </w:r>
      <w:r>
        <w:rPr>
          <w:spacing w:val="-13"/>
        </w:rPr>
        <w:t> </w:t>
      </w:r>
      <w:r>
        <w:rPr/>
        <w:t>este</w:t>
      </w:r>
      <w:r>
        <w:rPr>
          <w:spacing w:val="-11"/>
        </w:rPr>
        <w:t> </w:t>
      </w:r>
      <w:r>
        <w:rPr/>
        <w:t>incremento</w:t>
      </w:r>
      <w:r>
        <w:rPr>
          <w:spacing w:val="-13"/>
        </w:rPr>
        <w:t> </w:t>
      </w:r>
      <w:r>
        <w:rPr/>
        <w:t>es</w:t>
      </w:r>
      <w:r>
        <w:rPr>
          <w:spacing w:val="-14"/>
        </w:rPr>
        <w:t> </w:t>
      </w:r>
      <w:r>
        <w:rPr/>
        <w:t>al</w:t>
      </w:r>
      <w:r>
        <w:rPr>
          <w:spacing w:val="-14"/>
        </w:rPr>
        <w:t> </w:t>
      </w:r>
      <w:r>
        <w:rPr/>
        <w:t>día</w:t>
      </w:r>
      <w:r>
        <w:rPr>
          <w:spacing w:val="-13"/>
        </w:rPr>
        <w:t> </w:t>
      </w:r>
      <w:r>
        <w:rPr/>
        <w:t>8</w:t>
      </w:r>
      <w:r>
        <w:rPr>
          <w:spacing w:val="-13"/>
        </w:rPr>
        <w:t> </w:t>
      </w:r>
      <w:r>
        <w:rPr/>
        <w:t>en</w:t>
      </w:r>
      <w:r>
        <w:rPr>
          <w:spacing w:val="-13"/>
        </w:rPr>
        <w:t> </w:t>
      </w:r>
      <w:r>
        <w:rPr/>
        <w:t>144-160.</w:t>
      </w:r>
      <w:r>
        <w:rPr>
          <w:spacing w:val="-13"/>
        </w:rPr>
        <w:t> </w:t>
      </w:r>
      <w:r>
        <w:rPr/>
        <w:t>El</w:t>
      </w:r>
      <w:r>
        <w:rPr>
          <w:spacing w:val="-12"/>
        </w:rPr>
        <w:t> </w:t>
      </w:r>
      <w:r>
        <w:rPr/>
        <w:t>color a* se incrementa del día 0 al 4 y desciende a los días 8 y 12. Por su parte el color b*, desciende con diferentes patrones entre tratamientos (Cuadro</w:t>
      </w:r>
      <w:r>
        <w:rPr>
          <w:spacing w:val="-35"/>
        </w:rPr>
        <w:t> </w:t>
      </w:r>
      <w:r>
        <w:rPr/>
        <w:t>6).</w:t>
      </w:r>
    </w:p>
    <w:p>
      <w:pPr>
        <w:pStyle w:val="BodyText"/>
        <w:spacing w:line="480" w:lineRule="auto" w:before="8"/>
        <w:ind w:left="101" w:right="117"/>
        <w:jc w:val="both"/>
      </w:pPr>
      <w:r>
        <w:rPr/>
        <w:t>Al no encontrar diferencias entre tratamientos pudiera explicarse debido a que las flores son órganos con baja tasa de transpiración, en comparación con las hojas y se caracterizan por tener bajas tasas de translocación de elementos minerales, Marschner (1995) en el caso del Mg y el Zn se acumulan principalmente en tallos y hojas, (Ortega-Blu </w:t>
      </w:r>
      <w:r>
        <w:rPr>
          <w:i/>
        </w:rPr>
        <w:t>et al</w:t>
      </w:r>
      <w:r>
        <w:rPr/>
        <w:t>., 2006).</w:t>
      </w:r>
    </w:p>
    <w:p>
      <w:pPr>
        <w:spacing w:after="0" w:line="480" w:lineRule="auto"/>
        <w:jc w:val="both"/>
        <w:sectPr>
          <w:pgSz w:w="12240" w:h="15840"/>
          <w:pgMar w:header="0" w:footer="1005" w:top="1360" w:bottom="1200" w:left="1600" w:right="1580"/>
        </w:sectPr>
      </w:pPr>
    </w:p>
    <w:p>
      <w:pPr>
        <w:pStyle w:val="BodyText"/>
        <w:spacing w:line="360" w:lineRule="auto" w:before="54"/>
        <w:ind w:left="101" w:right="747"/>
      </w:pPr>
      <w:r>
        <w:rPr/>
        <w:t>Cuadro 6. Efecto de la fertilización con solución Steiner, zinc y magnesio, sobre parámetros de color en la flor de </w:t>
      </w:r>
      <w:r>
        <w:rPr>
          <w:i/>
        </w:rPr>
        <w:t>Lilium </w:t>
      </w:r>
      <w:r>
        <w:rPr/>
        <w:t>cv. Acapulco en días poscosecha.</w:t>
      </w:r>
    </w:p>
    <w:p>
      <w:pPr>
        <w:pStyle w:val="BodyText"/>
        <w:rPr>
          <w:sz w:val="25"/>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1414"/>
        <w:gridCol w:w="1481"/>
        <w:gridCol w:w="3145"/>
        <w:gridCol w:w="1804"/>
      </w:tblGrid>
      <w:tr>
        <w:trPr>
          <w:trHeight w:val="564" w:hRule="exact"/>
        </w:trPr>
        <w:tc>
          <w:tcPr>
            <w:tcW w:w="1272" w:type="dxa"/>
            <w:vMerge w:val="restart"/>
            <w:tcBorders>
              <w:left w:val="nil"/>
              <w:right w:val="nil"/>
            </w:tcBorders>
          </w:tcPr>
          <w:p>
            <w:pPr/>
          </w:p>
        </w:tc>
        <w:tc>
          <w:tcPr>
            <w:tcW w:w="1414" w:type="dxa"/>
            <w:tcBorders>
              <w:left w:val="nil"/>
              <w:right w:val="nil"/>
            </w:tcBorders>
          </w:tcPr>
          <w:p>
            <w:pPr>
              <w:pStyle w:val="TableParagraph"/>
              <w:spacing w:line="274" w:lineRule="exact"/>
              <w:ind w:left="408"/>
              <w:rPr>
                <w:sz w:val="24"/>
              </w:rPr>
            </w:pPr>
            <w:r>
              <w:rPr>
                <w:sz w:val="24"/>
              </w:rPr>
              <w:t>Día</w:t>
            </w:r>
          </w:p>
        </w:tc>
        <w:tc>
          <w:tcPr>
            <w:tcW w:w="1481" w:type="dxa"/>
            <w:tcBorders>
              <w:left w:val="nil"/>
              <w:right w:val="nil"/>
            </w:tcBorders>
          </w:tcPr>
          <w:p>
            <w:pPr>
              <w:pStyle w:val="TableParagraph"/>
              <w:spacing w:before="9"/>
              <w:rPr>
                <w:sz w:val="23"/>
              </w:rPr>
            </w:pPr>
          </w:p>
          <w:p>
            <w:pPr>
              <w:pStyle w:val="TableParagraph"/>
              <w:ind w:right="204"/>
              <w:jc w:val="right"/>
              <w:rPr>
                <w:sz w:val="24"/>
              </w:rPr>
            </w:pPr>
            <w:r>
              <w:rPr>
                <w:sz w:val="24"/>
              </w:rPr>
              <w:t>0 - 0</w:t>
            </w:r>
          </w:p>
        </w:tc>
        <w:tc>
          <w:tcPr>
            <w:tcW w:w="3145" w:type="dxa"/>
            <w:tcBorders>
              <w:left w:val="nil"/>
              <w:right w:val="nil"/>
            </w:tcBorders>
          </w:tcPr>
          <w:p>
            <w:pPr>
              <w:pStyle w:val="TableParagraph"/>
              <w:spacing w:line="274" w:lineRule="exact"/>
              <w:ind w:left="86"/>
              <w:rPr>
                <w:sz w:val="24"/>
              </w:rPr>
            </w:pPr>
            <w:r>
              <w:rPr>
                <w:sz w:val="24"/>
              </w:rPr>
              <w:t>Tratamiento Zn:Mg (mgL</w:t>
            </w:r>
            <w:r>
              <w:rPr>
                <w:position w:val="8"/>
                <w:sz w:val="16"/>
              </w:rPr>
              <w:t>-1</w:t>
            </w:r>
            <w:r>
              <w:rPr>
                <w:sz w:val="24"/>
              </w:rPr>
              <w:t>)</w:t>
            </w:r>
          </w:p>
          <w:p>
            <w:pPr>
              <w:pStyle w:val="TableParagraph"/>
              <w:ind w:left="1526"/>
              <w:rPr>
                <w:sz w:val="24"/>
              </w:rPr>
            </w:pPr>
            <w:r>
              <w:rPr>
                <w:sz w:val="24"/>
              </w:rPr>
              <w:t>72 - 80</w:t>
            </w:r>
          </w:p>
        </w:tc>
        <w:tc>
          <w:tcPr>
            <w:tcW w:w="1804" w:type="dxa"/>
            <w:tcBorders>
              <w:left w:val="nil"/>
              <w:right w:val="nil"/>
            </w:tcBorders>
          </w:tcPr>
          <w:p>
            <w:pPr>
              <w:pStyle w:val="TableParagraph"/>
              <w:spacing w:before="9"/>
              <w:rPr>
                <w:sz w:val="23"/>
              </w:rPr>
            </w:pPr>
          </w:p>
          <w:p>
            <w:pPr>
              <w:pStyle w:val="TableParagraph"/>
              <w:ind w:left="196"/>
              <w:rPr>
                <w:sz w:val="24"/>
              </w:rPr>
            </w:pPr>
            <w:r>
              <w:rPr>
                <w:sz w:val="24"/>
              </w:rPr>
              <w:t>144 - 160</w:t>
            </w:r>
          </w:p>
        </w:tc>
      </w:tr>
      <w:tr>
        <w:trPr>
          <w:trHeight w:val="360" w:hRule="exact"/>
        </w:trPr>
        <w:tc>
          <w:tcPr>
            <w:tcW w:w="1272" w:type="dxa"/>
            <w:vMerge/>
            <w:tcBorders>
              <w:left w:val="nil"/>
              <w:bottom w:val="nil"/>
              <w:right w:val="nil"/>
            </w:tcBorders>
          </w:tcPr>
          <w:p>
            <w:pPr/>
          </w:p>
        </w:tc>
        <w:tc>
          <w:tcPr>
            <w:tcW w:w="1414" w:type="dxa"/>
            <w:tcBorders>
              <w:left w:val="nil"/>
              <w:bottom w:val="nil"/>
              <w:right w:val="nil"/>
            </w:tcBorders>
          </w:tcPr>
          <w:p>
            <w:pPr>
              <w:pStyle w:val="TableParagraph"/>
              <w:spacing w:line="274" w:lineRule="exact"/>
              <w:ind w:right="197"/>
              <w:jc w:val="center"/>
              <w:rPr>
                <w:sz w:val="24"/>
              </w:rPr>
            </w:pPr>
            <w:r>
              <w:rPr>
                <w:w w:val="99"/>
                <w:sz w:val="24"/>
              </w:rPr>
              <w:t>0</w:t>
            </w:r>
          </w:p>
        </w:tc>
        <w:tc>
          <w:tcPr>
            <w:tcW w:w="1481" w:type="dxa"/>
            <w:tcBorders>
              <w:left w:val="nil"/>
              <w:bottom w:val="nil"/>
              <w:right w:val="nil"/>
            </w:tcBorders>
          </w:tcPr>
          <w:p>
            <w:pPr>
              <w:pStyle w:val="TableParagraph"/>
              <w:spacing w:line="274" w:lineRule="exact"/>
              <w:ind w:right="84"/>
              <w:jc w:val="right"/>
              <w:rPr>
                <w:sz w:val="24"/>
              </w:rPr>
            </w:pPr>
            <w:r>
              <w:rPr>
                <w:sz w:val="24"/>
              </w:rPr>
              <w:t>63.3 a</w:t>
            </w:r>
          </w:p>
        </w:tc>
        <w:tc>
          <w:tcPr>
            <w:tcW w:w="3145" w:type="dxa"/>
            <w:tcBorders>
              <w:left w:val="nil"/>
              <w:bottom w:val="nil"/>
              <w:right w:val="nil"/>
            </w:tcBorders>
          </w:tcPr>
          <w:p>
            <w:pPr>
              <w:pStyle w:val="TableParagraph"/>
              <w:spacing w:line="274" w:lineRule="exact"/>
              <w:ind w:right="762"/>
              <w:jc w:val="right"/>
              <w:rPr>
                <w:sz w:val="24"/>
              </w:rPr>
            </w:pPr>
            <w:r>
              <w:rPr>
                <w:sz w:val="24"/>
              </w:rPr>
              <w:t>61.5 a</w:t>
            </w:r>
          </w:p>
        </w:tc>
        <w:tc>
          <w:tcPr>
            <w:tcW w:w="1804" w:type="dxa"/>
            <w:tcBorders>
              <w:left w:val="nil"/>
              <w:bottom w:val="nil"/>
              <w:right w:val="nil"/>
            </w:tcBorders>
          </w:tcPr>
          <w:p>
            <w:pPr>
              <w:pStyle w:val="TableParagraph"/>
              <w:spacing w:line="274" w:lineRule="exact"/>
              <w:ind w:left="501"/>
              <w:rPr>
                <w:sz w:val="24"/>
              </w:rPr>
            </w:pPr>
            <w:r>
              <w:rPr>
                <w:sz w:val="24"/>
              </w:rPr>
              <w:t>67.3 a</w:t>
            </w:r>
          </w:p>
        </w:tc>
      </w:tr>
      <w:tr>
        <w:trPr>
          <w:trHeight w:val="414" w:hRule="exact"/>
        </w:trPr>
        <w:tc>
          <w:tcPr>
            <w:tcW w:w="1272" w:type="dxa"/>
            <w:tcBorders>
              <w:top w:val="nil"/>
              <w:left w:val="nil"/>
              <w:bottom w:val="nil"/>
              <w:right w:val="nil"/>
            </w:tcBorders>
          </w:tcPr>
          <w:p>
            <w:pPr>
              <w:pStyle w:val="TableParagraph"/>
              <w:spacing w:before="56"/>
              <w:ind w:left="85"/>
              <w:jc w:val="center"/>
              <w:rPr>
                <w:sz w:val="24"/>
              </w:rPr>
            </w:pPr>
            <w:r>
              <w:rPr>
                <w:w w:val="99"/>
                <w:sz w:val="24"/>
              </w:rPr>
              <w:t>L</w:t>
            </w:r>
          </w:p>
        </w:tc>
        <w:tc>
          <w:tcPr>
            <w:tcW w:w="1414" w:type="dxa"/>
            <w:tcBorders>
              <w:top w:val="nil"/>
              <w:left w:val="nil"/>
              <w:bottom w:val="nil"/>
              <w:right w:val="nil"/>
            </w:tcBorders>
          </w:tcPr>
          <w:p>
            <w:pPr>
              <w:pStyle w:val="TableParagraph"/>
              <w:spacing w:before="56"/>
              <w:ind w:right="197"/>
              <w:jc w:val="center"/>
              <w:rPr>
                <w:sz w:val="24"/>
              </w:rPr>
            </w:pPr>
            <w:r>
              <w:rPr>
                <w:w w:val="99"/>
                <w:sz w:val="24"/>
              </w:rPr>
              <w:t>4</w:t>
            </w:r>
          </w:p>
        </w:tc>
        <w:tc>
          <w:tcPr>
            <w:tcW w:w="1481" w:type="dxa"/>
            <w:tcBorders>
              <w:top w:val="nil"/>
              <w:left w:val="nil"/>
              <w:bottom w:val="nil"/>
              <w:right w:val="nil"/>
            </w:tcBorders>
          </w:tcPr>
          <w:p>
            <w:pPr>
              <w:pStyle w:val="TableParagraph"/>
              <w:spacing w:before="56"/>
              <w:ind w:right="84"/>
              <w:jc w:val="right"/>
              <w:rPr>
                <w:sz w:val="24"/>
              </w:rPr>
            </w:pPr>
            <w:r>
              <w:rPr>
                <w:sz w:val="24"/>
              </w:rPr>
              <w:t>49.9 a</w:t>
            </w:r>
          </w:p>
        </w:tc>
        <w:tc>
          <w:tcPr>
            <w:tcW w:w="3145" w:type="dxa"/>
            <w:tcBorders>
              <w:top w:val="nil"/>
              <w:left w:val="nil"/>
              <w:bottom w:val="nil"/>
              <w:right w:val="nil"/>
            </w:tcBorders>
          </w:tcPr>
          <w:p>
            <w:pPr>
              <w:pStyle w:val="TableParagraph"/>
              <w:spacing w:before="56"/>
              <w:ind w:right="762"/>
              <w:jc w:val="right"/>
              <w:rPr>
                <w:sz w:val="24"/>
              </w:rPr>
            </w:pPr>
            <w:r>
              <w:rPr>
                <w:sz w:val="24"/>
              </w:rPr>
              <w:t>49.7 a</w:t>
            </w:r>
          </w:p>
        </w:tc>
        <w:tc>
          <w:tcPr>
            <w:tcW w:w="1804" w:type="dxa"/>
            <w:tcBorders>
              <w:top w:val="nil"/>
              <w:left w:val="nil"/>
              <w:bottom w:val="nil"/>
              <w:right w:val="nil"/>
            </w:tcBorders>
          </w:tcPr>
          <w:p>
            <w:pPr>
              <w:pStyle w:val="TableParagraph"/>
              <w:spacing w:before="56"/>
              <w:ind w:left="501"/>
              <w:rPr>
                <w:sz w:val="24"/>
              </w:rPr>
            </w:pPr>
            <w:r>
              <w:rPr>
                <w:sz w:val="24"/>
              </w:rPr>
              <w:t>50.0 a</w:t>
            </w:r>
          </w:p>
        </w:tc>
      </w:tr>
      <w:tr>
        <w:trPr>
          <w:trHeight w:val="414"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7"/>
              <w:ind w:right="197"/>
              <w:jc w:val="center"/>
              <w:rPr>
                <w:sz w:val="24"/>
              </w:rPr>
            </w:pPr>
            <w:r>
              <w:rPr>
                <w:w w:val="99"/>
                <w:sz w:val="24"/>
              </w:rPr>
              <w:t>8</w:t>
            </w:r>
          </w:p>
        </w:tc>
        <w:tc>
          <w:tcPr>
            <w:tcW w:w="1481" w:type="dxa"/>
            <w:tcBorders>
              <w:top w:val="nil"/>
              <w:left w:val="nil"/>
              <w:bottom w:val="nil"/>
              <w:right w:val="nil"/>
            </w:tcBorders>
          </w:tcPr>
          <w:p>
            <w:pPr>
              <w:pStyle w:val="TableParagraph"/>
              <w:spacing w:before="57"/>
              <w:ind w:right="84"/>
              <w:jc w:val="right"/>
              <w:rPr>
                <w:sz w:val="24"/>
              </w:rPr>
            </w:pPr>
            <w:r>
              <w:rPr>
                <w:sz w:val="24"/>
              </w:rPr>
              <w:t>48.0 a</w:t>
            </w:r>
          </w:p>
        </w:tc>
        <w:tc>
          <w:tcPr>
            <w:tcW w:w="3145" w:type="dxa"/>
            <w:tcBorders>
              <w:top w:val="nil"/>
              <w:left w:val="nil"/>
              <w:bottom w:val="nil"/>
              <w:right w:val="nil"/>
            </w:tcBorders>
          </w:tcPr>
          <w:p>
            <w:pPr>
              <w:pStyle w:val="TableParagraph"/>
              <w:spacing w:before="57"/>
              <w:ind w:right="762"/>
              <w:jc w:val="right"/>
              <w:rPr>
                <w:sz w:val="24"/>
              </w:rPr>
            </w:pPr>
            <w:r>
              <w:rPr>
                <w:sz w:val="24"/>
              </w:rPr>
              <w:t>48.8 a</w:t>
            </w:r>
          </w:p>
        </w:tc>
        <w:tc>
          <w:tcPr>
            <w:tcW w:w="1804" w:type="dxa"/>
            <w:tcBorders>
              <w:top w:val="nil"/>
              <w:left w:val="nil"/>
              <w:bottom w:val="nil"/>
              <w:right w:val="nil"/>
            </w:tcBorders>
          </w:tcPr>
          <w:p>
            <w:pPr>
              <w:pStyle w:val="TableParagraph"/>
              <w:spacing w:before="57"/>
              <w:ind w:left="501"/>
              <w:rPr>
                <w:sz w:val="24"/>
              </w:rPr>
            </w:pPr>
            <w:r>
              <w:rPr>
                <w:sz w:val="24"/>
              </w:rPr>
              <w:t>52.2 a</w:t>
            </w:r>
          </w:p>
        </w:tc>
      </w:tr>
      <w:tr>
        <w:trPr>
          <w:trHeight w:val="620"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6"/>
              <w:ind w:left="406"/>
              <w:rPr>
                <w:sz w:val="24"/>
              </w:rPr>
            </w:pPr>
            <w:r>
              <w:rPr>
                <w:sz w:val="24"/>
              </w:rPr>
              <w:t>12</w:t>
            </w:r>
          </w:p>
        </w:tc>
        <w:tc>
          <w:tcPr>
            <w:tcW w:w="1481" w:type="dxa"/>
            <w:tcBorders>
              <w:top w:val="nil"/>
              <w:left w:val="nil"/>
              <w:bottom w:val="nil"/>
              <w:right w:val="nil"/>
            </w:tcBorders>
          </w:tcPr>
          <w:p>
            <w:pPr>
              <w:pStyle w:val="TableParagraph"/>
              <w:spacing w:before="56"/>
              <w:ind w:right="84"/>
              <w:jc w:val="right"/>
              <w:rPr>
                <w:sz w:val="24"/>
              </w:rPr>
            </w:pPr>
            <w:r>
              <w:rPr>
                <w:sz w:val="24"/>
              </w:rPr>
              <w:t>54.0 a</w:t>
            </w:r>
          </w:p>
        </w:tc>
        <w:tc>
          <w:tcPr>
            <w:tcW w:w="3145" w:type="dxa"/>
            <w:tcBorders>
              <w:top w:val="nil"/>
              <w:left w:val="nil"/>
              <w:bottom w:val="nil"/>
              <w:right w:val="nil"/>
            </w:tcBorders>
          </w:tcPr>
          <w:p>
            <w:pPr>
              <w:pStyle w:val="TableParagraph"/>
              <w:spacing w:before="56"/>
              <w:ind w:right="762"/>
              <w:jc w:val="right"/>
              <w:rPr>
                <w:sz w:val="24"/>
              </w:rPr>
            </w:pPr>
            <w:r>
              <w:rPr>
                <w:sz w:val="24"/>
              </w:rPr>
              <w:t>50.2 a</w:t>
            </w:r>
          </w:p>
        </w:tc>
        <w:tc>
          <w:tcPr>
            <w:tcW w:w="1804" w:type="dxa"/>
            <w:tcBorders>
              <w:top w:val="nil"/>
              <w:left w:val="nil"/>
              <w:bottom w:val="nil"/>
              <w:right w:val="nil"/>
            </w:tcBorders>
          </w:tcPr>
          <w:p>
            <w:pPr>
              <w:pStyle w:val="TableParagraph"/>
              <w:spacing w:before="56"/>
              <w:ind w:left="501"/>
              <w:rPr>
                <w:sz w:val="24"/>
              </w:rPr>
            </w:pPr>
            <w:r>
              <w:rPr>
                <w:sz w:val="24"/>
              </w:rPr>
              <w:t>55.0 a</w:t>
            </w:r>
          </w:p>
        </w:tc>
      </w:tr>
      <w:tr>
        <w:trPr>
          <w:trHeight w:val="622"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10"/>
              <w:rPr>
                <w:sz w:val="22"/>
              </w:rPr>
            </w:pPr>
          </w:p>
          <w:p>
            <w:pPr>
              <w:pStyle w:val="TableParagraph"/>
              <w:ind w:right="331"/>
              <w:jc w:val="center"/>
              <w:rPr>
                <w:sz w:val="24"/>
              </w:rPr>
            </w:pPr>
            <w:r>
              <w:rPr>
                <w:w w:val="99"/>
                <w:sz w:val="24"/>
              </w:rPr>
              <w:t>0</w:t>
            </w:r>
          </w:p>
        </w:tc>
        <w:tc>
          <w:tcPr>
            <w:tcW w:w="1481" w:type="dxa"/>
            <w:tcBorders>
              <w:top w:val="nil"/>
              <w:left w:val="nil"/>
              <w:bottom w:val="nil"/>
              <w:right w:val="nil"/>
            </w:tcBorders>
          </w:tcPr>
          <w:p>
            <w:pPr>
              <w:pStyle w:val="TableParagraph"/>
              <w:spacing w:before="10"/>
              <w:rPr>
                <w:sz w:val="22"/>
              </w:rPr>
            </w:pPr>
          </w:p>
          <w:p>
            <w:pPr>
              <w:pStyle w:val="TableParagraph"/>
              <w:ind w:right="137"/>
              <w:jc w:val="right"/>
              <w:rPr>
                <w:sz w:val="24"/>
              </w:rPr>
            </w:pPr>
            <w:r>
              <w:rPr>
                <w:sz w:val="24"/>
              </w:rPr>
              <w:t>-2.4 a</w:t>
            </w:r>
          </w:p>
        </w:tc>
        <w:tc>
          <w:tcPr>
            <w:tcW w:w="3145" w:type="dxa"/>
            <w:tcBorders>
              <w:top w:val="nil"/>
              <w:left w:val="nil"/>
              <w:bottom w:val="nil"/>
              <w:right w:val="nil"/>
            </w:tcBorders>
          </w:tcPr>
          <w:p>
            <w:pPr>
              <w:pStyle w:val="TableParagraph"/>
              <w:spacing w:before="10"/>
              <w:rPr>
                <w:sz w:val="22"/>
              </w:rPr>
            </w:pPr>
          </w:p>
          <w:p>
            <w:pPr>
              <w:pStyle w:val="TableParagraph"/>
              <w:ind w:right="815"/>
              <w:jc w:val="right"/>
              <w:rPr>
                <w:sz w:val="24"/>
              </w:rPr>
            </w:pPr>
            <w:r>
              <w:rPr>
                <w:sz w:val="24"/>
              </w:rPr>
              <w:t>3.7 a</w:t>
            </w:r>
          </w:p>
        </w:tc>
        <w:tc>
          <w:tcPr>
            <w:tcW w:w="1804" w:type="dxa"/>
            <w:tcBorders>
              <w:top w:val="nil"/>
              <w:left w:val="nil"/>
              <w:bottom w:val="nil"/>
              <w:right w:val="nil"/>
            </w:tcBorders>
          </w:tcPr>
          <w:p>
            <w:pPr>
              <w:pStyle w:val="TableParagraph"/>
              <w:spacing w:before="10"/>
              <w:rPr>
                <w:sz w:val="22"/>
              </w:rPr>
            </w:pPr>
          </w:p>
          <w:p>
            <w:pPr>
              <w:pStyle w:val="TableParagraph"/>
              <w:ind w:left="582"/>
              <w:rPr>
                <w:sz w:val="24"/>
              </w:rPr>
            </w:pPr>
            <w:r>
              <w:rPr>
                <w:sz w:val="24"/>
              </w:rPr>
              <w:t>-3.6 a</w:t>
            </w:r>
          </w:p>
        </w:tc>
      </w:tr>
      <w:tr>
        <w:trPr>
          <w:trHeight w:val="414" w:hRule="exact"/>
        </w:trPr>
        <w:tc>
          <w:tcPr>
            <w:tcW w:w="1272" w:type="dxa"/>
            <w:tcBorders>
              <w:top w:val="nil"/>
              <w:left w:val="nil"/>
              <w:bottom w:val="nil"/>
              <w:right w:val="nil"/>
            </w:tcBorders>
          </w:tcPr>
          <w:p>
            <w:pPr>
              <w:pStyle w:val="TableParagraph"/>
              <w:spacing w:before="57"/>
              <w:ind w:right="46"/>
              <w:jc w:val="center"/>
              <w:rPr>
                <w:sz w:val="24"/>
              </w:rPr>
            </w:pPr>
            <w:r>
              <w:rPr>
                <w:w w:val="99"/>
                <w:sz w:val="24"/>
              </w:rPr>
              <w:t>a</w:t>
            </w:r>
          </w:p>
        </w:tc>
        <w:tc>
          <w:tcPr>
            <w:tcW w:w="1414" w:type="dxa"/>
            <w:tcBorders>
              <w:top w:val="nil"/>
              <w:left w:val="nil"/>
              <w:bottom w:val="nil"/>
              <w:right w:val="nil"/>
            </w:tcBorders>
          </w:tcPr>
          <w:p>
            <w:pPr>
              <w:pStyle w:val="TableParagraph"/>
              <w:spacing w:before="57"/>
              <w:ind w:right="331"/>
              <w:jc w:val="center"/>
              <w:rPr>
                <w:sz w:val="24"/>
              </w:rPr>
            </w:pPr>
            <w:r>
              <w:rPr>
                <w:w w:val="99"/>
                <w:sz w:val="24"/>
              </w:rPr>
              <w:t>4</w:t>
            </w:r>
          </w:p>
        </w:tc>
        <w:tc>
          <w:tcPr>
            <w:tcW w:w="1481" w:type="dxa"/>
            <w:tcBorders>
              <w:top w:val="nil"/>
              <w:left w:val="nil"/>
              <w:bottom w:val="nil"/>
              <w:right w:val="nil"/>
            </w:tcBorders>
          </w:tcPr>
          <w:p>
            <w:pPr>
              <w:pStyle w:val="TableParagraph"/>
              <w:spacing w:before="57"/>
              <w:ind w:right="152"/>
              <w:jc w:val="right"/>
              <w:rPr>
                <w:sz w:val="24"/>
              </w:rPr>
            </w:pPr>
            <w:r>
              <w:rPr>
                <w:sz w:val="24"/>
              </w:rPr>
              <w:t>39.1 a</w:t>
            </w:r>
          </w:p>
        </w:tc>
        <w:tc>
          <w:tcPr>
            <w:tcW w:w="3145" w:type="dxa"/>
            <w:tcBorders>
              <w:top w:val="nil"/>
              <w:left w:val="nil"/>
              <w:bottom w:val="nil"/>
              <w:right w:val="nil"/>
            </w:tcBorders>
          </w:tcPr>
          <w:p>
            <w:pPr>
              <w:pStyle w:val="TableParagraph"/>
              <w:spacing w:before="57"/>
              <w:ind w:left="1646"/>
              <w:rPr>
                <w:sz w:val="24"/>
              </w:rPr>
            </w:pPr>
            <w:r>
              <w:rPr>
                <w:sz w:val="24"/>
              </w:rPr>
              <w:t>39.6 a</w:t>
            </w:r>
          </w:p>
        </w:tc>
        <w:tc>
          <w:tcPr>
            <w:tcW w:w="1804" w:type="dxa"/>
            <w:tcBorders>
              <w:top w:val="nil"/>
              <w:left w:val="nil"/>
              <w:bottom w:val="nil"/>
              <w:right w:val="nil"/>
            </w:tcBorders>
          </w:tcPr>
          <w:p>
            <w:pPr>
              <w:pStyle w:val="TableParagraph"/>
              <w:spacing w:before="57"/>
              <w:ind w:left="501"/>
              <w:rPr>
                <w:sz w:val="24"/>
              </w:rPr>
            </w:pPr>
            <w:r>
              <w:rPr>
                <w:sz w:val="24"/>
              </w:rPr>
              <w:t>37.9 a</w:t>
            </w:r>
          </w:p>
        </w:tc>
      </w:tr>
      <w:tr>
        <w:trPr>
          <w:trHeight w:val="414"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6"/>
              <w:ind w:right="331"/>
              <w:jc w:val="center"/>
              <w:rPr>
                <w:sz w:val="24"/>
              </w:rPr>
            </w:pPr>
            <w:r>
              <w:rPr>
                <w:w w:val="99"/>
                <w:sz w:val="24"/>
              </w:rPr>
              <w:t>8</w:t>
            </w:r>
          </w:p>
        </w:tc>
        <w:tc>
          <w:tcPr>
            <w:tcW w:w="1481" w:type="dxa"/>
            <w:tcBorders>
              <w:top w:val="nil"/>
              <w:left w:val="nil"/>
              <w:bottom w:val="nil"/>
              <w:right w:val="nil"/>
            </w:tcBorders>
          </w:tcPr>
          <w:p>
            <w:pPr>
              <w:pStyle w:val="TableParagraph"/>
              <w:spacing w:before="56"/>
              <w:ind w:right="152"/>
              <w:jc w:val="right"/>
              <w:rPr>
                <w:sz w:val="24"/>
              </w:rPr>
            </w:pPr>
            <w:r>
              <w:rPr>
                <w:sz w:val="24"/>
              </w:rPr>
              <w:t>29.4 a</w:t>
            </w:r>
          </w:p>
        </w:tc>
        <w:tc>
          <w:tcPr>
            <w:tcW w:w="3145" w:type="dxa"/>
            <w:tcBorders>
              <w:top w:val="nil"/>
              <w:left w:val="nil"/>
              <w:bottom w:val="nil"/>
              <w:right w:val="nil"/>
            </w:tcBorders>
          </w:tcPr>
          <w:p>
            <w:pPr>
              <w:pStyle w:val="TableParagraph"/>
              <w:spacing w:before="56"/>
              <w:ind w:left="1646"/>
              <w:rPr>
                <w:sz w:val="24"/>
              </w:rPr>
            </w:pPr>
            <w:r>
              <w:rPr>
                <w:sz w:val="24"/>
              </w:rPr>
              <w:t>27.8 a</w:t>
            </w:r>
          </w:p>
        </w:tc>
        <w:tc>
          <w:tcPr>
            <w:tcW w:w="1804" w:type="dxa"/>
            <w:tcBorders>
              <w:top w:val="nil"/>
              <w:left w:val="nil"/>
              <w:bottom w:val="nil"/>
              <w:right w:val="nil"/>
            </w:tcBorders>
          </w:tcPr>
          <w:p>
            <w:pPr>
              <w:pStyle w:val="TableParagraph"/>
              <w:spacing w:before="56"/>
              <w:ind w:left="501"/>
              <w:rPr>
                <w:sz w:val="24"/>
              </w:rPr>
            </w:pPr>
            <w:r>
              <w:rPr>
                <w:sz w:val="24"/>
              </w:rPr>
              <w:t>30.4 a</w:t>
            </w:r>
          </w:p>
        </w:tc>
      </w:tr>
      <w:tr>
        <w:trPr>
          <w:trHeight w:val="622"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7"/>
              <w:ind w:left="341"/>
              <w:rPr>
                <w:sz w:val="24"/>
              </w:rPr>
            </w:pPr>
            <w:r>
              <w:rPr>
                <w:sz w:val="24"/>
              </w:rPr>
              <w:t>12</w:t>
            </w:r>
          </w:p>
        </w:tc>
        <w:tc>
          <w:tcPr>
            <w:tcW w:w="1481" w:type="dxa"/>
            <w:tcBorders>
              <w:top w:val="nil"/>
              <w:left w:val="nil"/>
              <w:bottom w:val="nil"/>
              <w:right w:val="nil"/>
            </w:tcBorders>
          </w:tcPr>
          <w:p>
            <w:pPr>
              <w:pStyle w:val="TableParagraph"/>
              <w:spacing w:before="57"/>
              <w:ind w:right="152"/>
              <w:jc w:val="right"/>
              <w:rPr>
                <w:sz w:val="24"/>
              </w:rPr>
            </w:pPr>
            <w:r>
              <w:rPr>
                <w:sz w:val="24"/>
              </w:rPr>
              <w:t>11.9 a</w:t>
            </w:r>
          </w:p>
        </w:tc>
        <w:tc>
          <w:tcPr>
            <w:tcW w:w="3145" w:type="dxa"/>
            <w:tcBorders>
              <w:top w:val="nil"/>
              <w:left w:val="nil"/>
              <w:bottom w:val="nil"/>
              <w:right w:val="nil"/>
            </w:tcBorders>
          </w:tcPr>
          <w:p>
            <w:pPr>
              <w:pStyle w:val="TableParagraph"/>
              <w:spacing w:before="57"/>
              <w:ind w:left="1646"/>
              <w:rPr>
                <w:sz w:val="24"/>
              </w:rPr>
            </w:pPr>
            <w:r>
              <w:rPr>
                <w:sz w:val="24"/>
              </w:rPr>
              <w:t>23.6 a</w:t>
            </w:r>
          </w:p>
        </w:tc>
        <w:tc>
          <w:tcPr>
            <w:tcW w:w="1804" w:type="dxa"/>
            <w:tcBorders>
              <w:top w:val="nil"/>
              <w:left w:val="nil"/>
              <w:bottom w:val="nil"/>
              <w:right w:val="nil"/>
            </w:tcBorders>
          </w:tcPr>
          <w:p>
            <w:pPr>
              <w:pStyle w:val="TableParagraph"/>
              <w:spacing w:before="57"/>
              <w:ind w:left="501"/>
              <w:rPr>
                <w:sz w:val="24"/>
              </w:rPr>
            </w:pPr>
            <w:r>
              <w:rPr>
                <w:sz w:val="24"/>
              </w:rPr>
              <w:t>13.6 a</w:t>
            </w:r>
          </w:p>
        </w:tc>
      </w:tr>
      <w:tr>
        <w:trPr>
          <w:trHeight w:val="620"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10"/>
              <w:rPr>
                <w:sz w:val="22"/>
              </w:rPr>
            </w:pPr>
          </w:p>
          <w:p>
            <w:pPr>
              <w:pStyle w:val="TableParagraph"/>
              <w:ind w:right="331"/>
              <w:jc w:val="center"/>
              <w:rPr>
                <w:sz w:val="24"/>
              </w:rPr>
            </w:pPr>
            <w:r>
              <w:rPr>
                <w:w w:val="99"/>
                <w:sz w:val="24"/>
              </w:rPr>
              <w:t>0</w:t>
            </w:r>
          </w:p>
        </w:tc>
        <w:tc>
          <w:tcPr>
            <w:tcW w:w="1481" w:type="dxa"/>
            <w:tcBorders>
              <w:top w:val="nil"/>
              <w:left w:val="nil"/>
              <w:bottom w:val="nil"/>
              <w:right w:val="nil"/>
            </w:tcBorders>
          </w:tcPr>
          <w:p>
            <w:pPr>
              <w:pStyle w:val="TableParagraph"/>
              <w:spacing w:before="10"/>
              <w:rPr>
                <w:sz w:val="22"/>
              </w:rPr>
            </w:pPr>
          </w:p>
          <w:p>
            <w:pPr>
              <w:pStyle w:val="TableParagraph"/>
              <w:ind w:right="152"/>
              <w:jc w:val="right"/>
              <w:rPr>
                <w:sz w:val="24"/>
              </w:rPr>
            </w:pPr>
            <w:r>
              <w:rPr>
                <w:sz w:val="24"/>
              </w:rPr>
              <w:t>22.6 a</w:t>
            </w:r>
          </w:p>
        </w:tc>
        <w:tc>
          <w:tcPr>
            <w:tcW w:w="3145" w:type="dxa"/>
            <w:tcBorders>
              <w:top w:val="nil"/>
              <w:left w:val="nil"/>
              <w:bottom w:val="nil"/>
              <w:right w:val="nil"/>
            </w:tcBorders>
          </w:tcPr>
          <w:p>
            <w:pPr>
              <w:pStyle w:val="TableParagraph"/>
              <w:spacing w:before="10"/>
              <w:rPr>
                <w:sz w:val="22"/>
              </w:rPr>
            </w:pPr>
          </w:p>
          <w:p>
            <w:pPr>
              <w:pStyle w:val="TableParagraph"/>
              <w:ind w:right="762"/>
              <w:jc w:val="right"/>
              <w:rPr>
                <w:sz w:val="24"/>
              </w:rPr>
            </w:pPr>
            <w:r>
              <w:rPr>
                <w:sz w:val="24"/>
              </w:rPr>
              <w:t>21.3 a</w:t>
            </w:r>
          </w:p>
        </w:tc>
        <w:tc>
          <w:tcPr>
            <w:tcW w:w="1804" w:type="dxa"/>
            <w:tcBorders>
              <w:top w:val="nil"/>
              <w:left w:val="nil"/>
              <w:bottom w:val="nil"/>
              <w:right w:val="nil"/>
            </w:tcBorders>
          </w:tcPr>
          <w:p>
            <w:pPr>
              <w:pStyle w:val="TableParagraph"/>
              <w:spacing w:before="10"/>
              <w:rPr>
                <w:sz w:val="22"/>
              </w:rPr>
            </w:pPr>
          </w:p>
          <w:p>
            <w:pPr>
              <w:pStyle w:val="TableParagraph"/>
              <w:ind w:left="501"/>
              <w:rPr>
                <w:sz w:val="24"/>
              </w:rPr>
            </w:pPr>
            <w:r>
              <w:rPr>
                <w:sz w:val="24"/>
              </w:rPr>
              <w:t>23.5 a</w:t>
            </w:r>
          </w:p>
        </w:tc>
      </w:tr>
      <w:tr>
        <w:trPr>
          <w:trHeight w:val="414" w:hRule="exact"/>
        </w:trPr>
        <w:tc>
          <w:tcPr>
            <w:tcW w:w="1272" w:type="dxa"/>
            <w:tcBorders>
              <w:top w:val="nil"/>
              <w:left w:val="nil"/>
              <w:bottom w:val="nil"/>
              <w:right w:val="nil"/>
            </w:tcBorders>
          </w:tcPr>
          <w:p>
            <w:pPr>
              <w:pStyle w:val="TableParagraph"/>
              <w:spacing w:before="56"/>
              <w:ind w:right="46"/>
              <w:jc w:val="center"/>
              <w:rPr>
                <w:sz w:val="24"/>
              </w:rPr>
            </w:pPr>
            <w:r>
              <w:rPr>
                <w:w w:val="99"/>
                <w:sz w:val="24"/>
              </w:rPr>
              <w:t>b</w:t>
            </w:r>
          </w:p>
        </w:tc>
        <w:tc>
          <w:tcPr>
            <w:tcW w:w="1414" w:type="dxa"/>
            <w:tcBorders>
              <w:top w:val="nil"/>
              <w:left w:val="nil"/>
              <w:bottom w:val="nil"/>
              <w:right w:val="nil"/>
            </w:tcBorders>
          </w:tcPr>
          <w:p>
            <w:pPr>
              <w:pStyle w:val="TableParagraph"/>
              <w:spacing w:before="56"/>
              <w:ind w:right="331"/>
              <w:jc w:val="center"/>
              <w:rPr>
                <w:sz w:val="24"/>
              </w:rPr>
            </w:pPr>
            <w:r>
              <w:rPr>
                <w:w w:val="99"/>
                <w:sz w:val="24"/>
              </w:rPr>
              <w:t>4</w:t>
            </w:r>
          </w:p>
        </w:tc>
        <w:tc>
          <w:tcPr>
            <w:tcW w:w="1481" w:type="dxa"/>
            <w:tcBorders>
              <w:top w:val="nil"/>
              <w:left w:val="nil"/>
              <w:bottom w:val="nil"/>
              <w:right w:val="nil"/>
            </w:tcBorders>
          </w:tcPr>
          <w:p>
            <w:pPr>
              <w:pStyle w:val="TableParagraph"/>
              <w:spacing w:before="56"/>
              <w:ind w:right="152"/>
              <w:jc w:val="right"/>
              <w:rPr>
                <w:sz w:val="24"/>
              </w:rPr>
            </w:pPr>
            <w:r>
              <w:rPr>
                <w:sz w:val="24"/>
              </w:rPr>
              <w:t>8.5 a</w:t>
            </w:r>
          </w:p>
        </w:tc>
        <w:tc>
          <w:tcPr>
            <w:tcW w:w="3145" w:type="dxa"/>
            <w:tcBorders>
              <w:top w:val="nil"/>
              <w:left w:val="nil"/>
              <w:bottom w:val="nil"/>
              <w:right w:val="nil"/>
            </w:tcBorders>
          </w:tcPr>
          <w:p>
            <w:pPr>
              <w:pStyle w:val="TableParagraph"/>
              <w:spacing w:before="56"/>
              <w:ind w:right="762"/>
              <w:jc w:val="right"/>
              <w:rPr>
                <w:sz w:val="24"/>
              </w:rPr>
            </w:pPr>
            <w:r>
              <w:rPr>
                <w:sz w:val="24"/>
              </w:rPr>
              <w:t>8.4 a</w:t>
            </w:r>
          </w:p>
        </w:tc>
        <w:tc>
          <w:tcPr>
            <w:tcW w:w="1804" w:type="dxa"/>
            <w:tcBorders>
              <w:top w:val="nil"/>
              <w:left w:val="nil"/>
              <w:bottom w:val="nil"/>
              <w:right w:val="nil"/>
            </w:tcBorders>
          </w:tcPr>
          <w:p>
            <w:pPr>
              <w:pStyle w:val="TableParagraph"/>
              <w:spacing w:before="56"/>
              <w:ind w:left="633"/>
              <w:rPr>
                <w:sz w:val="24"/>
              </w:rPr>
            </w:pPr>
            <w:r>
              <w:rPr>
                <w:sz w:val="24"/>
              </w:rPr>
              <w:t>8.6 a</w:t>
            </w:r>
          </w:p>
        </w:tc>
      </w:tr>
      <w:tr>
        <w:trPr>
          <w:trHeight w:val="414"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7"/>
              <w:ind w:right="331"/>
              <w:jc w:val="center"/>
              <w:rPr>
                <w:sz w:val="24"/>
              </w:rPr>
            </w:pPr>
            <w:r>
              <w:rPr>
                <w:w w:val="99"/>
                <w:sz w:val="24"/>
              </w:rPr>
              <w:t>8</w:t>
            </w:r>
          </w:p>
        </w:tc>
        <w:tc>
          <w:tcPr>
            <w:tcW w:w="1481" w:type="dxa"/>
            <w:tcBorders>
              <w:top w:val="nil"/>
              <w:left w:val="nil"/>
              <w:bottom w:val="nil"/>
              <w:right w:val="nil"/>
            </w:tcBorders>
          </w:tcPr>
          <w:p>
            <w:pPr>
              <w:pStyle w:val="TableParagraph"/>
              <w:spacing w:before="57"/>
              <w:ind w:right="152"/>
              <w:jc w:val="right"/>
              <w:rPr>
                <w:sz w:val="24"/>
              </w:rPr>
            </w:pPr>
            <w:r>
              <w:rPr>
                <w:sz w:val="24"/>
              </w:rPr>
              <w:t>5.1 a</w:t>
            </w:r>
          </w:p>
        </w:tc>
        <w:tc>
          <w:tcPr>
            <w:tcW w:w="3145" w:type="dxa"/>
            <w:tcBorders>
              <w:top w:val="nil"/>
              <w:left w:val="nil"/>
              <w:bottom w:val="nil"/>
              <w:right w:val="nil"/>
            </w:tcBorders>
          </w:tcPr>
          <w:p>
            <w:pPr>
              <w:pStyle w:val="TableParagraph"/>
              <w:spacing w:before="57"/>
              <w:ind w:right="762"/>
              <w:jc w:val="right"/>
              <w:rPr>
                <w:sz w:val="24"/>
              </w:rPr>
            </w:pPr>
            <w:r>
              <w:rPr>
                <w:sz w:val="24"/>
              </w:rPr>
              <w:t>11.9 a</w:t>
            </w:r>
          </w:p>
        </w:tc>
        <w:tc>
          <w:tcPr>
            <w:tcW w:w="1804" w:type="dxa"/>
            <w:tcBorders>
              <w:top w:val="nil"/>
              <w:left w:val="nil"/>
              <w:bottom w:val="nil"/>
              <w:right w:val="nil"/>
            </w:tcBorders>
          </w:tcPr>
          <w:p>
            <w:pPr>
              <w:pStyle w:val="TableParagraph"/>
              <w:spacing w:before="57"/>
              <w:ind w:left="633"/>
              <w:rPr>
                <w:sz w:val="24"/>
              </w:rPr>
            </w:pPr>
            <w:r>
              <w:rPr>
                <w:sz w:val="24"/>
              </w:rPr>
              <w:t>6.3 a</w:t>
            </w:r>
          </w:p>
        </w:tc>
      </w:tr>
      <w:tr>
        <w:trPr>
          <w:trHeight w:val="620"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6"/>
              <w:ind w:left="341"/>
              <w:rPr>
                <w:sz w:val="24"/>
              </w:rPr>
            </w:pPr>
            <w:r>
              <w:rPr>
                <w:sz w:val="24"/>
              </w:rPr>
              <w:t>12</w:t>
            </w:r>
          </w:p>
        </w:tc>
        <w:tc>
          <w:tcPr>
            <w:tcW w:w="1481" w:type="dxa"/>
            <w:tcBorders>
              <w:top w:val="nil"/>
              <w:left w:val="nil"/>
              <w:bottom w:val="nil"/>
              <w:right w:val="nil"/>
            </w:tcBorders>
          </w:tcPr>
          <w:p>
            <w:pPr>
              <w:pStyle w:val="TableParagraph"/>
              <w:spacing w:before="56"/>
              <w:ind w:right="152"/>
              <w:jc w:val="right"/>
              <w:rPr>
                <w:sz w:val="24"/>
              </w:rPr>
            </w:pPr>
            <w:r>
              <w:rPr>
                <w:sz w:val="24"/>
              </w:rPr>
              <w:t>15.0 a</w:t>
            </w:r>
          </w:p>
        </w:tc>
        <w:tc>
          <w:tcPr>
            <w:tcW w:w="3145" w:type="dxa"/>
            <w:tcBorders>
              <w:top w:val="nil"/>
              <w:left w:val="nil"/>
              <w:bottom w:val="nil"/>
              <w:right w:val="nil"/>
            </w:tcBorders>
          </w:tcPr>
          <w:p>
            <w:pPr>
              <w:pStyle w:val="TableParagraph"/>
              <w:spacing w:before="56"/>
              <w:ind w:right="762"/>
              <w:jc w:val="right"/>
              <w:rPr>
                <w:sz w:val="24"/>
              </w:rPr>
            </w:pPr>
            <w:r>
              <w:rPr>
                <w:sz w:val="24"/>
              </w:rPr>
              <w:t>7.1 a</w:t>
            </w:r>
          </w:p>
        </w:tc>
        <w:tc>
          <w:tcPr>
            <w:tcW w:w="1804" w:type="dxa"/>
            <w:tcBorders>
              <w:top w:val="nil"/>
              <w:left w:val="nil"/>
              <w:bottom w:val="nil"/>
              <w:right w:val="nil"/>
            </w:tcBorders>
          </w:tcPr>
          <w:p>
            <w:pPr>
              <w:pStyle w:val="TableParagraph"/>
              <w:spacing w:before="56"/>
              <w:ind w:left="633"/>
              <w:rPr>
                <w:sz w:val="24"/>
              </w:rPr>
            </w:pPr>
            <w:r>
              <w:rPr>
                <w:sz w:val="24"/>
              </w:rPr>
              <w:t>9.1 a</w:t>
            </w:r>
          </w:p>
        </w:tc>
      </w:tr>
      <w:tr>
        <w:trPr>
          <w:trHeight w:val="620"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10"/>
              <w:rPr>
                <w:sz w:val="22"/>
              </w:rPr>
            </w:pPr>
          </w:p>
          <w:p>
            <w:pPr>
              <w:pStyle w:val="TableParagraph"/>
              <w:ind w:right="331"/>
              <w:jc w:val="center"/>
              <w:rPr>
                <w:sz w:val="24"/>
              </w:rPr>
            </w:pPr>
            <w:r>
              <w:rPr>
                <w:w w:val="99"/>
                <w:sz w:val="24"/>
              </w:rPr>
              <w:t>0</w:t>
            </w:r>
          </w:p>
        </w:tc>
        <w:tc>
          <w:tcPr>
            <w:tcW w:w="1481" w:type="dxa"/>
            <w:tcBorders>
              <w:top w:val="nil"/>
              <w:left w:val="nil"/>
              <w:bottom w:val="nil"/>
              <w:right w:val="nil"/>
            </w:tcBorders>
          </w:tcPr>
          <w:p>
            <w:pPr>
              <w:pStyle w:val="TableParagraph"/>
              <w:spacing w:before="10"/>
              <w:rPr>
                <w:sz w:val="22"/>
              </w:rPr>
            </w:pPr>
          </w:p>
          <w:p>
            <w:pPr>
              <w:pStyle w:val="TableParagraph"/>
              <w:ind w:right="152"/>
              <w:jc w:val="right"/>
              <w:rPr>
                <w:sz w:val="24"/>
              </w:rPr>
            </w:pPr>
            <w:r>
              <w:rPr>
                <w:sz w:val="24"/>
              </w:rPr>
              <w:t>93.0 a</w:t>
            </w:r>
          </w:p>
        </w:tc>
        <w:tc>
          <w:tcPr>
            <w:tcW w:w="3145" w:type="dxa"/>
            <w:tcBorders>
              <w:top w:val="nil"/>
              <w:left w:val="nil"/>
              <w:bottom w:val="nil"/>
              <w:right w:val="nil"/>
            </w:tcBorders>
          </w:tcPr>
          <w:p>
            <w:pPr>
              <w:pStyle w:val="TableParagraph"/>
              <w:spacing w:before="10"/>
              <w:rPr>
                <w:sz w:val="22"/>
              </w:rPr>
            </w:pPr>
          </w:p>
          <w:p>
            <w:pPr>
              <w:pStyle w:val="TableParagraph"/>
              <w:ind w:right="762"/>
              <w:jc w:val="right"/>
              <w:rPr>
                <w:sz w:val="24"/>
              </w:rPr>
            </w:pPr>
            <w:r>
              <w:rPr>
                <w:sz w:val="24"/>
              </w:rPr>
              <w:t>80.3 a</w:t>
            </w:r>
          </w:p>
        </w:tc>
        <w:tc>
          <w:tcPr>
            <w:tcW w:w="1804" w:type="dxa"/>
            <w:tcBorders>
              <w:top w:val="nil"/>
              <w:left w:val="nil"/>
              <w:bottom w:val="nil"/>
              <w:right w:val="nil"/>
            </w:tcBorders>
          </w:tcPr>
          <w:p>
            <w:pPr>
              <w:pStyle w:val="TableParagraph"/>
              <w:spacing w:before="10"/>
              <w:rPr>
                <w:sz w:val="22"/>
              </w:rPr>
            </w:pPr>
          </w:p>
          <w:p>
            <w:pPr>
              <w:pStyle w:val="TableParagraph"/>
              <w:ind w:left="501"/>
              <w:rPr>
                <w:sz w:val="24"/>
              </w:rPr>
            </w:pPr>
            <w:r>
              <w:rPr>
                <w:sz w:val="24"/>
              </w:rPr>
              <w:t>91.7 a</w:t>
            </w:r>
          </w:p>
        </w:tc>
      </w:tr>
      <w:tr>
        <w:trPr>
          <w:trHeight w:val="414" w:hRule="exact"/>
        </w:trPr>
        <w:tc>
          <w:tcPr>
            <w:tcW w:w="1272" w:type="dxa"/>
            <w:tcBorders>
              <w:top w:val="nil"/>
              <w:left w:val="nil"/>
              <w:bottom w:val="nil"/>
              <w:right w:val="nil"/>
            </w:tcBorders>
          </w:tcPr>
          <w:p>
            <w:pPr>
              <w:pStyle w:val="TableParagraph"/>
              <w:spacing w:before="56"/>
              <w:ind w:left="248" w:right="253"/>
              <w:jc w:val="center"/>
              <w:rPr>
                <w:sz w:val="24"/>
              </w:rPr>
            </w:pPr>
            <w:r>
              <w:rPr>
                <w:sz w:val="24"/>
              </w:rPr>
              <w:t>Hue</w:t>
            </w:r>
          </w:p>
        </w:tc>
        <w:tc>
          <w:tcPr>
            <w:tcW w:w="1414" w:type="dxa"/>
            <w:tcBorders>
              <w:top w:val="nil"/>
              <w:left w:val="nil"/>
              <w:bottom w:val="nil"/>
              <w:right w:val="nil"/>
            </w:tcBorders>
          </w:tcPr>
          <w:p>
            <w:pPr>
              <w:pStyle w:val="TableParagraph"/>
              <w:spacing w:before="56"/>
              <w:ind w:left="446"/>
              <w:rPr>
                <w:sz w:val="24"/>
              </w:rPr>
            </w:pPr>
            <w:r>
              <w:rPr>
                <w:w w:val="99"/>
                <w:sz w:val="24"/>
              </w:rPr>
              <w:t>4</w:t>
            </w:r>
          </w:p>
        </w:tc>
        <w:tc>
          <w:tcPr>
            <w:tcW w:w="1481" w:type="dxa"/>
            <w:tcBorders>
              <w:top w:val="nil"/>
              <w:left w:val="nil"/>
              <w:bottom w:val="nil"/>
              <w:right w:val="nil"/>
            </w:tcBorders>
          </w:tcPr>
          <w:p>
            <w:pPr>
              <w:pStyle w:val="TableParagraph"/>
              <w:spacing w:before="56"/>
              <w:ind w:right="178"/>
              <w:jc w:val="right"/>
              <w:rPr>
                <w:sz w:val="24"/>
              </w:rPr>
            </w:pPr>
            <w:r>
              <w:rPr>
                <w:sz w:val="24"/>
              </w:rPr>
              <w:t>12.2 a</w:t>
            </w:r>
          </w:p>
        </w:tc>
        <w:tc>
          <w:tcPr>
            <w:tcW w:w="3145" w:type="dxa"/>
            <w:tcBorders>
              <w:top w:val="nil"/>
              <w:left w:val="nil"/>
              <w:bottom w:val="nil"/>
              <w:right w:val="nil"/>
            </w:tcBorders>
          </w:tcPr>
          <w:p>
            <w:pPr>
              <w:pStyle w:val="TableParagraph"/>
              <w:spacing w:before="56"/>
              <w:ind w:right="788"/>
              <w:jc w:val="right"/>
              <w:rPr>
                <w:sz w:val="24"/>
              </w:rPr>
            </w:pPr>
            <w:r>
              <w:rPr>
                <w:sz w:val="24"/>
              </w:rPr>
              <w:t>11.7 a</w:t>
            </w:r>
          </w:p>
        </w:tc>
        <w:tc>
          <w:tcPr>
            <w:tcW w:w="1804" w:type="dxa"/>
            <w:tcBorders>
              <w:top w:val="nil"/>
              <w:left w:val="nil"/>
              <w:bottom w:val="nil"/>
              <w:right w:val="nil"/>
            </w:tcBorders>
          </w:tcPr>
          <w:p>
            <w:pPr>
              <w:pStyle w:val="TableParagraph"/>
              <w:spacing w:before="56"/>
              <w:ind w:left="474"/>
              <w:rPr>
                <w:sz w:val="24"/>
              </w:rPr>
            </w:pPr>
            <w:r>
              <w:rPr>
                <w:sz w:val="24"/>
              </w:rPr>
              <w:t>13.0 a</w:t>
            </w:r>
          </w:p>
        </w:tc>
      </w:tr>
      <w:tr>
        <w:trPr>
          <w:trHeight w:val="414"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7"/>
              <w:ind w:right="331"/>
              <w:jc w:val="center"/>
              <w:rPr>
                <w:sz w:val="24"/>
              </w:rPr>
            </w:pPr>
            <w:r>
              <w:rPr>
                <w:w w:val="99"/>
                <w:sz w:val="24"/>
              </w:rPr>
              <w:t>8</w:t>
            </w:r>
          </w:p>
        </w:tc>
        <w:tc>
          <w:tcPr>
            <w:tcW w:w="1481" w:type="dxa"/>
            <w:tcBorders>
              <w:top w:val="nil"/>
              <w:left w:val="nil"/>
              <w:bottom w:val="nil"/>
              <w:right w:val="nil"/>
            </w:tcBorders>
          </w:tcPr>
          <w:p>
            <w:pPr>
              <w:pStyle w:val="TableParagraph"/>
              <w:spacing w:before="57"/>
              <w:ind w:right="152"/>
              <w:jc w:val="right"/>
              <w:rPr>
                <w:sz w:val="24"/>
              </w:rPr>
            </w:pPr>
            <w:r>
              <w:rPr>
                <w:sz w:val="24"/>
              </w:rPr>
              <w:t>8.5 a</w:t>
            </w:r>
          </w:p>
        </w:tc>
        <w:tc>
          <w:tcPr>
            <w:tcW w:w="3145" w:type="dxa"/>
            <w:tcBorders>
              <w:top w:val="nil"/>
              <w:left w:val="nil"/>
              <w:bottom w:val="nil"/>
              <w:right w:val="nil"/>
            </w:tcBorders>
          </w:tcPr>
          <w:p>
            <w:pPr>
              <w:pStyle w:val="TableParagraph"/>
              <w:spacing w:before="57"/>
              <w:ind w:right="762"/>
              <w:jc w:val="right"/>
              <w:rPr>
                <w:sz w:val="24"/>
              </w:rPr>
            </w:pPr>
            <w:r>
              <w:rPr>
                <w:sz w:val="24"/>
              </w:rPr>
              <w:t>25.7 a</w:t>
            </w:r>
          </w:p>
        </w:tc>
        <w:tc>
          <w:tcPr>
            <w:tcW w:w="1804" w:type="dxa"/>
            <w:tcBorders>
              <w:top w:val="nil"/>
              <w:left w:val="nil"/>
              <w:bottom w:val="nil"/>
              <w:right w:val="nil"/>
            </w:tcBorders>
          </w:tcPr>
          <w:p>
            <w:pPr>
              <w:pStyle w:val="TableParagraph"/>
              <w:spacing w:before="57"/>
              <w:ind w:left="501"/>
              <w:rPr>
                <w:sz w:val="24"/>
              </w:rPr>
            </w:pPr>
            <w:r>
              <w:rPr>
                <w:sz w:val="24"/>
              </w:rPr>
              <w:t>12.2 a</w:t>
            </w:r>
          </w:p>
        </w:tc>
      </w:tr>
      <w:tr>
        <w:trPr>
          <w:trHeight w:val="620"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6"/>
              <w:ind w:left="341"/>
              <w:rPr>
                <w:sz w:val="24"/>
              </w:rPr>
            </w:pPr>
            <w:r>
              <w:rPr>
                <w:sz w:val="24"/>
              </w:rPr>
              <w:t>12</w:t>
            </w:r>
          </w:p>
        </w:tc>
        <w:tc>
          <w:tcPr>
            <w:tcW w:w="1481" w:type="dxa"/>
            <w:tcBorders>
              <w:top w:val="nil"/>
              <w:left w:val="nil"/>
              <w:bottom w:val="nil"/>
              <w:right w:val="nil"/>
            </w:tcBorders>
          </w:tcPr>
          <w:p>
            <w:pPr>
              <w:pStyle w:val="TableParagraph"/>
              <w:spacing w:before="56"/>
              <w:ind w:right="152"/>
              <w:jc w:val="right"/>
              <w:rPr>
                <w:sz w:val="24"/>
              </w:rPr>
            </w:pPr>
            <w:r>
              <w:rPr>
                <w:sz w:val="24"/>
              </w:rPr>
              <w:t>53.5 a</w:t>
            </w:r>
          </w:p>
        </w:tc>
        <w:tc>
          <w:tcPr>
            <w:tcW w:w="3145" w:type="dxa"/>
            <w:tcBorders>
              <w:top w:val="nil"/>
              <w:left w:val="nil"/>
              <w:bottom w:val="nil"/>
              <w:right w:val="nil"/>
            </w:tcBorders>
          </w:tcPr>
          <w:p>
            <w:pPr>
              <w:pStyle w:val="TableParagraph"/>
              <w:spacing w:before="56"/>
              <w:ind w:right="762"/>
              <w:jc w:val="right"/>
              <w:rPr>
                <w:sz w:val="24"/>
              </w:rPr>
            </w:pPr>
            <w:r>
              <w:rPr>
                <w:sz w:val="24"/>
              </w:rPr>
              <w:t>23.6 a</w:t>
            </w:r>
          </w:p>
        </w:tc>
        <w:tc>
          <w:tcPr>
            <w:tcW w:w="1804" w:type="dxa"/>
            <w:tcBorders>
              <w:top w:val="nil"/>
              <w:left w:val="nil"/>
              <w:bottom w:val="nil"/>
              <w:right w:val="nil"/>
            </w:tcBorders>
          </w:tcPr>
          <w:p>
            <w:pPr>
              <w:pStyle w:val="TableParagraph"/>
              <w:spacing w:before="56"/>
              <w:ind w:left="501"/>
              <w:rPr>
                <w:sz w:val="24"/>
              </w:rPr>
            </w:pPr>
            <w:r>
              <w:rPr>
                <w:sz w:val="24"/>
              </w:rPr>
              <w:t>39.6 a</w:t>
            </w:r>
          </w:p>
        </w:tc>
      </w:tr>
      <w:tr>
        <w:trPr>
          <w:trHeight w:val="622"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10"/>
              <w:rPr>
                <w:sz w:val="22"/>
              </w:rPr>
            </w:pPr>
          </w:p>
          <w:p>
            <w:pPr>
              <w:pStyle w:val="TableParagraph"/>
              <w:ind w:left="406"/>
              <w:rPr>
                <w:sz w:val="24"/>
              </w:rPr>
            </w:pPr>
            <w:r>
              <w:rPr>
                <w:w w:val="99"/>
                <w:sz w:val="24"/>
              </w:rPr>
              <w:t>0</w:t>
            </w:r>
          </w:p>
        </w:tc>
        <w:tc>
          <w:tcPr>
            <w:tcW w:w="1481" w:type="dxa"/>
            <w:tcBorders>
              <w:top w:val="nil"/>
              <w:left w:val="nil"/>
              <w:bottom w:val="nil"/>
              <w:right w:val="nil"/>
            </w:tcBorders>
          </w:tcPr>
          <w:p>
            <w:pPr>
              <w:pStyle w:val="TableParagraph"/>
              <w:spacing w:before="10"/>
              <w:rPr>
                <w:sz w:val="22"/>
              </w:rPr>
            </w:pPr>
          </w:p>
          <w:p>
            <w:pPr>
              <w:pStyle w:val="TableParagraph"/>
              <w:ind w:right="152"/>
              <w:jc w:val="right"/>
              <w:rPr>
                <w:sz w:val="24"/>
              </w:rPr>
            </w:pPr>
            <w:r>
              <w:rPr>
                <w:sz w:val="24"/>
              </w:rPr>
              <w:t>23.2 a</w:t>
            </w:r>
          </w:p>
        </w:tc>
        <w:tc>
          <w:tcPr>
            <w:tcW w:w="3145" w:type="dxa"/>
            <w:tcBorders>
              <w:top w:val="nil"/>
              <w:left w:val="nil"/>
              <w:bottom w:val="nil"/>
              <w:right w:val="nil"/>
            </w:tcBorders>
          </w:tcPr>
          <w:p>
            <w:pPr>
              <w:pStyle w:val="TableParagraph"/>
              <w:spacing w:before="10"/>
              <w:rPr>
                <w:sz w:val="22"/>
              </w:rPr>
            </w:pPr>
          </w:p>
          <w:p>
            <w:pPr>
              <w:pStyle w:val="TableParagraph"/>
              <w:ind w:right="762"/>
              <w:jc w:val="right"/>
              <w:rPr>
                <w:sz w:val="24"/>
              </w:rPr>
            </w:pPr>
            <w:r>
              <w:rPr>
                <w:sz w:val="24"/>
              </w:rPr>
              <w:t>26.7 a</w:t>
            </w:r>
          </w:p>
        </w:tc>
        <w:tc>
          <w:tcPr>
            <w:tcW w:w="1804" w:type="dxa"/>
            <w:tcBorders>
              <w:top w:val="nil"/>
              <w:left w:val="nil"/>
              <w:bottom w:val="nil"/>
              <w:right w:val="nil"/>
            </w:tcBorders>
          </w:tcPr>
          <w:p>
            <w:pPr>
              <w:pStyle w:val="TableParagraph"/>
              <w:spacing w:before="10"/>
              <w:rPr>
                <w:sz w:val="22"/>
              </w:rPr>
            </w:pPr>
          </w:p>
          <w:p>
            <w:pPr>
              <w:pStyle w:val="TableParagraph"/>
              <w:ind w:right="567"/>
              <w:jc w:val="right"/>
              <w:rPr>
                <w:sz w:val="24"/>
              </w:rPr>
            </w:pPr>
            <w:r>
              <w:rPr>
                <w:sz w:val="24"/>
              </w:rPr>
              <w:t>24.9 a</w:t>
            </w:r>
          </w:p>
        </w:tc>
      </w:tr>
      <w:tr>
        <w:trPr>
          <w:trHeight w:val="414" w:hRule="exact"/>
        </w:trPr>
        <w:tc>
          <w:tcPr>
            <w:tcW w:w="1272" w:type="dxa"/>
            <w:tcBorders>
              <w:top w:val="nil"/>
              <w:left w:val="nil"/>
              <w:bottom w:val="nil"/>
              <w:right w:val="nil"/>
            </w:tcBorders>
          </w:tcPr>
          <w:p>
            <w:pPr>
              <w:pStyle w:val="TableParagraph"/>
              <w:spacing w:before="57"/>
              <w:ind w:left="257" w:right="253"/>
              <w:jc w:val="center"/>
              <w:rPr>
                <w:sz w:val="24"/>
              </w:rPr>
            </w:pPr>
            <w:r>
              <w:rPr>
                <w:sz w:val="24"/>
              </w:rPr>
              <w:t>Croma</w:t>
            </w:r>
          </w:p>
        </w:tc>
        <w:tc>
          <w:tcPr>
            <w:tcW w:w="1414" w:type="dxa"/>
            <w:tcBorders>
              <w:top w:val="nil"/>
              <w:left w:val="nil"/>
              <w:bottom w:val="nil"/>
              <w:right w:val="nil"/>
            </w:tcBorders>
          </w:tcPr>
          <w:p>
            <w:pPr>
              <w:pStyle w:val="TableParagraph"/>
              <w:spacing w:before="57"/>
              <w:ind w:left="394"/>
              <w:rPr>
                <w:sz w:val="24"/>
              </w:rPr>
            </w:pPr>
            <w:r>
              <w:rPr>
                <w:w w:val="99"/>
                <w:sz w:val="24"/>
              </w:rPr>
              <w:t>4</w:t>
            </w:r>
          </w:p>
        </w:tc>
        <w:tc>
          <w:tcPr>
            <w:tcW w:w="1481" w:type="dxa"/>
            <w:tcBorders>
              <w:top w:val="nil"/>
              <w:left w:val="nil"/>
              <w:bottom w:val="nil"/>
              <w:right w:val="nil"/>
            </w:tcBorders>
          </w:tcPr>
          <w:p>
            <w:pPr>
              <w:pStyle w:val="TableParagraph"/>
              <w:spacing w:before="57"/>
              <w:ind w:right="164"/>
              <w:jc w:val="right"/>
              <w:rPr>
                <w:sz w:val="24"/>
              </w:rPr>
            </w:pPr>
            <w:r>
              <w:rPr>
                <w:sz w:val="24"/>
              </w:rPr>
              <w:t>40.0 a</w:t>
            </w:r>
          </w:p>
        </w:tc>
        <w:tc>
          <w:tcPr>
            <w:tcW w:w="3145" w:type="dxa"/>
            <w:tcBorders>
              <w:top w:val="nil"/>
              <w:left w:val="nil"/>
              <w:bottom w:val="nil"/>
              <w:right w:val="nil"/>
            </w:tcBorders>
          </w:tcPr>
          <w:p>
            <w:pPr>
              <w:pStyle w:val="TableParagraph"/>
              <w:spacing w:before="57"/>
              <w:ind w:right="774"/>
              <w:jc w:val="right"/>
              <w:rPr>
                <w:sz w:val="24"/>
              </w:rPr>
            </w:pPr>
            <w:r>
              <w:rPr>
                <w:sz w:val="24"/>
              </w:rPr>
              <w:t>40.6 a</w:t>
            </w:r>
          </w:p>
        </w:tc>
        <w:tc>
          <w:tcPr>
            <w:tcW w:w="1804" w:type="dxa"/>
            <w:tcBorders>
              <w:top w:val="nil"/>
              <w:left w:val="nil"/>
              <w:bottom w:val="nil"/>
              <w:right w:val="nil"/>
            </w:tcBorders>
          </w:tcPr>
          <w:p>
            <w:pPr>
              <w:pStyle w:val="TableParagraph"/>
              <w:spacing w:before="57"/>
              <w:ind w:right="579"/>
              <w:jc w:val="right"/>
              <w:rPr>
                <w:sz w:val="24"/>
              </w:rPr>
            </w:pPr>
            <w:r>
              <w:rPr>
                <w:sz w:val="24"/>
              </w:rPr>
              <w:t>39.0 a</w:t>
            </w:r>
          </w:p>
        </w:tc>
      </w:tr>
      <w:tr>
        <w:trPr>
          <w:trHeight w:val="414" w:hRule="exact"/>
        </w:trPr>
        <w:tc>
          <w:tcPr>
            <w:tcW w:w="1272" w:type="dxa"/>
            <w:tcBorders>
              <w:top w:val="nil"/>
              <w:left w:val="nil"/>
              <w:bottom w:val="nil"/>
              <w:right w:val="nil"/>
            </w:tcBorders>
          </w:tcPr>
          <w:p>
            <w:pPr/>
          </w:p>
        </w:tc>
        <w:tc>
          <w:tcPr>
            <w:tcW w:w="1414" w:type="dxa"/>
            <w:tcBorders>
              <w:top w:val="nil"/>
              <w:left w:val="nil"/>
              <w:bottom w:val="nil"/>
              <w:right w:val="nil"/>
            </w:tcBorders>
          </w:tcPr>
          <w:p>
            <w:pPr>
              <w:pStyle w:val="TableParagraph"/>
              <w:spacing w:before="56"/>
              <w:ind w:left="406"/>
              <w:rPr>
                <w:sz w:val="24"/>
              </w:rPr>
            </w:pPr>
            <w:r>
              <w:rPr>
                <w:w w:val="99"/>
                <w:sz w:val="24"/>
              </w:rPr>
              <w:t>8</w:t>
            </w:r>
          </w:p>
        </w:tc>
        <w:tc>
          <w:tcPr>
            <w:tcW w:w="1481" w:type="dxa"/>
            <w:tcBorders>
              <w:top w:val="nil"/>
              <w:left w:val="nil"/>
              <w:bottom w:val="nil"/>
              <w:right w:val="nil"/>
            </w:tcBorders>
          </w:tcPr>
          <w:p>
            <w:pPr>
              <w:pStyle w:val="TableParagraph"/>
              <w:spacing w:before="56"/>
              <w:ind w:right="152"/>
              <w:jc w:val="right"/>
              <w:rPr>
                <w:sz w:val="24"/>
              </w:rPr>
            </w:pPr>
            <w:r>
              <w:rPr>
                <w:sz w:val="24"/>
              </w:rPr>
              <w:t>30.2 a</w:t>
            </w:r>
          </w:p>
        </w:tc>
        <w:tc>
          <w:tcPr>
            <w:tcW w:w="3145" w:type="dxa"/>
            <w:tcBorders>
              <w:top w:val="nil"/>
              <w:left w:val="nil"/>
              <w:bottom w:val="nil"/>
              <w:right w:val="nil"/>
            </w:tcBorders>
          </w:tcPr>
          <w:p>
            <w:pPr>
              <w:pStyle w:val="TableParagraph"/>
              <w:spacing w:before="56"/>
              <w:ind w:right="695"/>
              <w:jc w:val="right"/>
              <w:rPr>
                <w:sz w:val="24"/>
              </w:rPr>
            </w:pPr>
            <w:r>
              <w:rPr>
                <w:sz w:val="24"/>
              </w:rPr>
              <w:t>31.1 a</w:t>
            </w:r>
          </w:p>
        </w:tc>
        <w:tc>
          <w:tcPr>
            <w:tcW w:w="1804" w:type="dxa"/>
            <w:tcBorders>
              <w:top w:val="nil"/>
              <w:left w:val="nil"/>
              <w:bottom w:val="nil"/>
              <w:right w:val="nil"/>
            </w:tcBorders>
          </w:tcPr>
          <w:p>
            <w:pPr>
              <w:pStyle w:val="TableParagraph"/>
              <w:spacing w:before="56"/>
              <w:ind w:right="567"/>
              <w:jc w:val="right"/>
              <w:rPr>
                <w:sz w:val="24"/>
              </w:rPr>
            </w:pPr>
            <w:r>
              <w:rPr>
                <w:sz w:val="24"/>
              </w:rPr>
              <w:t>31.6 a</w:t>
            </w:r>
          </w:p>
        </w:tc>
      </w:tr>
      <w:tr>
        <w:trPr>
          <w:trHeight w:val="479" w:hRule="exact"/>
        </w:trPr>
        <w:tc>
          <w:tcPr>
            <w:tcW w:w="1272" w:type="dxa"/>
            <w:tcBorders>
              <w:top w:val="nil"/>
              <w:left w:val="nil"/>
              <w:right w:val="nil"/>
            </w:tcBorders>
          </w:tcPr>
          <w:p>
            <w:pPr/>
          </w:p>
        </w:tc>
        <w:tc>
          <w:tcPr>
            <w:tcW w:w="1414" w:type="dxa"/>
            <w:tcBorders>
              <w:top w:val="nil"/>
              <w:left w:val="nil"/>
              <w:right w:val="nil"/>
            </w:tcBorders>
          </w:tcPr>
          <w:p>
            <w:pPr>
              <w:pStyle w:val="TableParagraph"/>
              <w:spacing w:before="57"/>
              <w:ind w:left="274"/>
              <w:rPr>
                <w:sz w:val="24"/>
              </w:rPr>
            </w:pPr>
            <w:r>
              <w:rPr>
                <w:sz w:val="24"/>
              </w:rPr>
              <w:t>12</w:t>
            </w:r>
          </w:p>
        </w:tc>
        <w:tc>
          <w:tcPr>
            <w:tcW w:w="1481" w:type="dxa"/>
            <w:tcBorders>
              <w:top w:val="nil"/>
              <w:left w:val="nil"/>
              <w:right w:val="nil"/>
            </w:tcBorders>
          </w:tcPr>
          <w:p>
            <w:pPr>
              <w:pStyle w:val="TableParagraph"/>
              <w:spacing w:before="57"/>
              <w:ind w:right="152"/>
              <w:jc w:val="right"/>
              <w:rPr>
                <w:sz w:val="24"/>
              </w:rPr>
            </w:pPr>
            <w:r>
              <w:rPr>
                <w:sz w:val="24"/>
              </w:rPr>
              <w:t>21.9 a</w:t>
            </w:r>
          </w:p>
        </w:tc>
        <w:tc>
          <w:tcPr>
            <w:tcW w:w="3145" w:type="dxa"/>
            <w:tcBorders>
              <w:top w:val="nil"/>
              <w:left w:val="nil"/>
              <w:right w:val="nil"/>
            </w:tcBorders>
          </w:tcPr>
          <w:p>
            <w:pPr>
              <w:pStyle w:val="TableParagraph"/>
              <w:spacing w:before="57"/>
              <w:ind w:right="695"/>
              <w:jc w:val="right"/>
              <w:rPr>
                <w:sz w:val="24"/>
              </w:rPr>
            </w:pPr>
            <w:r>
              <w:rPr>
                <w:sz w:val="24"/>
              </w:rPr>
              <w:t>27.2 a</w:t>
            </w:r>
          </w:p>
        </w:tc>
        <w:tc>
          <w:tcPr>
            <w:tcW w:w="1804" w:type="dxa"/>
            <w:tcBorders>
              <w:top w:val="nil"/>
              <w:left w:val="nil"/>
              <w:right w:val="nil"/>
            </w:tcBorders>
          </w:tcPr>
          <w:p>
            <w:pPr>
              <w:pStyle w:val="TableParagraph"/>
              <w:spacing w:before="57"/>
              <w:ind w:right="567"/>
              <w:jc w:val="right"/>
              <w:rPr>
                <w:sz w:val="24"/>
              </w:rPr>
            </w:pPr>
            <w:r>
              <w:rPr>
                <w:sz w:val="24"/>
              </w:rPr>
              <w:t>18.5 a</w:t>
            </w:r>
          </w:p>
        </w:tc>
      </w:tr>
    </w:tbl>
    <w:p>
      <w:pPr>
        <w:spacing w:after="0"/>
        <w:jc w:val="right"/>
        <w:rPr>
          <w:sz w:val="24"/>
        </w:rPr>
        <w:sectPr>
          <w:pgSz w:w="12240" w:h="15840"/>
          <w:pgMar w:header="0" w:footer="1005" w:top="1360" w:bottom="1200" w:left="1600" w:right="1300"/>
        </w:sectPr>
      </w:pPr>
    </w:p>
    <w:p>
      <w:pPr>
        <w:pStyle w:val="ListParagraph"/>
        <w:numPr>
          <w:ilvl w:val="2"/>
          <w:numId w:val="9"/>
        </w:numPr>
        <w:tabs>
          <w:tab w:pos="1500" w:val="left" w:leader="none"/>
        </w:tabs>
        <w:spacing w:line="240" w:lineRule="auto" w:before="51" w:after="0"/>
        <w:ind w:left="1499" w:right="0" w:hanging="670"/>
        <w:jc w:val="left"/>
        <w:rPr>
          <w:sz w:val="24"/>
        </w:rPr>
      </w:pPr>
      <w:r>
        <w:rPr>
          <w:sz w:val="24"/>
        </w:rPr>
        <w:t>ʿSerradaʾ</w:t>
      </w:r>
    </w:p>
    <w:p>
      <w:pPr>
        <w:pStyle w:val="BodyText"/>
        <w:spacing w:before="9"/>
        <w:rPr>
          <w:sz w:val="23"/>
        </w:rPr>
      </w:pPr>
    </w:p>
    <w:p>
      <w:pPr>
        <w:pStyle w:val="BodyText"/>
        <w:spacing w:line="480" w:lineRule="auto"/>
        <w:ind w:left="121" w:right="116"/>
        <w:jc w:val="both"/>
      </w:pPr>
      <w:r>
        <w:rPr/>
        <w:t>En </w:t>
      </w:r>
      <w:r>
        <w:rPr>
          <w:i/>
        </w:rPr>
        <w:t>Lilium </w:t>
      </w:r>
      <w:r>
        <w:rPr/>
        <w:t>‘Serrada’ se observaron diferencias significativas en algunos días sobre las variables postcosecha (Cuadro 7). Para las unidades SPAD. La aplicación de 144-160 mg L</w:t>
      </w:r>
      <w:r>
        <w:rPr>
          <w:position w:val="8"/>
          <w:sz w:val="16"/>
        </w:rPr>
        <w:t>-1 </w:t>
      </w:r>
      <w:r>
        <w:rPr/>
        <w:t>Zn-Mg superó al resto de los tratamientos al día 0 y 8 después del corte. Contrario a lo observado en Lilium ‘Acapulco’, para Lilium ‘Serrada’ la aplicación de Zn-Mg si incrementó el IVH en postcosecha; aunque esto no se observó en el tratamiento que en precosecha había presentado el mayor valor.</w:t>
      </w:r>
    </w:p>
    <w:p>
      <w:pPr>
        <w:pStyle w:val="BodyText"/>
        <w:spacing w:line="480" w:lineRule="auto" w:before="8"/>
        <w:ind w:left="102" w:right="116" w:firstLine="19"/>
        <w:jc w:val="both"/>
      </w:pPr>
      <w:r>
        <w:rPr/>
        <w:t>El mantener por mayor tiempo el IVH, es una técnica importante en Lilium. La aplicación de micronutrimentos es una técnica más barata que la aplicación de </w:t>
      </w:r>
      <w:r>
        <w:rPr>
          <w:position w:val="1"/>
        </w:rPr>
        <w:t>productos con GA</w:t>
      </w:r>
      <w:r>
        <w:rPr>
          <w:sz w:val="16"/>
        </w:rPr>
        <w:t>4+7 </w:t>
      </w:r>
      <w:r>
        <w:rPr>
          <w:position w:val="1"/>
        </w:rPr>
        <w:t>y BAP (Bencil adenina) (Whitman </w:t>
      </w:r>
      <w:r>
        <w:rPr>
          <w:i/>
          <w:position w:val="1"/>
        </w:rPr>
        <w:t>et al</w:t>
      </w:r>
      <w:r>
        <w:rPr>
          <w:position w:val="1"/>
        </w:rPr>
        <w:t>., 2001; Arrom </w:t>
      </w:r>
      <w:r>
        <w:rPr>
          <w:i/>
          <w:position w:val="1"/>
        </w:rPr>
        <w:t>et al</w:t>
      </w:r>
      <w:r>
        <w:rPr>
          <w:position w:val="1"/>
        </w:rPr>
        <w:t>., </w:t>
      </w:r>
      <w:r>
        <w:rPr/>
        <w:t>2012;</w:t>
      </w:r>
      <w:r>
        <w:rPr>
          <w:spacing w:val="-12"/>
        </w:rPr>
        <w:t> </w:t>
      </w:r>
      <w:r>
        <w:rPr/>
        <w:t>Van</w:t>
      </w:r>
      <w:r>
        <w:rPr>
          <w:spacing w:val="-12"/>
        </w:rPr>
        <w:t> </w:t>
      </w:r>
      <w:r>
        <w:rPr/>
        <w:t>Door</w:t>
      </w:r>
      <w:r>
        <w:rPr>
          <w:spacing w:val="-13"/>
        </w:rPr>
        <w:t> </w:t>
      </w:r>
      <w:r>
        <w:rPr>
          <w:i/>
        </w:rPr>
        <w:t>et</w:t>
      </w:r>
      <w:r>
        <w:rPr>
          <w:i/>
          <w:spacing w:val="-12"/>
        </w:rPr>
        <w:t> </w:t>
      </w:r>
      <w:r>
        <w:rPr>
          <w:i/>
        </w:rPr>
        <w:t>al</w:t>
      </w:r>
      <w:r>
        <w:rPr/>
        <w:t>.,</w:t>
      </w:r>
      <w:r>
        <w:rPr>
          <w:spacing w:val="-14"/>
        </w:rPr>
        <w:t> </w:t>
      </w:r>
      <w:r>
        <w:rPr/>
        <w:t>2011),</w:t>
      </w:r>
      <w:r>
        <w:rPr>
          <w:spacing w:val="-12"/>
        </w:rPr>
        <w:t> </w:t>
      </w:r>
      <w:r>
        <w:rPr/>
        <w:t>los</w:t>
      </w:r>
      <w:r>
        <w:rPr>
          <w:spacing w:val="-13"/>
        </w:rPr>
        <w:t> </w:t>
      </w:r>
      <w:r>
        <w:rPr/>
        <w:t>cuales</w:t>
      </w:r>
      <w:r>
        <w:rPr>
          <w:spacing w:val="-15"/>
        </w:rPr>
        <w:t> </w:t>
      </w:r>
      <w:r>
        <w:rPr/>
        <w:t>mantienen</w:t>
      </w:r>
      <w:r>
        <w:rPr>
          <w:spacing w:val="-12"/>
        </w:rPr>
        <w:t> </w:t>
      </w:r>
      <w:r>
        <w:rPr/>
        <w:t>el</w:t>
      </w:r>
      <w:r>
        <w:rPr>
          <w:spacing w:val="-13"/>
        </w:rPr>
        <w:t> </w:t>
      </w:r>
      <w:r>
        <w:rPr/>
        <w:t>color</w:t>
      </w:r>
      <w:r>
        <w:rPr>
          <w:spacing w:val="-13"/>
        </w:rPr>
        <w:t> </w:t>
      </w:r>
      <w:r>
        <w:rPr/>
        <w:t>verde</w:t>
      </w:r>
      <w:r>
        <w:rPr>
          <w:spacing w:val="-14"/>
        </w:rPr>
        <w:t> </w:t>
      </w:r>
      <w:r>
        <w:rPr/>
        <w:t>de</w:t>
      </w:r>
      <w:r>
        <w:rPr>
          <w:spacing w:val="-14"/>
        </w:rPr>
        <w:t> </w:t>
      </w:r>
      <w:r>
        <w:rPr/>
        <w:t>hojas</w:t>
      </w:r>
      <w:r>
        <w:rPr>
          <w:spacing w:val="-13"/>
        </w:rPr>
        <w:t> </w:t>
      </w:r>
      <w:r>
        <w:rPr/>
        <w:t>de</w:t>
      </w:r>
      <w:r>
        <w:rPr>
          <w:spacing w:val="-12"/>
        </w:rPr>
        <w:t> </w:t>
      </w:r>
      <w:r>
        <w:rPr/>
        <w:t>Lilium. Aunque zinc y magnesio influyeron positivamente en el crecimiento, esto no se reflejó en el diámetro de la flor, área foliar ni materia seca. Aunque en área foliar hubo diferencias en algunos días estas no fueron consistentes para algún tratamiento.</w:t>
      </w:r>
    </w:p>
    <w:p>
      <w:pPr>
        <w:pStyle w:val="BodyText"/>
        <w:spacing w:line="480" w:lineRule="auto" w:before="8"/>
        <w:ind w:left="102" w:right="393"/>
      </w:pPr>
      <w:r>
        <w:rPr/>
        <w:t>Respecto a las variables evaluadas en postcosecha tuvieron un comportamiento similar a cv. ʿAcapulcoʾ, como ya se explicó anteriormente.</w:t>
      </w:r>
    </w:p>
    <w:p>
      <w:pPr>
        <w:spacing w:after="0" w:line="480" w:lineRule="auto"/>
        <w:sectPr>
          <w:pgSz w:w="12240" w:h="15840"/>
          <w:pgMar w:header="0" w:footer="1005" w:top="1360" w:bottom="1200" w:left="1580" w:right="1580"/>
        </w:sectPr>
      </w:pPr>
    </w:p>
    <w:p>
      <w:pPr>
        <w:pStyle w:val="BodyText"/>
        <w:spacing w:line="256" w:lineRule="auto" w:before="54"/>
        <w:ind w:left="121" w:right="256"/>
        <w:jc w:val="both"/>
      </w:pPr>
      <w:r>
        <w:rPr/>
        <w:t>Cuadro 7. Efecto de la fertilización con solución Steiner, zinc y magnesio sobre unidades SPAD, diámetro de la flor, área foliar (cm</w:t>
      </w:r>
      <w:r>
        <w:rPr>
          <w:position w:val="8"/>
          <w:sz w:val="16"/>
        </w:rPr>
        <w:t>2</w:t>
      </w:r>
      <w:r>
        <w:rPr/>
        <w:t>) y materia seca en </w:t>
      </w:r>
      <w:r>
        <w:rPr>
          <w:i/>
        </w:rPr>
        <w:t>Lilium </w:t>
      </w:r>
      <w:r>
        <w:rPr/>
        <w:t>‘Serrada’, días postcosecha.</w:t>
      </w:r>
    </w:p>
    <w:p>
      <w:pPr>
        <w:pStyle w:val="BodyText"/>
        <w:spacing w:before="9"/>
        <w:rPr>
          <w:sz w:val="14"/>
        </w:rPr>
      </w:pPr>
    </w:p>
    <w:tbl>
      <w:tblPr>
        <w:tblW w:w="0" w:type="auto"/>
        <w:jc w:val="left"/>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3"/>
        <w:gridCol w:w="1965"/>
        <w:gridCol w:w="1972"/>
        <w:gridCol w:w="1528"/>
      </w:tblGrid>
      <w:tr>
        <w:trPr>
          <w:trHeight w:val="965" w:hRule="exact"/>
        </w:trPr>
        <w:tc>
          <w:tcPr>
            <w:tcW w:w="3513" w:type="dxa"/>
            <w:tcBorders>
              <w:left w:val="nil"/>
              <w:right w:val="nil"/>
            </w:tcBorders>
          </w:tcPr>
          <w:p>
            <w:pPr>
              <w:pStyle w:val="TableParagraph"/>
              <w:tabs>
                <w:tab w:pos="1574" w:val="left" w:leader="none"/>
              </w:tabs>
              <w:spacing w:line="408" w:lineRule="auto"/>
              <w:ind w:left="1456" w:right="538" w:hanging="1407"/>
              <w:rPr>
                <w:sz w:val="24"/>
              </w:rPr>
            </w:pPr>
            <w:r>
              <w:rPr>
                <w:sz w:val="24"/>
              </w:rPr>
              <w:t>Día</w:t>
              <w:tab/>
              <w:tab/>
              <w:t>Tratamiento Zn:Mg</w:t>
            </w:r>
            <w:r>
              <w:rPr>
                <w:spacing w:val="-7"/>
                <w:sz w:val="24"/>
              </w:rPr>
              <w:t> </w:t>
            </w:r>
            <w:r>
              <w:rPr>
                <w:sz w:val="24"/>
              </w:rPr>
              <w:t>(mgL</w:t>
            </w:r>
            <w:r>
              <w:rPr>
                <w:position w:val="8"/>
                <w:sz w:val="16"/>
              </w:rPr>
              <w:t>-1</w:t>
            </w:r>
            <w:r>
              <w:rPr>
                <w:sz w:val="24"/>
              </w:rPr>
              <w:t>)</w:t>
            </w:r>
          </w:p>
        </w:tc>
        <w:tc>
          <w:tcPr>
            <w:tcW w:w="1965" w:type="dxa"/>
            <w:tcBorders>
              <w:left w:val="nil"/>
              <w:right w:val="nil"/>
            </w:tcBorders>
          </w:tcPr>
          <w:p>
            <w:pPr>
              <w:pStyle w:val="TableParagraph"/>
              <w:spacing w:line="415" w:lineRule="auto"/>
              <w:ind w:left="711" w:right="391" w:hanging="171"/>
              <w:rPr>
                <w:sz w:val="24"/>
              </w:rPr>
            </w:pPr>
            <w:r>
              <w:rPr>
                <w:sz w:val="24"/>
              </w:rPr>
              <w:t>Unidades SPAD</w:t>
            </w:r>
          </w:p>
        </w:tc>
        <w:tc>
          <w:tcPr>
            <w:tcW w:w="1972" w:type="dxa"/>
            <w:tcBorders>
              <w:left w:val="nil"/>
              <w:right w:val="nil"/>
            </w:tcBorders>
          </w:tcPr>
          <w:p>
            <w:pPr>
              <w:pStyle w:val="TableParagraph"/>
              <w:spacing w:line="412" w:lineRule="auto"/>
              <w:ind w:left="406" w:right="332" w:firstLine="120"/>
              <w:rPr>
                <w:sz w:val="24"/>
              </w:rPr>
            </w:pPr>
            <w:r>
              <w:rPr>
                <w:sz w:val="24"/>
              </w:rPr>
              <w:t>Diámetro de flor (cm)</w:t>
            </w:r>
          </w:p>
        </w:tc>
        <w:tc>
          <w:tcPr>
            <w:tcW w:w="1528" w:type="dxa"/>
            <w:tcBorders>
              <w:left w:val="nil"/>
              <w:right w:val="nil"/>
            </w:tcBorders>
          </w:tcPr>
          <w:p>
            <w:pPr>
              <w:pStyle w:val="TableParagraph"/>
              <w:spacing w:line="415" w:lineRule="auto"/>
              <w:ind w:left="350" w:right="171" w:firstLine="103"/>
              <w:rPr>
                <w:sz w:val="24"/>
              </w:rPr>
            </w:pPr>
            <w:r>
              <w:rPr>
                <w:sz w:val="24"/>
              </w:rPr>
              <w:t>Materia Seca (%)</w:t>
            </w:r>
          </w:p>
        </w:tc>
      </w:tr>
      <w:tr>
        <w:trPr>
          <w:trHeight w:val="314" w:hRule="exact"/>
        </w:trPr>
        <w:tc>
          <w:tcPr>
            <w:tcW w:w="3513" w:type="dxa"/>
            <w:tcBorders>
              <w:left w:val="nil"/>
              <w:bottom w:val="nil"/>
              <w:right w:val="nil"/>
            </w:tcBorders>
          </w:tcPr>
          <w:p>
            <w:pPr>
              <w:pStyle w:val="TableParagraph"/>
              <w:ind w:right="794"/>
              <w:jc w:val="right"/>
              <w:rPr>
                <w:sz w:val="24"/>
              </w:rPr>
            </w:pPr>
            <w:r>
              <w:rPr>
                <w:sz w:val="24"/>
              </w:rPr>
              <w:t>144 - 160</w:t>
            </w:r>
          </w:p>
        </w:tc>
        <w:tc>
          <w:tcPr>
            <w:tcW w:w="1965" w:type="dxa"/>
            <w:tcBorders>
              <w:left w:val="nil"/>
              <w:bottom w:val="nil"/>
              <w:right w:val="nil"/>
            </w:tcBorders>
          </w:tcPr>
          <w:p>
            <w:pPr>
              <w:pStyle w:val="TableParagraph"/>
              <w:ind w:right="590"/>
              <w:jc w:val="right"/>
              <w:rPr>
                <w:sz w:val="24"/>
              </w:rPr>
            </w:pPr>
            <w:r>
              <w:rPr>
                <w:sz w:val="24"/>
              </w:rPr>
              <w:t>57.6 a</w:t>
            </w:r>
          </w:p>
        </w:tc>
        <w:tc>
          <w:tcPr>
            <w:tcW w:w="1972" w:type="dxa"/>
            <w:tcBorders>
              <w:left w:val="nil"/>
              <w:bottom w:val="nil"/>
              <w:right w:val="nil"/>
            </w:tcBorders>
          </w:tcPr>
          <w:p>
            <w:pPr>
              <w:pStyle w:val="TableParagraph"/>
              <w:ind w:left="737" w:right="332"/>
              <w:rPr>
                <w:sz w:val="24"/>
              </w:rPr>
            </w:pPr>
            <w:r>
              <w:rPr>
                <w:sz w:val="24"/>
              </w:rPr>
              <w:t>2.3 a</w:t>
            </w:r>
          </w:p>
        </w:tc>
        <w:tc>
          <w:tcPr>
            <w:tcW w:w="1528" w:type="dxa"/>
            <w:tcBorders>
              <w:left w:val="nil"/>
              <w:bottom w:val="nil"/>
              <w:right w:val="nil"/>
            </w:tcBorders>
          </w:tcPr>
          <w:p>
            <w:pPr>
              <w:pStyle w:val="TableParagraph"/>
              <w:ind w:right="416"/>
              <w:jc w:val="right"/>
              <w:rPr>
                <w:sz w:val="24"/>
              </w:rPr>
            </w:pPr>
            <w:r>
              <w:rPr>
                <w:sz w:val="24"/>
              </w:rPr>
              <w:t>7.8 a</w:t>
            </w:r>
          </w:p>
        </w:tc>
      </w:tr>
      <w:tr>
        <w:trPr>
          <w:trHeight w:val="317" w:hRule="exact"/>
        </w:trPr>
        <w:tc>
          <w:tcPr>
            <w:tcW w:w="3513" w:type="dxa"/>
            <w:tcBorders>
              <w:top w:val="nil"/>
              <w:left w:val="nil"/>
              <w:bottom w:val="nil"/>
              <w:right w:val="nil"/>
            </w:tcBorders>
          </w:tcPr>
          <w:p>
            <w:pPr>
              <w:pStyle w:val="TableParagraph"/>
              <w:spacing w:before="8"/>
              <w:ind w:right="794"/>
              <w:jc w:val="right"/>
              <w:rPr>
                <w:sz w:val="24"/>
              </w:rPr>
            </w:pPr>
            <w:r>
              <w:rPr>
                <w:sz w:val="24"/>
              </w:rPr>
              <w:t>288 - 320</w:t>
            </w:r>
          </w:p>
        </w:tc>
        <w:tc>
          <w:tcPr>
            <w:tcW w:w="1965" w:type="dxa"/>
            <w:tcBorders>
              <w:top w:val="nil"/>
              <w:left w:val="nil"/>
              <w:bottom w:val="nil"/>
              <w:right w:val="nil"/>
            </w:tcBorders>
          </w:tcPr>
          <w:p>
            <w:pPr>
              <w:pStyle w:val="TableParagraph"/>
              <w:spacing w:before="8"/>
              <w:ind w:right="590"/>
              <w:jc w:val="right"/>
              <w:rPr>
                <w:sz w:val="24"/>
              </w:rPr>
            </w:pPr>
            <w:r>
              <w:rPr>
                <w:sz w:val="24"/>
              </w:rPr>
              <w:t>50.2 b</w:t>
            </w:r>
          </w:p>
        </w:tc>
        <w:tc>
          <w:tcPr>
            <w:tcW w:w="1972" w:type="dxa"/>
            <w:tcBorders>
              <w:top w:val="nil"/>
              <w:left w:val="nil"/>
              <w:bottom w:val="nil"/>
              <w:right w:val="nil"/>
            </w:tcBorders>
          </w:tcPr>
          <w:p>
            <w:pPr>
              <w:pStyle w:val="TableParagraph"/>
              <w:spacing w:before="8"/>
              <w:ind w:left="737" w:right="332"/>
              <w:rPr>
                <w:sz w:val="24"/>
              </w:rPr>
            </w:pPr>
            <w:r>
              <w:rPr>
                <w:sz w:val="24"/>
              </w:rPr>
              <w:t>2.4 a</w:t>
            </w:r>
          </w:p>
        </w:tc>
        <w:tc>
          <w:tcPr>
            <w:tcW w:w="1528" w:type="dxa"/>
            <w:tcBorders>
              <w:top w:val="nil"/>
              <w:left w:val="nil"/>
              <w:bottom w:val="nil"/>
              <w:right w:val="nil"/>
            </w:tcBorders>
          </w:tcPr>
          <w:p>
            <w:pPr>
              <w:pStyle w:val="TableParagraph"/>
              <w:spacing w:before="8"/>
              <w:ind w:right="416"/>
              <w:jc w:val="right"/>
              <w:rPr>
                <w:sz w:val="24"/>
              </w:rPr>
            </w:pPr>
            <w:r>
              <w:rPr>
                <w:sz w:val="24"/>
              </w:rPr>
              <w:t>7.8 a</w:t>
            </w:r>
          </w:p>
        </w:tc>
      </w:tr>
      <w:tr>
        <w:trPr>
          <w:trHeight w:val="317" w:hRule="exact"/>
        </w:trPr>
        <w:tc>
          <w:tcPr>
            <w:tcW w:w="3513" w:type="dxa"/>
            <w:tcBorders>
              <w:top w:val="nil"/>
              <w:left w:val="nil"/>
              <w:bottom w:val="nil"/>
              <w:right w:val="nil"/>
            </w:tcBorders>
          </w:tcPr>
          <w:p>
            <w:pPr>
              <w:pStyle w:val="TableParagraph"/>
              <w:spacing w:before="8"/>
              <w:ind w:right="794"/>
              <w:jc w:val="right"/>
              <w:rPr>
                <w:sz w:val="24"/>
              </w:rPr>
            </w:pPr>
            <w:r>
              <w:rPr>
                <w:sz w:val="24"/>
              </w:rPr>
              <w:t>432 - 480</w:t>
            </w:r>
          </w:p>
        </w:tc>
        <w:tc>
          <w:tcPr>
            <w:tcW w:w="1965" w:type="dxa"/>
            <w:tcBorders>
              <w:top w:val="nil"/>
              <w:left w:val="nil"/>
              <w:bottom w:val="nil"/>
              <w:right w:val="nil"/>
            </w:tcBorders>
          </w:tcPr>
          <w:p>
            <w:pPr>
              <w:pStyle w:val="TableParagraph"/>
              <w:spacing w:before="8"/>
              <w:ind w:right="590"/>
              <w:jc w:val="right"/>
              <w:rPr>
                <w:sz w:val="24"/>
              </w:rPr>
            </w:pPr>
            <w:r>
              <w:rPr>
                <w:sz w:val="24"/>
              </w:rPr>
              <w:t>52.6 b</w:t>
            </w:r>
          </w:p>
        </w:tc>
        <w:tc>
          <w:tcPr>
            <w:tcW w:w="1972" w:type="dxa"/>
            <w:tcBorders>
              <w:top w:val="nil"/>
              <w:left w:val="nil"/>
              <w:bottom w:val="nil"/>
              <w:right w:val="nil"/>
            </w:tcBorders>
          </w:tcPr>
          <w:p>
            <w:pPr>
              <w:pStyle w:val="TableParagraph"/>
              <w:spacing w:before="8"/>
              <w:ind w:left="737" w:right="332"/>
              <w:rPr>
                <w:sz w:val="24"/>
              </w:rPr>
            </w:pPr>
            <w:r>
              <w:rPr>
                <w:sz w:val="24"/>
              </w:rPr>
              <w:t>2.5 a</w:t>
            </w:r>
          </w:p>
        </w:tc>
        <w:tc>
          <w:tcPr>
            <w:tcW w:w="1528" w:type="dxa"/>
            <w:tcBorders>
              <w:top w:val="nil"/>
              <w:left w:val="nil"/>
              <w:bottom w:val="nil"/>
              <w:right w:val="nil"/>
            </w:tcBorders>
          </w:tcPr>
          <w:p>
            <w:pPr>
              <w:pStyle w:val="TableParagraph"/>
              <w:spacing w:before="8"/>
              <w:ind w:right="416"/>
              <w:jc w:val="right"/>
              <w:rPr>
                <w:sz w:val="24"/>
              </w:rPr>
            </w:pPr>
            <w:r>
              <w:rPr>
                <w:sz w:val="24"/>
              </w:rPr>
              <w:t>8.0 a</w:t>
            </w:r>
          </w:p>
        </w:tc>
      </w:tr>
      <w:tr>
        <w:trPr>
          <w:trHeight w:val="317" w:hRule="exact"/>
        </w:trPr>
        <w:tc>
          <w:tcPr>
            <w:tcW w:w="3513" w:type="dxa"/>
            <w:tcBorders>
              <w:top w:val="nil"/>
              <w:left w:val="nil"/>
              <w:bottom w:val="nil"/>
              <w:right w:val="nil"/>
            </w:tcBorders>
          </w:tcPr>
          <w:p>
            <w:pPr>
              <w:pStyle w:val="TableParagraph"/>
              <w:tabs>
                <w:tab w:pos="1763" w:val="left" w:leader="none"/>
              </w:tabs>
              <w:spacing w:before="8"/>
              <w:ind w:left="333"/>
              <w:rPr>
                <w:sz w:val="24"/>
              </w:rPr>
            </w:pPr>
            <w:r>
              <w:rPr>
                <w:sz w:val="24"/>
              </w:rPr>
              <w:t>0</w:t>
              <w:tab/>
              <w:t>144 -</w:t>
            </w:r>
            <w:r>
              <w:rPr>
                <w:spacing w:val="-3"/>
                <w:sz w:val="24"/>
              </w:rPr>
              <w:t> </w:t>
            </w:r>
            <w:r>
              <w:rPr>
                <w:sz w:val="24"/>
              </w:rPr>
              <w:t>80</w:t>
            </w:r>
          </w:p>
        </w:tc>
        <w:tc>
          <w:tcPr>
            <w:tcW w:w="1965" w:type="dxa"/>
            <w:tcBorders>
              <w:top w:val="nil"/>
              <w:left w:val="nil"/>
              <w:bottom w:val="nil"/>
              <w:right w:val="nil"/>
            </w:tcBorders>
          </w:tcPr>
          <w:p>
            <w:pPr>
              <w:pStyle w:val="TableParagraph"/>
              <w:spacing w:before="8"/>
              <w:ind w:right="590"/>
              <w:jc w:val="right"/>
              <w:rPr>
                <w:sz w:val="24"/>
              </w:rPr>
            </w:pPr>
            <w:r>
              <w:rPr>
                <w:sz w:val="24"/>
              </w:rPr>
              <w:t>52.2 b</w:t>
            </w:r>
          </w:p>
        </w:tc>
        <w:tc>
          <w:tcPr>
            <w:tcW w:w="1972" w:type="dxa"/>
            <w:tcBorders>
              <w:top w:val="nil"/>
              <w:left w:val="nil"/>
              <w:bottom w:val="nil"/>
              <w:right w:val="nil"/>
            </w:tcBorders>
          </w:tcPr>
          <w:p>
            <w:pPr>
              <w:pStyle w:val="TableParagraph"/>
              <w:spacing w:before="8"/>
              <w:ind w:left="737" w:right="332"/>
              <w:rPr>
                <w:sz w:val="24"/>
              </w:rPr>
            </w:pPr>
            <w:r>
              <w:rPr>
                <w:sz w:val="24"/>
              </w:rPr>
              <w:t>3.0 a</w:t>
            </w:r>
          </w:p>
        </w:tc>
        <w:tc>
          <w:tcPr>
            <w:tcW w:w="1528" w:type="dxa"/>
            <w:tcBorders>
              <w:top w:val="nil"/>
              <w:left w:val="nil"/>
              <w:bottom w:val="nil"/>
              <w:right w:val="nil"/>
            </w:tcBorders>
          </w:tcPr>
          <w:p>
            <w:pPr>
              <w:pStyle w:val="TableParagraph"/>
              <w:spacing w:before="8"/>
              <w:ind w:right="416"/>
              <w:jc w:val="right"/>
              <w:rPr>
                <w:sz w:val="24"/>
              </w:rPr>
            </w:pPr>
            <w:r>
              <w:rPr>
                <w:sz w:val="24"/>
              </w:rPr>
              <w:t>8.3 a</w:t>
            </w:r>
          </w:p>
        </w:tc>
      </w:tr>
      <w:tr>
        <w:trPr>
          <w:trHeight w:val="318" w:hRule="exact"/>
        </w:trPr>
        <w:tc>
          <w:tcPr>
            <w:tcW w:w="3513" w:type="dxa"/>
            <w:tcBorders>
              <w:top w:val="nil"/>
              <w:left w:val="nil"/>
              <w:bottom w:val="nil"/>
              <w:right w:val="nil"/>
            </w:tcBorders>
          </w:tcPr>
          <w:p>
            <w:pPr>
              <w:pStyle w:val="TableParagraph"/>
              <w:spacing w:before="8"/>
              <w:ind w:right="898"/>
              <w:jc w:val="right"/>
              <w:rPr>
                <w:sz w:val="24"/>
              </w:rPr>
            </w:pPr>
            <w:r>
              <w:rPr>
                <w:sz w:val="24"/>
              </w:rPr>
              <w:t>72 -160</w:t>
            </w:r>
          </w:p>
        </w:tc>
        <w:tc>
          <w:tcPr>
            <w:tcW w:w="1965" w:type="dxa"/>
            <w:tcBorders>
              <w:top w:val="nil"/>
              <w:left w:val="nil"/>
              <w:bottom w:val="nil"/>
              <w:right w:val="nil"/>
            </w:tcBorders>
          </w:tcPr>
          <w:p>
            <w:pPr>
              <w:pStyle w:val="TableParagraph"/>
              <w:spacing w:before="8"/>
              <w:ind w:right="590"/>
              <w:jc w:val="right"/>
              <w:rPr>
                <w:sz w:val="24"/>
              </w:rPr>
            </w:pPr>
            <w:r>
              <w:rPr>
                <w:sz w:val="24"/>
              </w:rPr>
              <w:t>50.9 b</w:t>
            </w:r>
          </w:p>
        </w:tc>
        <w:tc>
          <w:tcPr>
            <w:tcW w:w="1972" w:type="dxa"/>
            <w:tcBorders>
              <w:top w:val="nil"/>
              <w:left w:val="nil"/>
              <w:bottom w:val="nil"/>
              <w:right w:val="nil"/>
            </w:tcBorders>
          </w:tcPr>
          <w:p>
            <w:pPr>
              <w:pStyle w:val="TableParagraph"/>
              <w:spacing w:before="8"/>
              <w:ind w:left="737" w:right="332"/>
              <w:rPr>
                <w:sz w:val="24"/>
              </w:rPr>
            </w:pPr>
            <w:r>
              <w:rPr>
                <w:sz w:val="24"/>
              </w:rPr>
              <w:t>2.5 a</w:t>
            </w:r>
          </w:p>
        </w:tc>
        <w:tc>
          <w:tcPr>
            <w:tcW w:w="1528" w:type="dxa"/>
            <w:tcBorders>
              <w:top w:val="nil"/>
              <w:left w:val="nil"/>
              <w:bottom w:val="nil"/>
              <w:right w:val="nil"/>
            </w:tcBorders>
          </w:tcPr>
          <w:p>
            <w:pPr>
              <w:pStyle w:val="TableParagraph"/>
              <w:spacing w:before="8"/>
              <w:ind w:right="416"/>
              <w:jc w:val="right"/>
              <w:rPr>
                <w:sz w:val="24"/>
              </w:rPr>
            </w:pPr>
            <w:r>
              <w:rPr>
                <w:sz w:val="24"/>
              </w:rPr>
              <w:t>9.1 a</w:t>
            </w:r>
          </w:p>
        </w:tc>
      </w:tr>
      <w:tr>
        <w:trPr>
          <w:trHeight w:val="476" w:hRule="exact"/>
        </w:trPr>
        <w:tc>
          <w:tcPr>
            <w:tcW w:w="3513" w:type="dxa"/>
            <w:tcBorders>
              <w:top w:val="nil"/>
              <w:left w:val="nil"/>
              <w:bottom w:val="nil"/>
              <w:right w:val="nil"/>
            </w:tcBorders>
          </w:tcPr>
          <w:p>
            <w:pPr>
              <w:pStyle w:val="TableParagraph"/>
              <w:spacing w:before="9"/>
              <w:ind w:left="1965"/>
              <w:rPr>
                <w:sz w:val="24"/>
              </w:rPr>
            </w:pPr>
            <w:r>
              <w:rPr>
                <w:sz w:val="24"/>
              </w:rPr>
              <w:t>0 - 0</w:t>
            </w:r>
          </w:p>
        </w:tc>
        <w:tc>
          <w:tcPr>
            <w:tcW w:w="1965" w:type="dxa"/>
            <w:tcBorders>
              <w:top w:val="nil"/>
              <w:left w:val="nil"/>
              <w:bottom w:val="nil"/>
              <w:right w:val="nil"/>
            </w:tcBorders>
          </w:tcPr>
          <w:p>
            <w:pPr>
              <w:pStyle w:val="TableParagraph"/>
              <w:spacing w:before="9"/>
              <w:ind w:right="590"/>
              <w:jc w:val="right"/>
              <w:rPr>
                <w:sz w:val="24"/>
              </w:rPr>
            </w:pPr>
            <w:r>
              <w:rPr>
                <w:sz w:val="24"/>
              </w:rPr>
              <w:t>49.7 b</w:t>
            </w:r>
          </w:p>
        </w:tc>
        <w:tc>
          <w:tcPr>
            <w:tcW w:w="1972" w:type="dxa"/>
            <w:tcBorders>
              <w:top w:val="nil"/>
              <w:left w:val="nil"/>
              <w:bottom w:val="nil"/>
              <w:right w:val="nil"/>
            </w:tcBorders>
          </w:tcPr>
          <w:p>
            <w:pPr>
              <w:pStyle w:val="TableParagraph"/>
              <w:spacing w:before="9"/>
              <w:ind w:left="737" w:right="332"/>
              <w:rPr>
                <w:sz w:val="24"/>
              </w:rPr>
            </w:pPr>
            <w:r>
              <w:rPr>
                <w:sz w:val="24"/>
              </w:rPr>
              <w:t>2.4 a</w:t>
            </w:r>
          </w:p>
        </w:tc>
        <w:tc>
          <w:tcPr>
            <w:tcW w:w="1528" w:type="dxa"/>
            <w:tcBorders>
              <w:top w:val="nil"/>
              <w:left w:val="nil"/>
              <w:bottom w:val="nil"/>
              <w:right w:val="nil"/>
            </w:tcBorders>
          </w:tcPr>
          <w:p>
            <w:pPr>
              <w:pStyle w:val="TableParagraph"/>
              <w:spacing w:before="9"/>
              <w:ind w:right="416"/>
              <w:jc w:val="right"/>
              <w:rPr>
                <w:sz w:val="24"/>
              </w:rPr>
            </w:pPr>
            <w:r>
              <w:rPr>
                <w:sz w:val="24"/>
              </w:rPr>
              <w:t>8.9 a</w:t>
            </w:r>
          </w:p>
        </w:tc>
      </w:tr>
      <w:tr>
        <w:trPr>
          <w:trHeight w:val="475" w:hRule="exact"/>
        </w:trPr>
        <w:tc>
          <w:tcPr>
            <w:tcW w:w="3513" w:type="dxa"/>
            <w:tcBorders>
              <w:top w:val="nil"/>
              <w:left w:val="nil"/>
              <w:bottom w:val="nil"/>
              <w:right w:val="nil"/>
            </w:tcBorders>
          </w:tcPr>
          <w:p>
            <w:pPr>
              <w:pStyle w:val="TableParagraph"/>
              <w:spacing w:before="166"/>
              <w:ind w:right="830"/>
              <w:jc w:val="right"/>
              <w:rPr>
                <w:sz w:val="24"/>
              </w:rPr>
            </w:pPr>
            <w:r>
              <w:rPr>
                <w:sz w:val="24"/>
              </w:rPr>
              <w:t>144 -160</w:t>
            </w:r>
          </w:p>
        </w:tc>
        <w:tc>
          <w:tcPr>
            <w:tcW w:w="1965" w:type="dxa"/>
            <w:tcBorders>
              <w:top w:val="nil"/>
              <w:left w:val="nil"/>
              <w:bottom w:val="nil"/>
              <w:right w:val="nil"/>
            </w:tcBorders>
          </w:tcPr>
          <w:p>
            <w:pPr>
              <w:pStyle w:val="TableParagraph"/>
              <w:spacing w:before="166"/>
              <w:ind w:right="590"/>
              <w:jc w:val="right"/>
              <w:rPr>
                <w:sz w:val="24"/>
              </w:rPr>
            </w:pPr>
            <w:r>
              <w:rPr>
                <w:sz w:val="24"/>
              </w:rPr>
              <w:t>58.1 a</w:t>
            </w:r>
          </w:p>
        </w:tc>
        <w:tc>
          <w:tcPr>
            <w:tcW w:w="1972" w:type="dxa"/>
            <w:tcBorders>
              <w:top w:val="nil"/>
              <w:left w:val="nil"/>
              <w:bottom w:val="nil"/>
              <w:right w:val="nil"/>
            </w:tcBorders>
          </w:tcPr>
          <w:p>
            <w:pPr>
              <w:pStyle w:val="TableParagraph"/>
              <w:spacing w:before="166"/>
              <w:ind w:left="670" w:right="332"/>
              <w:rPr>
                <w:sz w:val="24"/>
              </w:rPr>
            </w:pPr>
            <w:r>
              <w:rPr>
                <w:sz w:val="24"/>
              </w:rPr>
              <w:t>12.7 a</w:t>
            </w:r>
          </w:p>
        </w:tc>
        <w:tc>
          <w:tcPr>
            <w:tcW w:w="1528" w:type="dxa"/>
            <w:tcBorders>
              <w:top w:val="nil"/>
              <w:left w:val="nil"/>
              <w:bottom w:val="nil"/>
              <w:right w:val="nil"/>
            </w:tcBorders>
          </w:tcPr>
          <w:p>
            <w:pPr>
              <w:pStyle w:val="TableParagraph"/>
              <w:spacing w:before="166"/>
              <w:ind w:right="416"/>
              <w:jc w:val="right"/>
              <w:rPr>
                <w:sz w:val="24"/>
              </w:rPr>
            </w:pPr>
            <w:r>
              <w:rPr>
                <w:sz w:val="24"/>
              </w:rPr>
              <w:t>6.7 a</w:t>
            </w:r>
          </w:p>
        </w:tc>
      </w:tr>
      <w:tr>
        <w:trPr>
          <w:trHeight w:val="318" w:hRule="exact"/>
        </w:trPr>
        <w:tc>
          <w:tcPr>
            <w:tcW w:w="3513" w:type="dxa"/>
            <w:tcBorders>
              <w:top w:val="nil"/>
              <w:left w:val="nil"/>
              <w:bottom w:val="nil"/>
              <w:right w:val="nil"/>
            </w:tcBorders>
          </w:tcPr>
          <w:p>
            <w:pPr>
              <w:pStyle w:val="TableParagraph"/>
              <w:spacing w:before="8"/>
              <w:ind w:right="794"/>
              <w:jc w:val="right"/>
              <w:rPr>
                <w:sz w:val="24"/>
              </w:rPr>
            </w:pPr>
            <w:r>
              <w:rPr>
                <w:sz w:val="24"/>
              </w:rPr>
              <w:t>288 - 320</w:t>
            </w:r>
          </w:p>
        </w:tc>
        <w:tc>
          <w:tcPr>
            <w:tcW w:w="1965" w:type="dxa"/>
            <w:tcBorders>
              <w:top w:val="nil"/>
              <w:left w:val="nil"/>
              <w:bottom w:val="nil"/>
              <w:right w:val="nil"/>
            </w:tcBorders>
          </w:tcPr>
          <w:p>
            <w:pPr>
              <w:pStyle w:val="TableParagraph"/>
              <w:spacing w:before="8"/>
              <w:ind w:right="590"/>
              <w:jc w:val="right"/>
              <w:rPr>
                <w:sz w:val="24"/>
              </w:rPr>
            </w:pPr>
            <w:r>
              <w:rPr>
                <w:sz w:val="24"/>
              </w:rPr>
              <w:t>53.7 a</w:t>
            </w:r>
          </w:p>
        </w:tc>
        <w:tc>
          <w:tcPr>
            <w:tcW w:w="1972" w:type="dxa"/>
            <w:tcBorders>
              <w:top w:val="nil"/>
              <w:left w:val="nil"/>
              <w:bottom w:val="nil"/>
              <w:right w:val="nil"/>
            </w:tcBorders>
          </w:tcPr>
          <w:p>
            <w:pPr>
              <w:pStyle w:val="TableParagraph"/>
              <w:spacing w:before="8"/>
              <w:ind w:left="670" w:right="332"/>
              <w:rPr>
                <w:sz w:val="24"/>
              </w:rPr>
            </w:pPr>
            <w:r>
              <w:rPr>
                <w:sz w:val="24"/>
              </w:rPr>
              <w:t>12.6 a</w:t>
            </w:r>
          </w:p>
        </w:tc>
        <w:tc>
          <w:tcPr>
            <w:tcW w:w="1528" w:type="dxa"/>
            <w:tcBorders>
              <w:top w:val="nil"/>
              <w:left w:val="nil"/>
              <w:bottom w:val="nil"/>
              <w:right w:val="nil"/>
            </w:tcBorders>
          </w:tcPr>
          <w:p>
            <w:pPr>
              <w:pStyle w:val="TableParagraph"/>
              <w:spacing w:before="8"/>
              <w:ind w:right="416"/>
              <w:jc w:val="right"/>
              <w:rPr>
                <w:sz w:val="24"/>
              </w:rPr>
            </w:pPr>
            <w:r>
              <w:rPr>
                <w:sz w:val="24"/>
              </w:rPr>
              <w:t>7.6 a</w:t>
            </w:r>
          </w:p>
        </w:tc>
      </w:tr>
      <w:tr>
        <w:trPr>
          <w:trHeight w:val="318" w:hRule="exact"/>
        </w:trPr>
        <w:tc>
          <w:tcPr>
            <w:tcW w:w="3513" w:type="dxa"/>
            <w:tcBorders>
              <w:top w:val="nil"/>
              <w:left w:val="nil"/>
              <w:bottom w:val="nil"/>
              <w:right w:val="nil"/>
            </w:tcBorders>
          </w:tcPr>
          <w:p>
            <w:pPr>
              <w:pStyle w:val="TableParagraph"/>
              <w:spacing w:before="9"/>
              <w:ind w:right="794"/>
              <w:jc w:val="right"/>
              <w:rPr>
                <w:sz w:val="24"/>
              </w:rPr>
            </w:pPr>
            <w:r>
              <w:rPr>
                <w:sz w:val="24"/>
              </w:rPr>
              <w:t>432 - 480</w:t>
            </w:r>
          </w:p>
        </w:tc>
        <w:tc>
          <w:tcPr>
            <w:tcW w:w="1965" w:type="dxa"/>
            <w:tcBorders>
              <w:top w:val="nil"/>
              <w:left w:val="nil"/>
              <w:bottom w:val="nil"/>
              <w:right w:val="nil"/>
            </w:tcBorders>
          </w:tcPr>
          <w:p>
            <w:pPr>
              <w:pStyle w:val="TableParagraph"/>
              <w:spacing w:before="9"/>
              <w:ind w:right="590"/>
              <w:jc w:val="right"/>
              <w:rPr>
                <w:sz w:val="24"/>
              </w:rPr>
            </w:pPr>
            <w:r>
              <w:rPr>
                <w:sz w:val="24"/>
              </w:rPr>
              <w:t>53.5 a</w:t>
            </w:r>
          </w:p>
        </w:tc>
        <w:tc>
          <w:tcPr>
            <w:tcW w:w="1972" w:type="dxa"/>
            <w:tcBorders>
              <w:top w:val="nil"/>
              <w:left w:val="nil"/>
              <w:bottom w:val="nil"/>
              <w:right w:val="nil"/>
            </w:tcBorders>
          </w:tcPr>
          <w:p>
            <w:pPr>
              <w:pStyle w:val="TableParagraph"/>
              <w:spacing w:before="9"/>
              <w:ind w:left="670" w:right="332"/>
              <w:rPr>
                <w:sz w:val="24"/>
              </w:rPr>
            </w:pPr>
            <w:r>
              <w:rPr>
                <w:sz w:val="24"/>
              </w:rPr>
              <w:t>12.7 a</w:t>
            </w:r>
          </w:p>
        </w:tc>
        <w:tc>
          <w:tcPr>
            <w:tcW w:w="1528" w:type="dxa"/>
            <w:tcBorders>
              <w:top w:val="nil"/>
              <w:left w:val="nil"/>
              <w:bottom w:val="nil"/>
              <w:right w:val="nil"/>
            </w:tcBorders>
          </w:tcPr>
          <w:p>
            <w:pPr>
              <w:pStyle w:val="TableParagraph"/>
              <w:spacing w:before="9"/>
              <w:ind w:right="416"/>
              <w:jc w:val="right"/>
              <w:rPr>
                <w:sz w:val="24"/>
              </w:rPr>
            </w:pPr>
            <w:r>
              <w:rPr>
                <w:sz w:val="24"/>
              </w:rPr>
              <w:t>7.0 a</w:t>
            </w:r>
          </w:p>
        </w:tc>
      </w:tr>
      <w:tr>
        <w:trPr>
          <w:trHeight w:val="317" w:hRule="exact"/>
        </w:trPr>
        <w:tc>
          <w:tcPr>
            <w:tcW w:w="3513" w:type="dxa"/>
            <w:tcBorders>
              <w:top w:val="nil"/>
              <w:left w:val="nil"/>
              <w:bottom w:val="nil"/>
              <w:right w:val="nil"/>
            </w:tcBorders>
          </w:tcPr>
          <w:p>
            <w:pPr>
              <w:pStyle w:val="TableParagraph"/>
              <w:spacing w:before="8"/>
              <w:ind w:right="864"/>
              <w:jc w:val="right"/>
              <w:rPr>
                <w:sz w:val="24"/>
              </w:rPr>
            </w:pPr>
            <w:r>
              <w:rPr>
                <w:sz w:val="24"/>
              </w:rPr>
              <w:t>144 - 80</w:t>
            </w:r>
          </w:p>
        </w:tc>
        <w:tc>
          <w:tcPr>
            <w:tcW w:w="1965" w:type="dxa"/>
            <w:tcBorders>
              <w:top w:val="nil"/>
              <w:left w:val="nil"/>
              <w:bottom w:val="nil"/>
              <w:right w:val="nil"/>
            </w:tcBorders>
          </w:tcPr>
          <w:p>
            <w:pPr>
              <w:pStyle w:val="TableParagraph"/>
              <w:spacing w:before="8"/>
              <w:ind w:right="590"/>
              <w:jc w:val="right"/>
              <w:rPr>
                <w:sz w:val="24"/>
              </w:rPr>
            </w:pPr>
            <w:r>
              <w:rPr>
                <w:sz w:val="24"/>
              </w:rPr>
              <w:t>53.0 a</w:t>
            </w:r>
          </w:p>
        </w:tc>
        <w:tc>
          <w:tcPr>
            <w:tcW w:w="1972" w:type="dxa"/>
            <w:tcBorders>
              <w:top w:val="nil"/>
              <w:left w:val="nil"/>
              <w:bottom w:val="nil"/>
              <w:right w:val="nil"/>
            </w:tcBorders>
          </w:tcPr>
          <w:p>
            <w:pPr>
              <w:pStyle w:val="TableParagraph"/>
              <w:spacing w:before="8"/>
              <w:ind w:left="670" w:right="332"/>
              <w:rPr>
                <w:sz w:val="24"/>
              </w:rPr>
            </w:pPr>
            <w:r>
              <w:rPr>
                <w:sz w:val="24"/>
              </w:rPr>
              <w:t>12.9 a</w:t>
            </w:r>
          </w:p>
        </w:tc>
        <w:tc>
          <w:tcPr>
            <w:tcW w:w="1528" w:type="dxa"/>
            <w:tcBorders>
              <w:top w:val="nil"/>
              <w:left w:val="nil"/>
              <w:bottom w:val="nil"/>
              <w:right w:val="nil"/>
            </w:tcBorders>
          </w:tcPr>
          <w:p>
            <w:pPr>
              <w:pStyle w:val="TableParagraph"/>
              <w:spacing w:before="8"/>
              <w:ind w:right="416"/>
              <w:jc w:val="right"/>
              <w:rPr>
                <w:sz w:val="24"/>
              </w:rPr>
            </w:pPr>
            <w:r>
              <w:rPr>
                <w:sz w:val="24"/>
              </w:rPr>
              <w:t>7.0 a</w:t>
            </w:r>
          </w:p>
        </w:tc>
      </w:tr>
      <w:tr>
        <w:trPr>
          <w:trHeight w:val="317" w:hRule="exact"/>
        </w:trPr>
        <w:tc>
          <w:tcPr>
            <w:tcW w:w="3513" w:type="dxa"/>
            <w:tcBorders>
              <w:top w:val="nil"/>
              <w:left w:val="nil"/>
              <w:bottom w:val="nil"/>
              <w:right w:val="nil"/>
            </w:tcBorders>
          </w:tcPr>
          <w:p>
            <w:pPr>
              <w:pStyle w:val="TableParagraph"/>
              <w:tabs>
                <w:tab w:pos="1797" w:val="left" w:leader="none"/>
              </w:tabs>
              <w:spacing w:line="284" w:lineRule="exact"/>
              <w:ind w:left="333"/>
              <w:rPr>
                <w:sz w:val="24"/>
              </w:rPr>
            </w:pPr>
            <w:r>
              <w:rPr>
                <w:position w:val="15"/>
                <w:sz w:val="24"/>
              </w:rPr>
              <w:t>4</w:t>
              <w:tab/>
            </w:r>
            <w:r>
              <w:rPr>
                <w:sz w:val="24"/>
              </w:rPr>
              <w:t>72</w:t>
            </w:r>
            <w:r>
              <w:rPr>
                <w:spacing w:val="-3"/>
                <w:sz w:val="24"/>
              </w:rPr>
              <w:t> </w:t>
            </w:r>
            <w:r>
              <w:rPr>
                <w:sz w:val="24"/>
              </w:rPr>
              <w:t>-160</w:t>
            </w:r>
          </w:p>
        </w:tc>
        <w:tc>
          <w:tcPr>
            <w:tcW w:w="1965" w:type="dxa"/>
            <w:tcBorders>
              <w:top w:val="nil"/>
              <w:left w:val="nil"/>
              <w:bottom w:val="nil"/>
              <w:right w:val="nil"/>
            </w:tcBorders>
          </w:tcPr>
          <w:p>
            <w:pPr>
              <w:pStyle w:val="TableParagraph"/>
              <w:spacing w:before="8"/>
              <w:ind w:right="590"/>
              <w:jc w:val="right"/>
              <w:rPr>
                <w:sz w:val="24"/>
              </w:rPr>
            </w:pPr>
            <w:r>
              <w:rPr>
                <w:sz w:val="24"/>
              </w:rPr>
              <w:t>51.9 a</w:t>
            </w:r>
          </w:p>
        </w:tc>
        <w:tc>
          <w:tcPr>
            <w:tcW w:w="1972" w:type="dxa"/>
            <w:tcBorders>
              <w:top w:val="nil"/>
              <w:left w:val="nil"/>
              <w:bottom w:val="nil"/>
              <w:right w:val="nil"/>
            </w:tcBorders>
          </w:tcPr>
          <w:p>
            <w:pPr>
              <w:pStyle w:val="TableParagraph"/>
              <w:spacing w:before="8"/>
              <w:ind w:left="670" w:right="332"/>
              <w:rPr>
                <w:sz w:val="24"/>
              </w:rPr>
            </w:pPr>
            <w:r>
              <w:rPr>
                <w:sz w:val="24"/>
              </w:rPr>
              <w:t>12.3 a</w:t>
            </w:r>
          </w:p>
        </w:tc>
        <w:tc>
          <w:tcPr>
            <w:tcW w:w="1528" w:type="dxa"/>
            <w:tcBorders>
              <w:top w:val="nil"/>
              <w:left w:val="nil"/>
              <w:bottom w:val="nil"/>
              <w:right w:val="nil"/>
            </w:tcBorders>
          </w:tcPr>
          <w:p>
            <w:pPr>
              <w:pStyle w:val="TableParagraph"/>
              <w:spacing w:before="8"/>
              <w:ind w:right="416"/>
              <w:jc w:val="right"/>
              <w:rPr>
                <w:sz w:val="24"/>
              </w:rPr>
            </w:pPr>
            <w:r>
              <w:rPr>
                <w:sz w:val="24"/>
              </w:rPr>
              <w:t>7.2 a</w:t>
            </w:r>
          </w:p>
        </w:tc>
      </w:tr>
      <w:tr>
        <w:trPr>
          <w:trHeight w:val="476" w:hRule="exact"/>
        </w:trPr>
        <w:tc>
          <w:tcPr>
            <w:tcW w:w="3513" w:type="dxa"/>
            <w:tcBorders>
              <w:top w:val="nil"/>
              <w:left w:val="nil"/>
              <w:bottom w:val="nil"/>
              <w:right w:val="nil"/>
            </w:tcBorders>
          </w:tcPr>
          <w:p>
            <w:pPr>
              <w:pStyle w:val="TableParagraph"/>
              <w:spacing w:before="8"/>
              <w:ind w:left="1965"/>
              <w:rPr>
                <w:sz w:val="24"/>
              </w:rPr>
            </w:pPr>
            <w:r>
              <w:rPr>
                <w:sz w:val="24"/>
              </w:rPr>
              <w:t>0 - 0</w:t>
            </w:r>
          </w:p>
        </w:tc>
        <w:tc>
          <w:tcPr>
            <w:tcW w:w="1965" w:type="dxa"/>
            <w:tcBorders>
              <w:top w:val="nil"/>
              <w:left w:val="nil"/>
              <w:bottom w:val="nil"/>
              <w:right w:val="nil"/>
            </w:tcBorders>
          </w:tcPr>
          <w:p>
            <w:pPr>
              <w:pStyle w:val="TableParagraph"/>
              <w:spacing w:before="8"/>
              <w:ind w:right="590"/>
              <w:jc w:val="right"/>
              <w:rPr>
                <w:sz w:val="24"/>
              </w:rPr>
            </w:pPr>
            <w:r>
              <w:rPr>
                <w:sz w:val="24"/>
              </w:rPr>
              <w:t>52.6 a</w:t>
            </w:r>
          </w:p>
        </w:tc>
        <w:tc>
          <w:tcPr>
            <w:tcW w:w="1972" w:type="dxa"/>
            <w:tcBorders>
              <w:top w:val="nil"/>
              <w:left w:val="nil"/>
              <w:bottom w:val="nil"/>
              <w:right w:val="nil"/>
            </w:tcBorders>
          </w:tcPr>
          <w:p>
            <w:pPr>
              <w:pStyle w:val="TableParagraph"/>
              <w:spacing w:before="8"/>
              <w:ind w:left="670" w:right="332"/>
              <w:rPr>
                <w:sz w:val="24"/>
              </w:rPr>
            </w:pPr>
            <w:r>
              <w:rPr>
                <w:sz w:val="24"/>
              </w:rPr>
              <w:t>12.5 a</w:t>
            </w:r>
          </w:p>
        </w:tc>
        <w:tc>
          <w:tcPr>
            <w:tcW w:w="1528" w:type="dxa"/>
            <w:tcBorders>
              <w:top w:val="nil"/>
              <w:left w:val="nil"/>
              <w:bottom w:val="nil"/>
              <w:right w:val="nil"/>
            </w:tcBorders>
          </w:tcPr>
          <w:p>
            <w:pPr>
              <w:pStyle w:val="TableParagraph"/>
              <w:spacing w:before="8"/>
              <w:ind w:right="416"/>
              <w:jc w:val="right"/>
              <w:rPr>
                <w:sz w:val="24"/>
              </w:rPr>
            </w:pPr>
            <w:r>
              <w:rPr>
                <w:sz w:val="24"/>
              </w:rPr>
              <w:t>6.2 a</w:t>
            </w:r>
          </w:p>
        </w:tc>
      </w:tr>
      <w:tr>
        <w:trPr>
          <w:trHeight w:val="476" w:hRule="exact"/>
        </w:trPr>
        <w:tc>
          <w:tcPr>
            <w:tcW w:w="3513" w:type="dxa"/>
            <w:tcBorders>
              <w:top w:val="nil"/>
              <w:left w:val="nil"/>
              <w:bottom w:val="nil"/>
              <w:right w:val="nil"/>
            </w:tcBorders>
          </w:tcPr>
          <w:p>
            <w:pPr>
              <w:pStyle w:val="TableParagraph"/>
              <w:spacing w:before="167"/>
              <w:ind w:right="830"/>
              <w:jc w:val="right"/>
              <w:rPr>
                <w:sz w:val="24"/>
              </w:rPr>
            </w:pPr>
            <w:r>
              <w:rPr>
                <w:sz w:val="24"/>
              </w:rPr>
              <w:t>144 -160</w:t>
            </w:r>
          </w:p>
        </w:tc>
        <w:tc>
          <w:tcPr>
            <w:tcW w:w="1965" w:type="dxa"/>
            <w:tcBorders>
              <w:top w:val="nil"/>
              <w:left w:val="nil"/>
              <w:bottom w:val="nil"/>
              <w:right w:val="nil"/>
            </w:tcBorders>
          </w:tcPr>
          <w:p>
            <w:pPr>
              <w:pStyle w:val="TableParagraph"/>
              <w:spacing w:before="167"/>
              <w:ind w:right="590"/>
              <w:jc w:val="right"/>
              <w:rPr>
                <w:sz w:val="24"/>
              </w:rPr>
            </w:pPr>
            <w:r>
              <w:rPr>
                <w:sz w:val="24"/>
              </w:rPr>
              <w:t>59.3 a</w:t>
            </w:r>
          </w:p>
        </w:tc>
        <w:tc>
          <w:tcPr>
            <w:tcW w:w="1972" w:type="dxa"/>
            <w:tcBorders>
              <w:top w:val="nil"/>
              <w:left w:val="nil"/>
              <w:bottom w:val="nil"/>
              <w:right w:val="nil"/>
            </w:tcBorders>
          </w:tcPr>
          <w:p>
            <w:pPr>
              <w:pStyle w:val="TableParagraph"/>
              <w:spacing w:before="167"/>
              <w:ind w:left="670" w:right="332"/>
              <w:rPr>
                <w:sz w:val="24"/>
              </w:rPr>
            </w:pPr>
            <w:r>
              <w:rPr>
                <w:sz w:val="24"/>
              </w:rPr>
              <w:t>11.9 a</w:t>
            </w:r>
          </w:p>
        </w:tc>
        <w:tc>
          <w:tcPr>
            <w:tcW w:w="1528" w:type="dxa"/>
            <w:tcBorders>
              <w:top w:val="nil"/>
              <w:left w:val="nil"/>
              <w:bottom w:val="nil"/>
              <w:right w:val="nil"/>
            </w:tcBorders>
          </w:tcPr>
          <w:p>
            <w:pPr>
              <w:pStyle w:val="TableParagraph"/>
              <w:spacing w:before="167"/>
              <w:ind w:right="447"/>
              <w:jc w:val="right"/>
              <w:rPr>
                <w:sz w:val="24"/>
              </w:rPr>
            </w:pPr>
            <w:r>
              <w:rPr>
                <w:sz w:val="24"/>
              </w:rPr>
              <w:t>7.0a</w:t>
            </w:r>
          </w:p>
        </w:tc>
      </w:tr>
      <w:tr>
        <w:trPr>
          <w:trHeight w:val="317" w:hRule="exact"/>
        </w:trPr>
        <w:tc>
          <w:tcPr>
            <w:tcW w:w="3513" w:type="dxa"/>
            <w:tcBorders>
              <w:top w:val="nil"/>
              <w:left w:val="nil"/>
              <w:bottom w:val="nil"/>
              <w:right w:val="nil"/>
            </w:tcBorders>
          </w:tcPr>
          <w:p>
            <w:pPr>
              <w:pStyle w:val="TableParagraph"/>
              <w:spacing w:before="8"/>
              <w:ind w:right="794"/>
              <w:jc w:val="right"/>
              <w:rPr>
                <w:sz w:val="24"/>
              </w:rPr>
            </w:pPr>
            <w:r>
              <w:rPr>
                <w:sz w:val="24"/>
              </w:rPr>
              <w:t>288 - 320</w:t>
            </w:r>
          </w:p>
        </w:tc>
        <w:tc>
          <w:tcPr>
            <w:tcW w:w="1965" w:type="dxa"/>
            <w:tcBorders>
              <w:top w:val="nil"/>
              <w:left w:val="nil"/>
              <w:bottom w:val="nil"/>
              <w:right w:val="nil"/>
            </w:tcBorders>
          </w:tcPr>
          <w:p>
            <w:pPr>
              <w:pStyle w:val="TableParagraph"/>
              <w:spacing w:before="8"/>
              <w:ind w:right="590"/>
              <w:jc w:val="right"/>
              <w:rPr>
                <w:sz w:val="24"/>
              </w:rPr>
            </w:pPr>
            <w:r>
              <w:rPr>
                <w:sz w:val="24"/>
              </w:rPr>
              <w:t>51.1 b</w:t>
            </w:r>
          </w:p>
        </w:tc>
        <w:tc>
          <w:tcPr>
            <w:tcW w:w="1972" w:type="dxa"/>
            <w:tcBorders>
              <w:top w:val="nil"/>
              <w:left w:val="nil"/>
              <w:bottom w:val="nil"/>
              <w:right w:val="nil"/>
            </w:tcBorders>
          </w:tcPr>
          <w:p>
            <w:pPr>
              <w:pStyle w:val="TableParagraph"/>
              <w:spacing w:before="8"/>
              <w:ind w:left="670" w:right="332"/>
              <w:rPr>
                <w:sz w:val="24"/>
              </w:rPr>
            </w:pPr>
            <w:r>
              <w:rPr>
                <w:sz w:val="24"/>
              </w:rPr>
              <w:t>11.0 a</w:t>
            </w:r>
          </w:p>
        </w:tc>
        <w:tc>
          <w:tcPr>
            <w:tcW w:w="1528" w:type="dxa"/>
            <w:tcBorders>
              <w:top w:val="nil"/>
              <w:left w:val="nil"/>
              <w:bottom w:val="nil"/>
              <w:right w:val="nil"/>
            </w:tcBorders>
          </w:tcPr>
          <w:p>
            <w:pPr>
              <w:pStyle w:val="TableParagraph"/>
              <w:spacing w:before="8"/>
              <w:ind w:right="416"/>
              <w:jc w:val="right"/>
              <w:rPr>
                <w:sz w:val="24"/>
              </w:rPr>
            </w:pPr>
            <w:r>
              <w:rPr>
                <w:sz w:val="24"/>
              </w:rPr>
              <w:t>7.6 a</w:t>
            </w:r>
          </w:p>
        </w:tc>
      </w:tr>
      <w:tr>
        <w:trPr>
          <w:trHeight w:val="318" w:hRule="exact"/>
        </w:trPr>
        <w:tc>
          <w:tcPr>
            <w:tcW w:w="3513" w:type="dxa"/>
            <w:tcBorders>
              <w:top w:val="nil"/>
              <w:left w:val="nil"/>
              <w:bottom w:val="nil"/>
              <w:right w:val="nil"/>
            </w:tcBorders>
          </w:tcPr>
          <w:p>
            <w:pPr>
              <w:pStyle w:val="TableParagraph"/>
              <w:spacing w:before="8"/>
              <w:ind w:right="794"/>
              <w:jc w:val="right"/>
              <w:rPr>
                <w:sz w:val="24"/>
              </w:rPr>
            </w:pPr>
            <w:r>
              <w:rPr>
                <w:sz w:val="24"/>
              </w:rPr>
              <w:t>432 - 480</w:t>
            </w:r>
          </w:p>
        </w:tc>
        <w:tc>
          <w:tcPr>
            <w:tcW w:w="1965" w:type="dxa"/>
            <w:tcBorders>
              <w:top w:val="nil"/>
              <w:left w:val="nil"/>
              <w:bottom w:val="nil"/>
              <w:right w:val="nil"/>
            </w:tcBorders>
          </w:tcPr>
          <w:p>
            <w:pPr>
              <w:pStyle w:val="TableParagraph"/>
              <w:spacing w:before="8"/>
              <w:ind w:right="523"/>
              <w:jc w:val="right"/>
              <w:rPr>
                <w:sz w:val="24"/>
              </w:rPr>
            </w:pPr>
            <w:r>
              <w:rPr>
                <w:sz w:val="24"/>
              </w:rPr>
              <w:t>54.4 ab</w:t>
            </w:r>
          </w:p>
        </w:tc>
        <w:tc>
          <w:tcPr>
            <w:tcW w:w="1972" w:type="dxa"/>
            <w:tcBorders>
              <w:top w:val="nil"/>
              <w:left w:val="nil"/>
              <w:bottom w:val="nil"/>
              <w:right w:val="nil"/>
            </w:tcBorders>
          </w:tcPr>
          <w:p>
            <w:pPr>
              <w:pStyle w:val="TableParagraph"/>
              <w:spacing w:before="8"/>
              <w:ind w:left="670" w:right="332"/>
              <w:rPr>
                <w:sz w:val="24"/>
              </w:rPr>
            </w:pPr>
            <w:r>
              <w:rPr>
                <w:sz w:val="24"/>
              </w:rPr>
              <w:t>11.6 a</w:t>
            </w:r>
          </w:p>
        </w:tc>
        <w:tc>
          <w:tcPr>
            <w:tcW w:w="1528" w:type="dxa"/>
            <w:tcBorders>
              <w:top w:val="nil"/>
              <w:left w:val="nil"/>
              <w:bottom w:val="nil"/>
              <w:right w:val="nil"/>
            </w:tcBorders>
          </w:tcPr>
          <w:p>
            <w:pPr>
              <w:pStyle w:val="TableParagraph"/>
              <w:spacing w:before="8"/>
              <w:ind w:right="416"/>
              <w:jc w:val="right"/>
              <w:rPr>
                <w:sz w:val="24"/>
              </w:rPr>
            </w:pPr>
            <w:r>
              <w:rPr>
                <w:sz w:val="24"/>
              </w:rPr>
              <w:t>7.1 a</w:t>
            </w:r>
          </w:p>
        </w:tc>
      </w:tr>
      <w:tr>
        <w:trPr>
          <w:trHeight w:val="318" w:hRule="exact"/>
        </w:trPr>
        <w:tc>
          <w:tcPr>
            <w:tcW w:w="3513" w:type="dxa"/>
            <w:tcBorders>
              <w:top w:val="nil"/>
              <w:left w:val="nil"/>
              <w:bottom w:val="nil"/>
              <w:right w:val="nil"/>
            </w:tcBorders>
          </w:tcPr>
          <w:p>
            <w:pPr>
              <w:pStyle w:val="TableParagraph"/>
              <w:tabs>
                <w:tab w:pos="1763" w:val="left" w:leader="none"/>
              </w:tabs>
              <w:spacing w:line="285" w:lineRule="exact"/>
              <w:ind w:left="333"/>
              <w:rPr>
                <w:sz w:val="24"/>
              </w:rPr>
            </w:pPr>
            <w:r>
              <w:rPr>
                <w:position w:val="15"/>
                <w:sz w:val="24"/>
              </w:rPr>
              <w:t>8</w:t>
              <w:tab/>
            </w:r>
            <w:r>
              <w:rPr>
                <w:sz w:val="24"/>
              </w:rPr>
              <w:t>144 -</w:t>
            </w:r>
            <w:r>
              <w:rPr>
                <w:spacing w:val="-3"/>
                <w:sz w:val="24"/>
              </w:rPr>
              <w:t> </w:t>
            </w:r>
            <w:r>
              <w:rPr>
                <w:sz w:val="24"/>
              </w:rPr>
              <w:t>80</w:t>
            </w:r>
          </w:p>
        </w:tc>
        <w:tc>
          <w:tcPr>
            <w:tcW w:w="1965" w:type="dxa"/>
            <w:tcBorders>
              <w:top w:val="nil"/>
              <w:left w:val="nil"/>
              <w:bottom w:val="nil"/>
              <w:right w:val="nil"/>
            </w:tcBorders>
          </w:tcPr>
          <w:p>
            <w:pPr>
              <w:pStyle w:val="TableParagraph"/>
              <w:spacing w:before="9"/>
              <w:ind w:right="590"/>
              <w:jc w:val="right"/>
              <w:rPr>
                <w:sz w:val="24"/>
              </w:rPr>
            </w:pPr>
            <w:r>
              <w:rPr>
                <w:sz w:val="24"/>
              </w:rPr>
              <w:t>52.2 b</w:t>
            </w:r>
          </w:p>
        </w:tc>
        <w:tc>
          <w:tcPr>
            <w:tcW w:w="1972" w:type="dxa"/>
            <w:tcBorders>
              <w:top w:val="nil"/>
              <w:left w:val="nil"/>
              <w:bottom w:val="nil"/>
              <w:right w:val="nil"/>
            </w:tcBorders>
          </w:tcPr>
          <w:p>
            <w:pPr>
              <w:pStyle w:val="TableParagraph"/>
              <w:spacing w:before="9"/>
              <w:ind w:left="670" w:right="332"/>
              <w:rPr>
                <w:sz w:val="24"/>
              </w:rPr>
            </w:pPr>
            <w:r>
              <w:rPr>
                <w:sz w:val="24"/>
              </w:rPr>
              <w:t>11.6 a</w:t>
            </w:r>
          </w:p>
        </w:tc>
        <w:tc>
          <w:tcPr>
            <w:tcW w:w="1528" w:type="dxa"/>
            <w:tcBorders>
              <w:top w:val="nil"/>
              <w:left w:val="nil"/>
              <w:bottom w:val="nil"/>
              <w:right w:val="nil"/>
            </w:tcBorders>
          </w:tcPr>
          <w:p>
            <w:pPr>
              <w:pStyle w:val="TableParagraph"/>
              <w:spacing w:before="9"/>
              <w:ind w:right="416"/>
              <w:jc w:val="right"/>
              <w:rPr>
                <w:sz w:val="24"/>
              </w:rPr>
            </w:pPr>
            <w:r>
              <w:rPr>
                <w:sz w:val="24"/>
              </w:rPr>
              <w:t>6.0 a</w:t>
            </w:r>
          </w:p>
        </w:tc>
      </w:tr>
      <w:tr>
        <w:trPr>
          <w:trHeight w:val="317" w:hRule="exact"/>
        </w:trPr>
        <w:tc>
          <w:tcPr>
            <w:tcW w:w="3513" w:type="dxa"/>
            <w:tcBorders>
              <w:top w:val="nil"/>
              <w:left w:val="nil"/>
              <w:bottom w:val="nil"/>
              <w:right w:val="nil"/>
            </w:tcBorders>
          </w:tcPr>
          <w:p>
            <w:pPr>
              <w:pStyle w:val="TableParagraph"/>
              <w:spacing w:before="8"/>
              <w:ind w:right="864"/>
              <w:jc w:val="right"/>
              <w:rPr>
                <w:sz w:val="24"/>
              </w:rPr>
            </w:pPr>
            <w:r>
              <w:rPr>
                <w:sz w:val="24"/>
              </w:rPr>
              <w:t>72 - 160</w:t>
            </w:r>
          </w:p>
        </w:tc>
        <w:tc>
          <w:tcPr>
            <w:tcW w:w="1965" w:type="dxa"/>
            <w:tcBorders>
              <w:top w:val="nil"/>
              <w:left w:val="nil"/>
              <w:bottom w:val="nil"/>
              <w:right w:val="nil"/>
            </w:tcBorders>
          </w:tcPr>
          <w:p>
            <w:pPr>
              <w:pStyle w:val="TableParagraph"/>
              <w:spacing w:before="8"/>
              <w:ind w:right="590"/>
              <w:jc w:val="right"/>
              <w:rPr>
                <w:sz w:val="24"/>
              </w:rPr>
            </w:pPr>
            <w:r>
              <w:rPr>
                <w:sz w:val="24"/>
              </w:rPr>
              <w:t>51.4 b</w:t>
            </w:r>
          </w:p>
        </w:tc>
        <w:tc>
          <w:tcPr>
            <w:tcW w:w="1972" w:type="dxa"/>
            <w:tcBorders>
              <w:top w:val="nil"/>
              <w:left w:val="nil"/>
              <w:bottom w:val="nil"/>
              <w:right w:val="nil"/>
            </w:tcBorders>
          </w:tcPr>
          <w:p>
            <w:pPr>
              <w:pStyle w:val="TableParagraph"/>
              <w:spacing w:before="8"/>
              <w:ind w:left="670" w:right="332"/>
              <w:rPr>
                <w:sz w:val="24"/>
              </w:rPr>
            </w:pPr>
            <w:r>
              <w:rPr>
                <w:sz w:val="24"/>
              </w:rPr>
              <w:t>11.6 a</w:t>
            </w:r>
          </w:p>
        </w:tc>
        <w:tc>
          <w:tcPr>
            <w:tcW w:w="1528" w:type="dxa"/>
            <w:tcBorders>
              <w:top w:val="nil"/>
              <w:left w:val="nil"/>
              <w:bottom w:val="nil"/>
              <w:right w:val="nil"/>
            </w:tcBorders>
          </w:tcPr>
          <w:p>
            <w:pPr>
              <w:pStyle w:val="TableParagraph"/>
              <w:spacing w:before="8"/>
              <w:ind w:right="416"/>
              <w:jc w:val="right"/>
              <w:rPr>
                <w:sz w:val="24"/>
              </w:rPr>
            </w:pPr>
            <w:r>
              <w:rPr>
                <w:sz w:val="24"/>
              </w:rPr>
              <w:t>6.6 a</w:t>
            </w:r>
          </w:p>
        </w:tc>
      </w:tr>
      <w:tr>
        <w:trPr>
          <w:trHeight w:val="476" w:hRule="exact"/>
        </w:trPr>
        <w:tc>
          <w:tcPr>
            <w:tcW w:w="3513" w:type="dxa"/>
            <w:tcBorders>
              <w:top w:val="nil"/>
              <w:left w:val="nil"/>
              <w:bottom w:val="nil"/>
              <w:right w:val="nil"/>
            </w:tcBorders>
          </w:tcPr>
          <w:p>
            <w:pPr>
              <w:pStyle w:val="TableParagraph"/>
              <w:spacing w:before="8"/>
              <w:ind w:left="1965"/>
              <w:rPr>
                <w:sz w:val="24"/>
              </w:rPr>
            </w:pPr>
            <w:r>
              <w:rPr>
                <w:sz w:val="24"/>
              </w:rPr>
              <w:t>0 - 0</w:t>
            </w:r>
          </w:p>
        </w:tc>
        <w:tc>
          <w:tcPr>
            <w:tcW w:w="1965" w:type="dxa"/>
            <w:tcBorders>
              <w:top w:val="nil"/>
              <w:left w:val="nil"/>
              <w:bottom w:val="nil"/>
              <w:right w:val="nil"/>
            </w:tcBorders>
          </w:tcPr>
          <w:p>
            <w:pPr>
              <w:pStyle w:val="TableParagraph"/>
              <w:spacing w:before="8"/>
              <w:ind w:right="590"/>
              <w:jc w:val="right"/>
              <w:rPr>
                <w:sz w:val="24"/>
              </w:rPr>
            </w:pPr>
            <w:r>
              <w:rPr>
                <w:sz w:val="24"/>
              </w:rPr>
              <w:t>51.0 b</w:t>
            </w:r>
          </w:p>
        </w:tc>
        <w:tc>
          <w:tcPr>
            <w:tcW w:w="1972" w:type="dxa"/>
            <w:tcBorders>
              <w:top w:val="nil"/>
              <w:left w:val="nil"/>
              <w:bottom w:val="nil"/>
              <w:right w:val="nil"/>
            </w:tcBorders>
          </w:tcPr>
          <w:p>
            <w:pPr>
              <w:pStyle w:val="TableParagraph"/>
              <w:spacing w:before="8"/>
              <w:ind w:left="670" w:right="332"/>
              <w:rPr>
                <w:sz w:val="24"/>
              </w:rPr>
            </w:pPr>
            <w:r>
              <w:rPr>
                <w:sz w:val="24"/>
              </w:rPr>
              <w:t>10.9 a</w:t>
            </w:r>
          </w:p>
        </w:tc>
        <w:tc>
          <w:tcPr>
            <w:tcW w:w="1528" w:type="dxa"/>
            <w:tcBorders>
              <w:top w:val="nil"/>
              <w:left w:val="nil"/>
              <w:bottom w:val="nil"/>
              <w:right w:val="nil"/>
            </w:tcBorders>
          </w:tcPr>
          <w:p>
            <w:pPr>
              <w:pStyle w:val="TableParagraph"/>
              <w:spacing w:before="8"/>
              <w:ind w:right="416"/>
              <w:jc w:val="right"/>
              <w:rPr>
                <w:sz w:val="24"/>
              </w:rPr>
            </w:pPr>
            <w:r>
              <w:rPr>
                <w:sz w:val="24"/>
              </w:rPr>
              <w:t>6.6 a</w:t>
            </w:r>
          </w:p>
        </w:tc>
      </w:tr>
      <w:tr>
        <w:trPr>
          <w:trHeight w:val="476" w:hRule="exact"/>
        </w:trPr>
        <w:tc>
          <w:tcPr>
            <w:tcW w:w="3513" w:type="dxa"/>
            <w:tcBorders>
              <w:top w:val="nil"/>
              <w:left w:val="nil"/>
              <w:bottom w:val="nil"/>
              <w:right w:val="nil"/>
            </w:tcBorders>
          </w:tcPr>
          <w:p>
            <w:pPr>
              <w:pStyle w:val="TableParagraph"/>
              <w:spacing w:before="167"/>
              <w:ind w:right="830"/>
              <w:jc w:val="right"/>
              <w:rPr>
                <w:sz w:val="24"/>
              </w:rPr>
            </w:pPr>
            <w:r>
              <w:rPr>
                <w:sz w:val="24"/>
              </w:rPr>
              <w:t>144 -160</w:t>
            </w:r>
          </w:p>
        </w:tc>
        <w:tc>
          <w:tcPr>
            <w:tcW w:w="1965" w:type="dxa"/>
            <w:tcBorders>
              <w:top w:val="nil"/>
              <w:left w:val="nil"/>
              <w:bottom w:val="nil"/>
              <w:right w:val="nil"/>
            </w:tcBorders>
          </w:tcPr>
          <w:p>
            <w:pPr>
              <w:pStyle w:val="TableParagraph"/>
              <w:spacing w:before="167"/>
              <w:ind w:right="590"/>
              <w:jc w:val="right"/>
              <w:rPr>
                <w:sz w:val="24"/>
              </w:rPr>
            </w:pPr>
            <w:r>
              <w:rPr>
                <w:sz w:val="24"/>
              </w:rPr>
              <w:t>55.5 a</w:t>
            </w:r>
          </w:p>
        </w:tc>
        <w:tc>
          <w:tcPr>
            <w:tcW w:w="1972" w:type="dxa"/>
            <w:tcBorders>
              <w:top w:val="nil"/>
              <w:left w:val="nil"/>
              <w:bottom w:val="nil"/>
              <w:right w:val="nil"/>
            </w:tcBorders>
          </w:tcPr>
          <w:p>
            <w:pPr>
              <w:pStyle w:val="TableParagraph"/>
              <w:spacing w:before="167"/>
              <w:ind w:left="737" w:right="332"/>
              <w:rPr>
                <w:sz w:val="24"/>
              </w:rPr>
            </w:pPr>
            <w:r>
              <w:rPr>
                <w:sz w:val="24"/>
              </w:rPr>
              <w:t>8.2 a</w:t>
            </w:r>
          </w:p>
        </w:tc>
        <w:tc>
          <w:tcPr>
            <w:tcW w:w="1528" w:type="dxa"/>
            <w:tcBorders>
              <w:top w:val="nil"/>
              <w:left w:val="nil"/>
              <w:bottom w:val="nil"/>
              <w:right w:val="nil"/>
            </w:tcBorders>
          </w:tcPr>
          <w:p>
            <w:pPr>
              <w:pStyle w:val="TableParagraph"/>
              <w:spacing w:before="167"/>
              <w:ind w:right="416"/>
              <w:jc w:val="right"/>
              <w:rPr>
                <w:sz w:val="24"/>
              </w:rPr>
            </w:pPr>
            <w:r>
              <w:rPr>
                <w:sz w:val="24"/>
              </w:rPr>
              <w:t>8.6 a</w:t>
            </w:r>
          </w:p>
        </w:tc>
      </w:tr>
      <w:tr>
        <w:trPr>
          <w:trHeight w:val="317" w:hRule="exact"/>
        </w:trPr>
        <w:tc>
          <w:tcPr>
            <w:tcW w:w="3513" w:type="dxa"/>
            <w:tcBorders>
              <w:top w:val="nil"/>
              <w:left w:val="nil"/>
              <w:bottom w:val="nil"/>
              <w:right w:val="nil"/>
            </w:tcBorders>
          </w:tcPr>
          <w:p>
            <w:pPr>
              <w:pStyle w:val="TableParagraph"/>
              <w:spacing w:before="8"/>
              <w:ind w:right="794"/>
              <w:jc w:val="right"/>
              <w:rPr>
                <w:sz w:val="24"/>
              </w:rPr>
            </w:pPr>
            <w:r>
              <w:rPr>
                <w:sz w:val="24"/>
              </w:rPr>
              <w:t>288 - 320</w:t>
            </w:r>
          </w:p>
        </w:tc>
        <w:tc>
          <w:tcPr>
            <w:tcW w:w="1965" w:type="dxa"/>
            <w:tcBorders>
              <w:top w:val="nil"/>
              <w:left w:val="nil"/>
              <w:bottom w:val="nil"/>
              <w:right w:val="nil"/>
            </w:tcBorders>
          </w:tcPr>
          <w:p>
            <w:pPr>
              <w:pStyle w:val="TableParagraph"/>
              <w:spacing w:before="8"/>
              <w:ind w:right="590"/>
              <w:jc w:val="right"/>
              <w:rPr>
                <w:sz w:val="24"/>
              </w:rPr>
            </w:pPr>
            <w:r>
              <w:rPr>
                <w:sz w:val="24"/>
              </w:rPr>
              <w:t>49.0 a</w:t>
            </w:r>
          </w:p>
        </w:tc>
        <w:tc>
          <w:tcPr>
            <w:tcW w:w="1972" w:type="dxa"/>
            <w:tcBorders>
              <w:top w:val="nil"/>
              <w:left w:val="nil"/>
              <w:bottom w:val="nil"/>
              <w:right w:val="nil"/>
            </w:tcBorders>
          </w:tcPr>
          <w:p>
            <w:pPr>
              <w:pStyle w:val="TableParagraph"/>
              <w:spacing w:before="8"/>
              <w:ind w:left="737" w:right="332"/>
              <w:rPr>
                <w:sz w:val="24"/>
              </w:rPr>
            </w:pPr>
            <w:r>
              <w:rPr>
                <w:sz w:val="24"/>
              </w:rPr>
              <w:t>8.9 a</w:t>
            </w:r>
          </w:p>
        </w:tc>
        <w:tc>
          <w:tcPr>
            <w:tcW w:w="1528" w:type="dxa"/>
            <w:tcBorders>
              <w:top w:val="nil"/>
              <w:left w:val="nil"/>
              <w:bottom w:val="nil"/>
              <w:right w:val="nil"/>
            </w:tcBorders>
          </w:tcPr>
          <w:p>
            <w:pPr>
              <w:pStyle w:val="TableParagraph"/>
              <w:spacing w:before="8"/>
              <w:ind w:right="416"/>
              <w:jc w:val="right"/>
              <w:rPr>
                <w:sz w:val="24"/>
              </w:rPr>
            </w:pPr>
            <w:r>
              <w:rPr>
                <w:sz w:val="24"/>
              </w:rPr>
              <w:t>7.4 a</w:t>
            </w:r>
          </w:p>
        </w:tc>
      </w:tr>
      <w:tr>
        <w:trPr>
          <w:trHeight w:val="317" w:hRule="exact"/>
        </w:trPr>
        <w:tc>
          <w:tcPr>
            <w:tcW w:w="3513" w:type="dxa"/>
            <w:tcBorders>
              <w:top w:val="nil"/>
              <w:left w:val="nil"/>
              <w:bottom w:val="nil"/>
              <w:right w:val="nil"/>
            </w:tcBorders>
          </w:tcPr>
          <w:p>
            <w:pPr>
              <w:pStyle w:val="TableParagraph"/>
              <w:spacing w:before="8"/>
              <w:ind w:right="794"/>
              <w:jc w:val="right"/>
              <w:rPr>
                <w:sz w:val="24"/>
              </w:rPr>
            </w:pPr>
            <w:r>
              <w:rPr>
                <w:sz w:val="24"/>
              </w:rPr>
              <w:t>432 - 480</w:t>
            </w:r>
          </w:p>
        </w:tc>
        <w:tc>
          <w:tcPr>
            <w:tcW w:w="1965" w:type="dxa"/>
            <w:tcBorders>
              <w:top w:val="nil"/>
              <w:left w:val="nil"/>
              <w:bottom w:val="nil"/>
              <w:right w:val="nil"/>
            </w:tcBorders>
          </w:tcPr>
          <w:p>
            <w:pPr>
              <w:pStyle w:val="TableParagraph"/>
              <w:spacing w:before="8"/>
              <w:ind w:right="590"/>
              <w:jc w:val="right"/>
              <w:rPr>
                <w:sz w:val="24"/>
              </w:rPr>
            </w:pPr>
            <w:r>
              <w:rPr>
                <w:sz w:val="24"/>
              </w:rPr>
              <w:t>52.3 a</w:t>
            </w:r>
          </w:p>
        </w:tc>
        <w:tc>
          <w:tcPr>
            <w:tcW w:w="1972" w:type="dxa"/>
            <w:tcBorders>
              <w:top w:val="nil"/>
              <w:left w:val="nil"/>
              <w:bottom w:val="nil"/>
              <w:right w:val="nil"/>
            </w:tcBorders>
          </w:tcPr>
          <w:p>
            <w:pPr>
              <w:pStyle w:val="TableParagraph"/>
              <w:spacing w:before="8"/>
              <w:ind w:left="737" w:right="332"/>
              <w:rPr>
                <w:sz w:val="24"/>
              </w:rPr>
            </w:pPr>
            <w:r>
              <w:rPr>
                <w:sz w:val="24"/>
              </w:rPr>
              <w:t>8.5 a</w:t>
            </w:r>
          </w:p>
        </w:tc>
        <w:tc>
          <w:tcPr>
            <w:tcW w:w="1528" w:type="dxa"/>
            <w:tcBorders>
              <w:top w:val="nil"/>
              <w:left w:val="nil"/>
              <w:bottom w:val="nil"/>
              <w:right w:val="nil"/>
            </w:tcBorders>
          </w:tcPr>
          <w:p>
            <w:pPr>
              <w:pStyle w:val="TableParagraph"/>
              <w:spacing w:before="8"/>
              <w:ind w:right="416"/>
              <w:jc w:val="right"/>
              <w:rPr>
                <w:sz w:val="24"/>
              </w:rPr>
            </w:pPr>
            <w:r>
              <w:rPr>
                <w:sz w:val="24"/>
              </w:rPr>
              <w:t>7.6 a</w:t>
            </w:r>
          </w:p>
        </w:tc>
      </w:tr>
      <w:tr>
        <w:trPr>
          <w:trHeight w:val="317" w:hRule="exact"/>
        </w:trPr>
        <w:tc>
          <w:tcPr>
            <w:tcW w:w="3513" w:type="dxa"/>
            <w:tcBorders>
              <w:top w:val="nil"/>
              <w:left w:val="nil"/>
              <w:bottom w:val="nil"/>
              <w:right w:val="nil"/>
            </w:tcBorders>
          </w:tcPr>
          <w:p>
            <w:pPr>
              <w:pStyle w:val="TableParagraph"/>
              <w:tabs>
                <w:tab w:pos="1763" w:val="left" w:leader="none"/>
              </w:tabs>
              <w:spacing w:line="284" w:lineRule="exact"/>
              <w:ind w:left="268"/>
              <w:rPr>
                <w:sz w:val="24"/>
              </w:rPr>
            </w:pPr>
            <w:r>
              <w:rPr>
                <w:position w:val="7"/>
                <w:sz w:val="24"/>
              </w:rPr>
              <w:t>12</w:t>
              <w:tab/>
            </w:r>
            <w:r>
              <w:rPr>
                <w:sz w:val="24"/>
              </w:rPr>
              <w:t>144 -</w:t>
            </w:r>
            <w:r>
              <w:rPr>
                <w:spacing w:val="-3"/>
                <w:sz w:val="24"/>
              </w:rPr>
              <w:t> </w:t>
            </w:r>
            <w:r>
              <w:rPr>
                <w:sz w:val="24"/>
              </w:rPr>
              <w:t>80</w:t>
            </w:r>
          </w:p>
        </w:tc>
        <w:tc>
          <w:tcPr>
            <w:tcW w:w="1965" w:type="dxa"/>
            <w:tcBorders>
              <w:top w:val="nil"/>
              <w:left w:val="nil"/>
              <w:bottom w:val="nil"/>
              <w:right w:val="nil"/>
            </w:tcBorders>
          </w:tcPr>
          <w:p>
            <w:pPr>
              <w:pStyle w:val="TableParagraph"/>
              <w:spacing w:before="8"/>
              <w:ind w:right="590"/>
              <w:jc w:val="right"/>
              <w:rPr>
                <w:sz w:val="24"/>
              </w:rPr>
            </w:pPr>
            <w:r>
              <w:rPr>
                <w:sz w:val="24"/>
              </w:rPr>
              <w:t>50.9 a</w:t>
            </w:r>
          </w:p>
        </w:tc>
        <w:tc>
          <w:tcPr>
            <w:tcW w:w="1972" w:type="dxa"/>
            <w:tcBorders>
              <w:top w:val="nil"/>
              <w:left w:val="nil"/>
              <w:bottom w:val="nil"/>
              <w:right w:val="nil"/>
            </w:tcBorders>
          </w:tcPr>
          <w:p>
            <w:pPr>
              <w:pStyle w:val="TableParagraph"/>
              <w:spacing w:before="8"/>
              <w:ind w:left="737" w:right="332"/>
              <w:rPr>
                <w:sz w:val="24"/>
              </w:rPr>
            </w:pPr>
            <w:r>
              <w:rPr>
                <w:sz w:val="24"/>
              </w:rPr>
              <w:t>8.2 a</w:t>
            </w:r>
          </w:p>
        </w:tc>
        <w:tc>
          <w:tcPr>
            <w:tcW w:w="1528" w:type="dxa"/>
            <w:tcBorders>
              <w:top w:val="nil"/>
              <w:left w:val="nil"/>
              <w:bottom w:val="nil"/>
              <w:right w:val="nil"/>
            </w:tcBorders>
          </w:tcPr>
          <w:p>
            <w:pPr>
              <w:pStyle w:val="TableParagraph"/>
              <w:spacing w:before="8"/>
              <w:ind w:right="416"/>
              <w:jc w:val="right"/>
              <w:rPr>
                <w:sz w:val="24"/>
              </w:rPr>
            </w:pPr>
            <w:r>
              <w:rPr>
                <w:sz w:val="24"/>
              </w:rPr>
              <w:t>7.7 a</w:t>
            </w:r>
          </w:p>
        </w:tc>
      </w:tr>
      <w:tr>
        <w:trPr>
          <w:trHeight w:val="318" w:hRule="exact"/>
        </w:trPr>
        <w:tc>
          <w:tcPr>
            <w:tcW w:w="3513" w:type="dxa"/>
            <w:tcBorders>
              <w:top w:val="nil"/>
              <w:left w:val="nil"/>
              <w:bottom w:val="nil"/>
              <w:right w:val="nil"/>
            </w:tcBorders>
          </w:tcPr>
          <w:p>
            <w:pPr>
              <w:pStyle w:val="TableParagraph"/>
              <w:spacing w:before="8"/>
              <w:ind w:right="898"/>
              <w:jc w:val="right"/>
              <w:rPr>
                <w:sz w:val="24"/>
              </w:rPr>
            </w:pPr>
            <w:r>
              <w:rPr>
                <w:sz w:val="24"/>
              </w:rPr>
              <w:t>72 -160</w:t>
            </w:r>
          </w:p>
        </w:tc>
        <w:tc>
          <w:tcPr>
            <w:tcW w:w="1965" w:type="dxa"/>
            <w:tcBorders>
              <w:top w:val="nil"/>
              <w:left w:val="nil"/>
              <w:bottom w:val="nil"/>
              <w:right w:val="nil"/>
            </w:tcBorders>
          </w:tcPr>
          <w:p>
            <w:pPr>
              <w:pStyle w:val="TableParagraph"/>
              <w:spacing w:before="8"/>
              <w:ind w:right="590"/>
              <w:jc w:val="right"/>
              <w:rPr>
                <w:sz w:val="24"/>
              </w:rPr>
            </w:pPr>
            <w:r>
              <w:rPr>
                <w:sz w:val="24"/>
              </w:rPr>
              <w:t>51.0 a</w:t>
            </w:r>
          </w:p>
        </w:tc>
        <w:tc>
          <w:tcPr>
            <w:tcW w:w="1972" w:type="dxa"/>
            <w:tcBorders>
              <w:top w:val="nil"/>
              <w:left w:val="nil"/>
              <w:bottom w:val="nil"/>
              <w:right w:val="nil"/>
            </w:tcBorders>
          </w:tcPr>
          <w:p>
            <w:pPr>
              <w:pStyle w:val="TableParagraph"/>
              <w:spacing w:before="8"/>
              <w:ind w:left="737" w:right="332"/>
              <w:rPr>
                <w:sz w:val="24"/>
              </w:rPr>
            </w:pPr>
            <w:r>
              <w:rPr>
                <w:sz w:val="24"/>
              </w:rPr>
              <w:t>9.2 a</w:t>
            </w:r>
          </w:p>
        </w:tc>
        <w:tc>
          <w:tcPr>
            <w:tcW w:w="1528" w:type="dxa"/>
            <w:tcBorders>
              <w:top w:val="nil"/>
              <w:left w:val="nil"/>
              <w:bottom w:val="nil"/>
              <w:right w:val="nil"/>
            </w:tcBorders>
          </w:tcPr>
          <w:p>
            <w:pPr>
              <w:pStyle w:val="TableParagraph"/>
              <w:spacing w:before="8"/>
              <w:ind w:right="416"/>
              <w:jc w:val="right"/>
              <w:rPr>
                <w:sz w:val="24"/>
              </w:rPr>
            </w:pPr>
            <w:r>
              <w:rPr>
                <w:sz w:val="24"/>
              </w:rPr>
              <w:t>7.4 a</w:t>
            </w:r>
          </w:p>
        </w:tc>
      </w:tr>
      <w:tr>
        <w:trPr>
          <w:trHeight w:val="380" w:hRule="exact"/>
        </w:trPr>
        <w:tc>
          <w:tcPr>
            <w:tcW w:w="3513" w:type="dxa"/>
            <w:tcBorders>
              <w:top w:val="nil"/>
              <w:left w:val="nil"/>
              <w:bottom w:val="nil"/>
              <w:right w:val="nil"/>
            </w:tcBorders>
          </w:tcPr>
          <w:p>
            <w:pPr>
              <w:pStyle w:val="TableParagraph"/>
              <w:spacing w:before="9"/>
              <w:ind w:left="1965"/>
              <w:rPr>
                <w:sz w:val="24"/>
              </w:rPr>
            </w:pPr>
            <w:r>
              <w:rPr>
                <w:sz w:val="24"/>
              </w:rPr>
              <w:t>0 - 0</w:t>
            </w:r>
          </w:p>
        </w:tc>
        <w:tc>
          <w:tcPr>
            <w:tcW w:w="1965" w:type="dxa"/>
            <w:tcBorders>
              <w:top w:val="nil"/>
              <w:left w:val="nil"/>
              <w:bottom w:val="nil"/>
              <w:right w:val="nil"/>
            </w:tcBorders>
          </w:tcPr>
          <w:p>
            <w:pPr>
              <w:pStyle w:val="TableParagraph"/>
              <w:spacing w:before="9"/>
              <w:ind w:right="590"/>
              <w:jc w:val="right"/>
              <w:rPr>
                <w:sz w:val="24"/>
              </w:rPr>
            </w:pPr>
            <w:r>
              <w:rPr>
                <w:sz w:val="24"/>
              </w:rPr>
              <w:t>50.4 a</w:t>
            </w:r>
          </w:p>
        </w:tc>
        <w:tc>
          <w:tcPr>
            <w:tcW w:w="1972" w:type="dxa"/>
            <w:tcBorders>
              <w:top w:val="nil"/>
              <w:left w:val="nil"/>
              <w:bottom w:val="nil"/>
              <w:right w:val="nil"/>
            </w:tcBorders>
          </w:tcPr>
          <w:p>
            <w:pPr>
              <w:pStyle w:val="TableParagraph"/>
              <w:spacing w:before="9"/>
              <w:ind w:left="737" w:right="332"/>
              <w:rPr>
                <w:sz w:val="24"/>
              </w:rPr>
            </w:pPr>
            <w:r>
              <w:rPr>
                <w:sz w:val="24"/>
              </w:rPr>
              <w:t>8.4 a</w:t>
            </w:r>
          </w:p>
        </w:tc>
        <w:tc>
          <w:tcPr>
            <w:tcW w:w="1528" w:type="dxa"/>
            <w:tcBorders>
              <w:top w:val="nil"/>
              <w:left w:val="nil"/>
              <w:bottom w:val="nil"/>
              <w:right w:val="nil"/>
            </w:tcBorders>
          </w:tcPr>
          <w:p>
            <w:pPr>
              <w:pStyle w:val="TableParagraph"/>
              <w:spacing w:before="9"/>
              <w:ind w:right="416"/>
              <w:jc w:val="right"/>
              <w:rPr>
                <w:sz w:val="24"/>
              </w:rPr>
            </w:pPr>
            <w:r>
              <w:rPr>
                <w:sz w:val="24"/>
              </w:rPr>
              <w:t>7.8 a</w:t>
            </w:r>
          </w:p>
        </w:tc>
      </w:tr>
    </w:tbl>
    <w:p>
      <w:pPr>
        <w:pStyle w:val="BodyText"/>
        <w:rPr>
          <w:sz w:val="20"/>
        </w:rPr>
      </w:pPr>
    </w:p>
    <w:p>
      <w:pPr>
        <w:pStyle w:val="BodyText"/>
        <w:spacing w:before="4"/>
        <w:rPr>
          <w:sz w:val="27"/>
        </w:rPr>
      </w:pPr>
      <w:r>
        <w:rPr/>
        <w:pict>
          <v:group style="position:absolute;margin-left:84.830002pt;margin-top:17.709883pt;width:450.15pt;height:.5pt;mso-position-horizontal-relative:page;mso-position-vertical-relative:paragraph;z-index:2200;mso-wrap-distance-left:0;mso-wrap-distance-right:0" coordorigin="1697,354" coordsize="9003,10">
            <v:line style="position:absolute" from="1702,359" to="2539,359" stroked="true" strokeweight=".48pt" strokecolor="#000000"/>
            <v:line style="position:absolute" from="2525,359" to="2534,359" stroked="true" strokeweight=".48pt" strokecolor="#000000"/>
            <v:line style="position:absolute" from="2534,359" to="5326,359" stroked="true" strokeweight=".48pt" strokecolor="#000000"/>
            <v:line style="position:absolute" from="5311,359" to="5321,359" stroked="true" strokeweight=".48pt" strokecolor="#000000"/>
            <v:line style="position:absolute" from="5321,359" to="7231,359" stroked="true" strokeweight=".48pt" strokecolor="#000000"/>
            <v:line style="position:absolute" from="7217,359" to="7226,359" stroked="true" strokeweight=".48pt" strokecolor="#000000"/>
            <v:line style="position:absolute" from="7226,359" to="9185,359" stroked="true" strokeweight=".48pt" strokecolor="#000000"/>
            <v:line style="position:absolute" from="9170,359" to="9180,359" stroked="true" strokeweight=".48pt" strokecolor="#000000"/>
            <v:line style="position:absolute" from="9180,359" to="9346,359" stroked="true" strokeweight=".48pt" strokecolor="#000000"/>
            <v:line style="position:absolute" from="9331,359" to="9341,359" stroked="true" strokeweight=".48pt" strokecolor="#000000"/>
            <v:line style="position:absolute" from="9341,359" to="10694,359" stroked="true" strokeweight=".48pt" strokecolor="#000000"/>
            <w10:wrap type="topAndBottom"/>
          </v:group>
        </w:pict>
      </w:r>
    </w:p>
    <w:p>
      <w:pPr>
        <w:pStyle w:val="BodyText"/>
        <w:spacing w:line="242" w:lineRule="exact"/>
        <w:ind w:left="121"/>
      </w:pPr>
      <w:r>
        <w:rPr/>
        <w:t>Medias con la misma letra en cada columna son iguales de acuerdo con la prueba</w:t>
      </w:r>
    </w:p>
    <w:p>
      <w:pPr>
        <w:pStyle w:val="BodyText"/>
        <w:ind w:left="121"/>
      </w:pPr>
      <w:r>
        <w:rPr/>
        <w:t>de Tukey con p≤0.05</w:t>
      </w:r>
    </w:p>
    <w:p>
      <w:pPr>
        <w:spacing w:after="0"/>
        <w:sectPr>
          <w:pgSz w:w="12240" w:h="15840"/>
          <w:pgMar w:header="0" w:footer="1005" w:top="1360" w:bottom="1200" w:left="1580" w:right="1440"/>
        </w:sectPr>
      </w:pPr>
    </w:p>
    <w:p>
      <w:pPr>
        <w:pStyle w:val="BodyText"/>
        <w:spacing w:before="3"/>
        <w:rPr>
          <w:sz w:val="10"/>
        </w:rPr>
      </w:pPr>
    </w:p>
    <w:p>
      <w:pPr>
        <w:pStyle w:val="Heading1"/>
        <w:numPr>
          <w:ilvl w:val="3"/>
          <w:numId w:val="9"/>
        </w:numPr>
        <w:tabs>
          <w:tab w:pos="2387" w:val="left" w:leader="none"/>
        </w:tabs>
        <w:spacing w:line="240" w:lineRule="auto" w:before="69" w:after="0"/>
        <w:ind w:left="2386" w:right="0" w:hanging="869"/>
        <w:jc w:val="left"/>
      </w:pPr>
      <w:bookmarkStart w:name="_TOC_250004" w:id="35"/>
      <w:r>
        <w:rPr/>
        <w:t>Peso</w:t>
      </w:r>
      <w:r>
        <w:rPr>
          <w:spacing w:val="-6"/>
        </w:rPr>
        <w:t> </w:t>
      </w:r>
      <w:bookmarkEnd w:id="35"/>
      <w:r>
        <w:rPr/>
        <w:t>fresco</w:t>
      </w:r>
    </w:p>
    <w:p>
      <w:pPr>
        <w:pStyle w:val="BodyText"/>
        <w:rPr>
          <w:b/>
        </w:rPr>
      </w:pPr>
    </w:p>
    <w:p>
      <w:pPr>
        <w:pStyle w:val="BodyText"/>
        <w:spacing w:line="480" w:lineRule="auto"/>
        <w:ind w:left="101" w:right="116"/>
        <w:jc w:val="both"/>
      </w:pPr>
      <w:r>
        <w:rPr/>
        <w:t>Para</w:t>
      </w:r>
      <w:r>
        <w:rPr>
          <w:spacing w:val="-15"/>
        </w:rPr>
        <w:t> </w:t>
      </w:r>
      <w:r>
        <w:rPr/>
        <w:t>el</w:t>
      </w:r>
      <w:r>
        <w:rPr>
          <w:spacing w:val="-19"/>
        </w:rPr>
        <w:t> </w:t>
      </w:r>
      <w:r>
        <w:rPr/>
        <w:t>caso</w:t>
      </w:r>
      <w:r>
        <w:rPr>
          <w:spacing w:val="-18"/>
        </w:rPr>
        <w:t> </w:t>
      </w:r>
      <w:r>
        <w:rPr/>
        <w:t>de</w:t>
      </w:r>
      <w:r>
        <w:rPr>
          <w:spacing w:val="-18"/>
        </w:rPr>
        <w:t> </w:t>
      </w:r>
      <w:r>
        <w:rPr/>
        <w:t>‘Serrada’,</w:t>
      </w:r>
      <w:r>
        <w:rPr>
          <w:spacing w:val="-16"/>
        </w:rPr>
        <w:t> </w:t>
      </w:r>
      <w:r>
        <w:rPr/>
        <w:t>el</w:t>
      </w:r>
      <w:r>
        <w:rPr>
          <w:spacing w:val="-19"/>
        </w:rPr>
        <w:t> </w:t>
      </w:r>
      <w:r>
        <w:rPr/>
        <w:t>peso</w:t>
      </w:r>
      <w:r>
        <w:rPr>
          <w:spacing w:val="-20"/>
        </w:rPr>
        <w:t> </w:t>
      </w:r>
      <w:r>
        <w:rPr/>
        <w:t>fresco</w:t>
      </w:r>
      <w:r>
        <w:rPr>
          <w:spacing w:val="-18"/>
        </w:rPr>
        <w:t> </w:t>
      </w:r>
      <w:r>
        <w:rPr/>
        <w:t>se</w:t>
      </w:r>
      <w:r>
        <w:rPr>
          <w:spacing w:val="-15"/>
        </w:rPr>
        <w:t> </w:t>
      </w:r>
      <w:r>
        <w:rPr/>
        <w:t>incrementó</w:t>
      </w:r>
      <w:r>
        <w:rPr>
          <w:spacing w:val="-18"/>
        </w:rPr>
        <w:t> </w:t>
      </w:r>
      <w:r>
        <w:rPr/>
        <w:t>a</w:t>
      </w:r>
      <w:r>
        <w:rPr>
          <w:spacing w:val="-18"/>
        </w:rPr>
        <w:t> </w:t>
      </w:r>
      <w:r>
        <w:rPr/>
        <w:t>partir</w:t>
      </w:r>
      <w:r>
        <w:rPr>
          <w:spacing w:val="-17"/>
        </w:rPr>
        <w:t> </w:t>
      </w:r>
      <w:r>
        <w:rPr/>
        <w:t>del</w:t>
      </w:r>
      <w:r>
        <w:rPr>
          <w:spacing w:val="-19"/>
        </w:rPr>
        <w:t> </w:t>
      </w:r>
      <w:r>
        <w:rPr/>
        <w:t>día</w:t>
      </w:r>
      <w:r>
        <w:rPr>
          <w:spacing w:val="-18"/>
        </w:rPr>
        <w:t> </w:t>
      </w:r>
      <w:r>
        <w:rPr/>
        <w:t>4,</w:t>
      </w:r>
      <w:r>
        <w:rPr>
          <w:spacing w:val="-18"/>
        </w:rPr>
        <w:t> </w:t>
      </w:r>
      <w:r>
        <w:rPr/>
        <w:t>alcanzando su</w:t>
      </w:r>
      <w:r>
        <w:rPr>
          <w:spacing w:val="-9"/>
        </w:rPr>
        <w:t> </w:t>
      </w:r>
      <w:r>
        <w:rPr/>
        <w:t>valor</w:t>
      </w:r>
      <w:r>
        <w:rPr>
          <w:spacing w:val="-11"/>
        </w:rPr>
        <w:t> </w:t>
      </w:r>
      <w:r>
        <w:rPr/>
        <w:t>promedio</w:t>
      </w:r>
      <w:r>
        <w:rPr>
          <w:spacing w:val="-12"/>
        </w:rPr>
        <w:t> </w:t>
      </w:r>
      <w:r>
        <w:rPr/>
        <w:t>más</w:t>
      </w:r>
      <w:r>
        <w:rPr>
          <w:spacing w:val="-13"/>
        </w:rPr>
        <w:t> </w:t>
      </w:r>
      <w:r>
        <w:rPr/>
        <w:t>alto</w:t>
      </w:r>
      <w:r>
        <w:rPr>
          <w:spacing w:val="-12"/>
        </w:rPr>
        <w:t> </w:t>
      </w:r>
      <w:r>
        <w:rPr/>
        <w:t>de</w:t>
      </w:r>
      <w:r>
        <w:rPr>
          <w:spacing w:val="-9"/>
        </w:rPr>
        <w:t> </w:t>
      </w:r>
      <w:r>
        <w:rPr/>
        <w:t>108</w:t>
      </w:r>
      <w:r>
        <w:rPr>
          <w:spacing w:val="-12"/>
        </w:rPr>
        <w:t> </w:t>
      </w:r>
      <w:r>
        <w:rPr/>
        <w:t>%</w:t>
      </w:r>
      <w:r>
        <w:rPr>
          <w:spacing w:val="-10"/>
        </w:rPr>
        <w:t> </w:t>
      </w:r>
      <w:r>
        <w:rPr/>
        <w:t>(99.1</w:t>
      </w:r>
      <w:r>
        <w:rPr>
          <w:spacing w:val="-9"/>
        </w:rPr>
        <w:t> </w:t>
      </w:r>
      <w:r>
        <w:rPr/>
        <w:t>g),</w:t>
      </w:r>
      <w:r>
        <w:rPr>
          <w:spacing w:val="-10"/>
        </w:rPr>
        <w:t> </w:t>
      </w:r>
      <w:r>
        <w:rPr/>
        <w:t>para</w:t>
      </w:r>
      <w:r>
        <w:rPr>
          <w:spacing w:val="-12"/>
        </w:rPr>
        <w:t> </w:t>
      </w:r>
      <w:r>
        <w:rPr/>
        <w:t>el</w:t>
      </w:r>
      <w:r>
        <w:rPr>
          <w:spacing w:val="-11"/>
        </w:rPr>
        <w:t> </w:t>
      </w:r>
      <w:r>
        <w:rPr/>
        <w:t>tratamiento10</w:t>
      </w:r>
      <w:r>
        <w:rPr>
          <w:spacing w:val="-12"/>
        </w:rPr>
        <w:t> </w:t>
      </w:r>
      <w:r>
        <w:rPr/>
        <w:t>ml-144</w:t>
      </w:r>
      <w:r>
        <w:rPr>
          <w:spacing w:val="-12"/>
        </w:rPr>
        <w:t> </w:t>
      </w:r>
      <w:r>
        <w:rPr/>
        <w:t>mg-160 mg de solución Steiner, zinc y magnesio con respecto al control, similar al comportamiento que tuvo ‘Acapulco’ cuando el botón floral abre completamente. Para los días 8 y 12 decrece el valor del peso fresco, debido a la pérdida del peso del tallo durante la senescencia y la abscisión de los tépalos (Villaseca, 2005; Verdugo </w:t>
      </w:r>
      <w:r>
        <w:rPr>
          <w:i/>
        </w:rPr>
        <w:t>et al.</w:t>
      </w:r>
      <w:r>
        <w:rPr/>
        <w:t>,</w:t>
      </w:r>
      <w:r>
        <w:rPr>
          <w:spacing w:val="-9"/>
        </w:rPr>
        <w:t> </w:t>
      </w:r>
      <w:r>
        <w:rPr/>
        <w:t>2006).</w:t>
      </w:r>
    </w:p>
    <w:p>
      <w:pPr>
        <w:pStyle w:val="BodyText"/>
      </w:pPr>
    </w:p>
    <w:p>
      <w:pPr>
        <w:pStyle w:val="BodyText"/>
        <w:spacing w:before="10"/>
      </w:pPr>
    </w:p>
    <w:p>
      <w:pPr>
        <w:pStyle w:val="Heading1"/>
        <w:numPr>
          <w:ilvl w:val="3"/>
          <w:numId w:val="9"/>
        </w:numPr>
        <w:tabs>
          <w:tab w:pos="2387" w:val="left" w:leader="none"/>
        </w:tabs>
        <w:spacing w:line="240" w:lineRule="auto" w:before="0" w:after="0"/>
        <w:ind w:left="2386" w:right="0" w:hanging="869"/>
        <w:jc w:val="left"/>
      </w:pPr>
      <w:bookmarkStart w:name="_TOC_250003" w:id="36"/>
      <w:r>
        <w:rPr/>
        <w:t>Unidades</w:t>
      </w:r>
      <w:r>
        <w:rPr>
          <w:spacing w:val="-14"/>
        </w:rPr>
        <w:t> </w:t>
      </w:r>
      <w:bookmarkEnd w:id="36"/>
      <w:r>
        <w:rPr/>
        <w:t>SPAD</w:t>
      </w:r>
    </w:p>
    <w:p>
      <w:pPr>
        <w:pStyle w:val="BodyText"/>
        <w:rPr>
          <w:b/>
        </w:rPr>
      </w:pPr>
    </w:p>
    <w:p>
      <w:pPr>
        <w:pStyle w:val="BodyText"/>
        <w:spacing w:line="480" w:lineRule="auto"/>
        <w:ind w:left="101" w:right="116"/>
        <w:jc w:val="both"/>
      </w:pPr>
      <w:r>
        <w:rPr/>
        <w:t>Se aprecian diferencias significativas con valores más altos con el tratamiento 10 ml-144 mg-160 mg de solución Steiner, zinc y magnesio con respecto al control durante</w:t>
      </w:r>
      <w:r>
        <w:rPr>
          <w:spacing w:val="-14"/>
        </w:rPr>
        <w:t> </w:t>
      </w:r>
      <w:r>
        <w:rPr/>
        <w:t>los</w:t>
      </w:r>
      <w:r>
        <w:rPr>
          <w:spacing w:val="-17"/>
        </w:rPr>
        <w:t> </w:t>
      </w:r>
      <w:r>
        <w:rPr/>
        <w:t>muestreos</w:t>
      </w:r>
      <w:r>
        <w:rPr>
          <w:spacing w:val="-20"/>
        </w:rPr>
        <w:t> </w:t>
      </w:r>
      <w:r>
        <w:rPr/>
        <w:t>a</w:t>
      </w:r>
      <w:r>
        <w:rPr>
          <w:spacing w:val="-14"/>
        </w:rPr>
        <w:t> </w:t>
      </w:r>
      <w:r>
        <w:rPr/>
        <w:t>los</w:t>
      </w:r>
      <w:r>
        <w:rPr>
          <w:spacing w:val="-17"/>
        </w:rPr>
        <w:t> </w:t>
      </w:r>
      <w:r>
        <w:rPr/>
        <w:t>0</w:t>
      </w:r>
      <w:r>
        <w:rPr>
          <w:spacing w:val="-16"/>
        </w:rPr>
        <w:t> </w:t>
      </w:r>
      <w:r>
        <w:rPr/>
        <w:t>y</w:t>
      </w:r>
      <w:r>
        <w:rPr>
          <w:spacing w:val="-17"/>
        </w:rPr>
        <w:t> </w:t>
      </w:r>
      <w:r>
        <w:rPr/>
        <w:t>8</w:t>
      </w:r>
      <w:r>
        <w:rPr>
          <w:spacing w:val="-16"/>
        </w:rPr>
        <w:t> </w:t>
      </w:r>
      <w:r>
        <w:rPr/>
        <w:t>días</w:t>
      </w:r>
      <w:r>
        <w:rPr>
          <w:spacing w:val="-15"/>
        </w:rPr>
        <w:t> </w:t>
      </w:r>
      <w:r>
        <w:rPr/>
        <w:t>(Cuadro</w:t>
      </w:r>
      <w:r>
        <w:rPr>
          <w:spacing w:val="-14"/>
        </w:rPr>
        <w:t> </w:t>
      </w:r>
      <w:r>
        <w:rPr/>
        <w:t>7).</w:t>
      </w:r>
      <w:r>
        <w:rPr>
          <w:spacing w:val="-17"/>
        </w:rPr>
        <w:t> </w:t>
      </w:r>
      <w:r>
        <w:rPr/>
        <w:t>Los</w:t>
      </w:r>
      <w:r>
        <w:rPr>
          <w:spacing w:val="-17"/>
        </w:rPr>
        <w:t> </w:t>
      </w:r>
      <w:r>
        <w:rPr/>
        <w:t>datos</w:t>
      </w:r>
      <w:r>
        <w:rPr>
          <w:spacing w:val="-17"/>
        </w:rPr>
        <w:t> </w:t>
      </w:r>
      <w:r>
        <w:rPr/>
        <w:t>anteriores</w:t>
      </w:r>
      <w:r>
        <w:rPr>
          <w:spacing w:val="-15"/>
        </w:rPr>
        <w:t> </w:t>
      </w:r>
      <w:r>
        <w:rPr/>
        <w:t>son</w:t>
      </w:r>
      <w:r>
        <w:rPr>
          <w:spacing w:val="-16"/>
        </w:rPr>
        <w:t> </w:t>
      </w:r>
      <w:r>
        <w:rPr/>
        <w:t>menores a lo propuesto por Treder (2005); Betancourt-Olvera (2005). Esto pudiera ser de acuerdo a la variedad (Ortega-Blu, </w:t>
      </w:r>
      <w:r>
        <w:rPr>
          <w:i/>
        </w:rPr>
        <w:t>et al</w:t>
      </w:r>
      <w:r>
        <w:rPr/>
        <w:t>.,</w:t>
      </w:r>
      <w:r>
        <w:rPr>
          <w:spacing w:val="-25"/>
        </w:rPr>
        <w:t> </w:t>
      </w:r>
      <w:r>
        <w:rPr/>
        <w:t>2006)</w:t>
      </w:r>
    </w:p>
    <w:p>
      <w:pPr>
        <w:pStyle w:val="BodyText"/>
      </w:pPr>
    </w:p>
    <w:p>
      <w:pPr>
        <w:pStyle w:val="BodyText"/>
      </w:pPr>
    </w:p>
    <w:p>
      <w:pPr>
        <w:pStyle w:val="BodyText"/>
        <w:spacing w:before="8"/>
        <w:rPr>
          <w:sz w:val="35"/>
        </w:rPr>
      </w:pPr>
    </w:p>
    <w:p>
      <w:pPr>
        <w:pStyle w:val="Heading1"/>
        <w:numPr>
          <w:ilvl w:val="3"/>
          <w:numId w:val="9"/>
        </w:numPr>
        <w:tabs>
          <w:tab w:pos="2387" w:val="left" w:leader="none"/>
        </w:tabs>
        <w:spacing w:line="240" w:lineRule="auto" w:before="0" w:after="0"/>
        <w:ind w:left="2386" w:right="0" w:hanging="869"/>
        <w:jc w:val="left"/>
      </w:pPr>
      <w:bookmarkStart w:name="_TOC_250002" w:id="37"/>
      <w:r>
        <w:rPr/>
        <w:t>Diámetro de</w:t>
      </w:r>
      <w:r>
        <w:rPr>
          <w:spacing w:val="-10"/>
        </w:rPr>
        <w:t> </w:t>
      </w:r>
      <w:bookmarkEnd w:id="37"/>
      <w:r>
        <w:rPr/>
        <w:t>flor</w:t>
      </w:r>
    </w:p>
    <w:p>
      <w:pPr>
        <w:pStyle w:val="BodyText"/>
        <w:rPr>
          <w:b/>
        </w:rPr>
      </w:pPr>
    </w:p>
    <w:p>
      <w:pPr>
        <w:pStyle w:val="BodyText"/>
        <w:spacing w:line="480" w:lineRule="auto" w:before="197"/>
        <w:ind w:left="101" w:right="116"/>
        <w:jc w:val="both"/>
      </w:pPr>
      <w:r>
        <w:rPr/>
        <w:t>Los datos relacionados al diámetro de la inflorescencia no muestran diferencias significativas estadísticamente. La cinética del diámetro de la flor central en poscosecha indica que la mayor apertura ocurrió al día 4 después del corte, similar al comportamiento en lilium ‘Acapulco’.</w:t>
      </w:r>
    </w:p>
    <w:p>
      <w:pPr>
        <w:spacing w:after="0" w:line="480" w:lineRule="auto"/>
        <w:jc w:val="both"/>
        <w:sectPr>
          <w:pgSz w:w="12240" w:h="15840"/>
          <w:pgMar w:header="0" w:footer="1005" w:top="1500" w:bottom="1200" w:left="1600" w:right="1580"/>
        </w:sectPr>
      </w:pPr>
    </w:p>
    <w:p>
      <w:pPr>
        <w:pStyle w:val="Heading1"/>
        <w:numPr>
          <w:ilvl w:val="3"/>
          <w:numId w:val="9"/>
        </w:numPr>
        <w:tabs>
          <w:tab w:pos="2387" w:val="left" w:leader="none"/>
        </w:tabs>
        <w:spacing w:line="240" w:lineRule="auto" w:before="51" w:after="0"/>
        <w:ind w:left="2386" w:right="0" w:hanging="869"/>
        <w:jc w:val="left"/>
      </w:pPr>
      <w:bookmarkStart w:name="_TOC_250001" w:id="38"/>
      <w:r>
        <w:rPr/>
        <w:t>Materia</w:t>
      </w:r>
      <w:r>
        <w:rPr>
          <w:spacing w:val="-6"/>
        </w:rPr>
        <w:t> </w:t>
      </w:r>
      <w:bookmarkEnd w:id="38"/>
      <w:r>
        <w:rPr/>
        <w:t>seca</w:t>
      </w:r>
    </w:p>
    <w:p>
      <w:pPr>
        <w:pStyle w:val="BodyText"/>
        <w:rPr>
          <w:b/>
        </w:rPr>
      </w:pPr>
    </w:p>
    <w:p>
      <w:pPr>
        <w:pStyle w:val="BodyText"/>
        <w:spacing w:line="480" w:lineRule="auto"/>
        <w:ind w:left="101" w:right="117"/>
        <w:jc w:val="both"/>
      </w:pPr>
      <w:r>
        <w:rPr/>
        <w:t>No se encontró diferencia significativa en ninguno de los tratamientos y fechas evaluadas al aplicar Mg y Zn sobre la materia seca obtenida en lilium ‘Serrada’. Durante la vida en florero, el porcentaje de materia seca decrece con el paso de la vida en florero.</w:t>
      </w:r>
    </w:p>
    <w:p>
      <w:pPr>
        <w:pStyle w:val="BodyText"/>
      </w:pPr>
    </w:p>
    <w:p>
      <w:pPr>
        <w:pStyle w:val="BodyText"/>
        <w:spacing w:before="10"/>
      </w:pPr>
    </w:p>
    <w:p>
      <w:pPr>
        <w:pStyle w:val="Heading1"/>
        <w:numPr>
          <w:ilvl w:val="3"/>
          <w:numId w:val="9"/>
        </w:numPr>
        <w:tabs>
          <w:tab w:pos="2387" w:val="left" w:leader="none"/>
        </w:tabs>
        <w:spacing w:line="240" w:lineRule="auto" w:before="0" w:after="0"/>
        <w:ind w:left="2386" w:right="0" w:hanging="869"/>
        <w:jc w:val="left"/>
      </w:pPr>
      <w:r>
        <w:rPr/>
        <w:t>Color de</w:t>
      </w:r>
      <w:r>
        <w:rPr>
          <w:spacing w:val="-10"/>
        </w:rPr>
        <w:t> </w:t>
      </w:r>
      <w:r>
        <w:rPr/>
        <w:t>tépalos</w:t>
      </w:r>
    </w:p>
    <w:p>
      <w:pPr>
        <w:pStyle w:val="BodyText"/>
        <w:rPr>
          <w:b/>
        </w:rPr>
      </w:pPr>
    </w:p>
    <w:p>
      <w:pPr>
        <w:pStyle w:val="BodyText"/>
        <w:spacing w:line="480" w:lineRule="auto" w:before="199"/>
        <w:ind w:left="101" w:right="116"/>
        <w:jc w:val="both"/>
      </w:pPr>
      <w:r>
        <w:rPr/>
        <w:t>En el experimento no se encontraron diferencias significativas entre tratamientos. Se puede apreciar que la luminosidad desciende del día 0 al 8 y se observa un incremento</w:t>
      </w:r>
      <w:r>
        <w:rPr>
          <w:spacing w:val="-13"/>
        </w:rPr>
        <w:t> </w:t>
      </w:r>
      <w:r>
        <w:rPr/>
        <w:t>al</w:t>
      </w:r>
      <w:r>
        <w:rPr>
          <w:spacing w:val="-14"/>
        </w:rPr>
        <w:t> </w:t>
      </w:r>
      <w:r>
        <w:rPr/>
        <w:t>día</w:t>
      </w:r>
      <w:r>
        <w:rPr>
          <w:spacing w:val="-13"/>
        </w:rPr>
        <w:t> </w:t>
      </w:r>
      <w:r>
        <w:rPr/>
        <w:t>12</w:t>
      </w:r>
      <w:r>
        <w:rPr>
          <w:spacing w:val="-13"/>
        </w:rPr>
        <w:t> </w:t>
      </w:r>
      <w:r>
        <w:rPr/>
        <w:t>en</w:t>
      </w:r>
      <w:r>
        <w:rPr>
          <w:spacing w:val="-11"/>
        </w:rPr>
        <w:t> </w:t>
      </w:r>
      <w:r>
        <w:rPr/>
        <w:t>0-0</w:t>
      </w:r>
      <w:r>
        <w:rPr>
          <w:spacing w:val="-13"/>
        </w:rPr>
        <w:t> </w:t>
      </w:r>
      <w:r>
        <w:rPr/>
        <w:t>y</w:t>
      </w:r>
      <w:r>
        <w:rPr>
          <w:spacing w:val="-14"/>
        </w:rPr>
        <w:t> </w:t>
      </w:r>
      <w:r>
        <w:rPr/>
        <w:t>72-80;</w:t>
      </w:r>
      <w:r>
        <w:rPr>
          <w:spacing w:val="-13"/>
        </w:rPr>
        <w:t> </w:t>
      </w:r>
      <w:r>
        <w:rPr/>
        <w:t>este</w:t>
      </w:r>
      <w:r>
        <w:rPr>
          <w:spacing w:val="-11"/>
        </w:rPr>
        <w:t> </w:t>
      </w:r>
      <w:r>
        <w:rPr/>
        <w:t>incremento</w:t>
      </w:r>
      <w:r>
        <w:rPr>
          <w:spacing w:val="-13"/>
        </w:rPr>
        <w:t> </w:t>
      </w:r>
      <w:r>
        <w:rPr/>
        <w:t>es</w:t>
      </w:r>
      <w:r>
        <w:rPr>
          <w:spacing w:val="-14"/>
        </w:rPr>
        <w:t> </w:t>
      </w:r>
      <w:r>
        <w:rPr/>
        <w:t>al</w:t>
      </w:r>
      <w:r>
        <w:rPr>
          <w:spacing w:val="-14"/>
        </w:rPr>
        <w:t> </w:t>
      </w:r>
      <w:r>
        <w:rPr/>
        <w:t>día</w:t>
      </w:r>
      <w:r>
        <w:rPr>
          <w:spacing w:val="-13"/>
        </w:rPr>
        <w:t> </w:t>
      </w:r>
      <w:r>
        <w:rPr/>
        <w:t>8</w:t>
      </w:r>
      <w:r>
        <w:rPr>
          <w:spacing w:val="-13"/>
        </w:rPr>
        <w:t> </w:t>
      </w:r>
      <w:r>
        <w:rPr/>
        <w:t>en</w:t>
      </w:r>
      <w:r>
        <w:rPr>
          <w:spacing w:val="-13"/>
        </w:rPr>
        <w:t> </w:t>
      </w:r>
      <w:r>
        <w:rPr/>
        <w:t>144-160.</w:t>
      </w:r>
      <w:r>
        <w:rPr>
          <w:spacing w:val="-13"/>
        </w:rPr>
        <w:t> </w:t>
      </w:r>
      <w:r>
        <w:rPr/>
        <w:t>El</w:t>
      </w:r>
      <w:r>
        <w:rPr>
          <w:spacing w:val="-12"/>
        </w:rPr>
        <w:t> </w:t>
      </w:r>
      <w:r>
        <w:rPr/>
        <w:t>color a* se incrementa del día 0 al 4 y desciende a los días 8 y 12. Por su parte el color b*, desciende con diferentes patrones entre tratamientos (Cuadro</w:t>
      </w:r>
      <w:r>
        <w:rPr>
          <w:spacing w:val="-35"/>
        </w:rPr>
        <w:t> </w:t>
      </w:r>
      <w:r>
        <w:rPr/>
        <w:t>8).</w:t>
      </w:r>
    </w:p>
    <w:p>
      <w:pPr>
        <w:pStyle w:val="BodyText"/>
        <w:spacing w:line="480" w:lineRule="auto" w:before="8"/>
        <w:ind w:left="101" w:right="117"/>
        <w:jc w:val="both"/>
      </w:pPr>
      <w:r>
        <w:rPr/>
        <w:t>Al no encontrar diferencias entre tratamientos pudiera explicarse debido a que las flores son órganos con baja tasa de transpiración, en comparación con las hojas y se caracterizan por tener bajas tasas de translocación de elementos minerales, Marschner (1995) en el caso del Mg y el Zn se acumulan principalmente en tallos y hojas, (Ortega-Blu </w:t>
      </w:r>
      <w:r>
        <w:rPr>
          <w:i/>
        </w:rPr>
        <w:t>et al</w:t>
      </w:r>
      <w:r>
        <w:rPr/>
        <w:t>., 2006).</w:t>
      </w:r>
    </w:p>
    <w:p>
      <w:pPr>
        <w:spacing w:after="0" w:line="480" w:lineRule="auto"/>
        <w:jc w:val="both"/>
        <w:sectPr>
          <w:pgSz w:w="12240" w:h="15840"/>
          <w:pgMar w:header="0" w:footer="1005" w:top="1360" w:bottom="1200" w:left="1600" w:right="1580"/>
        </w:sectPr>
      </w:pPr>
    </w:p>
    <w:p>
      <w:pPr>
        <w:pStyle w:val="BodyText"/>
        <w:spacing w:line="274" w:lineRule="exact" w:before="57"/>
        <w:ind w:left="121" w:right="947"/>
      </w:pPr>
      <w:r>
        <w:rPr/>
        <w:t>Cuadro 8. Efecto de la fertilización con solución Steiner, zinc y magnesio, sobre parámetros de color en la flor de </w:t>
      </w:r>
      <w:r>
        <w:rPr>
          <w:i/>
        </w:rPr>
        <w:t>Lilium </w:t>
      </w:r>
      <w:r>
        <w:rPr/>
        <w:t>cv. Serrada en días poscosecha.</w:t>
      </w:r>
    </w:p>
    <w:p>
      <w:pPr>
        <w:pStyle w:val="BodyText"/>
        <w:spacing w:before="9"/>
        <w:rPr>
          <w:sz w:val="20"/>
        </w:rPr>
      </w:pPr>
      <w:r>
        <w:rPr/>
        <w:pict>
          <v:line style="position:absolute;mso-position-horizontal-relative:page;mso-position-vertical-relative:paragraph;z-index:2224;mso-wrap-distance-left:0;mso-wrap-distance-right:0" from="84.479996pt,14.179751pt" to="565.319985pt,14.179751pt" stroked="true" strokeweight=".48pt" strokecolor="#000000">
            <w10:wrap type="topAndBottom"/>
          </v:line>
        </w:pict>
      </w:r>
    </w:p>
    <w:p>
      <w:pPr>
        <w:pStyle w:val="BodyText"/>
        <w:tabs>
          <w:tab w:pos="5360" w:val="left" w:leader="none"/>
        </w:tabs>
        <w:spacing w:after="30"/>
        <w:ind w:left="1189" w:right="947"/>
      </w:pPr>
      <w:r>
        <w:rPr/>
        <w:t>Día</w:t>
        <w:tab/>
        <w:t>Tratamiento Zn:Mg</w:t>
      </w:r>
      <w:r>
        <w:rPr>
          <w:spacing w:val="-11"/>
        </w:rPr>
        <w:t> </w:t>
      </w:r>
      <w:r>
        <w:rPr/>
        <w:t>(mgL</w:t>
      </w:r>
      <w:r>
        <w:rPr>
          <w:position w:val="8"/>
          <w:sz w:val="16"/>
        </w:rPr>
        <w:t>-1</w:t>
      </w:r>
      <w:r>
        <w:rPr/>
        <w:t>)</w:t>
      </w: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6"/>
        <w:gridCol w:w="626"/>
        <w:gridCol w:w="1181"/>
        <w:gridCol w:w="1282"/>
        <w:gridCol w:w="1360"/>
        <w:gridCol w:w="1416"/>
        <w:gridCol w:w="1478"/>
        <w:gridCol w:w="1368"/>
      </w:tblGrid>
      <w:tr>
        <w:trPr>
          <w:trHeight w:val="255" w:hRule="exact"/>
        </w:trPr>
        <w:tc>
          <w:tcPr>
            <w:tcW w:w="906" w:type="dxa"/>
            <w:vMerge w:val="restart"/>
          </w:tcPr>
          <w:p>
            <w:pPr/>
          </w:p>
        </w:tc>
        <w:tc>
          <w:tcPr>
            <w:tcW w:w="626" w:type="dxa"/>
            <w:tcBorders>
              <w:bottom w:val="single" w:sz="4" w:space="0" w:color="000000"/>
            </w:tcBorders>
          </w:tcPr>
          <w:p>
            <w:pPr/>
          </w:p>
        </w:tc>
        <w:tc>
          <w:tcPr>
            <w:tcW w:w="1181" w:type="dxa"/>
            <w:tcBorders>
              <w:bottom w:val="single" w:sz="4" w:space="0" w:color="000000"/>
            </w:tcBorders>
          </w:tcPr>
          <w:p>
            <w:pPr>
              <w:pStyle w:val="TableParagraph"/>
              <w:spacing w:line="246" w:lineRule="exact"/>
              <w:ind w:left="414"/>
              <w:rPr>
                <w:sz w:val="24"/>
              </w:rPr>
            </w:pPr>
            <w:r>
              <w:rPr>
                <w:sz w:val="24"/>
              </w:rPr>
              <w:t>0 - 0</w:t>
            </w:r>
          </w:p>
        </w:tc>
        <w:tc>
          <w:tcPr>
            <w:tcW w:w="1282" w:type="dxa"/>
            <w:tcBorders>
              <w:bottom w:val="single" w:sz="4" w:space="0" w:color="000000"/>
            </w:tcBorders>
          </w:tcPr>
          <w:p>
            <w:pPr>
              <w:pStyle w:val="TableParagraph"/>
              <w:spacing w:line="246" w:lineRule="exact"/>
              <w:ind w:left="179"/>
              <w:rPr>
                <w:sz w:val="24"/>
              </w:rPr>
            </w:pPr>
            <w:r>
              <w:rPr>
                <w:sz w:val="24"/>
              </w:rPr>
              <w:t>72 - 160</w:t>
            </w:r>
          </w:p>
        </w:tc>
        <w:tc>
          <w:tcPr>
            <w:tcW w:w="1360" w:type="dxa"/>
            <w:tcBorders>
              <w:bottom w:val="single" w:sz="4" w:space="0" w:color="000000"/>
            </w:tcBorders>
          </w:tcPr>
          <w:p>
            <w:pPr>
              <w:pStyle w:val="TableParagraph"/>
              <w:spacing w:line="246" w:lineRule="exact"/>
              <w:ind w:left="246"/>
              <w:rPr>
                <w:sz w:val="24"/>
              </w:rPr>
            </w:pPr>
            <w:r>
              <w:rPr>
                <w:sz w:val="24"/>
              </w:rPr>
              <w:t>144 - 80</w:t>
            </w:r>
          </w:p>
        </w:tc>
        <w:tc>
          <w:tcPr>
            <w:tcW w:w="1416" w:type="dxa"/>
            <w:tcBorders>
              <w:bottom w:val="single" w:sz="4" w:space="0" w:color="000000"/>
            </w:tcBorders>
          </w:tcPr>
          <w:p>
            <w:pPr>
              <w:pStyle w:val="TableParagraph"/>
              <w:spacing w:line="246" w:lineRule="exact"/>
              <w:ind w:left="233"/>
              <w:rPr>
                <w:sz w:val="24"/>
              </w:rPr>
            </w:pPr>
            <w:r>
              <w:rPr>
                <w:sz w:val="24"/>
              </w:rPr>
              <w:t>144 -160</w:t>
            </w:r>
          </w:p>
        </w:tc>
        <w:tc>
          <w:tcPr>
            <w:tcW w:w="1478" w:type="dxa"/>
            <w:tcBorders>
              <w:bottom w:val="single" w:sz="4" w:space="0" w:color="000000"/>
            </w:tcBorders>
          </w:tcPr>
          <w:p>
            <w:pPr>
              <w:pStyle w:val="TableParagraph"/>
              <w:spacing w:line="246" w:lineRule="exact"/>
              <w:ind w:left="233"/>
              <w:rPr>
                <w:sz w:val="24"/>
              </w:rPr>
            </w:pPr>
            <w:r>
              <w:rPr>
                <w:sz w:val="24"/>
              </w:rPr>
              <w:t>288 - 320</w:t>
            </w:r>
          </w:p>
        </w:tc>
        <w:tc>
          <w:tcPr>
            <w:tcW w:w="1368" w:type="dxa"/>
            <w:tcBorders>
              <w:bottom w:val="single" w:sz="4" w:space="0" w:color="000000"/>
            </w:tcBorders>
          </w:tcPr>
          <w:p>
            <w:pPr>
              <w:pStyle w:val="TableParagraph"/>
              <w:spacing w:line="246" w:lineRule="exact"/>
              <w:ind w:left="233"/>
              <w:rPr>
                <w:sz w:val="24"/>
              </w:rPr>
            </w:pPr>
            <w:r>
              <w:rPr>
                <w:sz w:val="24"/>
              </w:rPr>
              <w:t>432 - 480</w:t>
            </w:r>
          </w:p>
        </w:tc>
      </w:tr>
      <w:tr>
        <w:trPr>
          <w:trHeight w:val="565" w:hRule="exact"/>
        </w:trPr>
        <w:tc>
          <w:tcPr>
            <w:tcW w:w="906" w:type="dxa"/>
            <w:vMerge/>
          </w:tcPr>
          <w:p>
            <w:pPr/>
          </w:p>
        </w:tc>
        <w:tc>
          <w:tcPr>
            <w:tcW w:w="626" w:type="dxa"/>
            <w:tcBorders>
              <w:top w:val="single" w:sz="4" w:space="0" w:color="000000"/>
            </w:tcBorders>
          </w:tcPr>
          <w:p>
            <w:pPr>
              <w:pStyle w:val="TableParagraph"/>
              <w:spacing w:before="7"/>
              <w:rPr>
                <w:sz w:val="23"/>
              </w:rPr>
            </w:pPr>
          </w:p>
          <w:p>
            <w:pPr>
              <w:pStyle w:val="TableParagraph"/>
              <w:ind w:right="318"/>
              <w:jc w:val="right"/>
              <w:rPr>
                <w:sz w:val="24"/>
              </w:rPr>
            </w:pPr>
            <w:r>
              <w:rPr>
                <w:w w:val="99"/>
                <w:sz w:val="24"/>
              </w:rPr>
              <w:t>0</w:t>
            </w:r>
          </w:p>
        </w:tc>
        <w:tc>
          <w:tcPr>
            <w:tcW w:w="1181" w:type="dxa"/>
            <w:tcBorders>
              <w:top w:val="single" w:sz="4" w:space="0" w:color="000000"/>
            </w:tcBorders>
          </w:tcPr>
          <w:p>
            <w:pPr>
              <w:pStyle w:val="TableParagraph"/>
              <w:spacing w:before="7"/>
              <w:rPr>
                <w:sz w:val="23"/>
              </w:rPr>
            </w:pPr>
          </w:p>
          <w:p>
            <w:pPr>
              <w:pStyle w:val="TableParagraph"/>
              <w:ind w:right="165"/>
              <w:jc w:val="right"/>
              <w:rPr>
                <w:sz w:val="24"/>
              </w:rPr>
            </w:pPr>
            <w:r>
              <w:rPr>
                <w:sz w:val="24"/>
              </w:rPr>
              <w:t>68.7 a</w:t>
            </w:r>
          </w:p>
        </w:tc>
        <w:tc>
          <w:tcPr>
            <w:tcW w:w="1282" w:type="dxa"/>
            <w:tcBorders>
              <w:top w:val="single" w:sz="4" w:space="0" w:color="000000"/>
            </w:tcBorders>
          </w:tcPr>
          <w:p>
            <w:pPr>
              <w:pStyle w:val="TableParagraph"/>
              <w:spacing w:before="7"/>
              <w:rPr>
                <w:sz w:val="23"/>
              </w:rPr>
            </w:pPr>
          </w:p>
          <w:p>
            <w:pPr>
              <w:pStyle w:val="TableParagraph"/>
              <w:ind w:left="301"/>
              <w:rPr>
                <w:sz w:val="24"/>
              </w:rPr>
            </w:pPr>
            <w:r>
              <w:rPr>
                <w:sz w:val="24"/>
              </w:rPr>
              <w:t>72.1 a</w:t>
            </w:r>
          </w:p>
        </w:tc>
        <w:tc>
          <w:tcPr>
            <w:tcW w:w="1360" w:type="dxa"/>
            <w:tcBorders>
              <w:top w:val="single" w:sz="4" w:space="0" w:color="000000"/>
            </w:tcBorders>
          </w:tcPr>
          <w:p>
            <w:pPr>
              <w:pStyle w:val="TableParagraph"/>
              <w:spacing w:before="7"/>
              <w:rPr>
                <w:sz w:val="23"/>
              </w:rPr>
            </w:pPr>
          </w:p>
          <w:p>
            <w:pPr>
              <w:pStyle w:val="TableParagraph"/>
              <w:ind w:left="354"/>
              <w:rPr>
                <w:sz w:val="24"/>
              </w:rPr>
            </w:pPr>
            <w:r>
              <w:rPr>
                <w:sz w:val="24"/>
              </w:rPr>
              <w:t>72.4 a</w:t>
            </w:r>
          </w:p>
        </w:tc>
        <w:tc>
          <w:tcPr>
            <w:tcW w:w="1416" w:type="dxa"/>
            <w:tcBorders>
              <w:top w:val="single" w:sz="4" w:space="0" w:color="000000"/>
            </w:tcBorders>
          </w:tcPr>
          <w:p>
            <w:pPr>
              <w:pStyle w:val="TableParagraph"/>
              <w:spacing w:before="7"/>
              <w:rPr>
                <w:sz w:val="23"/>
              </w:rPr>
            </w:pPr>
          </w:p>
          <w:p>
            <w:pPr>
              <w:pStyle w:val="TableParagraph"/>
              <w:ind w:left="396"/>
              <w:rPr>
                <w:sz w:val="24"/>
              </w:rPr>
            </w:pPr>
            <w:r>
              <w:rPr>
                <w:sz w:val="24"/>
              </w:rPr>
              <w:t>72.2 a</w:t>
            </w:r>
          </w:p>
        </w:tc>
        <w:tc>
          <w:tcPr>
            <w:tcW w:w="1478" w:type="dxa"/>
            <w:tcBorders>
              <w:top w:val="single" w:sz="4" w:space="0" w:color="000000"/>
            </w:tcBorders>
          </w:tcPr>
          <w:p>
            <w:pPr>
              <w:pStyle w:val="TableParagraph"/>
              <w:spacing w:before="7"/>
              <w:rPr>
                <w:sz w:val="23"/>
              </w:rPr>
            </w:pPr>
          </w:p>
          <w:p>
            <w:pPr>
              <w:pStyle w:val="TableParagraph"/>
              <w:ind w:left="379"/>
              <w:rPr>
                <w:sz w:val="24"/>
              </w:rPr>
            </w:pPr>
            <w:r>
              <w:rPr>
                <w:sz w:val="24"/>
              </w:rPr>
              <w:t>71.9 a</w:t>
            </w:r>
          </w:p>
        </w:tc>
        <w:tc>
          <w:tcPr>
            <w:tcW w:w="1368" w:type="dxa"/>
            <w:tcBorders>
              <w:top w:val="single" w:sz="4" w:space="0" w:color="000000"/>
            </w:tcBorders>
          </w:tcPr>
          <w:p>
            <w:pPr>
              <w:pStyle w:val="TableParagraph"/>
              <w:spacing w:before="7"/>
              <w:rPr>
                <w:sz w:val="23"/>
              </w:rPr>
            </w:pPr>
          </w:p>
          <w:p>
            <w:pPr>
              <w:pStyle w:val="TableParagraph"/>
              <w:ind w:left="437"/>
              <w:rPr>
                <w:sz w:val="24"/>
              </w:rPr>
            </w:pPr>
            <w:r>
              <w:rPr>
                <w:sz w:val="24"/>
              </w:rPr>
              <w:t>73.7 a</w:t>
            </w:r>
          </w:p>
        </w:tc>
      </w:tr>
      <w:tr>
        <w:trPr>
          <w:trHeight w:val="276" w:hRule="exact"/>
        </w:trPr>
        <w:tc>
          <w:tcPr>
            <w:tcW w:w="906" w:type="dxa"/>
          </w:tcPr>
          <w:p>
            <w:pPr>
              <w:pStyle w:val="TableParagraph"/>
              <w:spacing w:line="264" w:lineRule="exact"/>
              <w:ind w:left="278"/>
              <w:rPr>
                <w:sz w:val="24"/>
              </w:rPr>
            </w:pPr>
            <w:r>
              <w:rPr>
                <w:w w:val="99"/>
                <w:sz w:val="24"/>
              </w:rPr>
              <w:t>L</w:t>
            </w:r>
          </w:p>
        </w:tc>
        <w:tc>
          <w:tcPr>
            <w:tcW w:w="626" w:type="dxa"/>
          </w:tcPr>
          <w:p>
            <w:pPr>
              <w:pStyle w:val="TableParagraph"/>
              <w:spacing w:line="264" w:lineRule="exact"/>
              <w:ind w:right="318"/>
              <w:jc w:val="right"/>
              <w:rPr>
                <w:sz w:val="24"/>
              </w:rPr>
            </w:pPr>
            <w:r>
              <w:rPr>
                <w:w w:val="99"/>
                <w:sz w:val="24"/>
              </w:rPr>
              <w:t>4</w:t>
            </w:r>
          </w:p>
        </w:tc>
        <w:tc>
          <w:tcPr>
            <w:tcW w:w="1181" w:type="dxa"/>
          </w:tcPr>
          <w:p>
            <w:pPr>
              <w:pStyle w:val="TableParagraph"/>
              <w:spacing w:line="264" w:lineRule="exact"/>
              <w:ind w:right="165"/>
              <w:jc w:val="right"/>
              <w:rPr>
                <w:sz w:val="24"/>
              </w:rPr>
            </w:pPr>
            <w:r>
              <w:rPr>
                <w:sz w:val="24"/>
              </w:rPr>
              <w:t>74.7 a</w:t>
            </w:r>
          </w:p>
        </w:tc>
        <w:tc>
          <w:tcPr>
            <w:tcW w:w="1282" w:type="dxa"/>
          </w:tcPr>
          <w:p>
            <w:pPr>
              <w:pStyle w:val="TableParagraph"/>
              <w:spacing w:line="264" w:lineRule="exact"/>
              <w:ind w:left="301"/>
              <w:rPr>
                <w:sz w:val="24"/>
              </w:rPr>
            </w:pPr>
            <w:r>
              <w:rPr>
                <w:sz w:val="24"/>
              </w:rPr>
              <w:t>75.3 a</w:t>
            </w:r>
          </w:p>
        </w:tc>
        <w:tc>
          <w:tcPr>
            <w:tcW w:w="1360" w:type="dxa"/>
          </w:tcPr>
          <w:p>
            <w:pPr>
              <w:pStyle w:val="TableParagraph"/>
              <w:spacing w:line="264" w:lineRule="exact"/>
              <w:ind w:left="354"/>
              <w:rPr>
                <w:sz w:val="24"/>
              </w:rPr>
            </w:pPr>
            <w:r>
              <w:rPr>
                <w:sz w:val="24"/>
              </w:rPr>
              <w:t>74.9 a</w:t>
            </w:r>
          </w:p>
        </w:tc>
        <w:tc>
          <w:tcPr>
            <w:tcW w:w="1416" w:type="dxa"/>
          </w:tcPr>
          <w:p>
            <w:pPr>
              <w:pStyle w:val="TableParagraph"/>
              <w:spacing w:line="264" w:lineRule="exact"/>
              <w:ind w:left="396"/>
              <w:rPr>
                <w:sz w:val="24"/>
              </w:rPr>
            </w:pPr>
            <w:r>
              <w:rPr>
                <w:sz w:val="24"/>
              </w:rPr>
              <w:t>74.5 a</w:t>
            </w:r>
          </w:p>
        </w:tc>
        <w:tc>
          <w:tcPr>
            <w:tcW w:w="1478" w:type="dxa"/>
          </w:tcPr>
          <w:p>
            <w:pPr>
              <w:pStyle w:val="TableParagraph"/>
              <w:spacing w:line="264" w:lineRule="exact"/>
              <w:ind w:left="379"/>
              <w:rPr>
                <w:sz w:val="24"/>
              </w:rPr>
            </w:pPr>
            <w:r>
              <w:rPr>
                <w:sz w:val="24"/>
              </w:rPr>
              <w:t>73.8 a</w:t>
            </w:r>
          </w:p>
        </w:tc>
        <w:tc>
          <w:tcPr>
            <w:tcW w:w="1368" w:type="dxa"/>
          </w:tcPr>
          <w:p>
            <w:pPr>
              <w:pStyle w:val="TableParagraph"/>
              <w:spacing w:line="264" w:lineRule="exact"/>
              <w:ind w:left="437"/>
              <w:rPr>
                <w:sz w:val="24"/>
              </w:rPr>
            </w:pPr>
            <w:r>
              <w:rPr>
                <w:sz w:val="24"/>
              </w:rPr>
              <w:t>74.6 a</w:t>
            </w:r>
          </w:p>
        </w:tc>
      </w:tr>
      <w:tr>
        <w:trPr>
          <w:trHeight w:val="276" w:hRule="exact"/>
        </w:trPr>
        <w:tc>
          <w:tcPr>
            <w:tcW w:w="906" w:type="dxa"/>
          </w:tcPr>
          <w:p>
            <w:pPr/>
          </w:p>
        </w:tc>
        <w:tc>
          <w:tcPr>
            <w:tcW w:w="626" w:type="dxa"/>
          </w:tcPr>
          <w:p>
            <w:pPr>
              <w:pStyle w:val="TableParagraph"/>
              <w:spacing w:line="264" w:lineRule="exact"/>
              <w:ind w:right="318"/>
              <w:jc w:val="right"/>
              <w:rPr>
                <w:sz w:val="24"/>
              </w:rPr>
            </w:pPr>
            <w:r>
              <w:rPr>
                <w:w w:val="99"/>
                <w:sz w:val="24"/>
              </w:rPr>
              <w:t>8</w:t>
            </w:r>
          </w:p>
        </w:tc>
        <w:tc>
          <w:tcPr>
            <w:tcW w:w="1181" w:type="dxa"/>
          </w:tcPr>
          <w:p>
            <w:pPr>
              <w:pStyle w:val="TableParagraph"/>
              <w:spacing w:line="264" w:lineRule="exact"/>
              <w:ind w:right="165"/>
              <w:jc w:val="right"/>
              <w:rPr>
                <w:sz w:val="24"/>
              </w:rPr>
            </w:pPr>
            <w:r>
              <w:rPr>
                <w:sz w:val="24"/>
              </w:rPr>
              <w:t>72.0 a</w:t>
            </w:r>
          </w:p>
        </w:tc>
        <w:tc>
          <w:tcPr>
            <w:tcW w:w="1282" w:type="dxa"/>
          </w:tcPr>
          <w:p>
            <w:pPr>
              <w:pStyle w:val="TableParagraph"/>
              <w:spacing w:line="264" w:lineRule="exact"/>
              <w:ind w:left="301"/>
              <w:rPr>
                <w:sz w:val="24"/>
              </w:rPr>
            </w:pPr>
            <w:r>
              <w:rPr>
                <w:sz w:val="24"/>
              </w:rPr>
              <w:t>73.3 a</w:t>
            </w:r>
          </w:p>
        </w:tc>
        <w:tc>
          <w:tcPr>
            <w:tcW w:w="1360" w:type="dxa"/>
          </w:tcPr>
          <w:p>
            <w:pPr>
              <w:pStyle w:val="TableParagraph"/>
              <w:spacing w:line="264" w:lineRule="exact"/>
              <w:ind w:left="354"/>
              <w:rPr>
                <w:sz w:val="24"/>
              </w:rPr>
            </w:pPr>
            <w:r>
              <w:rPr>
                <w:sz w:val="24"/>
              </w:rPr>
              <w:t>72.3 a</w:t>
            </w:r>
          </w:p>
        </w:tc>
        <w:tc>
          <w:tcPr>
            <w:tcW w:w="1416" w:type="dxa"/>
          </w:tcPr>
          <w:p>
            <w:pPr>
              <w:pStyle w:val="TableParagraph"/>
              <w:spacing w:line="264" w:lineRule="exact"/>
              <w:ind w:left="396"/>
              <w:rPr>
                <w:sz w:val="24"/>
              </w:rPr>
            </w:pPr>
            <w:r>
              <w:rPr>
                <w:sz w:val="24"/>
              </w:rPr>
              <w:t>73.9 a</w:t>
            </w:r>
          </w:p>
        </w:tc>
        <w:tc>
          <w:tcPr>
            <w:tcW w:w="1478" w:type="dxa"/>
          </w:tcPr>
          <w:p>
            <w:pPr>
              <w:pStyle w:val="TableParagraph"/>
              <w:spacing w:line="264" w:lineRule="exact"/>
              <w:ind w:left="379"/>
              <w:rPr>
                <w:sz w:val="24"/>
              </w:rPr>
            </w:pPr>
            <w:r>
              <w:rPr>
                <w:sz w:val="24"/>
              </w:rPr>
              <w:t>71.9 a</w:t>
            </w:r>
          </w:p>
        </w:tc>
        <w:tc>
          <w:tcPr>
            <w:tcW w:w="1368" w:type="dxa"/>
          </w:tcPr>
          <w:p>
            <w:pPr>
              <w:pStyle w:val="TableParagraph"/>
              <w:spacing w:line="264" w:lineRule="exact"/>
              <w:ind w:left="437"/>
              <w:rPr>
                <w:sz w:val="24"/>
              </w:rPr>
            </w:pPr>
            <w:r>
              <w:rPr>
                <w:sz w:val="24"/>
              </w:rPr>
              <w:t>73.3 a</w:t>
            </w:r>
          </w:p>
        </w:tc>
      </w:tr>
      <w:tr>
        <w:trPr>
          <w:trHeight w:val="414" w:hRule="exact"/>
        </w:trPr>
        <w:tc>
          <w:tcPr>
            <w:tcW w:w="906" w:type="dxa"/>
          </w:tcPr>
          <w:p>
            <w:pPr/>
          </w:p>
        </w:tc>
        <w:tc>
          <w:tcPr>
            <w:tcW w:w="626" w:type="dxa"/>
          </w:tcPr>
          <w:p>
            <w:pPr>
              <w:pStyle w:val="TableParagraph"/>
              <w:spacing w:line="264" w:lineRule="exact"/>
              <w:ind w:right="318"/>
              <w:jc w:val="right"/>
              <w:rPr>
                <w:sz w:val="24"/>
              </w:rPr>
            </w:pPr>
            <w:r>
              <w:rPr>
                <w:sz w:val="24"/>
              </w:rPr>
              <w:t>12</w:t>
            </w:r>
          </w:p>
        </w:tc>
        <w:tc>
          <w:tcPr>
            <w:tcW w:w="1181" w:type="dxa"/>
          </w:tcPr>
          <w:p>
            <w:pPr>
              <w:pStyle w:val="TableParagraph"/>
              <w:spacing w:line="264" w:lineRule="exact"/>
              <w:ind w:right="165"/>
              <w:jc w:val="right"/>
              <w:rPr>
                <w:sz w:val="24"/>
              </w:rPr>
            </w:pPr>
            <w:r>
              <w:rPr>
                <w:sz w:val="24"/>
              </w:rPr>
              <w:t>63.5 a</w:t>
            </w:r>
          </w:p>
        </w:tc>
        <w:tc>
          <w:tcPr>
            <w:tcW w:w="1282" w:type="dxa"/>
          </w:tcPr>
          <w:p>
            <w:pPr>
              <w:pStyle w:val="TableParagraph"/>
              <w:spacing w:line="264" w:lineRule="exact"/>
              <w:ind w:left="301"/>
              <w:rPr>
                <w:sz w:val="24"/>
              </w:rPr>
            </w:pPr>
            <w:r>
              <w:rPr>
                <w:sz w:val="24"/>
              </w:rPr>
              <w:t>63.7 a</w:t>
            </w:r>
          </w:p>
        </w:tc>
        <w:tc>
          <w:tcPr>
            <w:tcW w:w="1360" w:type="dxa"/>
          </w:tcPr>
          <w:p>
            <w:pPr>
              <w:pStyle w:val="TableParagraph"/>
              <w:spacing w:line="264" w:lineRule="exact"/>
              <w:ind w:left="354"/>
              <w:rPr>
                <w:sz w:val="24"/>
              </w:rPr>
            </w:pPr>
            <w:r>
              <w:rPr>
                <w:sz w:val="24"/>
              </w:rPr>
              <w:t>65.8 a</w:t>
            </w:r>
          </w:p>
        </w:tc>
        <w:tc>
          <w:tcPr>
            <w:tcW w:w="1416" w:type="dxa"/>
          </w:tcPr>
          <w:p>
            <w:pPr>
              <w:pStyle w:val="TableParagraph"/>
              <w:spacing w:line="264" w:lineRule="exact"/>
              <w:ind w:left="396"/>
              <w:rPr>
                <w:sz w:val="24"/>
              </w:rPr>
            </w:pPr>
            <w:r>
              <w:rPr>
                <w:sz w:val="24"/>
              </w:rPr>
              <w:t>63.5 a</w:t>
            </w:r>
          </w:p>
        </w:tc>
        <w:tc>
          <w:tcPr>
            <w:tcW w:w="1478" w:type="dxa"/>
          </w:tcPr>
          <w:p>
            <w:pPr>
              <w:pStyle w:val="TableParagraph"/>
              <w:spacing w:line="264" w:lineRule="exact"/>
              <w:ind w:left="379"/>
              <w:rPr>
                <w:sz w:val="24"/>
              </w:rPr>
            </w:pPr>
            <w:r>
              <w:rPr>
                <w:sz w:val="24"/>
              </w:rPr>
              <w:t>64.6 a</w:t>
            </w:r>
          </w:p>
        </w:tc>
        <w:tc>
          <w:tcPr>
            <w:tcW w:w="1368" w:type="dxa"/>
          </w:tcPr>
          <w:p>
            <w:pPr>
              <w:pStyle w:val="TableParagraph"/>
              <w:spacing w:line="264" w:lineRule="exact"/>
              <w:ind w:left="437"/>
              <w:rPr>
                <w:sz w:val="24"/>
              </w:rPr>
            </w:pPr>
            <w:r>
              <w:rPr>
                <w:sz w:val="24"/>
              </w:rPr>
              <w:t>61.3 a</w:t>
            </w:r>
          </w:p>
        </w:tc>
      </w:tr>
      <w:tr>
        <w:trPr>
          <w:trHeight w:val="414" w:hRule="exact"/>
        </w:trPr>
        <w:tc>
          <w:tcPr>
            <w:tcW w:w="906" w:type="dxa"/>
          </w:tcPr>
          <w:p>
            <w:pPr/>
          </w:p>
        </w:tc>
        <w:tc>
          <w:tcPr>
            <w:tcW w:w="626" w:type="dxa"/>
          </w:tcPr>
          <w:p>
            <w:pPr>
              <w:pStyle w:val="TableParagraph"/>
              <w:spacing w:before="125"/>
              <w:ind w:right="318"/>
              <w:jc w:val="right"/>
              <w:rPr>
                <w:sz w:val="24"/>
              </w:rPr>
            </w:pPr>
            <w:r>
              <w:rPr>
                <w:w w:val="99"/>
                <w:sz w:val="24"/>
              </w:rPr>
              <w:t>0</w:t>
            </w:r>
          </w:p>
        </w:tc>
        <w:tc>
          <w:tcPr>
            <w:tcW w:w="1181" w:type="dxa"/>
          </w:tcPr>
          <w:p>
            <w:pPr>
              <w:pStyle w:val="TableParagraph"/>
              <w:spacing w:before="125"/>
              <w:ind w:right="153"/>
              <w:jc w:val="right"/>
              <w:rPr>
                <w:sz w:val="24"/>
              </w:rPr>
            </w:pPr>
            <w:r>
              <w:rPr>
                <w:sz w:val="24"/>
              </w:rPr>
              <w:t>-8.8 a</w:t>
            </w:r>
          </w:p>
        </w:tc>
        <w:tc>
          <w:tcPr>
            <w:tcW w:w="1282" w:type="dxa"/>
          </w:tcPr>
          <w:p>
            <w:pPr>
              <w:pStyle w:val="TableParagraph"/>
              <w:spacing w:before="125"/>
              <w:ind w:left="313"/>
              <w:rPr>
                <w:sz w:val="24"/>
              </w:rPr>
            </w:pPr>
            <w:r>
              <w:rPr>
                <w:sz w:val="24"/>
              </w:rPr>
              <w:t>-6.8 a</w:t>
            </w:r>
          </w:p>
        </w:tc>
        <w:tc>
          <w:tcPr>
            <w:tcW w:w="1360" w:type="dxa"/>
          </w:tcPr>
          <w:p>
            <w:pPr>
              <w:pStyle w:val="TableParagraph"/>
              <w:spacing w:before="125"/>
              <w:ind w:left="246"/>
              <w:rPr>
                <w:sz w:val="24"/>
              </w:rPr>
            </w:pPr>
            <w:r>
              <w:rPr>
                <w:sz w:val="24"/>
              </w:rPr>
              <w:t>-10.9 a</w:t>
            </w:r>
          </w:p>
        </w:tc>
        <w:tc>
          <w:tcPr>
            <w:tcW w:w="1416" w:type="dxa"/>
          </w:tcPr>
          <w:p>
            <w:pPr>
              <w:pStyle w:val="TableParagraph"/>
              <w:spacing w:before="125"/>
              <w:ind w:left="300"/>
              <w:rPr>
                <w:sz w:val="24"/>
              </w:rPr>
            </w:pPr>
            <w:r>
              <w:rPr>
                <w:sz w:val="24"/>
              </w:rPr>
              <w:t>-11.6 a</w:t>
            </w:r>
          </w:p>
        </w:tc>
        <w:tc>
          <w:tcPr>
            <w:tcW w:w="1478" w:type="dxa"/>
          </w:tcPr>
          <w:p>
            <w:pPr>
              <w:pStyle w:val="TableParagraph"/>
              <w:spacing w:before="125"/>
              <w:ind w:left="300"/>
              <w:rPr>
                <w:sz w:val="24"/>
              </w:rPr>
            </w:pPr>
            <w:r>
              <w:rPr>
                <w:sz w:val="24"/>
              </w:rPr>
              <w:t>-11.5 a</w:t>
            </w:r>
          </w:p>
        </w:tc>
        <w:tc>
          <w:tcPr>
            <w:tcW w:w="1368" w:type="dxa"/>
          </w:tcPr>
          <w:p>
            <w:pPr>
              <w:pStyle w:val="TableParagraph"/>
              <w:spacing w:before="125"/>
              <w:ind w:left="370"/>
              <w:rPr>
                <w:sz w:val="24"/>
              </w:rPr>
            </w:pPr>
            <w:r>
              <w:rPr>
                <w:sz w:val="24"/>
              </w:rPr>
              <w:t>-10.7 a</w:t>
            </w:r>
          </w:p>
        </w:tc>
      </w:tr>
      <w:tr>
        <w:trPr>
          <w:trHeight w:val="276" w:hRule="exact"/>
        </w:trPr>
        <w:tc>
          <w:tcPr>
            <w:tcW w:w="906" w:type="dxa"/>
          </w:tcPr>
          <w:p>
            <w:pPr>
              <w:pStyle w:val="TableParagraph"/>
              <w:spacing w:line="264" w:lineRule="exact"/>
              <w:ind w:left="278"/>
              <w:rPr>
                <w:sz w:val="24"/>
              </w:rPr>
            </w:pPr>
            <w:r>
              <w:rPr>
                <w:w w:val="99"/>
                <w:sz w:val="24"/>
              </w:rPr>
              <w:t>a</w:t>
            </w:r>
          </w:p>
        </w:tc>
        <w:tc>
          <w:tcPr>
            <w:tcW w:w="626" w:type="dxa"/>
          </w:tcPr>
          <w:p>
            <w:pPr>
              <w:pStyle w:val="TableParagraph"/>
              <w:spacing w:line="264" w:lineRule="exact"/>
              <w:ind w:right="318"/>
              <w:jc w:val="right"/>
              <w:rPr>
                <w:sz w:val="24"/>
              </w:rPr>
            </w:pPr>
            <w:r>
              <w:rPr>
                <w:w w:val="99"/>
                <w:sz w:val="24"/>
              </w:rPr>
              <w:t>4</w:t>
            </w:r>
          </w:p>
        </w:tc>
        <w:tc>
          <w:tcPr>
            <w:tcW w:w="1181" w:type="dxa"/>
          </w:tcPr>
          <w:p>
            <w:pPr>
              <w:pStyle w:val="TableParagraph"/>
              <w:spacing w:line="264" w:lineRule="exact"/>
              <w:ind w:right="165"/>
              <w:jc w:val="right"/>
              <w:rPr>
                <w:sz w:val="24"/>
              </w:rPr>
            </w:pPr>
            <w:r>
              <w:rPr>
                <w:sz w:val="24"/>
              </w:rPr>
              <w:t>1.7 a</w:t>
            </w:r>
          </w:p>
        </w:tc>
        <w:tc>
          <w:tcPr>
            <w:tcW w:w="1282" w:type="dxa"/>
          </w:tcPr>
          <w:p>
            <w:pPr>
              <w:pStyle w:val="TableParagraph"/>
              <w:spacing w:line="264" w:lineRule="exact"/>
              <w:ind w:left="368"/>
              <w:rPr>
                <w:sz w:val="24"/>
              </w:rPr>
            </w:pPr>
            <w:r>
              <w:rPr>
                <w:sz w:val="24"/>
              </w:rPr>
              <w:t>1.4 a</w:t>
            </w:r>
          </w:p>
        </w:tc>
        <w:tc>
          <w:tcPr>
            <w:tcW w:w="1360" w:type="dxa"/>
          </w:tcPr>
          <w:p>
            <w:pPr>
              <w:pStyle w:val="TableParagraph"/>
              <w:spacing w:line="264" w:lineRule="exact"/>
              <w:ind w:left="486"/>
              <w:rPr>
                <w:sz w:val="24"/>
              </w:rPr>
            </w:pPr>
            <w:r>
              <w:rPr>
                <w:sz w:val="24"/>
              </w:rPr>
              <w:t>1.5 a</w:t>
            </w:r>
          </w:p>
        </w:tc>
        <w:tc>
          <w:tcPr>
            <w:tcW w:w="1416" w:type="dxa"/>
          </w:tcPr>
          <w:p>
            <w:pPr>
              <w:pStyle w:val="TableParagraph"/>
              <w:spacing w:line="264" w:lineRule="exact"/>
              <w:ind w:left="528"/>
              <w:rPr>
                <w:sz w:val="24"/>
              </w:rPr>
            </w:pPr>
            <w:r>
              <w:rPr>
                <w:sz w:val="24"/>
              </w:rPr>
              <w:t>0.6 a</w:t>
            </w:r>
          </w:p>
        </w:tc>
        <w:tc>
          <w:tcPr>
            <w:tcW w:w="1478" w:type="dxa"/>
          </w:tcPr>
          <w:p>
            <w:pPr>
              <w:pStyle w:val="TableParagraph"/>
              <w:spacing w:line="264" w:lineRule="exact"/>
              <w:ind w:left="511"/>
              <w:rPr>
                <w:sz w:val="24"/>
              </w:rPr>
            </w:pPr>
            <w:r>
              <w:rPr>
                <w:sz w:val="24"/>
              </w:rPr>
              <w:t>0.1 a</w:t>
            </w:r>
          </w:p>
        </w:tc>
        <w:tc>
          <w:tcPr>
            <w:tcW w:w="1368" w:type="dxa"/>
          </w:tcPr>
          <w:p>
            <w:pPr>
              <w:pStyle w:val="TableParagraph"/>
              <w:spacing w:line="264" w:lineRule="exact"/>
              <w:ind w:left="569"/>
              <w:rPr>
                <w:sz w:val="24"/>
              </w:rPr>
            </w:pPr>
            <w:r>
              <w:rPr>
                <w:sz w:val="24"/>
              </w:rPr>
              <w:t>0.5 a</w:t>
            </w:r>
          </w:p>
        </w:tc>
      </w:tr>
      <w:tr>
        <w:trPr>
          <w:trHeight w:val="276" w:hRule="exact"/>
        </w:trPr>
        <w:tc>
          <w:tcPr>
            <w:tcW w:w="906" w:type="dxa"/>
          </w:tcPr>
          <w:p>
            <w:pPr/>
          </w:p>
        </w:tc>
        <w:tc>
          <w:tcPr>
            <w:tcW w:w="626" w:type="dxa"/>
          </w:tcPr>
          <w:p>
            <w:pPr>
              <w:pStyle w:val="TableParagraph"/>
              <w:spacing w:line="264" w:lineRule="exact"/>
              <w:ind w:right="318"/>
              <w:jc w:val="right"/>
              <w:rPr>
                <w:sz w:val="24"/>
              </w:rPr>
            </w:pPr>
            <w:r>
              <w:rPr>
                <w:w w:val="99"/>
                <w:sz w:val="24"/>
              </w:rPr>
              <w:t>8</w:t>
            </w:r>
          </w:p>
        </w:tc>
        <w:tc>
          <w:tcPr>
            <w:tcW w:w="1181" w:type="dxa"/>
          </w:tcPr>
          <w:p>
            <w:pPr>
              <w:pStyle w:val="TableParagraph"/>
              <w:spacing w:line="264" w:lineRule="exact"/>
              <w:ind w:right="165"/>
              <w:jc w:val="right"/>
              <w:rPr>
                <w:sz w:val="24"/>
              </w:rPr>
            </w:pPr>
            <w:r>
              <w:rPr>
                <w:sz w:val="24"/>
              </w:rPr>
              <w:t>1.9 a</w:t>
            </w:r>
          </w:p>
        </w:tc>
        <w:tc>
          <w:tcPr>
            <w:tcW w:w="1282" w:type="dxa"/>
          </w:tcPr>
          <w:p>
            <w:pPr>
              <w:pStyle w:val="TableParagraph"/>
              <w:spacing w:line="264" w:lineRule="exact"/>
              <w:ind w:left="368"/>
              <w:rPr>
                <w:sz w:val="24"/>
              </w:rPr>
            </w:pPr>
            <w:r>
              <w:rPr>
                <w:sz w:val="24"/>
              </w:rPr>
              <w:t>1.6 a</w:t>
            </w:r>
          </w:p>
        </w:tc>
        <w:tc>
          <w:tcPr>
            <w:tcW w:w="1360" w:type="dxa"/>
          </w:tcPr>
          <w:p>
            <w:pPr>
              <w:pStyle w:val="TableParagraph"/>
              <w:spacing w:line="264" w:lineRule="exact"/>
              <w:ind w:left="486"/>
              <w:rPr>
                <w:sz w:val="24"/>
              </w:rPr>
            </w:pPr>
            <w:r>
              <w:rPr>
                <w:sz w:val="24"/>
              </w:rPr>
              <w:t>2.0 a</w:t>
            </w:r>
          </w:p>
        </w:tc>
        <w:tc>
          <w:tcPr>
            <w:tcW w:w="1416" w:type="dxa"/>
          </w:tcPr>
          <w:p>
            <w:pPr>
              <w:pStyle w:val="TableParagraph"/>
              <w:spacing w:line="264" w:lineRule="exact"/>
              <w:ind w:left="528"/>
              <w:rPr>
                <w:sz w:val="24"/>
              </w:rPr>
            </w:pPr>
            <w:r>
              <w:rPr>
                <w:sz w:val="24"/>
              </w:rPr>
              <w:t>1.9 a</w:t>
            </w:r>
          </w:p>
        </w:tc>
        <w:tc>
          <w:tcPr>
            <w:tcW w:w="1478" w:type="dxa"/>
          </w:tcPr>
          <w:p>
            <w:pPr>
              <w:pStyle w:val="TableParagraph"/>
              <w:spacing w:line="264" w:lineRule="exact"/>
              <w:ind w:left="511"/>
              <w:rPr>
                <w:sz w:val="24"/>
              </w:rPr>
            </w:pPr>
            <w:r>
              <w:rPr>
                <w:sz w:val="24"/>
              </w:rPr>
              <w:t>2.6 a</w:t>
            </w:r>
          </w:p>
        </w:tc>
        <w:tc>
          <w:tcPr>
            <w:tcW w:w="1368" w:type="dxa"/>
          </w:tcPr>
          <w:p>
            <w:pPr>
              <w:pStyle w:val="TableParagraph"/>
              <w:spacing w:line="264" w:lineRule="exact"/>
              <w:ind w:left="569"/>
              <w:rPr>
                <w:sz w:val="24"/>
              </w:rPr>
            </w:pPr>
            <w:r>
              <w:rPr>
                <w:sz w:val="24"/>
              </w:rPr>
              <w:t>2.6 a</w:t>
            </w:r>
          </w:p>
        </w:tc>
      </w:tr>
      <w:tr>
        <w:trPr>
          <w:trHeight w:val="414" w:hRule="exact"/>
        </w:trPr>
        <w:tc>
          <w:tcPr>
            <w:tcW w:w="906" w:type="dxa"/>
          </w:tcPr>
          <w:p>
            <w:pPr/>
          </w:p>
        </w:tc>
        <w:tc>
          <w:tcPr>
            <w:tcW w:w="626" w:type="dxa"/>
          </w:tcPr>
          <w:p>
            <w:pPr>
              <w:pStyle w:val="TableParagraph"/>
              <w:spacing w:line="264" w:lineRule="exact"/>
              <w:ind w:right="318"/>
              <w:jc w:val="right"/>
              <w:rPr>
                <w:sz w:val="24"/>
              </w:rPr>
            </w:pPr>
            <w:r>
              <w:rPr>
                <w:sz w:val="24"/>
              </w:rPr>
              <w:t>12</w:t>
            </w:r>
          </w:p>
        </w:tc>
        <w:tc>
          <w:tcPr>
            <w:tcW w:w="1181" w:type="dxa"/>
          </w:tcPr>
          <w:p>
            <w:pPr>
              <w:pStyle w:val="TableParagraph"/>
              <w:spacing w:line="264" w:lineRule="exact"/>
              <w:ind w:right="165"/>
              <w:jc w:val="right"/>
              <w:rPr>
                <w:sz w:val="24"/>
              </w:rPr>
            </w:pPr>
            <w:r>
              <w:rPr>
                <w:sz w:val="24"/>
              </w:rPr>
              <w:t>6.5 a</w:t>
            </w:r>
          </w:p>
        </w:tc>
        <w:tc>
          <w:tcPr>
            <w:tcW w:w="1282" w:type="dxa"/>
          </w:tcPr>
          <w:p>
            <w:pPr>
              <w:pStyle w:val="TableParagraph"/>
              <w:spacing w:line="264" w:lineRule="exact"/>
              <w:ind w:left="368"/>
              <w:rPr>
                <w:sz w:val="24"/>
              </w:rPr>
            </w:pPr>
            <w:r>
              <w:rPr>
                <w:sz w:val="24"/>
              </w:rPr>
              <w:t>5.2 a</w:t>
            </w:r>
          </w:p>
        </w:tc>
        <w:tc>
          <w:tcPr>
            <w:tcW w:w="1360" w:type="dxa"/>
          </w:tcPr>
          <w:p>
            <w:pPr>
              <w:pStyle w:val="TableParagraph"/>
              <w:spacing w:line="264" w:lineRule="exact"/>
              <w:ind w:left="486"/>
              <w:rPr>
                <w:sz w:val="24"/>
              </w:rPr>
            </w:pPr>
            <w:r>
              <w:rPr>
                <w:sz w:val="24"/>
              </w:rPr>
              <w:t>7.4 a</w:t>
            </w:r>
          </w:p>
        </w:tc>
        <w:tc>
          <w:tcPr>
            <w:tcW w:w="1416" w:type="dxa"/>
          </w:tcPr>
          <w:p>
            <w:pPr>
              <w:pStyle w:val="TableParagraph"/>
              <w:spacing w:line="264" w:lineRule="exact"/>
              <w:ind w:left="528"/>
              <w:rPr>
                <w:sz w:val="24"/>
              </w:rPr>
            </w:pPr>
            <w:r>
              <w:rPr>
                <w:sz w:val="24"/>
              </w:rPr>
              <w:t>7.3 a</w:t>
            </w:r>
          </w:p>
        </w:tc>
        <w:tc>
          <w:tcPr>
            <w:tcW w:w="1478" w:type="dxa"/>
          </w:tcPr>
          <w:p>
            <w:pPr>
              <w:pStyle w:val="TableParagraph"/>
              <w:spacing w:line="264" w:lineRule="exact"/>
              <w:ind w:left="511"/>
              <w:rPr>
                <w:sz w:val="24"/>
              </w:rPr>
            </w:pPr>
            <w:r>
              <w:rPr>
                <w:sz w:val="24"/>
              </w:rPr>
              <w:t>4.9 a</w:t>
            </w:r>
          </w:p>
        </w:tc>
        <w:tc>
          <w:tcPr>
            <w:tcW w:w="1368" w:type="dxa"/>
          </w:tcPr>
          <w:p>
            <w:pPr>
              <w:pStyle w:val="TableParagraph"/>
              <w:spacing w:line="264" w:lineRule="exact"/>
              <w:ind w:left="569"/>
              <w:rPr>
                <w:sz w:val="24"/>
              </w:rPr>
            </w:pPr>
            <w:r>
              <w:rPr>
                <w:sz w:val="24"/>
              </w:rPr>
              <w:t>5.5 a</w:t>
            </w:r>
          </w:p>
        </w:tc>
      </w:tr>
      <w:tr>
        <w:trPr>
          <w:trHeight w:val="414" w:hRule="exact"/>
        </w:trPr>
        <w:tc>
          <w:tcPr>
            <w:tcW w:w="906" w:type="dxa"/>
          </w:tcPr>
          <w:p>
            <w:pPr/>
          </w:p>
        </w:tc>
        <w:tc>
          <w:tcPr>
            <w:tcW w:w="626" w:type="dxa"/>
          </w:tcPr>
          <w:p>
            <w:pPr>
              <w:pStyle w:val="TableParagraph"/>
              <w:spacing w:before="125"/>
              <w:ind w:right="318"/>
              <w:jc w:val="right"/>
              <w:rPr>
                <w:sz w:val="24"/>
              </w:rPr>
            </w:pPr>
            <w:r>
              <w:rPr>
                <w:w w:val="99"/>
                <w:sz w:val="24"/>
              </w:rPr>
              <w:t>0</w:t>
            </w:r>
          </w:p>
        </w:tc>
        <w:tc>
          <w:tcPr>
            <w:tcW w:w="1181" w:type="dxa"/>
          </w:tcPr>
          <w:p>
            <w:pPr>
              <w:pStyle w:val="TableParagraph"/>
              <w:spacing w:before="125"/>
              <w:ind w:right="165"/>
              <w:jc w:val="right"/>
              <w:rPr>
                <w:sz w:val="24"/>
              </w:rPr>
            </w:pPr>
            <w:r>
              <w:rPr>
                <w:sz w:val="24"/>
              </w:rPr>
              <w:t>65.1 a</w:t>
            </w:r>
          </w:p>
        </w:tc>
        <w:tc>
          <w:tcPr>
            <w:tcW w:w="1282" w:type="dxa"/>
          </w:tcPr>
          <w:p>
            <w:pPr>
              <w:pStyle w:val="TableParagraph"/>
              <w:spacing w:before="125"/>
              <w:ind w:left="234"/>
              <w:rPr>
                <w:sz w:val="24"/>
              </w:rPr>
            </w:pPr>
            <w:r>
              <w:rPr>
                <w:sz w:val="24"/>
              </w:rPr>
              <w:t>62.5 a</w:t>
            </w:r>
          </w:p>
        </w:tc>
        <w:tc>
          <w:tcPr>
            <w:tcW w:w="1360" w:type="dxa"/>
          </w:tcPr>
          <w:p>
            <w:pPr>
              <w:pStyle w:val="TableParagraph"/>
              <w:spacing w:before="125"/>
              <w:ind w:left="354"/>
              <w:rPr>
                <w:sz w:val="24"/>
              </w:rPr>
            </w:pPr>
            <w:r>
              <w:rPr>
                <w:sz w:val="24"/>
              </w:rPr>
              <w:t>31.9 a</w:t>
            </w:r>
          </w:p>
        </w:tc>
        <w:tc>
          <w:tcPr>
            <w:tcW w:w="1416" w:type="dxa"/>
          </w:tcPr>
          <w:p>
            <w:pPr>
              <w:pStyle w:val="TableParagraph"/>
              <w:spacing w:before="125"/>
              <w:ind w:left="396"/>
              <w:rPr>
                <w:sz w:val="24"/>
              </w:rPr>
            </w:pPr>
            <w:r>
              <w:rPr>
                <w:sz w:val="24"/>
              </w:rPr>
              <w:t>60.3 a</w:t>
            </w:r>
          </w:p>
        </w:tc>
        <w:tc>
          <w:tcPr>
            <w:tcW w:w="1478" w:type="dxa"/>
          </w:tcPr>
          <w:p>
            <w:pPr>
              <w:pStyle w:val="TableParagraph"/>
              <w:spacing w:before="125"/>
              <w:ind w:left="379"/>
              <w:rPr>
                <w:sz w:val="24"/>
              </w:rPr>
            </w:pPr>
            <w:r>
              <w:rPr>
                <w:sz w:val="24"/>
              </w:rPr>
              <w:t>65.7 a</w:t>
            </w:r>
          </w:p>
        </w:tc>
        <w:tc>
          <w:tcPr>
            <w:tcW w:w="1368" w:type="dxa"/>
          </w:tcPr>
          <w:p>
            <w:pPr>
              <w:pStyle w:val="TableParagraph"/>
              <w:spacing w:before="125"/>
              <w:ind w:left="437"/>
              <w:rPr>
                <w:sz w:val="24"/>
              </w:rPr>
            </w:pPr>
            <w:r>
              <w:rPr>
                <w:sz w:val="24"/>
              </w:rPr>
              <w:t>57.9 a</w:t>
            </w:r>
          </w:p>
        </w:tc>
      </w:tr>
      <w:tr>
        <w:trPr>
          <w:trHeight w:val="276" w:hRule="exact"/>
        </w:trPr>
        <w:tc>
          <w:tcPr>
            <w:tcW w:w="906" w:type="dxa"/>
          </w:tcPr>
          <w:p>
            <w:pPr>
              <w:pStyle w:val="TableParagraph"/>
              <w:spacing w:line="264" w:lineRule="exact"/>
              <w:ind w:left="278"/>
              <w:rPr>
                <w:sz w:val="24"/>
              </w:rPr>
            </w:pPr>
            <w:r>
              <w:rPr>
                <w:w w:val="99"/>
                <w:sz w:val="24"/>
              </w:rPr>
              <w:t>b</w:t>
            </w:r>
          </w:p>
        </w:tc>
        <w:tc>
          <w:tcPr>
            <w:tcW w:w="626" w:type="dxa"/>
          </w:tcPr>
          <w:p>
            <w:pPr>
              <w:pStyle w:val="TableParagraph"/>
              <w:spacing w:line="264" w:lineRule="exact"/>
              <w:ind w:right="318"/>
              <w:jc w:val="right"/>
              <w:rPr>
                <w:sz w:val="24"/>
              </w:rPr>
            </w:pPr>
            <w:r>
              <w:rPr>
                <w:w w:val="99"/>
                <w:sz w:val="24"/>
              </w:rPr>
              <w:t>4</w:t>
            </w:r>
          </w:p>
        </w:tc>
        <w:tc>
          <w:tcPr>
            <w:tcW w:w="1181" w:type="dxa"/>
          </w:tcPr>
          <w:p>
            <w:pPr>
              <w:pStyle w:val="TableParagraph"/>
              <w:spacing w:line="264" w:lineRule="exact"/>
              <w:ind w:right="165"/>
              <w:jc w:val="right"/>
              <w:rPr>
                <w:sz w:val="24"/>
              </w:rPr>
            </w:pPr>
            <w:r>
              <w:rPr>
                <w:sz w:val="24"/>
              </w:rPr>
              <w:t>71.1 a</w:t>
            </w:r>
          </w:p>
        </w:tc>
        <w:tc>
          <w:tcPr>
            <w:tcW w:w="1282" w:type="dxa"/>
          </w:tcPr>
          <w:p>
            <w:pPr>
              <w:pStyle w:val="TableParagraph"/>
              <w:spacing w:line="264" w:lineRule="exact"/>
              <w:ind w:left="234"/>
              <w:rPr>
                <w:sz w:val="24"/>
              </w:rPr>
            </w:pPr>
            <w:r>
              <w:rPr>
                <w:sz w:val="24"/>
              </w:rPr>
              <w:t>75.9 a</w:t>
            </w:r>
          </w:p>
        </w:tc>
        <w:tc>
          <w:tcPr>
            <w:tcW w:w="1360" w:type="dxa"/>
          </w:tcPr>
          <w:p>
            <w:pPr>
              <w:pStyle w:val="TableParagraph"/>
              <w:spacing w:line="264" w:lineRule="exact"/>
              <w:ind w:left="354"/>
              <w:rPr>
                <w:sz w:val="24"/>
              </w:rPr>
            </w:pPr>
            <w:r>
              <w:rPr>
                <w:sz w:val="24"/>
              </w:rPr>
              <w:t>70.0 a</w:t>
            </w:r>
          </w:p>
        </w:tc>
        <w:tc>
          <w:tcPr>
            <w:tcW w:w="1416" w:type="dxa"/>
          </w:tcPr>
          <w:p>
            <w:pPr>
              <w:pStyle w:val="TableParagraph"/>
              <w:spacing w:line="264" w:lineRule="exact"/>
              <w:ind w:left="396"/>
              <w:rPr>
                <w:sz w:val="24"/>
              </w:rPr>
            </w:pPr>
            <w:r>
              <w:rPr>
                <w:sz w:val="24"/>
              </w:rPr>
              <w:t>69.5 a</w:t>
            </w:r>
          </w:p>
        </w:tc>
        <w:tc>
          <w:tcPr>
            <w:tcW w:w="1478" w:type="dxa"/>
          </w:tcPr>
          <w:p>
            <w:pPr>
              <w:pStyle w:val="TableParagraph"/>
              <w:spacing w:line="264" w:lineRule="exact"/>
              <w:ind w:left="379"/>
              <w:rPr>
                <w:sz w:val="24"/>
              </w:rPr>
            </w:pPr>
            <w:r>
              <w:rPr>
                <w:sz w:val="24"/>
              </w:rPr>
              <w:t>67.7 a</w:t>
            </w:r>
          </w:p>
        </w:tc>
        <w:tc>
          <w:tcPr>
            <w:tcW w:w="1368" w:type="dxa"/>
          </w:tcPr>
          <w:p>
            <w:pPr>
              <w:pStyle w:val="TableParagraph"/>
              <w:spacing w:line="264" w:lineRule="exact"/>
              <w:ind w:left="437"/>
              <w:rPr>
                <w:sz w:val="24"/>
              </w:rPr>
            </w:pPr>
            <w:r>
              <w:rPr>
                <w:sz w:val="24"/>
              </w:rPr>
              <w:t>68.5 a</w:t>
            </w:r>
          </w:p>
        </w:tc>
      </w:tr>
      <w:tr>
        <w:trPr>
          <w:trHeight w:val="276" w:hRule="exact"/>
        </w:trPr>
        <w:tc>
          <w:tcPr>
            <w:tcW w:w="906" w:type="dxa"/>
          </w:tcPr>
          <w:p>
            <w:pPr/>
          </w:p>
        </w:tc>
        <w:tc>
          <w:tcPr>
            <w:tcW w:w="626" w:type="dxa"/>
          </w:tcPr>
          <w:p>
            <w:pPr>
              <w:pStyle w:val="TableParagraph"/>
              <w:spacing w:line="264" w:lineRule="exact"/>
              <w:ind w:right="318"/>
              <w:jc w:val="right"/>
              <w:rPr>
                <w:sz w:val="24"/>
              </w:rPr>
            </w:pPr>
            <w:r>
              <w:rPr>
                <w:w w:val="99"/>
                <w:sz w:val="24"/>
              </w:rPr>
              <w:t>8</w:t>
            </w:r>
          </w:p>
        </w:tc>
        <w:tc>
          <w:tcPr>
            <w:tcW w:w="1181" w:type="dxa"/>
          </w:tcPr>
          <w:p>
            <w:pPr>
              <w:pStyle w:val="TableParagraph"/>
              <w:spacing w:line="264" w:lineRule="exact"/>
              <w:ind w:right="165"/>
              <w:jc w:val="right"/>
              <w:rPr>
                <w:sz w:val="24"/>
              </w:rPr>
            </w:pPr>
            <w:r>
              <w:rPr>
                <w:sz w:val="24"/>
              </w:rPr>
              <w:t>60.5 a</w:t>
            </w:r>
          </w:p>
        </w:tc>
        <w:tc>
          <w:tcPr>
            <w:tcW w:w="1282" w:type="dxa"/>
          </w:tcPr>
          <w:p>
            <w:pPr>
              <w:pStyle w:val="TableParagraph"/>
              <w:spacing w:line="264" w:lineRule="exact"/>
              <w:ind w:left="234"/>
              <w:rPr>
                <w:sz w:val="24"/>
              </w:rPr>
            </w:pPr>
            <w:r>
              <w:rPr>
                <w:sz w:val="24"/>
              </w:rPr>
              <w:t>61.4 a</w:t>
            </w:r>
          </w:p>
        </w:tc>
        <w:tc>
          <w:tcPr>
            <w:tcW w:w="1360" w:type="dxa"/>
          </w:tcPr>
          <w:p>
            <w:pPr>
              <w:pStyle w:val="TableParagraph"/>
              <w:spacing w:line="264" w:lineRule="exact"/>
              <w:ind w:left="354"/>
              <w:rPr>
                <w:sz w:val="24"/>
              </w:rPr>
            </w:pPr>
            <w:r>
              <w:rPr>
                <w:sz w:val="24"/>
              </w:rPr>
              <w:t>60.7 a</w:t>
            </w:r>
          </w:p>
        </w:tc>
        <w:tc>
          <w:tcPr>
            <w:tcW w:w="1416" w:type="dxa"/>
          </w:tcPr>
          <w:p>
            <w:pPr>
              <w:pStyle w:val="TableParagraph"/>
              <w:spacing w:line="264" w:lineRule="exact"/>
              <w:ind w:left="396"/>
              <w:rPr>
                <w:sz w:val="24"/>
              </w:rPr>
            </w:pPr>
            <w:r>
              <w:rPr>
                <w:sz w:val="24"/>
              </w:rPr>
              <w:t>61.2 a</w:t>
            </w:r>
          </w:p>
        </w:tc>
        <w:tc>
          <w:tcPr>
            <w:tcW w:w="1478" w:type="dxa"/>
          </w:tcPr>
          <w:p>
            <w:pPr>
              <w:pStyle w:val="TableParagraph"/>
              <w:spacing w:line="264" w:lineRule="exact"/>
              <w:ind w:left="379"/>
              <w:rPr>
                <w:sz w:val="24"/>
              </w:rPr>
            </w:pPr>
            <w:r>
              <w:rPr>
                <w:sz w:val="24"/>
              </w:rPr>
              <w:t>59.5 a</w:t>
            </w:r>
          </w:p>
        </w:tc>
        <w:tc>
          <w:tcPr>
            <w:tcW w:w="1368" w:type="dxa"/>
          </w:tcPr>
          <w:p>
            <w:pPr>
              <w:pStyle w:val="TableParagraph"/>
              <w:spacing w:line="264" w:lineRule="exact"/>
              <w:ind w:left="437"/>
              <w:rPr>
                <w:sz w:val="24"/>
              </w:rPr>
            </w:pPr>
            <w:r>
              <w:rPr>
                <w:sz w:val="24"/>
              </w:rPr>
              <w:t>54.9 a</w:t>
            </w:r>
          </w:p>
        </w:tc>
      </w:tr>
      <w:tr>
        <w:trPr>
          <w:trHeight w:val="414" w:hRule="exact"/>
        </w:trPr>
        <w:tc>
          <w:tcPr>
            <w:tcW w:w="906" w:type="dxa"/>
          </w:tcPr>
          <w:p>
            <w:pPr/>
          </w:p>
        </w:tc>
        <w:tc>
          <w:tcPr>
            <w:tcW w:w="626" w:type="dxa"/>
          </w:tcPr>
          <w:p>
            <w:pPr>
              <w:pStyle w:val="TableParagraph"/>
              <w:spacing w:line="264" w:lineRule="exact"/>
              <w:ind w:right="318"/>
              <w:jc w:val="right"/>
              <w:rPr>
                <w:sz w:val="24"/>
              </w:rPr>
            </w:pPr>
            <w:r>
              <w:rPr>
                <w:sz w:val="24"/>
              </w:rPr>
              <w:t>12</w:t>
            </w:r>
          </w:p>
        </w:tc>
        <w:tc>
          <w:tcPr>
            <w:tcW w:w="1181" w:type="dxa"/>
          </w:tcPr>
          <w:p>
            <w:pPr>
              <w:pStyle w:val="TableParagraph"/>
              <w:spacing w:line="264" w:lineRule="exact"/>
              <w:ind w:right="165"/>
              <w:jc w:val="right"/>
              <w:rPr>
                <w:sz w:val="24"/>
              </w:rPr>
            </w:pPr>
            <w:r>
              <w:rPr>
                <w:sz w:val="24"/>
              </w:rPr>
              <w:t>49.1 a</w:t>
            </w:r>
          </w:p>
        </w:tc>
        <w:tc>
          <w:tcPr>
            <w:tcW w:w="1282" w:type="dxa"/>
          </w:tcPr>
          <w:p>
            <w:pPr>
              <w:pStyle w:val="TableParagraph"/>
              <w:spacing w:line="264" w:lineRule="exact"/>
              <w:ind w:left="234"/>
              <w:rPr>
                <w:sz w:val="24"/>
              </w:rPr>
            </w:pPr>
            <w:r>
              <w:rPr>
                <w:sz w:val="24"/>
              </w:rPr>
              <w:t>46.9 a</w:t>
            </w:r>
          </w:p>
        </w:tc>
        <w:tc>
          <w:tcPr>
            <w:tcW w:w="1360" w:type="dxa"/>
          </w:tcPr>
          <w:p>
            <w:pPr>
              <w:pStyle w:val="TableParagraph"/>
              <w:spacing w:line="264" w:lineRule="exact"/>
              <w:ind w:left="354"/>
              <w:rPr>
                <w:sz w:val="24"/>
              </w:rPr>
            </w:pPr>
            <w:r>
              <w:rPr>
                <w:sz w:val="24"/>
              </w:rPr>
              <w:t>53.7 a</w:t>
            </w:r>
          </w:p>
        </w:tc>
        <w:tc>
          <w:tcPr>
            <w:tcW w:w="1416" w:type="dxa"/>
          </w:tcPr>
          <w:p>
            <w:pPr>
              <w:pStyle w:val="TableParagraph"/>
              <w:spacing w:line="264" w:lineRule="exact"/>
              <w:ind w:left="396"/>
              <w:rPr>
                <w:sz w:val="24"/>
              </w:rPr>
            </w:pPr>
            <w:r>
              <w:rPr>
                <w:sz w:val="24"/>
              </w:rPr>
              <w:t>49.5 a</w:t>
            </w:r>
          </w:p>
        </w:tc>
        <w:tc>
          <w:tcPr>
            <w:tcW w:w="1478" w:type="dxa"/>
          </w:tcPr>
          <w:p>
            <w:pPr>
              <w:pStyle w:val="TableParagraph"/>
              <w:spacing w:line="264" w:lineRule="exact"/>
              <w:ind w:left="379"/>
              <w:rPr>
                <w:sz w:val="24"/>
              </w:rPr>
            </w:pPr>
            <w:r>
              <w:rPr>
                <w:sz w:val="24"/>
              </w:rPr>
              <w:t>45.7 a</w:t>
            </w:r>
          </w:p>
        </w:tc>
        <w:tc>
          <w:tcPr>
            <w:tcW w:w="1368" w:type="dxa"/>
          </w:tcPr>
          <w:p>
            <w:pPr>
              <w:pStyle w:val="TableParagraph"/>
              <w:spacing w:line="264" w:lineRule="exact"/>
              <w:ind w:left="437"/>
              <w:rPr>
                <w:sz w:val="24"/>
              </w:rPr>
            </w:pPr>
            <w:r>
              <w:rPr>
                <w:sz w:val="24"/>
              </w:rPr>
              <w:t>47.4 a</w:t>
            </w:r>
          </w:p>
        </w:tc>
      </w:tr>
      <w:tr>
        <w:trPr>
          <w:trHeight w:val="414" w:hRule="exact"/>
        </w:trPr>
        <w:tc>
          <w:tcPr>
            <w:tcW w:w="906" w:type="dxa"/>
          </w:tcPr>
          <w:p>
            <w:pPr/>
          </w:p>
        </w:tc>
        <w:tc>
          <w:tcPr>
            <w:tcW w:w="626" w:type="dxa"/>
          </w:tcPr>
          <w:p>
            <w:pPr>
              <w:pStyle w:val="TableParagraph"/>
              <w:spacing w:before="125"/>
              <w:ind w:right="318"/>
              <w:jc w:val="right"/>
              <w:rPr>
                <w:sz w:val="24"/>
              </w:rPr>
            </w:pPr>
            <w:r>
              <w:rPr>
                <w:w w:val="99"/>
                <w:sz w:val="24"/>
              </w:rPr>
              <w:t>0</w:t>
            </w:r>
          </w:p>
        </w:tc>
        <w:tc>
          <w:tcPr>
            <w:tcW w:w="1181" w:type="dxa"/>
          </w:tcPr>
          <w:p>
            <w:pPr>
              <w:pStyle w:val="TableParagraph"/>
              <w:spacing w:before="125"/>
              <w:ind w:right="165"/>
              <w:jc w:val="right"/>
              <w:rPr>
                <w:sz w:val="24"/>
              </w:rPr>
            </w:pPr>
            <w:r>
              <w:rPr>
                <w:sz w:val="24"/>
              </w:rPr>
              <w:t>98.6 a</w:t>
            </w:r>
          </w:p>
        </w:tc>
        <w:tc>
          <w:tcPr>
            <w:tcW w:w="1282" w:type="dxa"/>
          </w:tcPr>
          <w:p>
            <w:pPr>
              <w:pStyle w:val="TableParagraph"/>
              <w:spacing w:before="125"/>
              <w:ind w:left="234"/>
              <w:rPr>
                <w:sz w:val="24"/>
              </w:rPr>
            </w:pPr>
            <w:r>
              <w:rPr>
                <w:sz w:val="24"/>
              </w:rPr>
              <w:t>96.4 a</w:t>
            </w:r>
          </w:p>
        </w:tc>
        <w:tc>
          <w:tcPr>
            <w:tcW w:w="1360" w:type="dxa"/>
          </w:tcPr>
          <w:p>
            <w:pPr>
              <w:pStyle w:val="TableParagraph"/>
              <w:spacing w:before="125"/>
              <w:ind w:left="220"/>
              <w:rPr>
                <w:sz w:val="24"/>
              </w:rPr>
            </w:pPr>
            <w:r>
              <w:rPr>
                <w:sz w:val="24"/>
              </w:rPr>
              <w:t>100.1 a</w:t>
            </w:r>
          </w:p>
        </w:tc>
        <w:tc>
          <w:tcPr>
            <w:tcW w:w="1416" w:type="dxa"/>
          </w:tcPr>
          <w:p>
            <w:pPr>
              <w:pStyle w:val="TableParagraph"/>
              <w:spacing w:before="125"/>
              <w:ind w:left="262"/>
              <w:rPr>
                <w:sz w:val="24"/>
              </w:rPr>
            </w:pPr>
            <w:r>
              <w:rPr>
                <w:sz w:val="24"/>
              </w:rPr>
              <w:t>101.0 a</w:t>
            </w:r>
          </w:p>
        </w:tc>
        <w:tc>
          <w:tcPr>
            <w:tcW w:w="1478" w:type="dxa"/>
          </w:tcPr>
          <w:p>
            <w:pPr>
              <w:pStyle w:val="TableParagraph"/>
              <w:spacing w:before="125"/>
              <w:ind w:left="247"/>
              <w:rPr>
                <w:sz w:val="24"/>
              </w:rPr>
            </w:pPr>
            <w:r>
              <w:rPr>
                <w:sz w:val="24"/>
              </w:rPr>
              <w:t>100.5 a</w:t>
            </w:r>
          </w:p>
        </w:tc>
        <w:tc>
          <w:tcPr>
            <w:tcW w:w="1368" w:type="dxa"/>
          </w:tcPr>
          <w:p>
            <w:pPr>
              <w:pStyle w:val="TableParagraph"/>
              <w:spacing w:before="125"/>
              <w:ind w:left="302"/>
              <w:rPr>
                <w:sz w:val="24"/>
              </w:rPr>
            </w:pPr>
            <w:r>
              <w:rPr>
                <w:sz w:val="24"/>
              </w:rPr>
              <w:t>100.4 a</w:t>
            </w:r>
          </w:p>
        </w:tc>
      </w:tr>
      <w:tr>
        <w:trPr>
          <w:trHeight w:val="276" w:hRule="exact"/>
        </w:trPr>
        <w:tc>
          <w:tcPr>
            <w:tcW w:w="906" w:type="dxa"/>
          </w:tcPr>
          <w:p>
            <w:pPr>
              <w:pStyle w:val="TableParagraph"/>
              <w:spacing w:line="264" w:lineRule="exact"/>
              <w:ind w:left="278"/>
              <w:rPr>
                <w:sz w:val="24"/>
              </w:rPr>
            </w:pPr>
            <w:r>
              <w:rPr>
                <w:sz w:val="24"/>
              </w:rPr>
              <w:t>Hue</w:t>
            </w:r>
          </w:p>
        </w:tc>
        <w:tc>
          <w:tcPr>
            <w:tcW w:w="626" w:type="dxa"/>
          </w:tcPr>
          <w:p>
            <w:pPr>
              <w:pStyle w:val="TableParagraph"/>
              <w:spacing w:line="264" w:lineRule="exact"/>
              <w:ind w:right="345"/>
              <w:jc w:val="right"/>
              <w:rPr>
                <w:sz w:val="24"/>
              </w:rPr>
            </w:pPr>
            <w:r>
              <w:rPr>
                <w:w w:val="99"/>
                <w:sz w:val="24"/>
              </w:rPr>
              <w:t>4</w:t>
            </w:r>
          </w:p>
        </w:tc>
        <w:tc>
          <w:tcPr>
            <w:tcW w:w="1181" w:type="dxa"/>
          </w:tcPr>
          <w:p>
            <w:pPr>
              <w:pStyle w:val="TableParagraph"/>
              <w:spacing w:line="264" w:lineRule="exact"/>
              <w:ind w:right="191"/>
              <w:jc w:val="right"/>
              <w:rPr>
                <w:sz w:val="24"/>
              </w:rPr>
            </w:pPr>
            <w:r>
              <w:rPr>
                <w:sz w:val="24"/>
              </w:rPr>
              <w:t>88.7 a</w:t>
            </w:r>
          </w:p>
        </w:tc>
        <w:tc>
          <w:tcPr>
            <w:tcW w:w="1282" w:type="dxa"/>
          </w:tcPr>
          <w:p>
            <w:pPr>
              <w:pStyle w:val="TableParagraph"/>
              <w:spacing w:line="264" w:lineRule="exact"/>
              <w:ind w:left="205"/>
              <w:rPr>
                <w:sz w:val="24"/>
              </w:rPr>
            </w:pPr>
            <w:r>
              <w:rPr>
                <w:sz w:val="24"/>
              </w:rPr>
              <w:t>88.9 a</w:t>
            </w:r>
          </w:p>
        </w:tc>
        <w:tc>
          <w:tcPr>
            <w:tcW w:w="1360" w:type="dxa"/>
          </w:tcPr>
          <w:p>
            <w:pPr>
              <w:pStyle w:val="TableParagraph"/>
              <w:spacing w:line="264" w:lineRule="exact"/>
              <w:ind w:left="325"/>
              <w:rPr>
                <w:sz w:val="24"/>
              </w:rPr>
            </w:pPr>
            <w:r>
              <w:rPr>
                <w:sz w:val="24"/>
              </w:rPr>
              <w:t>88.7 a</w:t>
            </w:r>
          </w:p>
        </w:tc>
        <w:tc>
          <w:tcPr>
            <w:tcW w:w="1416" w:type="dxa"/>
          </w:tcPr>
          <w:p>
            <w:pPr>
              <w:pStyle w:val="TableParagraph"/>
              <w:spacing w:line="264" w:lineRule="exact"/>
              <w:ind w:left="367"/>
              <w:rPr>
                <w:sz w:val="24"/>
              </w:rPr>
            </w:pPr>
            <w:r>
              <w:rPr>
                <w:sz w:val="24"/>
              </w:rPr>
              <w:t>89.5 a</w:t>
            </w:r>
          </w:p>
        </w:tc>
        <w:tc>
          <w:tcPr>
            <w:tcW w:w="1478" w:type="dxa"/>
          </w:tcPr>
          <w:p>
            <w:pPr>
              <w:pStyle w:val="TableParagraph"/>
              <w:spacing w:line="264" w:lineRule="exact"/>
              <w:ind w:left="353"/>
              <w:rPr>
                <w:sz w:val="24"/>
              </w:rPr>
            </w:pPr>
            <w:r>
              <w:rPr>
                <w:sz w:val="24"/>
              </w:rPr>
              <w:t>89.9 a</w:t>
            </w:r>
          </w:p>
        </w:tc>
        <w:tc>
          <w:tcPr>
            <w:tcW w:w="1368" w:type="dxa"/>
          </w:tcPr>
          <w:p>
            <w:pPr>
              <w:pStyle w:val="TableParagraph"/>
              <w:spacing w:line="264" w:lineRule="exact"/>
              <w:ind w:left="408"/>
              <w:rPr>
                <w:sz w:val="24"/>
              </w:rPr>
            </w:pPr>
            <w:r>
              <w:rPr>
                <w:sz w:val="24"/>
              </w:rPr>
              <w:t>89.5 a</w:t>
            </w:r>
          </w:p>
        </w:tc>
      </w:tr>
      <w:tr>
        <w:trPr>
          <w:trHeight w:val="276" w:hRule="exact"/>
        </w:trPr>
        <w:tc>
          <w:tcPr>
            <w:tcW w:w="906" w:type="dxa"/>
          </w:tcPr>
          <w:p>
            <w:pPr/>
          </w:p>
        </w:tc>
        <w:tc>
          <w:tcPr>
            <w:tcW w:w="626" w:type="dxa"/>
          </w:tcPr>
          <w:p>
            <w:pPr>
              <w:pStyle w:val="TableParagraph"/>
              <w:spacing w:line="264" w:lineRule="exact"/>
              <w:ind w:right="318"/>
              <w:jc w:val="right"/>
              <w:rPr>
                <w:sz w:val="24"/>
              </w:rPr>
            </w:pPr>
            <w:r>
              <w:rPr>
                <w:w w:val="99"/>
                <w:sz w:val="24"/>
              </w:rPr>
              <w:t>8</w:t>
            </w:r>
          </w:p>
        </w:tc>
        <w:tc>
          <w:tcPr>
            <w:tcW w:w="1181" w:type="dxa"/>
          </w:tcPr>
          <w:p>
            <w:pPr>
              <w:pStyle w:val="TableParagraph"/>
              <w:spacing w:line="264" w:lineRule="exact"/>
              <w:ind w:right="165"/>
              <w:jc w:val="right"/>
              <w:rPr>
                <w:sz w:val="24"/>
              </w:rPr>
            </w:pPr>
            <w:r>
              <w:rPr>
                <w:sz w:val="24"/>
              </w:rPr>
              <w:t>88.2 a</w:t>
            </w:r>
          </w:p>
        </w:tc>
        <w:tc>
          <w:tcPr>
            <w:tcW w:w="1282" w:type="dxa"/>
          </w:tcPr>
          <w:p>
            <w:pPr>
              <w:pStyle w:val="TableParagraph"/>
              <w:spacing w:line="264" w:lineRule="exact"/>
              <w:ind w:left="167"/>
              <w:rPr>
                <w:sz w:val="24"/>
              </w:rPr>
            </w:pPr>
            <w:r>
              <w:rPr>
                <w:sz w:val="24"/>
              </w:rPr>
              <w:t>66.1 a</w:t>
            </w:r>
          </w:p>
        </w:tc>
        <w:tc>
          <w:tcPr>
            <w:tcW w:w="1360" w:type="dxa"/>
          </w:tcPr>
          <w:p>
            <w:pPr>
              <w:pStyle w:val="TableParagraph"/>
              <w:spacing w:line="264" w:lineRule="exact"/>
              <w:ind w:left="354"/>
              <w:rPr>
                <w:sz w:val="24"/>
              </w:rPr>
            </w:pPr>
            <w:r>
              <w:rPr>
                <w:sz w:val="24"/>
              </w:rPr>
              <w:t>88.1 a</w:t>
            </w:r>
          </w:p>
        </w:tc>
        <w:tc>
          <w:tcPr>
            <w:tcW w:w="1416" w:type="dxa"/>
          </w:tcPr>
          <w:p>
            <w:pPr>
              <w:pStyle w:val="TableParagraph"/>
              <w:spacing w:line="264" w:lineRule="exact"/>
              <w:ind w:left="329"/>
              <w:rPr>
                <w:sz w:val="24"/>
              </w:rPr>
            </w:pPr>
            <w:r>
              <w:rPr>
                <w:sz w:val="24"/>
              </w:rPr>
              <w:t>88.2 a</w:t>
            </w:r>
          </w:p>
        </w:tc>
        <w:tc>
          <w:tcPr>
            <w:tcW w:w="1478" w:type="dxa"/>
          </w:tcPr>
          <w:p>
            <w:pPr>
              <w:pStyle w:val="TableParagraph"/>
              <w:spacing w:line="264" w:lineRule="exact"/>
              <w:ind w:left="379"/>
              <w:rPr>
                <w:sz w:val="24"/>
              </w:rPr>
            </w:pPr>
            <w:r>
              <w:rPr>
                <w:sz w:val="24"/>
              </w:rPr>
              <w:t>87.3 a</w:t>
            </w:r>
          </w:p>
        </w:tc>
        <w:tc>
          <w:tcPr>
            <w:tcW w:w="1368" w:type="dxa"/>
          </w:tcPr>
          <w:p>
            <w:pPr>
              <w:pStyle w:val="TableParagraph"/>
              <w:spacing w:line="264" w:lineRule="exact"/>
              <w:ind w:left="437"/>
              <w:rPr>
                <w:sz w:val="24"/>
              </w:rPr>
            </w:pPr>
            <w:r>
              <w:rPr>
                <w:sz w:val="24"/>
              </w:rPr>
              <w:t>87.2 a</w:t>
            </w:r>
          </w:p>
        </w:tc>
      </w:tr>
      <w:tr>
        <w:trPr>
          <w:trHeight w:val="413" w:hRule="exact"/>
        </w:trPr>
        <w:tc>
          <w:tcPr>
            <w:tcW w:w="906" w:type="dxa"/>
          </w:tcPr>
          <w:p>
            <w:pPr/>
          </w:p>
        </w:tc>
        <w:tc>
          <w:tcPr>
            <w:tcW w:w="626" w:type="dxa"/>
          </w:tcPr>
          <w:p>
            <w:pPr>
              <w:pStyle w:val="TableParagraph"/>
              <w:spacing w:line="264" w:lineRule="exact"/>
              <w:ind w:right="318"/>
              <w:jc w:val="right"/>
              <w:rPr>
                <w:sz w:val="24"/>
              </w:rPr>
            </w:pPr>
            <w:r>
              <w:rPr>
                <w:sz w:val="24"/>
              </w:rPr>
              <w:t>12</w:t>
            </w:r>
          </w:p>
        </w:tc>
        <w:tc>
          <w:tcPr>
            <w:tcW w:w="1181" w:type="dxa"/>
          </w:tcPr>
          <w:p>
            <w:pPr>
              <w:pStyle w:val="TableParagraph"/>
              <w:spacing w:line="264" w:lineRule="exact"/>
              <w:ind w:right="165"/>
              <w:jc w:val="right"/>
              <w:rPr>
                <w:sz w:val="24"/>
              </w:rPr>
            </w:pPr>
            <w:r>
              <w:rPr>
                <w:sz w:val="24"/>
              </w:rPr>
              <w:t>82.5 a</w:t>
            </w:r>
          </w:p>
        </w:tc>
        <w:tc>
          <w:tcPr>
            <w:tcW w:w="1282" w:type="dxa"/>
          </w:tcPr>
          <w:p>
            <w:pPr>
              <w:pStyle w:val="TableParagraph"/>
              <w:spacing w:line="264" w:lineRule="exact"/>
              <w:ind w:left="167"/>
              <w:rPr>
                <w:sz w:val="24"/>
              </w:rPr>
            </w:pPr>
            <w:r>
              <w:rPr>
                <w:sz w:val="24"/>
              </w:rPr>
              <w:t>83.8 a</w:t>
            </w:r>
          </w:p>
        </w:tc>
        <w:tc>
          <w:tcPr>
            <w:tcW w:w="1360" w:type="dxa"/>
          </w:tcPr>
          <w:p>
            <w:pPr>
              <w:pStyle w:val="TableParagraph"/>
              <w:spacing w:line="264" w:lineRule="exact"/>
              <w:ind w:left="354"/>
              <w:rPr>
                <w:sz w:val="24"/>
              </w:rPr>
            </w:pPr>
            <w:r>
              <w:rPr>
                <w:sz w:val="24"/>
              </w:rPr>
              <w:t>82.1 a</w:t>
            </w:r>
          </w:p>
        </w:tc>
        <w:tc>
          <w:tcPr>
            <w:tcW w:w="1416" w:type="dxa"/>
          </w:tcPr>
          <w:p>
            <w:pPr>
              <w:pStyle w:val="TableParagraph"/>
              <w:spacing w:line="264" w:lineRule="exact"/>
              <w:ind w:left="329"/>
              <w:rPr>
                <w:sz w:val="24"/>
              </w:rPr>
            </w:pPr>
            <w:r>
              <w:rPr>
                <w:sz w:val="24"/>
              </w:rPr>
              <w:t>81.6 a</w:t>
            </w:r>
          </w:p>
        </w:tc>
        <w:tc>
          <w:tcPr>
            <w:tcW w:w="1478" w:type="dxa"/>
          </w:tcPr>
          <w:p>
            <w:pPr>
              <w:pStyle w:val="TableParagraph"/>
              <w:spacing w:line="264" w:lineRule="exact"/>
              <w:ind w:left="379"/>
              <w:rPr>
                <w:sz w:val="24"/>
              </w:rPr>
            </w:pPr>
            <w:r>
              <w:rPr>
                <w:sz w:val="24"/>
              </w:rPr>
              <w:t>83.9 a</w:t>
            </w:r>
          </w:p>
        </w:tc>
        <w:tc>
          <w:tcPr>
            <w:tcW w:w="1368" w:type="dxa"/>
          </w:tcPr>
          <w:p>
            <w:pPr>
              <w:pStyle w:val="TableParagraph"/>
              <w:spacing w:line="264" w:lineRule="exact"/>
              <w:ind w:left="437"/>
              <w:rPr>
                <w:sz w:val="24"/>
              </w:rPr>
            </w:pPr>
            <w:r>
              <w:rPr>
                <w:sz w:val="24"/>
              </w:rPr>
              <w:t>83.5 a</w:t>
            </w:r>
          </w:p>
        </w:tc>
      </w:tr>
      <w:tr>
        <w:trPr>
          <w:trHeight w:val="413" w:hRule="exact"/>
        </w:trPr>
        <w:tc>
          <w:tcPr>
            <w:tcW w:w="906" w:type="dxa"/>
          </w:tcPr>
          <w:p>
            <w:pPr/>
          </w:p>
        </w:tc>
        <w:tc>
          <w:tcPr>
            <w:tcW w:w="626" w:type="dxa"/>
          </w:tcPr>
          <w:p>
            <w:pPr>
              <w:pStyle w:val="TableParagraph"/>
              <w:spacing w:before="124"/>
              <w:ind w:right="318"/>
              <w:jc w:val="right"/>
              <w:rPr>
                <w:sz w:val="24"/>
              </w:rPr>
            </w:pPr>
            <w:r>
              <w:rPr>
                <w:w w:val="99"/>
                <w:sz w:val="24"/>
              </w:rPr>
              <w:t>0</w:t>
            </w:r>
          </w:p>
        </w:tc>
        <w:tc>
          <w:tcPr>
            <w:tcW w:w="1181" w:type="dxa"/>
          </w:tcPr>
          <w:p>
            <w:pPr>
              <w:pStyle w:val="TableParagraph"/>
              <w:spacing w:before="124"/>
              <w:ind w:right="165"/>
              <w:jc w:val="right"/>
              <w:rPr>
                <w:sz w:val="24"/>
              </w:rPr>
            </w:pPr>
            <w:r>
              <w:rPr>
                <w:sz w:val="24"/>
              </w:rPr>
              <w:t>66.0 a</w:t>
            </w:r>
          </w:p>
        </w:tc>
        <w:tc>
          <w:tcPr>
            <w:tcW w:w="1282" w:type="dxa"/>
          </w:tcPr>
          <w:p>
            <w:pPr>
              <w:pStyle w:val="TableParagraph"/>
              <w:spacing w:before="124"/>
              <w:ind w:left="167"/>
              <w:rPr>
                <w:sz w:val="24"/>
              </w:rPr>
            </w:pPr>
            <w:r>
              <w:rPr>
                <w:sz w:val="24"/>
              </w:rPr>
              <w:t>62.9 a</w:t>
            </w:r>
          </w:p>
        </w:tc>
        <w:tc>
          <w:tcPr>
            <w:tcW w:w="1360" w:type="dxa"/>
          </w:tcPr>
          <w:p>
            <w:pPr>
              <w:pStyle w:val="TableParagraph"/>
              <w:spacing w:before="124"/>
              <w:ind w:left="354"/>
              <w:rPr>
                <w:sz w:val="24"/>
              </w:rPr>
            </w:pPr>
            <w:r>
              <w:rPr>
                <w:sz w:val="24"/>
              </w:rPr>
              <w:t>62.8 a</w:t>
            </w:r>
          </w:p>
        </w:tc>
        <w:tc>
          <w:tcPr>
            <w:tcW w:w="1416" w:type="dxa"/>
          </w:tcPr>
          <w:p>
            <w:pPr>
              <w:pStyle w:val="TableParagraph"/>
              <w:spacing w:before="124"/>
              <w:ind w:left="396"/>
              <w:rPr>
                <w:sz w:val="24"/>
              </w:rPr>
            </w:pPr>
            <w:r>
              <w:rPr>
                <w:sz w:val="24"/>
              </w:rPr>
              <w:t>61.4 a</w:t>
            </w:r>
          </w:p>
        </w:tc>
        <w:tc>
          <w:tcPr>
            <w:tcW w:w="1478" w:type="dxa"/>
          </w:tcPr>
          <w:p>
            <w:pPr>
              <w:pStyle w:val="TableParagraph"/>
              <w:spacing w:before="124"/>
              <w:ind w:left="379"/>
              <w:rPr>
                <w:sz w:val="24"/>
              </w:rPr>
            </w:pPr>
            <w:r>
              <w:rPr>
                <w:sz w:val="24"/>
              </w:rPr>
              <w:t>66.9 a</w:t>
            </w:r>
          </w:p>
        </w:tc>
        <w:tc>
          <w:tcPr>
            <w:tcW w:w="1368" w:type="dxa"/>
          </w:tcPr>
          <w:p>
            <w:pPr>
              <w:pStyle w:val="TableParagraph"/>
              <w:spacing w:before="124"/>
              <w:ind w:left="437"/>
              <w:rPr>
                <w:sz w:val="24"/>
              </w:rPr>
            </w:pPr>
            <w:r>
              <w:rPr>
                <w:sz w:val="24"/>
              </w:rPr>
              <w:t>58.9 a</w:t>
            </w:r>
          </w:p>
        </w:tc>
      </w:tr>
      <w:tr>
        <w:trPr>
          <w:trHeight w:val="276" w:hRule="exact"/>
        </w:trPr>
        <w:tc>
          <w:tcPr>
            <w:tcW w:w="906" w:type="dxa"/>
          </w:tcPr>
          <w:p>
            <w:pPr>
              <w:pStyle w:val="TableParagraph"/>
              <w:spacing w:line="264" w:lineRule="exact"/>
              <w:ind w:left="143"/>
              <w:rPr>
                <w:sz w:val="24"/>
              </w:rPr>
            </w:pPr>
            <w:r>
              <w:rPr>
                <w:sz w:val="24"/>
              </w:rPr>
              <w:t>Croma</w:t>
            </w:r>
          </w:p>
        </w:tc>
        <w:tc>
          <w:tcPr>
            <w:tcW w:w="626" w:type="dxa"/>
          </w:tcPr>
          <w:p>
            <w:pPr>
              <w:pStyle w:val="TableParagraph"/>
              <w:spacing w:line="264" w:lineRule="exact"/>
              <w:ind w:right="330"/>
              <w:jc w:val="right"/>
              <w:rPr>
                <w:sz w:val="24"/>
              </w:rPr>
            </w:pPr>
            <w:r>
              <w:rPr>
                <w:w w:val="99"/>
                <w:sz w:val="24"/>
              </w:rPr>
              <w:t>4</w:t>
            </w:r>
          </w:p>
        </w:tc>
        <w:tc>
          <w:tcPr>
            <w:tcW w:w="1181" w:type="dxa"/>
          </w:tcPr>
          <w:p>
            <w:pPr>
              <w:pStyle w:val="TableParagraph"/>
              <w:spacing w:line="264" w:lineRule="exact"/>
              <w:ind w:right="177"/>
              <w:jc w:val="right"/>
              <w:rPr>
                <w:sz w:val="24"/>
              </w:rPr>
            </w:pPr>
            <w:r>
              <w:rPr>
                <w:sz w:val="24"/>
              </w:rPr>
              <w:t>71.1 a</w:t>
            </w:r>
          </w:p>
        </w:tc>
        <w:tc>
          <w:tcPr>
            <w:tcW w:w="1282" w:type="dxa"/>
          </w:tcPr>
          <w:p>
            <w:pPr>
              <w:pStyle w:val="TableParagraph"/>
              <w:spacing w:line="264" w:lineRule="exact"/>
              <w:ind w:left="155"/>
              <w:rPr>
                <w:sz w:val="24"/>
              </w:rPr>
            </w:pPr>
            <w:r>
              <w:rPr>
                <w:sz w:val="24"/>
              </w:rPr>
              <w:t>75.9 a</w:t>
            </w:r>
          </w:p>
        </w:tc>
        <w:tc>
          <w:tcPr>
            <w:tcW w:w="1360" w:type="dxa"/>
          </w:tcPr>
          <w:p>
            <w:pPr>
              <w:pStyle w:val="TableParagraph"/>
              <w:spacing w:line="264" w:lineRule="exact"/>
              <w:ind w:left="340"/>
              <w:rPr>
                <w:sz w:val="24"/>
              </w:rPr>
            </w:pPr>
            <w:r>
              <w:rPr>
                <w:sz w:val="24"/>
              </w:rPr>
              <w:t>70.1 a</w:t>
            </w:r>
          </w:p>
        </w:tc>
        <w:tc>
          <w:tcPr>
            <w:tcW w:w="1416" w:type="dxa"/>
          </w:tcPr>
          <w:p>
            <w:pPr>
              <w:pStyle w:val="TableParagraph"/>
              <w:spacing w:line="264" w:lineRule="exact"/>
              <w:ind w:left="382"/>
              <w:rPr>
                <w:sz w:val="24"/>
              </w:rPr>
            </w:pPr>
            <w:r>
              <w:rPr>
                <w:sz w:val="24"/>
              </w:rPr>
              <w:t>69.5 a</w:t>
            </w:r>
          </w:p>
        </w:tc>
        <w:tc>
          <w:tcPr>
            <w:tcW w:w="1478" w:type="dxa"/>
          </w:tcPr>
          <w:p>
            <w:pPr>
              <w:pStyle w:val="TableParagraph"/>
              <w:spacing w:line="264" w:lineRule="exact"/>
              <w:ind w:left="367"/>
              <w:rPr>
                <w:sz w:val="24"/>
              </w:rPr>
            </w:pPr>
            <w:r>
              <w:rPr>
                <w:sz w:val="24"/>
              </w:rPr>
              <w:t>67.7 a</w:t>
            </w:r>
          </w:p>
        </w:tc>
        <w:tc>
          <w:tcPr>
            <w:tcW w:w="1368" w:type="dxa"/>
          </w:tcPr>
          <w:p>
            <w:pPr>
              <w:pStyle w:val="TableParagraph"/>
              <w:spacing w:line="264" w:lineRule="exact"/>
              <w:ind w:left="422"/>
              <w:rPr>
                <w:sz w:val="24"/>
              </w:rPr>
            </w:pPr>
            <w:r>
              <w:rPr>
                <w:sz w:val="24"/>
              </w:rPr>
              <w:t>68.5 a</w:t>
            </w:r>
          </w:p>
        </w:tc>
      </w:tr>
      <w:tr>
        <w:trPr>
          <w:trHeight w:val="276" w:hRule="exact"/>
        </w:trPr>
        <w:tc>
          <w:tcPr>
            <w:tcW w:w="906" w:type="dxa"/>
          </w:tcPr>
          <w:p>
            <w:pPr/>
          </w:p>
        </w:tc>
        <w:tc>
          <w:tcPr>
            <w:tcW w:w="626" w:type="dxa"/>
          </w:tcPr>
          <w:p>
            <w:pPr>
              <w:pStyle w:val="TableParagraph"/>
              <w:spacing w:line="264" w:lineRule="exact"/>
              <w:ind w:right="318"/>
              <w:jc w:val="right"/>
              <w:rPr>
                <w:sz w:val="24"/>
              </w:rPr>
            </w:pPr>
            <w:r>
              <w:rPr>
                <w:w w:val="99"/>
                <w:sz w:val="24"/>
              </w:rPr>
              <w:t>8</w:t>
            </w:r>
          </w:p>
        </w:tc>
        <w:tc>
          <w:tcPr>
            <w:tcW w:w="1181" w:type="dxa"/>
          </w:tcPr>
          <w:p>
            <w:pPr>
              <w:pStyle w:val="TableParagraph"/>
              <w:spacing w:line="264" w:lineRule="exact"/>
              <w:ind w:right="165"/>
              <w:jc w:val="right"/>
              <w:rPr>
                <w:sz w:val="24"/>
              </w:rPr>
            </w:pPr>
            <w:r>
              <w:rPr>
                <w:sz w:val="24"/>
              </w:rPr>
              <w:t>60.5 a</w:t>
            </w:r>
          </w:p>
        </w:tc>
        <w:tc>
          <w:tcPr>
            <w:tcW w:w="1282" w:type="dxa"/>
          </w:tcPr>
          <w:p>
            <w:pPr>
              <w:pStyle w:val="TableParagraph"/>
              <w:spacing w:line="264" w:lineRule="exact"/>
              <w:ind w:left="167"/>
              <w:rPr>
                <w:sz w:val="24"/>
              </w:rPr>
            </w:pPr>
            <w:r>
              <w:rPr>
                <w:sz w:val="24"/>
              </w:rPr>
              <w:t>61.4 a</w:t>
            </w:r>
          </w:p>
        </w:tc>
        <w:tc>
          <w:tcPr>
            <w:tcW w:w="1360" w:type="dxa"/>
          </w:tcPr>
          <w:p>
            <w:pPr>
              <w:pStyle w:val="TableParagraph"/>
              <w:spacing w:line="264" w:lineRule="exact"/>
              <w:ind w:left="354"/>
              <w:rPr>
                <w:sz w:val="24"/>
              </w:rPr>
            </w:pPr>
            <w:r>
              <w:rPr>
                <w:sz w:val="24"/>
              </w:rPr>
              <w:t>60.8 a</w:t>
            </w:r>
          </w:p>
        </w:tc>
        <w:tc>
          <w:tcPr>
            <w:tcW w:w="1416" w:type="dxa"/>
          </w:tcPr>
          <w:p>
            <w:pPr>
              <w:pStyle w:val="TableParagraph"/>
              <w:spacing w:line="264" w:lineRule="exact"/>
              <w:ind w:left="396"/>
              <w:rPr>
                <w:sz w:val="24"/>
              </w:rPr>
            </w:pPr>
            <w:r>
              <w:rPr>
                <w:sz w:val="24"/>
              </w:rPr>
              <w:t>61.2 a</w:t>
            </w:r>
          </w:p>
        </w:tc>
        <w:tc>
          <w:tcPr>
            <w:tcW w:w="1478" w:type="dxa"/>
          </w:tcPr>
          <w:p>
            <w:pPr>
              <w:pStyle w:val="TableParagraph"/>
              <w:spacing w:line="264" w:lineRule="exact"/>
              <w:ind w:left="379"/>
              <w:rPr>
                <w:sz w:val="24"/>
              </w:rPr>
            </w:pPr>
            <w:r>
              <w:rPr>
                <w:sz w:val="24"/>
              </w:rPr>
              <w:t>59.6 a</w:t>
            </w:r>
          </w:p>
        </w:tc>
        <w:tc>
          <w:tcPr>
            <w:tcW w:w="1368" w:type="dxa"/>
          </w:tcPr>
          <w:p>
            <w:pPr>
              <w:pStyle w:val="TableParagraph"/>
              <w:spacing w:line="264" w:lineRule="exact"/>
              <w:ind w:left="437"/>
              <w:rPr>
                <w:sz w:val="24"/>
              </w:rPr>
            </w:pPr>
            <w:r>
              <w:rPr>
                <w:sz w:val="24"/>
              </w:rPr>
              <w:t>55.0 a</w:t>
            </w:r>
          </w:p>
        </w:tc>
      </w:tr>
      <w:tr>
        <w:trPr>
          <w:trHeight w:val="275" w:hRule="exact"/>
        </w:trPr>
        <w:tc>
          <w:tcPr>
            <w:tcW w:w="906" w:type="dxa"/>
            <w:tcBorders>
              <w:bottom w:val="single" w:sz="4" w:space="0" w:color="000000"/>
            </w:tcBorders>
          </w:tcPr>
          <w:p>
            <w:pPr/>
          </w:p>
        </w:tc>
        <w:tc>
          <w:tcPr>
            <w:tcW w:w="626" w:type="dxa"/>
            <w:tcBorders>
              <w:bottom w:val="single" w:sz="4" w:space="0" w:color="000000"/>
            </w:tcBorders>
          </w:tcPr>
          <w:p>
            <w:pPr>
              <w:pStyle w:val="TableParagraph"/>
              <w:spacing w:line="264" w:lineRule="exact"/>
              <w:ind w:right="318"/>
              <w:jc w:val="right"/>
              <w:rPr>
                <w:sz w:val="24"/>
              </w:rPr>
            </w:pPr>
            <w:r>
              <w:rPr>
                <w:sz w:val="24"/>
              </w:rPr>
              <w:t>12</w:t>
            </w:r>
          </w:p>
        </w:tc>
        <w:tc>
          <w:tcPr>
            <w:tcW w:w="1181" w:type="dxa"/>
            <w:tcBorders>
              <w:bottom w:val="single" w:sz="4" w:space="0" w:color="000000"/>
            </w:tcBorders>
          </w:tcPr>
          <w:p>
            <w:pPr>
              <w:pStyle w:val="TableParagraph"/>
              <w:spacing w:line="264" w:lineRule="exact"/>
              <w:ind w:right="165"/>
              <w:jc w:val="right"/>
              <w:rPr>
                <w:sz w:val="24"/>
              </w:rPr>
            </w:pPr>
            <w:r>
              <w:rPr>
                <w:sz w:val="24"/>
              </w:rPr>
              <w:t>49.5 a</w:t>
            </w:r>
          </w:p>
        </w:tc>
        <w:tc>
          <w:tcPr>
            <w:tcW w:w="1282" w:type="dxa"/>
            <w:tcBorders>
              <w:bottom w:val="single" w:sz="4" w:space="0" w:color="000000"/>
            </w:tcBorders>
          </w:tcPr>
          <w:p>
            <w:pPr>
              <w:pStyle w:val="TableParagraph"/>
              <w:spacing w:line="264" w:lineRule="exact"/>
              <w:ind w:left="167"/>
              <w:rPr>
                <w:sz w:val="24"/>
              </w:rPr>
            </w:pPr>
            <w:r>
              <w:rPr>
                <w:sz w:val="24"/>
              </w:rPr>
              <w:t>47.2 a</w:t>
            </w:r>
          </w:p>
        </w:tc>
        <w:tc>
          <w:tcPr>
            <w:tcW w:w="1360" w:type="dxa"/>
            <w:tcBorders>
              <w:bottom w:val="single" w:sz="4" w:space="0" w:color="000000"/>
            </w:tcBorders>
          </w:tcPr>
          <w:p>
            <w:pPr>
              <w:pStyle w:val="TableParagraph"/>
              <w:spacing w:line="264" w:lineRule="exact"/>
              <w:ind w:left="354"/>
              <w:rPr>
                <w:sz w:val="24"/>
              </w:rPr>
            </w:pPr>
            <w:r>
              <w:rPr>
                <w:sz w:val="24"/>
              </w:rPr>
              <w:t>54.2 a</w:t>
            </w:r>
          </w:p>
        </w:tc>
        <w:tc>
          <w:tcPr>
            <w:tcW w:w="1416" w:type="dxa"/>
            <w:tcBorders>
              <w:bottom w:val="single" w:sz="4" w:space="0" w:color="000000"/>
            </w:tcBorders>
          </w:tcPr>
          <w:p>
            <w:pPr>
              <w:pStyle w:val="TableParagraph"/>
              <w:spacing w:line="264" w:lineRule="exact"/>
              <w:ind w:left="396"/>
              <w:rPr>
                <w:sz w:val="24"/>
              </w:rPr>
            </w:pPr>
            <w:r>
              <w:rPr>
                <w:sz w:val="24"/>
              </w:rPr>
              <w:t>50.0 a</w:t>
            </w:r>
          </w:p>
        </w:tc>
        <w:tc>
          <w:tcPr>
            <w:tcW w:w="1478" w:type="dxa"/>
            <w:tcBorders>
              <w:bottom w:val="single" w:sz="4" w:space="0" w:color="000000"/>
            </w:tcBorders>
          </w:tcPr>
          <w:p>
            <w:pPr>
              <w:pStyle w:val="TableParagraph"/>
              <w:spacing w:line="264" w:lineRule="exact"/>
              <w:ind w:left="379"/>
              <w:rPr>
                <w:sz w:val="24"/>
              </w:rPr>
            </w:pPr>
            <w:r>
              <w:rPr>
                <w:sz w:val="24"/>
              </w:rPr>
              <w:t>46.0 a</w:t>
            </w:r>
          </w:p>
        </w:tc>
        <w:tc>
          <w:tcPr>
            <w:tcW w:w="1368" w:type="dxa"/>
            <w:tcBorders>
              <w:bottom w:val="single" w:sz="4" w:space="0" w:color="000000"/>
            </w:tcBorders>
          </w:tcPr>
          <w:p>
            <w:pPr>
              <w:pStyle w:val="TableParagraph"/>
              <w:spacing w:line="264" w:lineRule="exact"/>
              <w:ind w:left="437"/>
              <w:rPr>
                <w:sz w:val="24"/>
              </w:rPr>
            </w:pPr>
            <w:r>
              <w:rPr>
                <w:sz w:val="24"/>
              </w:rPr>
              <w:t>47.8 a</w:t>
            </w:r>
          </w:p>
        </w:tc>
      </w:tr>
    </w:tbl>
    <w:p>
      <w:pPr>
        <w:pStyle w:val="BodyText"/>
        <w:ind w:left="121" w:right="947"/>
      </w:pPr>
      <w:r>
        <w:rPr/>
        <w:t>Medias con la misma letra en cada columna son iguales de acuerdo con la prueba de Tukey con p≤0.05</w:t>
      </w:r>
    </w:p>
    <w:p>
      <w:pPr>
        <w:spacing w:after="0"/>
        <w:sectPr>
          <w:pgSz w:w="12240" w:h="15840"/>
          <w:pgMar w:header="0" w:footer="1005" w:top="1360" w:bottom="1200" w:left="1580" w:right="820"/>
        </w:sectPr>
      </w:pPr>
    </w:p>
    <w:p>
      <w:pPr>
        <w:pStyle w:val="Heading1"/>
        <w:numPr>
          <w:ilvl w:val="1"/>
          <w:numId w:val="11"/>
        </w:numPr>
        <w:tabs>
          <w:tab w:pos="2908" w:val="left" w:leader="none"/>
        </w:tabs>
        <w:spacing w:line="240" w:lineRule="auto" w:before="51" w:after="0"/>
        <w:ind w:left="2907" w:right="0" w:hanging="269"/>
        <w:jc w:val="left"/>
      </w:pPr>
      <w:bookmarkStart w:name="_TOC_250000" w:id="39"/>
      <w:r>
        <w:rPr/>
        <w:t>CONCLUSIONES</w:t>
      </w:r>
      <w:r>
        <w:rPr>
          <w:spacing w:val="-18"/>
        </w:rPr>
        <w:t> </w:t>
      </w:r>
      <w:bookmarkEnd w:id="39"/>
      <w:r>
        <w:rPr/>
        <w:t>GENERALES</w:t>
      </w:r>
    </w:p>
    <w:p>
      <w:pPr>
        <w:pStyle w:val="BodyText"/>
        <w:rPr>
          <w:b/>
        </w:rPr>
      </w:pPr>
    </w:p>
    <w:p>
      <w:pPr>
        <w:pStyle w:val="BodyText"/>
        <w:rPr>
          <w:b/>
        </w:rPr>
      </w:pPr>
    </w:p>
    <w:p>
      <w:pPr>
        <w:pStyle w:val="BodyText"/>
        <w:spacing w:before="6"/>
        <w:rPr>
          <w:b/>
          <w:sz w:val="23"/>
        </w:rPr>
      </w:pPr>
    </w:p>
    <w:p>
      <w:pPr>
        <w:pStyle w:val="BodyText"/>
        <w:spacing w:line="480" w:lineRule="auto"/>
        <w:ind w:left="101" w:right="116"/>
        <w:jc w:val="both"/>
      </w:pPr>
      <w:r>
        <w:rPr/>
        <w:t>Se aprecia el efecto positivo de la fertilización foliar con 144 m</w:t>
      </w:r>
      <w:r>
        <w:rPr>
          <w:color w:val="221E1F"/>
        </w:rPr>
        <w:t>g·litro</w:t>
      </w:r>
      <w:r>
        <w:rPr>
          <w:color w:val="221E1F"/>
          <w:position w:val="8"/>
          <w:sz w:val="16"/>
        </w:rPr>
        <w:t>-1 </w:t>
      </w:r>
      <w:r>
        <w:rPr/>
        <w:t>de Zn y de 160 m</w:t>
      </w:r>
      <w:r>
        <w:rPr>
          <w:color w:val="221E1F"/>
        </w:rPr>
        <w:t>g·litro</w:t>
      </w:r>
      <w:r>
        <w:rPr>
          <w:color w:val="221E1F"/>
          <w:position w:val="8"/>
          <w:sz w:val="16"/>
        </w:rPr>
        <w:t>-1 </w:t>
      </w:r>
      <w:r>
        <w:rPr>
          <w:color w:val="221E1F"/>
        </w:rPr>
        <w:t>de Mg </w:t>
      </w:r>
      <w:r>
        <w:rPr/>
        <w:t>en </w:t>
      </w:r>
      <w:r>
        <w:rPr>
          <w:i/>
        </w:rPr>
        <w:t>Lilium </w:t>
      </w:r>
      <w:r>
        <w:rPr/>
        <w:t>cv</w:t>
      </w:r>
      <w:r>
        <w:rPr>
          <w:i/>
        </w:rPr>
        <w:t>. </w:t>
      </w:r>
      <w:r>
        <w:rPr/>
        <w:t>‘Acapulco’ en la altura de la planta y el índice de verdor (p≤0.05). Sin embargo, para </w:t>
      </w:r>
      <w:r>
        <w:rPr>
          <w:i/>
        </w:rPr>
        <w:t>Lilium </w:t>
      </w:r>
      <w:r>
        <w:rPr/>
        <w:t>‘Serrada’ se recomienda la dosis de 72 mg</w:t>
      </w:r>
      <w:r>
        <w:rPr>
          <w:color w:val="221E1F"/>
        </w:rPr>
        <w:t>·litro</w:t>
      </w:r>
      <w:r>
        <w:rPr>
          <w:color w:val="221E1F"/>
          <w:position w:val="8"/>
          <w:sz w:val="16"/>
        </w:rPr>
        <w:t>-1 </w:t>
      </w:r>
      <w:r>
        <w:rPr/>
        <w:t>de Zn y 160 mg</w:t>
      </w:r>
      <w:r>
        <w:rPr>
          <w:color w:val="221E1F"/>
        </w:rPr>
        <w:t>·litro</w:t>
      </w:r>
      <w:r>
        <w:rPr>
          <w:color w:val="221E1F"/>
          <w:position w:val="8"/>
          <w:sz w:val="16"/>
        </w:rPr>
        <w:t>-1 </w:t>
      </w:r>
      <w:r>
        <w:rPr>
          <w:color w:val="221E1F"/>
        </w:rPr>
        <w:t>de Mg para una mayor altura de la planta y en las unidades SPAD no se encuentra efecto positivo con la aplicación de Zn y Mg. En ambos cultivares se sugiere l</w:t>
      </w:r>
      <w:r>
        <w:rPr/>
        <w:t>a aplicación al suelo 10 ml de la solución de Steiner aumentada</w:t>
      </w:r>
      <w:r>
        <w:rPr>
          <w:spacing w:val="-13"/>
        </w:rPr>
        <w:t> </w:t>
      </w:r>
      <w:r>
        <w:rPr/>
        <w:t>40</w:t>
      </w:r>
      <w:r>
        <w:rPr>
          <w:spacing w:val="-13"/>
        </w:rPr>
        <w:t> </w:t>
      </w:r>
      <w:r>
        <w:rPr/>
        <w:t>veces.</w:t>
      </w:r>
      <w:r>
        <w:rPr>
          <w:spacing w:val="42"/>
        </w:rPr>
        <w:t> </w:t>
      </w:r>
      <w:r>
        <w:rPr/>
        <w:t>Lo</w:t>
      </w:r>
      <w:r>
        <w:rPr>
          <w:spacing w:val="-13"/>
        </w:rPr>
        <w:t> </w:t>
      </w:r>
      <w:r>
        <w:rPr/>
        <w:t>anterior</w:t>
      </w:r>
      <w:r>
        <w:rPr>
          <w:spacing w:val="-12"/>
        </w:rPr>
        <w:t> </w:t>
      </w:r>
      <w:r>
        <w:rPr/>
        <w:t>sugiere</w:t>
      </w:r>
      <w:r>
        <w:rPr>
          <w:spacing w:val="-13"/>
        </w:rPr>
        <w:t> </w:t>
      </w:r>
      <w:r>
        <w:rPr/>
        <w:t>la</w:t>
      </w:r>
      <w:r>
        <w:rPr>
          <w:spacing w:val="-13"/>
        </w:rPr>
        <w:t> </w:t>
      </w:r>
      <w:r>
        <w:rPr/>
        <w:t>importancia</w:t>
      </w:r>
      <w:r>
        <w:rPr>
          <w:spacing w:val="-13"/>
        </w:rPr>
        <w:t> </w:t>
      </w:r>
      <w:r>
        <w:rPr/>
        <w:t>de</w:t>
      </w:r>
      <w:r>
        <w:rPr>
          <w:spacing w:val="-13"/>
        </w:rPr>
        <w:t> </w:t>
      </w:r>
      <w:r>
        <w:rPr/>
        <w:t>fertilizar</w:t>
      </w:r>
      <w:r>
        <w:rPr>
          <w:spacing w:val="-12"/>
        </w:rPr>
        <w:t> </w:t>
      </w:r>
      <w:r>
        <w:rPr/>
        <w:t>foliarmente</w:t>
      </w:r>
      <w:r>
        <w:rPr>
          <w:spacing w:val="-13"/>
        </w:rPr>
        <w:t> </w:t>
      </w:r>
      <w:r>
        <w:rPr/>
        <w:t>con Zn y Mg para incrementar parámetros de calidad como es la altura de la planta y el verdor de las hojas al momento de la</w:t>
      </w:r>
      <w:r>
        <w:rPr>
          <w:spacing w:val="-23"/>
        </w:rPr>
        <w:t> </w:t>
      </w:r>
      <w:r>
        <w:rPr/>
        <w:t>cosecha.</w:t>
      </w:r>
    </w:p>
    <w:p>
      <w:pPr>
        <w:pStyle w:val="BodyText"/>
        <w:spacing w:line="480" w:lineRule="auto" w:before="5"/>
        <w:ind w:left="101" w:right="118"/>
        <w:jc w:val="both"/>
      </w:pPr>
      <w:r>
        <w:rPr/>
        <w:t>La fertilización foliar a base de Zn y Mg en </w:t>
      </w:r>
      <w:r>
        <w:rPr>
          <w:i/>
        </w:rPr>
        <w:t>Lilium </w:t>
      </w:r>
      <w:r>
        <w:rPr/>
        <w:t>‘Acapulco’ y ‘Serrada’ no influyó en</w:t>
      </w:r>
      <w:r>
        <w:rPr>
          <w:spacing w:val="-19"/>
        </w:rPr>
        <w:t> </w:t>
      </w:r>
      <w:r>
        <w:rPr/>
        <w:t>parámetros</w:t>
      </w:r>
      <w:r>
        <w:rPr>
          <w:spacing w:val="-20"/>
        </w:rPr>
        <w:t> </w:t>
      </w:r>
      <w:r>
        <w:rPr/>
        <w:t>de</w:t>
      </w:r>
      <w:r>
        <w:rPr>
          <w:spacing w:val="-16"/>
        </w:rPr>
        <w:t> </w:t>
      </w:r>
      <w:r>
        <w:rPr/>
        <w:t>la</w:t>
      </w:r>
      <w:r>
        <w:rPr>
          <w:spacing w:val="-19"/>
        </w:rPr>
        <w:t> </w:t>
      </w:r>
      <w:r>
        <w:rPr/>
        <w:t>vida</w:t>
      </w:r>
      <w:r>
        <w:rPr>
          <w:spacing w:val="-16"/>
        </w:rPr>
        <w:t> </w:t>
      </w:r>
      <w:r>
        <w:rPr/>
        <w:t>en</w:t>
      </w:r>
      <w:r>
        <w:rPr>
          <w:spacing w:val="-19"/>
        </w:rPr>
        <w:t> </w:t>
      </w:r>
      <w:r>
        <w:rPr/>
        <w:t>florero</w:t>
      </w:r>
      <w:r>
        <w:rPr>
          <w:spacing w:val="-16"/>
        </w:rPr>
        <w:t> </w:t>
      </w:r>
      <w:r>
        <w:rPr/>
        <w:t>como</w:t>
      </w:r>
      <w:r>
        <w:rPr>
          <w:spacing w:val="-19"/>
        </w:rPr>
        <w:t> </w:t>
      </w:r>
      <w:r>
        <w:rPr/>
        <w:t>unidades</w:t>
      </w:r>
      <w:r>
        <w:rPr>
          <w:spacing w:val="-20"/>
        </w:rPr>
        <w:t> </w:t>
      </w:r>
      <w:r>
        <w:rPr/>
        <w:t>SPAD,</w:t>
      </w:r>
      <w:r>
        <w:rPr>
          <w:spacing w:val="-19"/>
        </w:rPr>
        <w:t> </w:t>
      </w:r>
      <w:r>
        <w:rPr/>
        <w:t>color</w:t>
      </w:r>
      <w:r>
        <w:rPr>
          <w:spacing w:val="-20"/>
        </w:rPr>
        <w:t> </w:t>
      </w:r>
      <w:r>
        <w:rPr/>
        <w:t>de</w:t>
      </w:r>
      <w:r>
        <w:rPr>
          <w:spacing w:val="-19"/>
        </w:rPr>
        <w:t> </w:t>
      </w:r>
      <w:r>
        <w:rPr/>
        <w:t>tépalos,</w:t>
      </w:r>
      <w:r>
        <w:rPr>
          <w:spacing w:val="-19"/>
        </w:rPr>
        <w:t> </w:t>
      </w:r>
      <w:r>
        <w:rPr/>
        <w:t>diámetro de la flor, área foliar y materia</w:t>
      </w:r>
      <w:r>
        <w:rPr>
          <w:spacing w:val="-16"/>
        </w:rPr>
        <w:t> </w:t>
      </w:r>
      <w:r>
        <w:rPr/>
        <w:t>seca.</w:t>
      </w:r>
    </w:p>
    <w:p>
      <w:pPr>
        <w:spacing w:after="0" w:line="480" w:lineRule="auto"/>
        <w:jc w:val="both"/>
        <w:sectPr>
          <w:pgSz w:w="12240" w:h="15840"/>
          <w:pgMar w:header="0" w:footer="1005" w:top="1360" w:bottom="1200" w:left="1600" w:right="1580"/>
        </w:sectPr>
      </w:pPr>
    </w:p>
    <w:p>
      <w:pPr>
        <w:pStyle w:val="Heading1"/>
        <w:numPr>
          <w:ilvl w:val="1"/>
          <w:numId w:val="11"/>
        </w:numPr>
        <w:tabs>
          <w:tab w:pos="2728" w:val="left" w:leader="none"/>
        </w:tabs>
        <w:spacing w:line="240" w:lineRule="auto" w:before="54" w:after="0"/>
        <w:ind w:left="2727" w:right="0" w:hanging="269"/>
        <w:jc w:val="left"/>
      </w:pPr>
      <w:r>
        <w:rPr/>
        <w:t>REFERENCIAS</w:t>
      </w:r>
      <w:r>
        <w:rPr>
          <w:spacing w:val="-20"/>
        </w:rPr>
        <w:t> </w:t>
      </w:r>
      <w:r>
        <w:rPr/>
        <w:t>BIBLIOGRAFICAS</w:t>
      </w:r>
    </w:p>
    <w:p>
      <w:pPr>
        <w:pStyle w:val="BodyText"/>
        <w:rPr>
          <w:b/>
        </w:rPr>
      </w:pPr>
    </w:p>
    <w:p>
      <w:pPr>
        <w:pStyle w:val="BodyText"/>
        <w:rPr>
          <w:b/>
        </w:rPr>
      </w:pPr>
    </w:p>
    <w:p>
      <w:pPr>
        <w:pStyle w:val="BodyText"/>
        <w:spacing w:before="5"/>
        <w:rPr>
          <w:b/>
          <w:sz w:val="34"/>
        </w:rPr>
      </w:pPr>
    </w:p>
    <w:p>
      <w:pPr>
        <w:pStyle w:val="BodyText"/>
        <w:spacing w:line="480" w:lineRule="auto"/>
        <w:ind w:right="116"/>
        <w:jc w:val="right"/>
      </w:pPr>
      <w:r>
        <w:rPr/>
        <w:t>Alpi,</w:t>
      </w:r>
      <w:r>
        <w:rPr>
          <w:spacing w:val="-10"/>
        </w:rPr>
        <w:t> </w:t>
      </w:r>
      <w:r>
        <w:rPr/>
        <w:t>A.,</w:t>
      </w:r>
      <w:r>
        <w:rPr>
          <w:spacing w:val="-12"/>
        </w:rPr>
        <w:t> </w:t>
      </w:r>
      <w:r>
        <w:rPr/>
        <w:t>&amp;</w:t>
      </w:r>
      <w:r>
        <w:rPr>
          <w:spacing w:val="-12"/>
        </w:rPr>
        <w:t> </w:t>
      </w:r>
      <w:r>
        <w:rPr/>
        <w:t>Tognoni,</w:t>
      </w:r>
      <w:r>
        <w:rPr>
          <w:spacing w:val="-10"/>
        </w:rPr>
        <w:t> </w:t>
      </w:r>
      <w:r>
        <w:rPr/>
        <w:t>F.</w:t>
      </w:r>
      <w:r>
        <w:rPr>
          <w:spacing w:val="-12"/>
        </w:rPr>
        <w:t> </w:t>
      </w:r>
      <w:r>
        <w:rPr/>
        <w:t>(1999).</w:t>
      </w:r>
      <w:r>
        <w:rPr>
          <w:spacing w:val="-10"/>
        </w:rPr>
        <w:t> </w:t>
      </w:r>
      <w:r>
        <w:rPr>
          <w:i/>
        </w:rPr>
        <w:t>Cultivo</w:t>
      </w:r>
      <w:r>
        <w:rPr>
          <w:i/>
          <w:spacing w:val="-12"/>
        </w:rPr>
        <w:t> </w:t>
      </w:r>
      <w:r>
        <w:rPr>
          <w:i/>
        </w:rPr>
        <w:t>en</w:t>
      </w:r>
      <w:r>
        <w:rPr>
          <w:i/>
          <w:spacing w:val="-9"/>
        </w:rPr>
        <w:t> </w:t>
      </w:r>
      <w:r>
        <w:rPr>
          <w:i/>
        </w:rPr>
        <w:t>invernadero</w:t>
      </w:r>
      <w:r>
        <w:rPr/>
        <w:t>.</w:t>
      </w:r>
      <w:r>
        <w:rPr>
          <w:spacing w:val="-10"/>
        </w:rPr>
        <w:t> </w:t>
      </w:r>
      <w:r>
        <w:rPr/>
        <w:t>Madrid:</w:t>
      </w:r>
      <w:r>
        <w:rPr>
          <w:spacing w:val="-10"/>
        </w:rPr>
        <w:t> </w:t>
      </w:r>
      <w:r>
        <w:rPr/>
        <w:t>Mundi-Prensa.</w:t>
      </w:r>
      <w:r>
        <w:rPr>
          <w:spacing w:val="-12"/>
        </w:rPr>
        <w:t> </w:t>
      </w:r>
      <w:r>
        <w:rPr/>
        <w:t>347</w:t>
      </w:r>
      <w:r>
        <w:rPr>
          <w:spacing w:val="-14"/>
        </w:rPr>
        <w:t> </w:t>
      </w:r>
      <w:r>
        <w:rPr/>
        <w:t>p.</w:t>
      </w:r>
      <w:r>
        <w:rPr>
          <w:w w:val="100"/>
        </w:rPr>
        <w:t> </w:t>
      </w:r>
      <w:r>
        <w:rPr/>
        <w:t>Arnon,</w:t>
      </w:r>
      <w:r>
        <w:rPr>
          <w:spacing w:val="22"/>
        </w:rPr>
        <w:t> </w:t>
      </w:r>
      <w:r>
        <w:rPr/>
        <w:t>D.</w:t>
      </w:r>
      <w:r>
        <w:rPr>
          <w:spacing w:val="20"/>
        </w:rPr>
        <w:t> </w:t>
      </w:r>
      <w:r>
        <w:rPr/>
        <w:t>I.,</w:t>
      </w:r>
      <w:r>
        <w:rPr>
          <w:spacing w:val="22"/>
        </w:rPr>
        <w:t> </w:t>
      </w:r>
      <w:r>
        <w:rPr/>
        <w:t>&amp;</w:t>
      </w:r>
      <w:r>
        <w:rPr>
          <w:spacing w:val="20"/>
        </w:rPr>
        <w:t> </w:t>
      </w:r>
      <w:r>
        <w:rPr/>
        <w:t>Stout,</w:t>
      </w:r>
      <w:r>
        <w:rPr>
          <w:spacing w:val="20"/>
        </w:rPr>
        <w:t> </w:t>
      </w:r>
      <w:r>
        <w:rPr/>
        <w:t>P.</w:t>
      </w:r>
      <w:r>
        <w:rPr>
          <w:spacing w:val="22"/>
        </w:rPr>
        <w:t> </w:t>
      </w:r>
      <w:r>
        <w:rPr/>
        <w:t>R.</w:t>
      </w:r>
      <w:r>
        <w:rPr>
          <w:spacing w:val="22"/>
        </w:rPr>
        <w:t> </w:t>
      </w:r>
      <w:r>
        <w:rPr/>
        <w:t>(1939).</w:t>
      </w:r>
      <w:r>
        <w:rPr>
          <w:spacing w:val="20"/>
        </w:rPr>
        <w:t> </w:t>
      </w:r>
      <w:r>
        <w:rPr/>
        <w:t>The</w:t>
      </w:r>
      <w:r>
        <w:rPr>
          <w:spacing w:val="22"/>
        </w:rPr>
        <w:t> </w:t>
      </w:r>
      <w:r>
        <w:rPr/>
        <w:t>essentiality</w:t>
      </w:r>
      <w:r>
        <w:rPr>
          <w:spacing w:val="20"/>
        </w:rPr>
        <w:t> </w:t>
      </w:r>
      <w:r>
        <w:rPr/>
        <w:t>of</w:t>
      </w:r>
      <w:r>
        <w:rPr>
          <w:spacing w:val="24"/>
        </w:rPr>
        <w:t> </w:t>
      </w:r>
      <w:r>
        <w:rPr/>
        <w:t>certain</w:t>
      </w:r>
      <w:r>
        <w:rPr>
          <w:spacing w:val="20"/>
        </w:rPr>
        <w:t> </w:t>
      </w:r>
      <w:r>
        <w:rPr/>
        <w:t>elements</w:t>
      </w:r>
      <w:r>
        <w:rPr>
          <w:spacing w:val="21"/>
        </w:rPr>
        <w:t> </w:t>
      </w:r>
      <w:r>
        <w:rPr/>
        <w:t>in</w:t>
      </w:r>
      <w:r>
        <w:rPr>
          <w:spacing w:val="20"/>
        </w:rPr>
        <w:t> </w:t>
      </w:r>
      <w:r>
        <w:rPr/>
        <w:t>minute</w:t>
      </w:r>
      <w:r>
        <w:rPr>
          <w:w w:val="99"/>
        </w:rPr>
        <w:t> </w:t>
      </w:r>
      <w:r>
        <w:rPr/>
        <w:t>quantity</w:t>
      </w:r>
      <w:r>
        <w:rPr>
          <w:spacing w:val="-17"/>
        </w:rPr>
        <w:t> </w:t>
      </w:r>
      <w:r>
        <w:rPr/>
        <w:t>for</w:t>
      </w:r>
      <w:r>
        <w:rPr>
          <w:spacing w:val="-18"/>
        </w:rPr>
        <w:t> </w:t>
      </w:r>
      <w:r>
        <w:rPr/>
        <w:t>plants</w:t>
      </w:r>
      <w:r>
        <w:rPr>
          <w:spacing w:val="-15"/>
        </w:rPr>
        <w:t> </w:t>
      </w:r>
      <w:r>
        <w:rPr/>
        <w:t>with</w:t>
      </w:r>
      <w:r>
        <w:rPr>
          <w:spacing w:val="-16"/>
        </w:rPr>
        <w:t> </w:t>
      </w:r>
      <w:r>
        <w:rPr/>
        <w:t>special</w:t>
      </w:r>
      <w:r>
        <w:rPr>
          <w:spacing w:val="-15"/>
        </w:rPr>
        <w:t> </w:t>
      </w:r>
      <w:r>
        <w:rPr/>
        <w:t>reference</w:t>
      </w:r>
      <w:r>
        <w:rPr>
          <w:spacing w:val="-14"/>
        </w:rPr>
        <w:t> </w:t>
      </w:r>
      <w:r>
        <w:rPr/>
        <w:t>in</w:t>
      </w:r>
      <w:r>
        <w:rPr>
          <w:spacing w:val="-14"/>
        </w:rPr>
        <w:t> </w:t>
      </w:r>
      <w:r>
        <w:rPr/>
        <w:t>copper.</w:t>
      </w:r>
      <w:r>
        <w:rPr>
          <w:spacing w:val="-14"/>
        </w:rPr>
        <w:t> </w:t>
      </w:r>
      <w:r>
        <w:rPr>
          <w:i/>
        </w:rPr>
        <w:t>Plant</w:t>
      </w:r>
      <w:r>
        <w:rPr>
          <w:i/>
          <w:spacing w:val="-17"/>
        </w:rPr>
        <w:t> </w:t>
      </w:r>
      <w:r>
        <w:rPr>
          <w:i/>
        </w:rPr>
        <w:t>Physiology</w:t>
      </w:r>
      <w:r>
        <w:rPr/>
        <w:t>,</w:t>
      </w:r>
      <w:r>
        <w:rPr>
          <w:spacing w:val="-17"/>
        </w:rPr>
        <w:t> </w:t>
      </w:r>
      <w:r>
        <w:rPr/>
        <w:t>14,</w:t>
      </w:r>
      <w:r>
        <w:rPr>
          <w:spacing w:val="-17"/>
        </w:rPr>
        <w:t> </w:t>
      </w:r>
      <w:r>
        <w:rPr/>
        <w:t>371-</w:t>
      </w:r>
    </w:p>
    <w:p>
      <w:pPr>
        <w:pStyle w:val="BodyText"/>
        <w:spacing w:before="10"/>
        <w:ind w:left="809"/>
      </w:pPr>
      <w:r>
        <w:rPr/>
        <w:t>375.</w:t>
      </w:r>
    </w:p>
    <w:p>
      <w:pPr>
        <w:pStyle w:val="BodyText"/>
      </w:pPr>
    </w:p>
    <w:p>
      <w:pPr>
        <w:spacing w:line="477" w:lineRule="auto" w:before="0"/>
        <w:ind w:left="809" w:right="118" w:hanging="708"/>
        <w:jc w:val="both"/>
        <w:rPr>
          <w:sz w:val="24"/>
        </w:rPr>
      </w:pPr>
      <w:r>
        <w:rPr>
          <w:sz w:val="24"/>
        </w:rPr>
        <w:t>Arrom, L. &amp; Munné-Bosch, S. (2012). Hormonal regulation of leaf senescence in Lilium. </w:t>
      </w:r>
      <w:r>
        <w:rPr>
          <w:i/>
          <w:sz w:val="24"/>
        </w:rPr>
        <w:t>Journal of Plant Physiology</w:t>
      </w:r>
      <w:r>
        <w:rPr>
          <w:sz w:val="24"/>
        </w:rPr>
        <w:t>, 169, 1542-1550.</w:t>
      </w:r>
    </w:p>
    <w:p>
      <w:pPr>
        <w:pStyle w:val="BodyText"/>
        <w:spacing w:line="480" w:lineRule="auto" w:before="13"/>
        <w:ind w:left="809" w:right="117" w:hanging="708"/>
        <w:jc w:val="both"/>
      </w:pPr>
      <w:r>
        <w:rPr/>
        <w:t>Artacho-Vargas, P., &amp; Pinochet-Tejos, D. (2008). Producción de materia seca y absorción de nitrógeno del cultivo del tulipán (</w:t>
      </w:r>
      <w:r>
        <w:rPr>
          <w:i/>
        </w:rPr>
        <w:t>Tulipa gesneriana </w:t>
      </w:r>
      <w:r>
        <w:rPr/>
        <w:t>L). </w:t>
      </w:r>
      <w:r>
        <w:rPr>
          <w:i/>
        </w:rPr>
        <w:t>Agrociencia</w:t>
      </w:r>
      <w:r>
        <w:rPr/>
        <w:t>, 42, 37-45.</w:t>
      </w:r>
    </w:p>
    <w:p>
      <w:pPr>
        <w:pStyle w:val="BodyText"/>
        <w:spacing w:line="480" w:lineRule="auto" w:before="10"/>
        <w:ind w:left="809" w:right="117" w:hanging="708"/>
        <w:jc w:val="both"/>
      </w:pPr>
      <w:r>
        <w:rPr/>
        <w:t>Ayala, A. J., Castillo G., A. M., Valdez, A. L. A., Colinas, L. M. T., Pineda, P. J., &amp; Avitia, G. E. (2008). Effect of calcium, borom and molybdenum on plant growth</w:t>
      </w:r>
      <w:r>
        <w:rPr>
          <w:spacing w:val="-8"/>
        </w:rPr>
        <w:t> </w:t>
      </w:r>
      <w:r>
        <w:rPr/>
        <w:t>and</w:t>
      </w:r>
      <w:r>
        <w:rPr>
          <w:spacing w:val="-10"/>
        </w:rPr>
        <w:t> </w:t>
      </w:r>
      <w:r>
        <w:rPr/>
        <w:t>bract</w:t>
      </w:r>
      <w:r>
        <w:rPr>
          <w:spacing w:val="-8"/>
        </w:rPr>
        <w:t> </w:t>
      </w:r>
      <w:r>
        <w:rPr/>
        <w:t>pigmentation</w:t>
      </w:r>
      <w:r>
        <w:rPr>
          <w:spacing w:val="-10"/>
        </w:rPr>
        <w:t> </w:t>
      </w:r>
      <w:r>
        <w:rPr/>
        <w:t>in</w:t>
      </w:r>
      <w:r>
        <w:rPr>
          <w:spacing w:val="-10"/>
        </w:rPr>
        <w:t> </w:t>
      </w:r>
      <w:r>
        <w:rPr/>
        <w:t>poinsettia.</w:t>
      </w:r>
      <w:r>
        <w:rPr>
          <w:spacing w:val="-13"/>
        </w:rPr>
        <w:t> </w:t>
      </w:r>
      <w:r>
        <w:rPr>
          <w:i/>
        </w:rPr>
        <w:t>Revista</w:t>
      </w:r>
      <w:r>
        <w:rPr>
          <w:i/>
          <w:spacing w:val="-8"/>
        </w:rPr>
        <w:t> </w:t>
      </w:r>
      <w:r>
        <w:rPr>
          <w:i/>
        </w:rPr>
        <w:t>Fitotecnia</w:t>
      </w:r>
      <w:r>
        <w:rPr>
          <w:i/>
          <w:spacing w:val="-10"/>
        </w:rPr>
        <w:t> </w:t>
      </w:r>
      <w:r>
        <w:rPr>
          <w:i/>
        </w:rPr>
        <w:t>Mexicana</w:t>
      </w:r>
      <w:r>
        <w:rPr/>
        <w:t>,</w:t>
      </w:r>
      <w:r>
        <w:rPr>
          <w:spacing w:val="-11"/>
        </w:rPr>
        <w:t> </w:t>
      </w:r>
      <w:r>
        <w:rPr/>
        <w:t>31, 165-172.</w:t>
      </w:r>
    </w:p>
    <w:p>
      <w:pPr>
        <w:spacing w:line="480" w:lineRule="auto" w:before="5"/>
        <w:ind w:left="809" w:right="120" w:hanging="708"/>
        <w:jc w:val="both"/>
        <w:rPr>
          <w:sz w:val="24"/>
        </w:rPr>
      </w:pPr>
      <w:r>
        <w:rPr>
          <w:sz w:val="24"/>
        </w:rPr>
        <w:t>Bañon, S., Cifuentes, D., Fernández, J., &amp; Gonzalez, A. (1993). </w:t>
      </w:r>
      <w:r>
        <w:rPr>
          <w:i/>
          <w:sz w:val="24"/>
        </w:rPr>
        <w:t>Gerbera, Lilium, </w:t>
      </w:r>
      <w:r>
        <w:rPr>
          <w:i/>
          <w:sz w:val="24"/>
        </w:rPr>
        <w:t>Tulipán y Rosa</w:t>
      </w:r>
      <w:r>
        <w:rPr>
          <w:sz w:val="24"/>
        </w:rPr>
        <w:t>. Madrid: Mundi-Prensa. 250 p.</w:t>
      </w:r>
    </w:p>
    <w:p>
      <w:pPr>
        <w:pStyle w:val="BodyText"/>
        <w:spacing w:line="480" w:lineRule="auto" w:before="10"/>
        <w:ind w:left="809" w:right="118" w:hanging="708"/>
        <w:jc w:val="both"/>
      </w:pPr>
      <w:r>
        <w:rPr/>
        <w:t>Barrantes, I. B. L., &amp; Bertsch, F. (2012). Curvas de absorción de nutrimentos para tres variedades de lirios (</w:t>
      </w:r>
      <w:r>
        <w:rPr>
          <w:i/>
        </w:rPr>
        <w:t>Lilium </w:t>
      </w:r>
      <w:r>
        <w:rPr/>
        <w:t>sp.) y afinamiento del programa de fertilización en una finca comercial en Heredia, Costa Rica. </w:t>
      </w:r>
      <w:r>
        <w:rPr>
          <w:i/>
        </w:rPr>
        <w:t>Agronomia </w:t>
      </w:r>
      <w:r>
        <w:rPr>
          <w:i/>
        </w:rPr>
        <w:t>Costarricense</w:t>
      </w:r>
      <w:r>
        <w:rPr/>
        <w:t>, 36(2), 47-60.</w:t>
      </w:r>
    </w:p>
    <w:p>
      <w:pPr>
        <w:pStyle w:val="BodyText"/>
        <w:spacing w:line="480" w:lineRule="auto" w:before="10"/>
        <w:ind w:left="809" w:right="117" w:hanging="708"/>
        <w:jc w:val="both"/>
      </w:pPr>
      <w:r>
        <w:rPr/>
        <w:t>Barrera-Aguilar, E., Valdez-Aguilar, L. A., Castillo-Gonzalez, A. M., Ibarra-Jimenéz, L.,  Rodriguez-García,  R.,  &amp;  Alia-Tejacal,  I.  (2012).  La  nutrición potásica</w:t>
      </w:r>
    </w:p>
    <w:p>
      <w:pPr>
        <w:spacing w:after="0" w:line="480" w:lineRule="auto"/>
        <w:jc w:val="both"/>
        <w:sectPr>
          <w:pgSz w:w="12240" w:h="15840"/>
          <w:pgMar w:header="0" w:footer="1005" w:top="1360" w:bottom="1200" w:left="1600" w:right="1580"/>
        </w:sectPr>
      </w:pPr>
    </w:p>
    <w:p>
      <w:pPr>
        <w:spacing w:line="480" w:lineRule="auto" w:before="49"/>
        <w:ind w:left="809" w:right="0" w:firstLine="0"/>
        <w:jc w:val="left"/>
        <w:rPr>
          <w:sz w:val="24"/>
        </w:rPr>
      </w:pPr>
      <w:r>
        <w:rPr>
          <w:sz w:val="24"/>
        </w:rPr>
        <w:t>afecta</w:t>
      </w:r>
      <w:r>
        <w:rPr>
          <w:spacing w:val="-12"/>
          <w:sz w:val="24"/>
        </w:rPr>
        <w:t> </w:t>
      </w:r>
      <w:r>
        <w:rPr>
          <w:sz w:val="24"/>
        </w:rPr>
        <w:t>el</w:t>
      </w:r>
      <w:r>
        <w:rPr>
          <w:spacing w:val="-13"/>
          <w:sz w:val="24"/>
        </w:rPr>
        <w:t> </w:t>
      </w:r>
      <w:r>
        <w:rPr>
          <w:sz w:val="24"/>
        </w:rPr>
        <w:t>crecimiento</w:t>
      </w:r>
      <w:r>
        <w:rPr>
          <w:spacing w:val="-12"/>
          <w:sz w:val="24"/>
        </w:rPr>
        <w:t> </w:t>
      </w:r>
      <w:r>
        <w:rPr>
          <w:sz w:val="24"/>
        </w:rPr>
        <w:t>y</w:t>
      </w:r>
      <w:r>
        <w:rPr>
          <w:spacing w:val="-15"/>
          <w:sz w:val="24"/>
        </w:rPr>
        <w:t> </w:t>
      </w:r>
      <w:r>
        <w:rPr>
          <w:sz w:val="24"/>
        </w:rPr>
        <w:t>fotosíntesis</w:t>
      </w:r>
      <w:r>
        <w:rPr>
          <w:spacing w:val="-15"/>
          <w:sz w:val="24"/>
        </w:rPr>
        <w:t> </w:t>
      </w:r>
      <w:r>
        <w:rPr>
          <w:sz w:val="24"/>
        </w:rPr>
        <w:t>en</w:t>
      </w:r>
      <w:r>
        <w:rPr>
          <w:spacing w:val="-12"/>
          <w:sz w:val="24"/>
        </w:rPr>
        <w:t> </w:t>
      </w:r>
      <w:r>
        <w:rPr>
          <w:i/>
          <w:sz w:val="24"/>
        </w:rPr>
        <w:t>Lilium</w:t>
      </w:r>
      <w:r>
        <w:rPr>
          <w:i/>
          <w:spacing w:val="-16"/>
          <w:sz w:val="24"/>
        </w:rPr>
        <w:t> </w:t>
      </w:r>
      <w:r>
        <w:rPr>
          <w:sz w:val="24"/>
        </w:rPr>
        <w:t>cultivado</w:t>
      </w:r>
      <w:r>
        <w:rPr>
          <w:spacing w:val="-12"/>
          <w:sz w:val="24"/>
        </w:rPr>
        <w:t> </w:t>
      </w:r>
      <w:r>
        <w:rPr>
          <w:sz w:val="24"/>
        </w:rPr>
        <w:t>en</w:t>
      </w:r>
      <w:r>
        <w:rPr>
          <w:spacing w:val="-12"/>
          <w:sz w:val="24"/>
        </w:rPr>
        <w:t> </w:t>
      </w:r>
      <w:r>
        <w:rPr>
          <w:sz w:val="24"/>
        </w:rPr>
        <w:t>turba</w:t>
      </w:r>
      <w:r>
        <w:rPr>
          <w:spacing w:val="-14"/>
          <w:sz w:val="24"/>
        </w:rPr>
        <w:t> </w:t>
      </w:r>
      <w:r>
        <w:rPr>
          <w:sz w:val="24"/>
        </w:rPr>
        <w:t>ácida.</w:t>
      </w:r>
      <w:r>
        <w:rPr>
          <w:spacing w:val="-14"/>
          <w:sz w:val="24"/>
        </w:rPr>
        <w:t> </w:t>
      </w:r>
      <w:r>
        <w:rPr>
          <w:i/>
          <w:sz w:val="24"/>
        </w:rPr>
        <w:t>Revista </w:t>
      </w:r>
      <w:r>
        <w:rPr>
          <w:i/>
          <w:sz w:val="24"/>
        </w:rPr>
        <w:t>Méxicana de Ciencias Agricolas</w:t>
      </w:r>
      <w:r>
        <w:rPr>
          <w:sz w:val="24"/>
        </w:rPr>
        <w:t>, 3(5),</w:t>
      </w:r>
      <w:r>
        <w:rPr>
          <w:spacing w:val="-21"/>
          <w:sz w:val="24"/>
        </w:rPr>
        <w:t> </w:t>
      </w:r>
      <w:r>
        <w:rPr>
          <w:sz w:val="24"/>
        </w:rPr>
        <w:t>1011-1022.</w:t>
      </w:r>
    </w:p>
    <w:p>
      <w:pPr>
        <w:spacing w:line="362" w:lineRule="auto" w:before="10"/>
        <w:ind w:left="809" w:right="120" w:hanging="708"/>
        <w:jc w:val="both"/>
        <w:rPr>
          <w:sz w:val="24"/>
        </w:rPr>
      </w:pPr>
      <w:r>
        <w:rPr>
          <w:sz w:val="24"/>
        </w:rPr>
        <w:t>Beattie, D., &amp; White, J. (1993). </w:t>
      </w:r>
      <w:r>
        <w:rPr>
          <w:i/>
          <w:sz w:val="24"/>
        </w:rPr>
        <w:t>Lilium</w:t>
      </w:r>
      <w:r>
        <w:rPr>
          <w:sz w:val="24"/>
        </w:rPr>
        <w:t>: </w:t>
      </w:r>
      <w:r>
        <w:rPr>
          <w:i/>
          <w:sz w:val="24"/>
        </w:rPr>
        <w:t>hybrids and species</w:t>
      </w:r>
      <w:r>
        <w:rPr>
          <w:sz w:val="24"/>
        </w:rPr>
        <w:t>. </w:t>
      </w:r>
      <w:r>
        <w:rPr>
          <w:i/>
          <w:sz w:val="24"/>
        </w:rPr>
        <w:t>In</w:t>
      </w:r>
      <w:r>
        <w:rPr>
          <w:sz w:val="24"/>
        </w:rPr>
        <w:t>: the physiology of flower bulbs.</w:t>
      </w:r>
    </w:p>
    <w:p>
      <w:pPr>
        <w:spacing w:line="482" w:lineRule="auto" w:before="197"/>
        <w:ind w:left="809" w:right="118" w:hanging="708"/>
        <w:jc w:val="both"/>
        <w:rPr>
          <w:sz w:val="24"/>
        </w:rPr>
      </w:pPr>
      <w:r>
        <w:rPr>
          <w:sz w:val="24"/>
        </w:rPr>
        <w:t>Bennett, W. F. (1997). </w:t>
      </w:r>
      <w:r>
        <w:rPr>
          <w:i/>
          <w:sz w:val="24"/>
        </w:rPr>
        <w:t>Nutrient deficiencies &amp; toxicity´s in crop plants</w:t>
      </w:r>
      <w:r>
        <w:rPr>
          <w:sz w:val="24"/>
        </w:rPr>
        <w:t>. Minnesota APS PRESS. The American Phytopathological Society.</w:t>
      </w:r>
    </w:p>
    <w:p>
      <w:pPr>
        <w:spacing w:line="360" w:lineRule="auto" w:before="5"/>
        <w:ind w:left="809" w:right="118" w:hanging="708"/>
        <w:jc w:val="both"/>
        <w:rPr>
          <w:sz w:val="24"/>
        </w:rPr>
      </w:pPr>
      <w:r>
        <w:rPr>
          <w:sz w:val="24"/>
        </w:rPr>
        <w:t>Benton, J., Jr. (2012). </w:t>
      </w:r>
      <w:r>
        <w:rPr>
          <w:i/>
          <w:sz w:val="24"/>
        </w:rPr>
        <w:t>Plant Nutrition and soil fertility manual</w:t>
      </w:r>
      <w:r>
        <w:rPr>
          <w:sz w:val="24"/>
        </w:rPr>
        <w:t>. CRC Press, Boca ratón, FL. 282 p.</w:t>
      </w:r>
    </w:p>
    <w:p>
      <w:pPr>
        <w:pStyle w:val="BodyText"/>
        <w:spacing w:line="360" w:lineRule="auto" w:before="204"/>
        <w:ind w:left="809" w:right="116" w:hanging="708"/>
        <w:jc w:val="both"/>
      </w:pPr>
      <w:r>
        <w:rPr/>
        <w:t>Betancourt-Olvera, M., Rodríguez-Mendoza, M. N., Sandoval-Villa, M., &amp; Gaytán- Acuña, E. A. (2005). Fertilización foliar una herramienta en el desarrollo del cultivo de lilium cv. Stargazer. </w:t>
      </w:r>
      <w:r>
        <w:rPr>
          <w:i/>
        </w:rPr>
        <w:t>Revista Chapingo Serie Horticultura</w:t>
      </w:r>
      <w:r>
        <w:rPr/>
        <w:t>, 11(2), 371-378.</w:t>
      </w:r>
    </w:p>
    <w:p>
      <w:pPr>
        <w:pStyle w:val="BodyText"/>
        <w:spacing w:line="480" w:lineRule="auto" w:before="2"/>
        <w:ind w:left="809" w:right="118" w:hanging="708"/>
        <w:jc w:val="both"/>
      </w:pPr>
      <w:r>
        <w:rPr/>
        <w:t>Biran,</w:t>
      </w:r>
      <w:r>
        <w:rPr>
          <w:spacing w:val="-19"/>
        </w:rPr>
        <w:t> </w:t>
      </w:r>
      <w:r>
        <w:rPr/>
        <w:t>H.</w:t>
      </w:r>
      <w:r>
        <w:rPr>
          <w:spacing w:val="-19"/>
        </w:rPr>
        <w:t> </w:t>
      </w:r>
      <w:r>
        <w:rPr/>
        <w:t>Z.</w:t>
      </w:r>
      <w:r>
        <w:rPr>
          <w:spacing w:val="-19"/>
        </w:rPr>
        <w:t> </w:t>
      </w:r>
      <w:r>
        <w:rPr/>
        <w:t>&amp;</w:t>
      </w:r>
      <w:r>
        <w:rPr>
          <w:spacing w:val="-19"/>
        </w:rPr>
        <w:t> </w:t>
      </w:r>
      <w:r>
        <w:rPr/>
        <w:t>Halevy,</w:t>
      </w:r>
      <w:r>
        <w:rPr>
          <w:spacing w:val="-18"/>
        </w:rPr>
        <w:t> </w:t>
      </w:r>
      <w:r>
        <w:rPr/>
        <w:t>H.A.</w:t>
      </w:r>
      <w:r>
        <w:rPr>
          <w:spacing w:val="-19"/>
        </w:rPr>
        <w:t> </w:t>
      </w:r>
      <w:r>
        <w:rPr/>
        <w:t>(1974).</w:t>
      </w:r>
      <w:r>
        <w:rPr>
          <w:spacing w:val="-19"/>
        </w:rPr>
        <w:t> </w:t>
      </w:r>
      <w:r>
        <w:rPr/>
        <w:t>Effects</w:t>
      </w:r>
      <w:r>
        <w:rPr>
          <w:spacing w:val="-20"/>
        </w:rPr>
        <w:t> </w:t>
      </w:r>
      <w:r>
        <w:rPr/>
        <w:t>of</w:t>
      </w:r>
      <w:r>
        <w:rPr>
          <w:spacing w:val="-19"/>
        </w:rPr>
        <w:t> </w:t>
      </w:r>
      <w:r>
        <w:rPr/>
        <w:t>varying</w:t>
      </w:r>
      <w:r>
        <w:rPr>
          <w:spacing w:val="-19"/>
        </w:rPr>
        <w:t> </w:t>
      </w:r>
      <w:r>
        <w:rPr/>
        <w:t>light</w:t>
      </w:r>
      <w:r>
        <w:rPr>
          <w:spacing w:val="-19"/>
        </w:rPr>
        <w:t> </w:t>
      </w:r>
      <w:r>
        <w:rPr/>
        <w:t>intensities</w:t>
      </w:r>
      <w:r>
        <w:rPr>
          <w:spacing w:val="-22"/>
        </w:rPr>
        <w:t> </w:t>
      </w:r>
      <w:r>
        <w:rPr/>
        <w:t>and</w:t>
      </w:r>
      <w:r>
        <w:rPr>
          <w:spacing w:val="-19"/>
        </w:rPr>
        <w:t> </w:t>
      </w:r>
      <w:r>
        <w:rPr/>
        <w:t>temperature treatments applied to whole plants, or locally to leaves or flower buds, on growth and pigmentation of ‘Baccara’ roses. </w:t>
      </w:r>
      <w:r>
        <w:rPr>
          <w:i/>
        </w:rPr>
        <w:t>Physiology Plant, </w:t>
      </w:r>
      <w:r>
        <w:rPr/>
        <w:t>31,</w:t>
      </w:r>
      <w:r>
        <w:rPr>
          <w:spacing w:val="-37"/>
        </w:rPr>
        <w:t> </w:t>
      </w:r>
      <w:r>
        <w:rPr/>
        <w:t>175-179.</w:t>
      </w:r>
    </w:p>
    <w:p>
      <w:pPr>
        <w:pStyle w:val="BodyText"/>
        <w:spacing w:line="477" w:lineRule="auto" w:before="10"/>
        <w:ind w:left="809" w:right="116" w:hanging="708"/>
        <w:jc w:val="both"/>
      </w:pPr>
      <w:r>
        <w:rPr/>
        <w:t>Burchi,</w:t>
      </w:r>
      <w:r>
        <w:rPr>
          <w:spacing w:val="-17"/>
        </w:rPr>
        <w:t> </w:t>
      </w:r>
      <w:r>
        <w:rPr/>
        <w:t>G.,</w:t>
      </w:r>
      <w:r>
        <w:rPr>
          <w:spacing w:val="-17"/>
        </w:rPr>
        <w:t> </w:t>
      </w:r>
      <w:r>
        <w:rPr/>
        <w:t>Prisa,</w:t>
      </w:r>
      <w:r>
        <w:rPr>
          <w:spacing w:val="-19"/>
        </w:rPr>
        <w:t> </w:t>
      </w:r>
      <w:r>
        <w:rPr/>
        <w:t>D.,</w:t>
      </w:r>
      <w:r>
        <w:rPr>
          <w:spacing w:val="-19"/>
        </w:rPr>
        <w:t> </w:t>
      </w:r>
      <w:r>
        <w:rPr/>
        <w:t>Ballarin,</w:t>
      </w:r>
      <w:r>
        <w:rPr>
          <w:spacing w:val="-17"/>
        </w:rPr>
        <w:t> </w:t>
      </w:r>
      <w:r>
        <w:rPr/>
        <w:t>A.,</w:t>
      </w:r>
      <w:r>
        <w:rPr>
          <w:spacing w:val="-19"/>
        </w:rPr>
        <w:t> </w:t>
      </w:r>
      <w:r>
        <w:rPr/>
        <w:t>&amp;</w:t>
      </w:r>
      <w:r>
        <w:rPr>
          <w:spacing w:val="-19"/>
        </w:rPr>
        <w:t> </w:t>
      </w:r>
      <w:r>
        <w:rPr/>
        <w:t>Menesatti,</w:t>
      </w:r>
      <w:r>
        <w:rPr>
          <w:spacing w:val="-19"/>
        </w:rPr>
        <w:t> </w:t>
      </w:r>
      <w:r>
        <w:rPr/>
        <w:t>P.</w:t>
      </w:r>
      <w:r>
        <w:rPr>
          <w:spacing w:val="-17"/>
        </w:rPr>
        <w:t> </w:t>
      </w:r>
      <w:r>
        <w:rPr/>
        <w:t>(2010).</w:t>
      </w:r>
      <w:r>
        <w:rPr>
          <w:spacing w:val="-19"/>
        </w:rPr>
        <w:t> </w:t>
      </w:r>
      <w:r>
        <w:rPr/>
        <w:t>Improvement</w:t>
      </w:r>
      <w:r>
        <w:rPr>
          <w:spacing w:val="-17"/>
        </w:rPr>
        <w:t> </w:t>
      </w:r>
      <w:r>
        <w:rPr/>
        <w:t>of</w:t>
      </w:r>
      <w:r>
        <w:rPr>
          <w:spacing w:val="-19"/>
        </w:rPr>
        <w:t> </w:t>
      </w:r>
      <w:r>
        <w:rPr/>
        <w:t>flower</w:t>
      </w:r>
      <w:r>
        <w:rPr>
          <w:spacing w:val="-18"/>
        </w:rPr>
        <w:t> </w:t>
      </w:r>
      <w:r>
        <w:rPr/>
        <w:t>color by means of leaf treatments in Lily.  </w:t>
      </w:r>
      <w:r>
        <w:rPr>
          <w:i/>
        </w:rPr>
        <w:t>Scientia Horticulturae</w:t>
      </w:r>
      <w:r>
        <w:rPr/>
        <w:t>, 125,</w:t>
      </w:r>
      <w:r>
        <w:rPr>
          <w:spacing w:val="-34"/>
        </w:rPr>
        <w:t> </w:t>
      </w:r>
      <w:r>
        <w:rPr/>
        <w:t>456–460.</w:t>
      </w:r>
    </w:p>
    <w:p>
      <w:pPr>
        <w:spacing w:line="480" w:lineRule="auto" w:before="10"/>
        <w:ind w:left="809" w:right="116" w:hanging="708"/>
        <w:jc w:val="both"/>
        <w:rPr>
          <w:sz w:val="24"/>
        </w:rPr>
      </w:pPr>
      <w:r>
        <w:rPr>
          <w:sz w:val="24"/>
        </w:rPr>
        <w:t>Calvo,</w:t>
      </w:r>
      <w:r>
        <w:rPr>
          <w:spacing w:val="-9"/>
          <w:sz w:val="24"/>
        </w:rPr>
        <w:t> </w:t>
      </w:r>
      <w:r>
        <w:rPr>
          <w:sz w:val="24"/>
        </w:rPr>
        <w:t>C.</w:t>
      </w:r>
      <w:r>
        <w:rPr>
          <w:spacing w:val="-9"/>
          <w:sz w:val="24"/>
        </w:rPr>
        <w:t> </w:t>
      </w:r>
      <w:r>
        <w:rPr>
          <w:sz w:val="24"/>
        </w:rPr>
        <w:t>(1989).</w:t>
      </w:r>
      <w:r>
        <w:rPr>
          <w:spacing w:val="-11"/>
          <w:sz w:val="24"/>
        </w:rPr>
        <w:t> </w:t>
      </w:r>
      <w:r>
        <w:rPr>
          <w:sz w:val="24"/>
        </w:rPr>
        <w:t>Atlas</w:t>
      </w:r>
      <w:r>
        <w:rPr>
          <w:spacing w:val="-11"/>
          <w:sz w:val="24"/>
        </w:rPr>
        <w:t> </w:t>
      </w:r>
      <w:r>
        <w:rPr>
          <w:sz w:val="24"/>
        </w:rPr>
        <w:t>de</w:t>
      </w:r>
      <w:r>
        <w:rPr>
          <w:spacing w:val="-11"/>
          <w:sz w:val="24"/>
        </w:rPr>
        <w:t> </w:t>
      </w:r>
      <w:r>
        <w:rPr>
          <w:sz w:val="24"/>
        </w:rPr>
        <w:t>color.</w:t>
      </w:r>
      <w:r>
        <w:rPr>
          <w:spacing w:val="-9"/>
          <w:sz w:val="24"/>
        </w:rPr>
        <w:t> </w:t>
      </w:r>
      <w:r>
        <w:rPr>
          <w:sz w:val="24"/>
        </w:rPr>
        <w:t>Fundamentos</w:t>
      </w:r>
      <w:r>
        <w:rPr>
          <w:spacing w:val="-10"/>
          <w:sz w:val="24"/>
        </w:rPr>
        <w:t> </w:t>
      </w:r>
      <w:r>
        <w:rPr>
          <w:sz w:val="24"/>
        </w:rPr>
        <w:t>y</w:t>
      </w:r>
      <w:r>
        <w:rPr>
          <w:spacing w:val="-11"/>
          <w:sz w:val="24"/>
        </w:rPr>
        <w:t> </w:t>
      </w:r>
      <w:r>
        <w:rPr>
          <w:sz w:val="24"/>
        </w:rPr>
        <w:t>aplicaciones.</w:t>
      </w:r>
      <w:r>
        <w:rPr>
          <w:spacing w:val="-11"/>
          <w:sz w:val="24"/>
        </w:rPr>
        <w:t> </w:t>
      </w:r>
      <w:r>
        <w:rPr>
          <w:i/>
          <w:sz w:val="24"/>
        </w:rPr>
        <w:t>Review</w:t>
      </w:r>
      <w:r>
        <w:rPr>
          <w:i/>
          <w:spacing w:val="-10"/>
          <w:sz w:val="24"/>
        </w:rPr>
        <w:t> </w:t>
      </w:r>
      <w:r>
        <w:rPr>
          <w:i/>
          <w:sz w:val="24"/>
        </w:rPr>
        <w:t>Agroquímical </w:t>
      </w:r>
      <w:r>
        <w:rPr>
          <w:i/>
          <w:sz w:val="24"/>
        </w:rPr>
        <w:t>Tecnology Alimentary</w:t>
      </w:r>
      <w:r>
        <w:rPr>
          <w:sz w:val="24"/>
        </w:rPr>
        <w:t>,  29(1),</w:t>
      </w:r>
      <w:r>
        <w:rPr>
          <w:spacing w:val="-20"/>
          <w:sz w:val="24"/>
        </w:rPr>
        <w:t> </w:t>
      </w:r>
      <w:r>
        <w:rPr>
          <w:sz w:val="24"/>
        </w:rPr>
        <w:t>15-29.</w:t>
      </w:r>
    </w:p>
    <w:p>
      <w:pPr>
        <w:pStyle w:val="BodyText"/>
        <w:spacing w:line="477" w:lineRule="auto" w:before="10"/>
        <w:ind w:left="809" w:right="114" w:hanging="708"/>
        <w:jc w:val="both"/>
      </w:pPr>
      <w:r>
        <w:rPr/>
        <w:t>Cakman, I. (2000). Possible roles of zinc in protecting plant cells from damage by reactive oxygen species. </w:t>
      </w:r>
      <w:r>
        <w:rPr>
          <w:i/>
        </w:rPr>
        <w:t>New Phytologist</w:t>
      </w:r>
      <w:r>
        <w:rPr/>
        <w:t>, 146, 185-205.</w:t>
      </w:r>
    </w:p>
    <w:p>
      <w:pPr>
        <w:spacing w:line="482" w:lineRule="auto" w:before="10"/>
        <w:ind w:left="809" w:right="117" w:hanging="708"/>
        <w:jc w:val="both"/>
        <w:rPr>
          <w:sz w:val="24"/>
        </w:rPr>
      </w:pPr>
      <w:r>
        <w:rPr>
          <w:sz w:val="24"/>
        </w:rPr>
        <w:t>Datnoff, L. E., Elmer, W. H., &amp; Huber, D. M. (2013). </w:t>
      </w:r>
      <w:r>
        <w:rPr>
          <w:i/>
          <w:sz w:val="24"/>
        </w:rPr>
        <w:t>Mineral nutrition and plant </w:t>
      </w:r>
      <w:r>
        <w:rPr>
          <w:i/>
          <w:sz w:val="24"/>
        </w:rPr>
        <w:t>disease</w:t>
      </w:r>
      <w:r>
        <w:rPr>
          <w:sz w:val="24"/>
        </w:rPr>
        <w:t>. U.S.A., The American Phytopathological Society. 278 p.</w:t>
      </w:r>
    </w:p>
    <w:p>
      <w:pPr>
        <w:spacing w:after="0" w:line="482" w:lineRule="auto"/>
        <w:jc w:val="both"/>
        <w:rPr>
          <w:sz w:val="24"/>
        </w:rPr>
        <w:sectPr>
          <w:footerReference w:type="default" r:id="rId35"/>
          <w:pgSz w:w="12240" w:h="15840"/>
          <w:pgMar w:footer="1005" w:header="0" w:top="1360" w:bottom="1200" w:left="1600" w:right="1580"/>
          <w:pgNumType w:start="70"/>
        </w:sectPr>
      </w:pPr>
    </w:p>
    <w:p>
      <w:pPr>
        <w:pStyle w:val="BodyText"/>
        <w:spacing w:line="480" w:lineRule="auto" w:before="51"/>
        <w:ind w:left="809" w:right="117" w:hanging="708"/>
        <w:jc w:val="both"/>
      </w:pPr>
      <w:r>
        <w:rPr/>
        <w:t>De</w:t>
      </w:r>
      <w:r>
        <w:rPr>
          <w:spacing w:val="-12"/>
        </w:rPr>
        <w:t> </w:t>
      </w:r>
      <w:r>
        <w:rPr/>
        <w:t>La</w:t>
      </w:r>
      <w:r>
        <w:rPr>
          <w:spacing w:val="-14"/>
        </w:rPr>
        <w:t> </w:t>
      </w:r>
      <w:r>
        <w:rPr/>
        <w:t>Cruz,</w:t>
      </w:r>
      <w:r>
        <w:rPr>
          <w:spacing w:val="-12"/>
        </w:rPr>
        <w:t> </w:t>
      </w:r>
      <w:r>
        <w:rPr/>
        <w:t>D.</w:t>
      </w:r>
      <w:r>
        <w:rPr>
          <w:spacing w:val="-12"/>
        </w:rPr>
        <w:t> </w:t>
      </w:r>
      <w:r>
        <w:rPr/>
        <w:t>J.</w:t>
      </w:r>
      <w:r>
        <w:rPr>
          <w:spacing w:val="-12"/>
        </w:rPr>
        <w:t> </w:t>
      </w:r>
      <w:r>
        <w:rPr/>
        <w:t>A.,</w:t>
      </w:r>
      <w:r>
        <w:rPr>
          <w:spacing w:val="-12"/>
        </w:rPr>
        <w:t> </w:t>
      </w:r>
      <w:r>
        <w:rPr/>
        <w:t>Sánchez,</w:t>
      </w:r>
      <w:r>
        <w:rPr>
          <w:spacing w:val="-12"/>
        </w:rPr>
        <w:t> </w:t>
      </w:r>
      <w:r>
        <w:rPr/>
        <w:t>G.</w:t>
      </w:r>
      <w:r>
        <w:rPr>
          <w:spacing w:val="-12"/>
        </w:rPr>
        <w:t> </w:t>
      </w:r>
      <w:r>
        <w:rPr/>
        <w:t>P.,</w:t>
      </w:r>
      <w:r>
        <w:rPr>
          <w:spacing w:val="-12"/>
        </w:rPr>
        <w:t> </w:t>
      </w:r>
      <w:r>
        <w:rPr/>
        <w:t>Galvis,</w:t>
      </w:r>
      <w:r>
        <w:rPr>
          <w:spacing w:val="-12"/>
        </w:rPr>
        <w:t> </w:t>
      </w:r>
      <w:r>
        <w:rPr/>
        <w:t>S.</w:t>
      </w:r>
      <w:r>
        <w:rPr>
          <w:spacing w:val="-12"/>
        </w:rPr>
        <w:t> </w:t>
      </w:r>
      <w:r>
        <w:rPr/>
        <w:t>A.,</w:t>
      </w:r>
      <w:r>
        <w:rPr>
          <w:spacing w:val="-12"/>
        </w:rPr>
        <w:t> </w:t>
      </w:r>
      <w:r>
        <w:rPr/>
        <w:t>&amp;</w:t>
      </w:r>
      <w:r>
        <w:rPr>
          <w:spacing w:val="-14"/>
        </w:rPr>
        <w:t> </w:t>
      </w:r>
      <w:r>
        <w:rPr/>
        <w:t>Carrillo,</w:t>
      </w:r>
      <w:r>
        <w:rPr>
          <w:spacing w:val="-12"/>
        </w:rPr>
        <w:t> </w:t>
      </w:r>
      <w:r>
        <w:rPr/>
        <w:t>S.</w:t>
      </w:r>
      <w:r>
        <w:rPr>
          <w:spacing w:val="-12"/>
        </w:rPr>
        <w:t> </w:t>
      </w:r>
      <w:r>
        <w:rPr/>
        <w:t>J.</w:t>
      </w:r>
      <w:r>
        <w:rPr>
          <w:spacing w:val="-14"/>
        </w:rPr>
        <w:t> </w:t>
      </w:r>
      <w:r>
        <w:rPr/>
        <w:t>A.</w:t>
      </w:r>
      <w:r>
        <w:rPr>
          <w:spacing w:val="-12"/>
        </w:rPr>
        <w:t> </w:t>
      </w:r>
      <w:r>
        <w:rPr/>
        <w:t>(2011).</w:t>
      </w:r>
      <w:r>
        <w:rPr>
          <w:spacing w:val="-12"/>
        </w:rPr>
        <w:t> </w:t>
      </w:r>
      <w:r>
        <w:rPr>
          <w:color w:val="323131"/>
        </w:rPr>
        <w:t>Índices espectrales en pimiento para el diagnóstico nutrimental de nitrógeno. </w:t>
      </w:r>
      <w:r>
        <w:rPr>
          <w:i/>
          <w:color w:val="323131"/>
        </w:rPr>
        <w:t>Terra </w:t>
      </w:r>
      <w:r>
        <w:rPr>
          <w:i/>
          <w:color w:val="323131"/>
        </w:rPr>
        <w:t>Latinoamericana, </w:t>
      </w:r>
      <w:r>
        <w:rPr>
          <w:color w:val="323131"/>
        </w:rPr>
        <w:t>29(3),</w:t>
      </w:r>
      <w:r>
        <w:rPr>
          <w:color w:val="323131"/>
          <w:spacing w:val="-17"/>
        </w:rPr>
        <w:t> </w:t>
      </w:r>
      <w:r>
        <w:rPr>
          <w:color w:val="323131"/>
        </w:rPr>
        <w:t>259-265.</w:t>
      </w:r>
    </w:p>
    <w:p>
      <w:pPr>
        <w:pStyle w:val="BodyText"/>
        <w:spacing w:line="480" w:lineRule="auto" w:before="10"/>
        <w:ind w:left="809" w:right="118" w:hanging="708"/>
        <w:jc w:val="both"/>
      </w:pPr>
      <w:r>
        <w:rPr>
          <w:color w:val="323131"/>
        </w:rPr>
        <w:t>De Lucia, B. L. M., &amp; Ventrelli, A. (2003). Effects of nutrient soluction salinity (NaCl) on the yield level and quality characteristics in Lilium soilless culture. </w:t>
      </w:r>
      <w:r>
        <w:rPr>
          <w:i/>
          <w:color w:val="323131"/>
        </w:rPr>
        <w:t>Acta </w:t>
      </w:r>
      <w:r>
        <w:rPr>
          <w:i/>
          <w:color w:val="323131"/>
        </w:rPr>
        <w:t>Horticuturae</w:t>
      </w:r>
      <w:r>
        <w:rPr>
          <w:color w:val="323131"/>
        </w:rPr>
        <w:t>, 609, 401-406.</w:t>
      </w:r>
    </w:p>
    <w:p>
      <w:pPr>
        <w:pStyle w:val="BodyText"/>
        <w:spacing w:line="480" w:lineRule="auto" w:before="10"/>
        <w:ind w:left="809" w:right="117" w:hanging="708"/>
        <w:jc w:val="both"/>
      </w:pPr>
      <w:r>
        <w:rPr/>
        <w:t>De la Riva, M. F. (2011). Poscosecha de flores de corte y medio ambiente. IDESIA (Chile),  29 (3), 125-130.</w:t>
      </w:r>
    </w:p>
    <w:p>
      <w:pPr>
        <w:spacing w:line="480" w:lineRule="auto" w:before="8"/>
        <w:ind w:left="809" w:right="117" w:hanging="641"/>
        <w:jc w:val="both"/>
        <w:rPr>
          <w:sz w:val="24"/>
        </w:rPr>
      </w:pPr>
      <w:r>
        <w:rPr>
          <w:color w:val="221E1F"/>
          <w:sz w:val="24"/>
        </w:rPr>
        <w:t>De Rijck, G., &amp; Schrevens, E. (1997). pH Influenced by the Elemental Composition of Nutrient Solutions. </w:t>
      </w:r>
      <w:r>
        <w:rPr>
          <w:i/>
          <w:color w:val="221E1F"/>
          <w:sz w:val="24"/>
        </w:rPr>
        <w:t>Journal of Plant Nutrition</w:t>
      </w:r>
      <w:r>
        <w:rPr>
          <w:color w:val="221E1F"/>
          <w:sz w:val="24"/>
        </w:rPr>
        <w:t>, 20, 911-923.</w:t>
      </w:r>
      <w:r>
        <w:rPr>
          <w:sz w:val="24"/>
        </w:rPr>
        <w:t>Devlin, R. M., (1976). </w:t>
      </w:r>
      <w:r>
        <w:rPr>
          <w:i/>
          <w:sz w:val="24"/>
        </w:rPr>
        <w:t>Fisiología vegetal</w:t>
      </w:r>
      <w:r>
        <w:rPr>
          <w:sz w:val="24"/>
        </w:rPr>
        <w:t>. Barcelona, España: Omega. 194 p.</w:t>
      </w:r>
    </w:p>
    <w:p>
      <w:pPr>
        <w:spacing w:line="362" w:lineRule="auto" w:before="10"/>
        <w:ind w:left="809" w:right="118" w:hanging="708"/>
        <w:jc w:val="both"/>
        <w:rPr>
          <w:sz w:val="24"/>
        </w:rPr>
      </w:pPr>
      <w:r>
        <w:rPr>
          <w:sz w:val="24"/>
        </w:rPr>
        <w:t>Dole, M. &amp; Wilkins, H. (2005). </w:t>
      </w:r>
      <w:r>
        <w:rPr>
          <w:i/>
          <w:sz w:val="24"/>
        </w:rPr>
        <w:t>Floriculture: principles and species</w:t>
      </w:r>
      <w:r>
        <w:rPr>
          <w:sz w:val="24"/>
        </w:rPr>
        <w:t>. USA. Prentice- Hall, Inc. Upper Saddle River. 1022 p.</w:t>
      </w:r>
    </w:p>
    <w:p>
      <w:pPr>
        <w:pStyle w:val="BodyText"/>
        <w:spacing w:line="360" w:lineRule="auto"/>
        <w:ind w:left="809" w:right="116" w:hanging="708"/>
        <w:jc w:val="both"/>
      </w:pPr>
      <w:r>
        <w:rPr/>
        <w:t>Durieux,</w:t>
      </w:r>
      <w:r>
        <w:rPr>
          <w:spacing w:val="-7"/>
        </w:rPr>
        <w:t> </w:t>
      </w:r>
      <w:r>
        <w:rPr/>
        <w:t>A.,</w:t>
      </w:r>
      <w:r>
        <w:rPr>
          <w:spacing w:val="-7"/>
        </w:rPr>
        <w:t> </w:t>
      </w:r>
      <w:r>
        <w:rPr/>
        <w:t>Kamerbee,</w:t>
      </w:r>
      <w:r>
        <w:rPr>
          <w:spacing w:val="-7"/>
        </w:rPr>
        <w:t> </w:t>
      </w:r>
      <w:r>
        <w:rPr/>
        <w:t>G.,</w:t>
      </w:r>
      <w:r>
        <w:rPr>
          <w:spacing w:val="-7"/>
        </w:rPr>
        <w:t> </w:t>
      </w:r>
      <w:r>
        <w:rPr/>
        <w:t>&amp;</w:t>
      </w:r>
      <w:r>
        <w:rPr>
          <w:spacing w:val="-9"/>
        </w:rPr>
        <w:t> </w:t>
      </w:r>
      <w:r>
        <w:rPr/>
        <w:t>Meeteren,</w:t>
      </w:r>
      <w:r>
        <w:rPr>
          <w:spacing w:val="-7"/>
        </w:rPr>
        <w:t> </w:t>
      </w:r>
      <w:r>
        <w:rPr/>
        <w:t>U.</w:t>
      </w:r>
      <w:r>
        <w:rPr>
          <w:spacing w:val="-7"/>
        </w:rPr>
        <w:t> </w:t>
      </w:r>
      <w:r>
        <w:rPr/>
        <w:t>(1982).</w:t>
      </w:r>
      <w:r>
        <w:rPr>
          <w:spacing w:val="-10"/>
        </w:rPr>
        <w:t> </w:t>
      </w:r>
      <w:r>
        <w:rPr/>
        <w:t>The</w:t>
      </w:r>
      <w:r>
        <w:rPr>
          <w:spacing w:val="-7"/>
        </w:rPr>
        <w:t> </w:t>
      </w:r>
      <w:r>
        <w:rPr/>
        <w:t>existence</w:t>
      </w:r>
      <w:r>
        <w:rPr>
          <w:spacing w:val="-9"/>
        </w:rPr>
        <w:t> </w:t>
      </w:r>
      <w:r>
        <w:rPr/>
        <w:t>of</w:t>
      </w:r>
      <w:r>
        <w:rPr>
          <w:spacing w:val="-7"/>
        </w:rPr>
        <w:t> </w:t>
      </w:r>
      <w:r>
        <w:rPr/>
        <w:t>a</w:t>
      </w:r>
      <w:r>
        <w:rPr>
          <w:spacing w:val="-7"/>
        </w:rPr>
        <w:t> </w:t>
      </w:r>
      <w:r>
        <w:rPr/>
        <w:t>critical</w:t>
      </w:r>
      <w:r>
        <w:rPr>
          <w:spacing w:val="-8"/>
        </w:rPr>
        <w:t> </w:t>
      </w:r>
      <w:r>
        <w:rPr/>
        <w:t>period for the abscission and non-critical period for blasting of flower-buds of </w:t>
      </w:r>
      <w:r>
        <w:rPr>
          <w:i/>
        </w:rPr>
        <w:t>Lilium </w:t>
      </w:r>
      <w:r>
        <w:rPr/>
        <w:t>‘Enchantment’,</w:t>
      </w:r>
      <w:r>
        <w:rPr>
          <w:spacing w:val="-20"/>
        </w:rPr>
        <w:t> </w:t>
      </w:r>
      <w:r>
        <w:rPr/>
        <w:t>influence</w:t>
      </w:r>
      <w:r>
        <w:rPr>
          <w:spacing w:val="-18"/>
        </w:rPr>
        <w:t> </w:t>
      </w:r>
      <w:r>
        <w:rPr/>
        <w:t>of</w:t>
      </w:r>
      <w:r>
        <w:rPr>
          <w:spacing w:val="-16"/>
        </w:rPr>
        <w:t> </w:t>
      </w:r>
      <w:r>
        <w:rPr/>
        <w:t>light</w:t>
      </w:r>
      <w:r>
        <w:rPr>
          <w:spacing w:val="-19"/>
        </w:rPr>
        <w:t> </w:t>
      </w:r>
      <w:r>
        <w:rPr/>
        <w:t>and</w:t>
      </w:r>
      <w:r>
        <w:rPr>
          <w:spacing w:val="-20"/>
        </w:rPr>
        <w:t> </w:t>
      </w:r>
      <w:r>
        <w:rPr/>
        <w:t>ethylene.</w:t>
      </w:r>
      <w:r>
        <w:rPr>
          <w:spacing w:val="-19"/>
        </w:rPr>
        <w:t> </w:t>
      </w:r>
      <w:r>
        <w:rPr>
          <w:i/>
        </w:rPr>
        <w:t>Scientia</w:t>
      </w:r>
      <w:r>
        <w:rPr>
          <w:i/>
          <w:spacing w:val="-18"/>
        </w:rPr>
        <w:t> </w:t>
      </w:r>
      <w:r>
        <w:rPr>
          <w:i/>
        </w:rPr>
        <w:t>Horticultur</w:t>
      </w:r>
      <w:r>
        <w:rPr/>
        <w:t>ae,</w:t>
      </w:r>
      <w:r>
        <w:rPr>
          <w:spacing w:val="-20"/>
        </w:rPr>
        <w:t> </w:t>
      </w:r>
      <w:r>
        <w:rPr/>
        <w:t>18,</w:t>
      </w:r>
      <w:r>
        <w:rPr>
          <w:spacing w:val="-20"/>
        </w:rPr>
        <w:t> </w:t>
      </w:r>
      <w:r>
        <w:rPr/>
        <w:t>287- 297.</w:t>
      </w:r>
    </w:p>
    <w:p>
      <w:pPr>
        <w:pStyle w:val="BodyText"/>
        <w:spacing w:line="480" w:lineRule="auto"/>
        <w:ind w:left="809" w:right="456" w:hanging="708"/>
        <w:jc w:val="both"/>
      </w:pPr>
      <w:r>
        <w:rPr/>
        <w:t>Elgar, H. J., Woolfe, A. B., &amp; Bieleski, R. L. (1999). Ethylene production by three lily species and their response to ethylene exposure. </w:t>
      </w:r>
      <w:r>
        <w:rPr>
          <w:i/>
        </w:rPr>
        <w:t>Postharvest Biology </w:t>
      </w:r>
      <w:r>
        <w:rPr>
          <w:i/>
        </w:rPr>
        <w:t>Technology, </w:t>
      </w:r>
      <w:r>
        <w:rPr/>
        <w:t>16, 257-267.</w:t>
      </w:r>
    </w:p>
    <w:p>
      <w:pPr>
        <w:pStyle w:val="BodyText"/>
        <w:spacing w:line="480" w:lineRule="auto" w:before="10"/>
        <w:ind w:left="809" w:right="361" w:hanging="708"/>
      </w:pPr>
      <w:r>
        <w:rPr/>
        <w:t>Fageria, N. K. &amp; Gheyi, H. R. (1999). Efficient crop productión. Campina Grande, Brazil:Federal University of Parabia. 547 p.</w:t>
      </w:r>
    </w:p>
    <w:p>
      <w:pPr>
        <w:spacing w:line="480" w:lineRule="auto" w:before="5"/>
        <w:ind w:left="101" w:right="117" w:firstLine="0"/>
        <w:jc w:val="both"/>
        <w:rPr>
          <w:sz w:val="24"/>
        </w:rPr>
      </w:pPr>
      <w:r>
        <w:rPr>
          <w:sz w:val="24"/>
        </w:rPr>
        <w:t>Favela, CH. E., Preciado, R. P., &amp; Benavides, M. A. (2006). </w:t>
      </w:r>
      <w:r>
        <w:rPr>
          <w:i/>
          <w:sz w:val="24"/>
        </w:rPr>
        <w:t>Manual para la </w:t>
      </w:r>
      <w:r>
        <w:rPr>
          <w:i/>
          <w:sz w:val="24"/>
        </w:rPr>
        <w:t>preparación de soluciones nutritivas</w:t>
      </w:r>
      <w:r>
        <w:rPr>
          <w:sz w:val="24"/>
        </w:rPr>
        <w:t>. Universidad Autónoma Agraria Antonio</w:t>
      </w:r>
      <w:r>
        <w:rPr>
          <w:spacing w:val="-44"/>
          <w:sz w:val="24"/>
        </w:rPr>
        <w:t> </w:t>
      </w:r>
      <w:r>
        <w:rPr>
          <w:sz w:val="24"/>
        </w:rPr>
        <w:t>Narro, Torreón, Coahuila,</w:t>
      </w:r>
      <w:r>
        <w:rPr>
          <w:spacing w:val="-15"/>
          <w:sz w:val="24"/>
        </w:rPr>
        <w:t> </w:t>
      </w:r>
      <w:r>
        <w:rPr>
          <w:sz w:val="24"/>
        </w:rPr>
        <w:t>México.</w:t>
      </w:r>
    </w:p>
    <w:p>
      <w:pPr>
        <w:spacing w:after="0" w:line="480" w:lineRule="auto"/>
        <w:jc w:val="both"/>
        <w:rPr>
          <w:sz w:val="24"/>
        </w:rPr>
        <w:sectPr>
          <w:pgSz w:w="12240" w:h="15840"/>
          <w:pgMar w:header="0" w:footer="1005" w:top="1360" w:bottom="1200" w:left="1600" w:right="1580"/>
        </w:sectPr>
      </w:pPr>
    </w:p>
    <w:p>
      <w:pPr>
        <w:pStyle w:val="BodyText"/>
        <w:spacing w:line="480" w:lineRule="auto" w:before="51"/>
        <w:ind w:left="809" w:right="118" w:hanging="708"/>
        <w:jc w:val="both"/>
      </w:pPr>
      <w:r>
        <w:rPr/>
        <w:t>Ferdosi,</w:t>
      </w:r>
      <w:r>
        <w:rPr>
          <w:spacing w:val="-4"/>
        </w:rPr>
        <w:t> </w:t>
      </w:r>
      <w:r>
        <w:rPr/>
        <w:t>M.</w:t>
      </w:r>
      <w:r>
        <w:rPr>
          <w:spacing w:val="-4"/>
        </w:rPr>
        <w:t> </w:t>
      </w:r>
      <w:r>
        <w:rPr/>
        <w:t>F.</w:t>
      </w:r>
      <w:r>
        <w:rPr>
          <w:spacing w:val="-4"/>
        </w:rPr>
        <w:t> </w:t>
      </w:r>
      <w:r>
        <w:rPr/>
        <w:t>H.,</w:t>
      </w:r>
      <w:r>
        <w:rPr>
          <w:spacing w:val="-4"/>
        </w:rPr>
        <w:t> </w:t>
      </w:r>
      <w:r>
        <w:rPr/>
        <w:t>Jilani,</w:t>
      </w:r>
      <w:r>
        <w:rPr>
          <w:spacing w:val="-4"/>
        </w:rPr>
        <w:t> </w:t>
      </w:r>
      <w:r>
        <w:rPr/>
        <w:t>S.</w:t>
      </w:r>
      <w:r>
        <w:rPr>
          <w:spacing w:val="-4"/>
        </w:rPr>
        <w:t> </w:t>
      </w:r>
      <w:r>
        <w:rPr/>
        <w:t>A.</w:t>
      </w:r>
      <w:r>
        <w:rPr>
          <w:spacing w:val="-4"/>
        </w:rPr>
        <w:t> </w:t>
      </w:r>
      <w:r>
        <w:rPr/>
        <w:t>H.,</w:t>
      </w:r>
      <w:r>
        <w:rPr>
          <w:spacing w:val="-4"/>
        </w:rPr>
        <w:t> </w:t>
      </w:r>
      <w:r>
        <w:rPr/>
        <w:t>Khan,</w:t>
      </w:r>
      <w:r>
        <w:rPr>
          <w:spacing w:val="-4"/>
        </w:rPr>
        <w:t> </w:t>
      </w:r>
      <w:r>
        <w:rPr/>
        <w:t>M.</w:t>
      </w:r>
      <w:r>
        <w:rPr>
          <w:spacing w:val="-4"/>
        </w:rPr>
        <w:t> </w:t>
      </w:r>
      <w:r>
        <w:rPr/>
        <w:t>A.</w:t>
      </w:r>
      <w:r>
        <w:rPr>
          <w:spacing w:val="-6"/>
        </w:rPr>
        <w:t> </w:t>
      </w:r>
      <w:r>
        <w:rPr/>
        <w:t>&amp;</w:t>
      </w:r>
      <w:r>
        <w:rPr>
          <w:spacing w:val="-4"/>
        </w:rPr>
        <w:t> </w:t>
      </w:r>
      <w:r>
        <w:rPr/>
        <w:t>Younis,</w:t>
      </w:r>
      <w:r>
        <w:rPr>
          <w:spacing w:val="-4"/>
        </w:rPr>
        <w:t> </w:t>
      </w:r>
      <w:r>
        <w:rPr/>
        <w:t>A.</w:t>
      </w:r>
      <w:r>
        <w:rPr>
          <w:spacing w:val="-4"/>
        </w:rPr>
        <w:t> </w:t>
      </w:r>
      <w:r>
        <w:rPr/>
        <w:t>(2014).</w:t>
      </w:r>
      <w:r>
        <w:rPr>
          <w:spacing w:val="-4"/>
        </w:rPr>
        <w:t> </w:t>
      </w:r>
      <w:r>
        <w:rPr/>
        <w:t>Effect</w:t>
      </w:r>
      <w:r>
        <w:rPr>
          <w:spacing w:val="-4"/>
        </w:rPr>
        <w:t> </w:t>
      </w:r>
      <w:r>
        <w:rPr/>
        <w:t>of</w:t>
      </w:r>
      <w:r>
        <w:rPr>
          <w:spacing w:val="-1"/>
        </w:rPr>
        <w:t> </w:t>
      </w:r>
      <w:r>
        <w:rPr/>
        <w:t>NPK</w:t>
      </w:r>
      <w:r>
        <w:rPr>
          <w:spacing w:val="-4"/>
        </w:rPr>
        <w:t> </w:t>
      </w:r>
      <w:r>
        <w:rPr/>
        <w:t>on growth</w:t>
      </w:r>
      <w:r>
        <w:rPr>
          <w:spacing w:val="-7"/>
        </w:rPr>
        <w:t> </w:t>
      </w:r>
      <w:r>
        <w:rPr/>
        <w:t>and</w:t>
      </w:r>
      <w:r>
        <w:rPr>
          <w:spacing w:val="-7"/>
        </w:rPr>
        <w:t> </w:t>
      </w:r>
      <w:r>
        <w:rPr/>
        <w:t>yield</w:t>
      </w:r>
      <w:r>
        <w:rPr>
          <w:spacing w:val="-7"/>
        </w:rPr>
        <w:t> </w:t>
      </w:r>
      <w:r>
        <w:rPr/>
        <w:t>attributes</w:t>
      </w:r>
      <w:r>
        <w:rPr>
          <w:spacing w:val="-8"/>
        </w:rPr>
        <w:t> </w:t>
      </w:r>
      <w:r>
        <w:rPr/>
        <w:t>of</w:t>
      </w:r>
      <w:r>
        <w:rPr>
          <w:spacing w:val="-5"/>
        </w:rPr>
        <w:t> </w:t>
      </w:r>
      <w:r>
        <w:rPr/>
        <w:t>Oriental</w:t>
      </w:r>
      <w:r>
        <w:rPr>
          <w:spacing w:val="-8"/>
        </w:rPr>
        <w:t> </w:t>
      </w:r>
      <w:r>
        <w:rPr/>
        <w:t>lily</w:t>
      </w:r>
      <w:r>
        <w:rPr>
          <w:spacing w:val="-10"/>
        </w:rPr>
        <w:t> </w:t>
      </w:r>
      <w:r>
        <w:rPr/>
        <w:t>‘Merostar’.</w:t>
      </w:r>
      <w:r>
        <w:rPr>
          <w:spacing w:val="-7"/>
        </w:rPr>
        <w:t> </w:t>
      </w:r>
      <w:r>
        <w:rPr/>
        <w:t>In</w:t>
      </w:r>
      <w:r>
        <w:rPr>
          <w:i/>
        </w:rPr>
        <w:t>.</w:t>
      </w:r>
      <w:r>
        <w:rPr>
          <w:i/>
          <w:spacing w:val="-18"/>
        </w:rPr>
        <w:t> </w:t>
      </w:r>
      <w:r>
        <w:rPr/>
        <w:t>Abstracts</w:t>
      </w:r>
      <w:r>
        <w:rPr>
          <w:spacing w:val="-8"/>
        </w:rPr>
        <w:t> </w:t>
      </w:r>
      <w:r>
        <w:rPr/>
        <w:t>of</w:t>
      </w:r>
      <w:r>
        <w:rPr>
          <w:spacing w:val="-7"/>
        </w:rPr>
        <w:t> </w:t>
      </w:r>
      <w:r>
        <w:rPr/>
        <w:t>the</w:t>
      </w:r>
      <w:r>
        <w:rPr>
          <w:spacing w:val="-12"/>
        </w:rPr>
        <w:t> </w:t>
      </w:r>
      <w:r>
        <w:rPr/>
        <w:t>Third International Symposium on the Genus </w:t>
      </w:r>
      <w:r>
        <w:rPr>
          <w:i/>
        </w:rPr>
        <w:t>Lilium</w:t>
      </w:r>
      <w:r>
        <w:rPr/>
        <w:t>.</w:t>
      </w:r>
      <w:r>
        <w:rPr>
          <w:spacing w:val="-51"/>
        </w:rPr>
        <w:t> </w:t>
      </w:r>
      <w:r>
        <w:rPr/>
        <w:t>April 1-3, Zhangzhou, China.</w:t>
      </w:r>
    </w:p>
    <w:p>
      <w:pPr>
        <w:pStyle w:val="BodyText"/>
        <w:spacing w:line="480" w:lineRule="auto" w:before="10"/>
        <w:ind w:left="809" w:right="562" w:hanging="708"/>
      </w:pPr>
      <w:r>
        <w:rPr/>
        <w:t>Ferrante, A., Trivellini, A., Scuderi, D., Romano, D., &amp; Vernieri, P. (2015). Post- production physiology and handling of ornamental potted plants.</w:t>
      </w:r>
    </w:p>
    <w:p>
      <w:pPr>
        <w:spacing w:before="5"/>
        <w:ind w:left="809" w:right="0" w:firstLine="0"/>
        <w:jc w:val="both"/>
        <w:rPr>
          <w:sz w:val="24"/>
        </w:rPr>
      </w:pPr>
      <w:r>
        <w:rPr>
          <w:i/>
          <w:sz w:val="24"/>
        </w:rPr>
        <w:t>Postharvest Biology and Technology</w:t>
      </w:r>
      <w:r>
        <w:rPr>
          <w:sz w:val="24"/>
        </w:rPr>
        <w:t>, 100, 99-108.</w:t>
      </w:r>
    </w:p>
    <w:p>
      <w:pPr>
        <w:pStyle w:val="BodyText"/>
        <w:spacing w:before="2"/>
      </w:pPr>
    </w:p>
    <w:p>
      <w:pPr>
        <w:pStyle w:val="BodyText"/>
        <w:spacing w:line="477" w:lineRule="auto"/>
        <w:ind w:left="809" w:right="628" w:hanging="708"/>
      </w:pPr>
      <w:r>
        <w:rPr/>
        <w:t>Filios, P. M., &amp; Miller, W. B. (2012). Ethylene and anti-ethylene technologies in lilies. </w:t>
      </w:r>
      <w:r>
        <w:rPr>
          <w:i/>
        </w:rPr>
        <w:t>Acta Horticulture</w:t>
      </w:r>
      <w:r>
        <w:rPr/>
        <w:t>, 900, 283-288.</w:t>
      </w:r>
    </w:p>
    <w:p>
      <w:pPr>
        <w:pStyle w:val="BodyText"/>
        <w:spacing w:line="480" w:lineRule="auto" w:before="13"/>
        <w:ind w:left="809" w:right="116" w:hanging="708"/>
        <w:jc w:val="both"/>
      </w:pPr>
      <w:r>
        <w:rPr/>
        <w:t>Franco, O., Jiménez, J. H., Tobar, M. J. R., &amp; Pérez, L. D. J. (2007). Efecto de la aplicación</w:t>
      </w:r>
      <w:r>
        <w:rPr>
          <w:spacing w:val="-16"/>
        </w:rPr>
        <w:t> </w:t>
      </w:r>
      <w:r>
        <w:rPr/>
        <w:t>precosecha</w:t>
      </w:r>
      <w:r>
        <w:rPr>
          <w:spacing w:val="-16"/>
        </w:rPr>
        <w:t> </w:t>
      </w:r>
      <w:r>
        <w:rPr/>
        <w:t>de</w:t>
      </w:r>
      <w:r>
        <w:rPr>
          <w:spacing w:val="-14"/>
        </w:rPr>
        <w:t> </w:t>
      </w:r>
      <w:r>
        <w:rPr/>
        <w:t>calcio</w:t>
      </w:r>
      <w:r>
        <w:rPr>
          <w:spacing w:val="-14"/>
        </w:rPr>
        <w:t> </w:t>
      </w:r>
      <w:r>
        <w:rPr/>
        <w:t>y</w:t>
      </w:r>
      <w:r>
        <w:rPr>
          <w:spacing w:val="-17"/>
        </w:rPr>
        <w:t> </w:t>
      </w:r>
      <w:r>
        <w:rPr/>
        <w:t>putrescina</w:t>
      </w:r>
      <w:r>
        <w:rPr>
          <w:spacing w:val="-16"/>
        </w:rPr>
        <w:t> </w:t>
      </w:r>
      <w:r>
        <w:rPr/>
        <w:t>en</w:t>
      </w:r>
      <w:r>
        <w:rPr>
          <w:spacing w:val="-14"/>
        </w:rPr>
        <w:t> </w:t>
      </w:r>
      <w:r>
        <w:rPr/>
        <w:t>el</w:t>
      </w:r>
      <w:r>
        <w:rPr>
          <w:spacing w:val="-15"/>
        </w:rPr>
        <w:t> </w:t>
      </w:r>
      <w:r>
        <w:rPr/>
        <w:t>contenido</w:t>
      </w:r>
      <w:r>
        <w:rPr>
          <w:spacing w:val="-16"/>
        </w:rPr>
        <w:t> </w:t>
      </w:r>
      <w:r>
        <w:rPr/>
        <w:t>de</w:t>
      </w:r>
      <w:r>
        <w:rPr>
          <w:spacing w:val="-14"/>
        </w:rPr>
        <w:t> </w:t>
      </w:r>
      <w:r>
        <w:rPr/>
        <w:t>clorofila</w:t>
      </w:r>
      <w:r>
        <w:rPr>
          <w:spacing w:val="-16"/>
        </w:rPr>
        <w:t> </w:t>
      </w:r>
      <w:r>
        <w:rPr/>
        <w:t>foliar durante la floración de </w:t>
      </w:r>
      <w:r>
        <w:rPr>
          <w:i/>
        </w:rPr>
        <w:t>Lilium </w:t>
      </w:r>
      <w:r>
        <w:rPr/>
        <w:t>ssp. 53ava Reunión Anual del I.S.T.H. Morelia, Michoacán.</w:t>
      </w:r>
    </w:p>
    <w:p>
      <w:pPr>
        <w:pStyle w:val="BodyText"/>
        <w:spacing w:line="480" w:lineRule="auto" w:before="8"/>
        <w:ind w:left="809" w:right="523" w:hanging="708"/>
      </w:pPr>
      <w:r>
        <w:rPr/>
        <w:t>Franco, M. O., Torres, M. E., Morales, R. E. J. &amp; Pérez, L. D. J. (2009). Vida en florero de </w:t>
      </w:r>
      <w:r>
        <w:rPr>
          <w:i/>
        </w:rPr>
        <w:t>Lilium </w:t>
      </w:r>
      <w:r>
        <w:rPr/>
        <w:t>‘Brindisi’ y ‘Menorca’ fertilizado con nitrato y oxido de calcio. </w:t>
      </w:r>
      <w:r>
        <w:rPr>
          <w:i/>
        </w:rPr>
        <w:t>Ciencias Agrícolas Informa</w:t>
      </w:r>
      <w:r>
        <w:rPr/>
        <w:t>, 18, 4-12.</w:t>
      </w:r>
    </w:p>
    <w:p>
      <w:pPr>
        <w:spacing w:line="480" w:lineRule="auto" w:before="8"/>
        <w:ind w:left="809" w:right="116" w:hanging="708"/>
        <w:jc w:val="both"/>
        <w:rPr>
          <w:sz w:val="24"/>
        </w:rPr>
      </w:pPr>
      <w:r>
        <w:rPr>
          <w:sz w:val="24"/>
        </w:rPr>
        <w:t>García-Avila, C. d. J. (2012). </w:t>
      </w:r>
      <w:r>
        <w:rPr>
          <w:i/>
          <w:sz w:val="24"/>
        </w:rPr>
        <w:t>Nitrógeno, calcio y magnesio y su relación con el </w:t>
      </w:r>
      <w:r>
        <w:rPr>
          <w:i/>
          <w:sz w:val="24"/>
        </w:rPr>
        <w:t>desarrollo, calidad y estado nutrimental en Lilium ‘Casablanca’</w:t>
      </w:r>
      <w:r>
        <w:rPr>
          <w:sz w:val="24"/>
        </w:rPr>
        <w:t>. Tesis doctoral. Universidad Autónoma de Chapingo, Texcoco, Edo. De México, México.</w:t>
      </w:r>
    </w:p>
    <w:p>
      <w:pPr>
        <w:pStyle w:val="BodyText"/>
        <w:spacing w:before="8"/>
        <w:ind w:left="101"/>
      </w:pPr>
      <w:r>
        <w:rPr/>
        <w:t>García-Ávila, C. d. J., Castillo-González, A. M., Avitia-García, E., Colinas-León, M.</w:t>
      </w:r>
    </w:p>
    <w:p>
      <w:pPr>
        <w:pStyle w:val="BodyText"/>
      </w:pPr>
    </w:p>
    <w:p>
      <w:pPr>
        <w:spacing w:line="480" w:lineRule="auto" w:before="0"/>
        <w:ind w:left="809" w:right="117" w:firstLine="0"/>
        <w:jc w:val="both"/>
        <w:rPr>
          <w:sz w:val="24"/>
        </w:rPr>
      </w:pPr>
      <w:r>
        <w:rPr>
          <w:sz w:val="24"/>
        </w:rPr>
        <w:t>T. B., Trejo-Téllez, L. I. &amp; Vargas-Madriz, H. (2015). Magnesio y su relación con la calidad de Lilium cv. Casablanca. </w:t>
      </w:r>
      <w:r>
        <w:rPr>
          <w:i/>
          <w:sz w:val="24"/>
        </w:rPr>
        <w:t>Revista Mexicana de Ciencias </w:t>
      </w:r>
      <w:r>
        <w:rPr>
          <w:i/>
          <w:sz w:val="24"/>
        </w:rPr>
        <w:t>Agrícolas</w:t>
      </w:r>
      <w:r>
        <w:rPr>
          <w:sz w:val="24"/>
        </w:rPr>
        <w:t>, 6(2), 265-276.</w:t>
      </w:r>
    </w:p>
    <w:p>
      <w:pPr>
        <w:spacing w:after="0" w:line="480" w:lineRule="auto"/>
        <w:jc w:val="both"/>
        <w:rPr>
          <w:sz w:val="24"/>
        </w:rPr>
        <w:sectPr>
          <w:pgSz w:w="12240" w:h="15840"/>
          <w:pgMar w:header="0" w:footer="1005" w:top="1360" w:bottom="1200" w:left="1600" w:right="1580"/>
        </w:sectPr>
      </w:pPr>
    </w:p>
    <w:p>
      <w:pPr>
        <w:pStyle w:val="BodyText"/>
        <w:spacing w:before="51"/>
        <w:ind w:left="101"/>
      </w:pPr>
      <w:r>
        <w:rPr/>
        <w:t>Griesbach,</w:t>
      </w:r>
      <w:r>
        <w:rPr>
          <w:spacing w:val="-17"/>
        </w:rPr>
        <w:t> </w:t>
      </w:r>
      <w:r>
        <w:rPr/>
        <w:t>R.</w:t>
      </w:r>
      <w:r>
        <w:rPr>
          <w:spacing w:val="-17"/>
        </w:rPr>
        <w:t> </w:t>
      </w:r>
      <w:r>
        <w:rPr/>
        <w:t>J.,</w:t>
      </w:r>
      <w:r>
        <w:rPr>
          <w:spacing w:val="-17"/>
        </w:rPr>
        <w:t> </w:t>
      </w:r>
      <w:r>
        <w:rPr/>
        <w:t>(1992).</w:t>
      </w:r>
      <w:r>
        <w:rPr>
          <w:spacing w:val="-17"/>
        </w:rPr>
        <w:t> </w:t>
      </w:r>
      <w:r>
        <w:rPr/>
        <w:t>Correlation</w:t>
      </w:r>
      <w:r>
        <w:rPr>
          <w:spacing w:val="-16"/>
        </w:rPr>
        <w:t> </w:t>
      </w:r>
      <w:r>
        <w:rPr/>
        <w:t>of</w:t>
      </w:r>
      <w:r>
        <w:rPr>
          <w:spacing w:val="-17"/>
        </w:rPr>
        <w:t> </w:t>
      </w:r>
      <w:r>
        <w:rPr/>
        <w:t>pH</w:t>
      </w:r>
      <w:r>
        <w:rPr>
          <w:spacing w:val="-18"/>
        </w:rPr>
        <w:t> </w:t>
      </w:r>
      <w:r>
        <w:rPr/>
        <w:t>and</w:t>
      </w:r>
      <w:r>
        <w:rPr>
          <w:spacing w:val="-19"/>
        </w:rPr>
        <w:t> </w:t>
      </w:r>
      <w:r>
        <w:rPr/>
        <w:t>light</w:t>
      </w:r>
      <w:r>
        <w:rPr>
          <w:spacing w:val="-17"/>
        </w:rPr>
        <w:t> </w:t>
      </w:r>
      <w:r>
        <w:rPr/>
        <w:t>intensity</w:t>
      </w:r>
      <w:r>
        <w:rPr>
          <w:spacing w:val="-20"/>
        </w:rPr>
        <w:t> </w:t>
      </w:r>
      <w:r>
        <w:rPr/>
        <w:t>on</w:t>
      </w:r>
      <w:r>
        <w:rPr>
          <w:spacing w:val="-16"/>
        </w:rPr>
        <w:t> </w:t>
      </w:r>
      <w:r>
        <w:rPr/>
        <w:t>flower</w:t>
      </w:r>
      <w:r>
        <w:rPr>
          <w:spacing w:val="-18"/>
        </w:rPr>
        <w:t> </w:t>
      </w:r>
      <w:r>
        <w:rPr/>
        <w:t>color</w:t>
      </w:r>
      <w:r>
        <w:rPr>
          <w:spacing w:val="-18"/>
        </w:rPr>
        <w:t> </w:t>
      </w:r>
      <w:r>
        <w:rPr/>
        <w:t>in</w:t>
      </w:r>
      <w:r>
        <w:rPr>
          <w:spacing w:val="-16"/>
        </w:rPr>
        <w:t> </w:t>
      </w:r>
      <w:r>
        <w:rPr/>
        <w:t>potted</w:t>
      </w:r>
    </w:p>
    <w:p>
      <w:pPr>
        <w:pStyle w:val="BodyText"/>
        <w:spacing w:before="9"/>
        <w:rPr>
          <w:sz w:val="23"/>
        </w:rPr>
      </w:pPr>
    </w:p>
    <w:p>
      <w:pPr>
        <w:spacing w:before="0"/>
        <w:ind w:left="809" w:right="0" w:firstLine="0"/>
        <w:jc w:val="left"/>
        <w:rPr>
          <w:sz w:val="24"/>
        </w:rPr>
      </w:pPr>
      <w:r>
        <w:rPr>
          <w:i/>
          <w:sz w:val="24"/>
        </w:rPr>
        <w:t>Eustoma grandiflorum </w:t>
      </w:r>
      <w:r>
        <w:rPr>
          <w:sz w:val="24"/>
        </w:rPr>
        <w:t>Grise. </w:t>
      </w:r>
      <w:r>
        <w:rPr>
          <w:i/>
          <w:sz w:val="24"/>
        </w:rPr>
        <w:t>Scientia Horticulture</w:t>
      </w:r>
      <w:r>
        <w:rPr>
          <w:sz w:val="24"/>
        </w:rPr>
        <w:t>, 27(7), 817-818.</w:t>
      </w:r>
    </w:p>
    <w:p>
      <w:pPr>
        <w:pStyle w:val="BodyText"/>
        <w:spacing w:before="2"/>
      </w:pPr>
    </w:p>
    <w:p>
      <w:pPr>
        <w:pStyle w:val="BodyText"/>
        <w:spacing w:line="480" w:lineRule="auto"/>
        <w:ind w:left="809" w:right="116" w:hanging="708"/>
        <w:jc w:val="both"/>
      </w:pPr>
      <w:r>
        <w:rPr/>
        <w:t>Jae-Young, K., Kang-Jun, Ch., Dae-Ki, H., &amp; Sun-Bai, B. (2014). Influence of pre- shooting</w:t>
      </w:r>
      <w:r>
        <w:rPr>
          <w:spacing w:val="-4"/>
        </w:rPr>
        <w:t> </w:t>
      </w:r>
      <w:r>
        <w:rPr/>
        <w:t>temperature</w:t>
      </w:r>
      <w:r>
        <w:rPr>
          <w:spacing w:val="-7"/>
        </w:rPr>
        <w:t> </w:t>
      </w:r>
      <w:r>
        <w:rPr/>
        <w:t>and</w:t>
      </w:r>
      <w:r>
        <w:rPr>
          <w:spacing w:val="-4"/>
        </w:rPr>
        <w:t> </w:t>
      </w:r>
      <w:r>
        <w:rPr/>
        <w:t>duration</w:t>
      </w:r>
      <w:r>
        <w:rPr>
          <w:spacing w:val="-4"/>
        </w:rPr>
        <w:t> </w:t>
      </w:r>
      <w:r>
        <w:rPr/>
        <w:t>on</w:t>
      </w:r>
      <w:r>
        <w:rPr>
          <w:spacing w:val="-4"/>
        </w:rPr>
        <w:t> </w:t>
      </w:r>
      <w:r>
        <w:rPr/>
        <w:t>big</w:t>
      </w:r>
      <w:r>
        <w:rPr>
          <w:spacing w:val="-4"/>
        </w:rPr>
        <w:t> </w:t>
      </w:r>
      <w:r>
        <w:rPr/>
        <w:t>bulb</w:t>
      </w:r>
      <w:r>
        <w:rPr>
          <w:spacing w:val="-3"/>
        </w:rPr>
        <w:t> </w:t>
      </w:r>
      <w:r>
        <w:rPr/>
        <w:t>sizes</w:t>
      </w:r>
      <w:r>
        <w:rPr>
          <w:spacing w:val="-5"/>
        </w:rPr>
        <w:t> </w:t>
      </w:r>
      <w:r>
        <w:rPr/>
        <w:t>for</w:t>
      </w:r>
      <w:r>
        <w:rPr>
          <w:spacing w:val="-6"/>
        </w:rPr>
        <w:t> </w:t>
      </w:r>
      <w:r>
        <w:rPr/>
        <w:t>enhancing</w:t>
      </w:r>
      <w:r>
        <w:rPr>
          <w:spacing w:val="-4"/>
        </w:rPr>
        <w:t> </w:t>
      </w:r>
      <w:r>
        <w:rPr/>
        <w:t>cut</w:t>
      </w:r>
      <w:r>
        <w:rPr>
          <w:spacing w:val="-5"/>
        </w:rPr>
        <w:t> </w:t>
      </w:r>
      <w:r>
        <w:rPr/>
        <w:t>flower quality</w:t>
      </w:r>
      <w:r>
        <w:rPr>
          <w:spacing w:val="-14"/>
        </w:rPr>
        <w:t> </w:t>
      </w:r>
      <w:r>
        <w:rPr/>
        <w:t>of</w:t>
      </w:r>
      <w:r>
        <w:rPr>
          <w:spacing w:val="-8"/>
        </w:rPr>
        <w:t> </w:t>
      </w:r>
      <w:r>
        <w:rPr>
          <w:i/>
        </w:rPr>
        <w:t>Lilium</w:t>
      </w:r>
      <w:r>
        <w:rPr>
          <w:i/>
          <w:spacing w:val="-14"/>
        </w:rPr>
        <w:t> </w:t>
      </w:r>
      <w:r>
        <w:rPr/>
        <w:t>oriental</w:t>
      </w:r>
      <w:r>
        <w:rPr>
          <w:spacing w:val="-12"/>
        </w:rPr>
        <w:t> </w:t>
      </w:r>
      <w:r>
        <w:rPr/>
        <w:t>hybrid</w:t>
      </w:r>
      <w:r>
        <w:rPr>
          <w:spacing w:val="-10"/>
        </w:rPr>
        <w:t> </w:t>
      </w:r>
      <w:r>
        <w:rPr/>
        <w:t>‘Siberia’</w:t>
      </w:r>
      <w:r>
        <w:rPr>
          <w:spacing w:val="-12"/>
        </w:rPr>
        <w:t> </w:t>
      </w:r>
      <w:r>
        <w:rPr>
          <w:i/>
        </w:rPr>
        <w:t>In.</w:t>
      </w:r>
      <w:r>
        <w:rPr>
          <w:i/>
          <w:spacing w:val="-22"/>
        </w:rPr>
        <w:t> </w:t>
      </w:r>
      <w:r>
        <w:rPr/>
        <w:t>Abstracts</w:t>
      </w:r>
      <w:r>
        <w:rPr>
          <w:spacing w:val="-11"/>
        </w:rPr>
        <w:t> </w:t>
      </w:r>
      <w:r>
        <w:rPr/>
        <w:t>of</w:t>
      </w:r>
      <w:r>
        <w:rPr>
          <w:spacing w:val="-8"/>
        </w:rPr>
        <w:t> </w:t>
      </w:r>
      <w:r>
        <w:rPr/>
        <w:t>the</w:t>
      </w:r>
      <w:r>
        <w:rPr>
          <w:spacing w:val="-14"/>
        </w:rPr>
        <w:t> </w:t>
      </w:r>
      <w:r>
        <w:rPr/>
        <w:t>Third</w:t>
      </w:r>
      <w:r>
        <w:rPr>
          <w:spacing w:val="-10"/>
        </w:rPr>
        <w:t> </w:t>
      </w:r>
      <w:r>
        <w:rPr/>
        <w:t>International Symposium on the Genus </w:t>
      </w:r>
      <w:r>
        <w:rPr>
          <w:i/>
        </w:rPr>
        <w:t>Lilium</w:t>
      </w:r>
      <w:r>
        <w:rPr/>
        <w:t>. April 1-3,  Zhangzhou. China. 61</w:t>
      </w:r>
      <w:r>
        <w:rPr>
          <w:spacing w:val="-34"/>
        </w:rPr>
        <w:t> </w:t>
      </w:r>
      <w:r>
        <w:rPr/>
        <w:t>p.</w:t>
      </w:r>
    </w:p>
    <w:p>
      <w:pPr>
        <w:pStyle w:val="BodyText"/>
        <w:spacing w:line="480" w:lineRule="auto" w:before="10"/>
        <w:ind w:left="809" w:right="117" w:hanging="708"/>
        <w:jc w:val="both"/>
      </w:pPr>
      <w:r>
        <w:rPr/>
        <w:t>Jakopic, J., Veberic, R.; Stampar, F. 2007. The effect of reflective foil and hail nets on the lighting, color and anthocyanins of ‘Fuji’ apple. </w:t>
      </w:r>
      <w:r>
        <w:rPr>
          <w:i/>
        </w:rPr>
        <w:t>Scientia Horticulturae</w:t>
      </w:r>
      <w:r>
        <w:rPr/>
        <w:t>, 115, 40-46.</w:t>
      </w:r>
    </w:p>
    <w:p>
      <w:pPr>
        <w:pStyle w:val="BodyText"/>
        <w:spacing w:line="480" w:lineRule="auto" w:before="8"/>
        <w:ind w:left="809" w:right="117" w:hanging="708"/>
        <w:jc w:val="both"/>
      </w:pPr>
      <w:r>
        <w:rPr/>
        <w:t>Juárez, H. Ma. de J., Baca, C. G. A., Aceves N. L. A., Sánchez G. P., Tirado T. J. L., Sahagún, C. J., &amp; Colinas De L. M. T. (2006). Propuesta para la formulación de soluciones nutritivas en estudios de nutrición vegetal. </w:t>
      </w:r>
      <w:r>
        <w:rPr>
          <w:i/>
        </w:rPr>
        <w:t>Interciencia</w:t>
      </w:r>
      <w:r>
        <w:rPr/>
        <w:t>, 31(4), 246-253.</w:t>
      </w:r>
    </w:p>
    <w:p>
      <w:pPr>
        <w:spacing w:line="480" w:lineRule="auto" w:before="10"/>
        <w:ind w:left="809" w:right="116" w:hanging="708"/>
        <w:jc w:val="both"/>
        <w:rPr>
          <w:sz w:val="24"/>
        </w:rPr>
      </w:pPr>
      <w:r>
        <w:rPr>
          <w:sz w:val="24"/>
        </w:rPr>
        <w:t>Khan, M. A, &amp; Ahmad, I. (2004). Growth and Flowering of Gladiolus hortulanus L. cv.</w:t>
      </w:r>
      <w:r>
        <w:rPr>
          <w:spacing w:val="-12"/>
          <w:sz w:val="24"/>
        </w:rPr>
        <w:t> </w:t>
      </w:r>
      <w:r>
        <w:rPr>
          <w:sz w:val="24"/>
        </w:rPr>
        <w:t>Wind</w:t>
      </w:r>
      <w:r>
        <w:rPr>
          <w:spacing w:val="-9"/>
          <w:sz w:val="24"/>
        </w:rPr>
        <w:t> </w:t>
      </w:r>
      <w:r>
        <w:rPr>
          <w:sz w:val="24"/>
        </w:rPr>
        <w:t>Song</w:t>
      </w:r>
      <w:r>
        <w:rPr>
          <w:spacing w:val="-9"/>
          <w:sz w:val="24"/>
        </w:rPr>
        <w:t> </w:t>
      </w:r>
      <w:r>
        <w:rPr>
          <w:sz w:val="24"/>
        </w:rPr>
        <w:t>as</w:t>
      </w:r>
      <w:r>
        <w:rPr>
          <w:spacing w:val="-10"/>
          <w:sz w:val="24"/>
        </w:rPr>
        <w:t> </w:t>
      </w:r>
      <w:r>
        <w:rPr>
          <w:sz w:val="24"/>
        </w:rPr>
        <w:t>Influenced</w:t>
      </w:r>
      <w:r>
        <w:rPr>
          <w:spacing w:val="-7"/>
          <w:sz w:val="24"/>
        </w:rPr>
        <w:t> </w:t>
      </w:r>
      <w:r>
        <w:rPr>
          <w:sz w:val="24"/>
        </w:rPr>
        <w:t>by</w:t>
      </w:r>
      <w:r>
        <w:rPr>
          <w:spacing w:val="-10"/>
          <w:sz w:val="24"/>
        </w:rPr>
        <w:t> </w:t>
      </w:r>
      <w:r>
        <w:rPr>
          <w:sz w:val="24"/>
        </w:rPr>
        <w:t>Various</w:t>
      </w:r>
      <w:r>
        <w:rPr>
          <w:spacing w:val="-10"/>
          <w:sz w:val="24"/>
        </w:rPr>
        <w:t> </w:t>
      </w:r>
      <w:r>
        <w:rPr>
          <w:sz w:val="24"/>
        </w:rPr>
        <w:t>Levels</w:t>
      </w:r>
      <w:r>
        <w:rPr>
          <w:spacing w:val="-8"/>
          <w:sz w:val="24"/>
        </w:rPr>
        <w:t> </w:t>
      </w:r>
      <w:r>
        <w:rPr>
          <w:sz w:val="24"/>
        </w:rPr>
        <w:t>of</w:t>
      </w:r>
      <w:r>
        <w:rPr>
          <w:spacing w:val="-7"/>
          <w:sz w:val="24"/>
        </w:rPr>
        <w:t> </w:t>
      </w:r>
      <w:r>
        <w:rPr>
          <w:sz w:val="24"/>
        </w:rPr>
        <w:t>NPK.</w:t>
      </w:r>
      <w:r>
        <w:rPr>
          <w:spacing w:val="-10"/>
          <w:sz w:val="24"/>
        </w:rPr>
        <w:t> </w:t>
      </w:r>
      <w:r>
        <w:rPr>
          <w:i/>
          <w:sz w:val="24"/>
        </w:rPr>
        <w:t>Internacional</w:t>
      </w:r>
      <w:r>
        <w:rPr>
          <w:i/>
          <w:spacing w:val="-8"/>
          <w:sz w:val="24"/>
        </w:rPr>
        <w:t> </w:t>
      </w:r>
      <w:r>
        <w:rPr>
          <w:i/>
          <w:sz w:val="24"/>
        </w:rPr>
        <w:t>Journal </w:t>
      </w:r>
      <w:r>
        <w:rPr>
          <w:i/>
          <w:sz w:val="24"/>
        </w:rPr>
        <w:t>of Agriculture &amp; Biology, </w:t>
      </w:r>
      <w:r>
        <w:rPr>
          <w:sz w:val="24"/>
        </w:rPr>
        <w:t>6(6),</w:t>
      </w:r>
      <w:r>
        <w:rPr>
          <w:spacing w:val="-20"/>
          <w:sz w:val="24"/>
        </w:rPr>
        <w:t> </w:t>
      </w:r>
      <w:r>
        <w:rPr>
          <w:sz w:val="24"/>
        </w:rPr>
        <w:t>1037-1039.</w:t>
      </w:r>
    </w:p>
    <w:p>
      <w:pPr>
        <w:pStyle w:val="BodyText"/>
        <w:spacing w:line="480" w:lineRule="auto" w:before="10"/>
        <w:ind w:left="809" w:right="117" w:hanging="708"/>
        <w:jc w:val="both"/>
      </w:pPr>
      <w:r>
        <w:rPr/>
        <w:t>Kirkby, E. A., &amp; Römheld, V. (2007). Micronutrientes in plant physiology: functions, uptake and mobility. The International Fertilizer Society, United Kingdom.</w:t>
      </w:r>
    </w:p>
    <w:p>
      <w:pPr>
        <w:pStyle w:val="BodyText"/>
        <w:spacing w:line="480" w:lineRule="auto" w:before="8"/>
        <w:ind w:left="809" w:right="116" w:hanging="708"/>
        <w:jc w:val="both"/>
      </w:pPr>
      <w:r>
        <w:rPr/>
        <w:t>Krugh,</w:t>
      </w:r>
      <w:r>
        <w:rPr>
          <w:spacing w:val="-12"/>
        </w:rPr>
        <w:t> </w:t>
      </w:r>
      <w:r>
        <w:rPr/>
        <w:t>B.,</w:t>
      </w:r>
      <w:r>
        <w:rPr>
          <w:spacing w:val="-14"/>
        </w:rPr>
        <w:t> </w:t>
      </w:r>
      <w:r>
        <w:rPr/>
        <w:t>Bichham,</w:t>
      </w:r>
      <w:r>
        <w:rPr>
          <w:spacing w:val="-12"/>
        </w:rPr>
        <w:t> </w:t>
      </w:r>
      <w:r>
        <w:rPr/>
        <w:t>L.,</w:t>
      </w:r>
      <w:r>
        <w:rPr>
          <w:spacing w:val="-14"/>
        </w:rPr>
        <w:t> </w:t>
      </w:r>
      <w:r>
        <w:rPr/>
        <w:t>&amp;</w:t>
      </w:r>
      <w:r>
        <w:rPr>
          <w:spacing w:val="-12"/>
        </w:rPr>
        <w:t> </w:t>
      </w:r>
      <w:r>
        <w:rPr/>
        <w:t>Miles,</w:t>
      </w:r>
      <w:r>
        <w:rPr>
          <w:spacing w:val="-12"/>
        </w:rPr>
        <w:t> </w:t>
      </w:r>
      <w:r>
        <w:rPr/>
        <w:t>D.</w:t>
      </w:r>
      <w:r>
        <w:rPr>
          <w:spacing w:val="-12"/>
        </w:rPr>
        <w:t> </w:t>
      </w:r>
      <w:r>
        <w:rPr/>
        <w:t>(1994).</w:t>
      </w:r>
      <w:r>
        <w:rPr>
          <w:spacing w:val="-14"/>
        </w:rPr>
        <w:t> </w:t>
      </w:r>
      <w:r>
        <w:rPr/>
        <w:t>The</w:t>
      </w:r>
      <w:r>
        <w:rPr>
          <w:spacing w:val="-12"/>
        </w:rPr>
        <w:t> </w:t>
      </w:r>
      <w:r>
        <w:rPr/>
        <w:t>solid-state</w:t>
      </w:r>
      <w:r>
        <w:rPr>
          <w:spacing w:val="-12"/>
        </w:rPr>
        <w:t> </w:t>
      </w:r>
      <w:r>
        <w:rPr/>
        <w:t>chlorophyll</w:t>
      </w:r>
      <w:r>
        <w:rPr>
          <w:spacing w:val="-13"/>
        </w:rPr>
        <w:t> </w:t>
      </w:r>
      <w:r>
        <w:rPr/>
        <w:t>meter,</w:t>
      </w:r>
      <w:r>
        <w:rPr>
          <w:spacing w:val="-12"/>
        </w:rPr>
        <w:t> </w:t>
      </w:r>
      <w:r>
        <w:rPr/>
        <w:t>a</w:t>
      </w:r>
      <w:r>
        <w:rPr>
          <w:spacing w:val="-14"/>
        </w:rPr>
        <w:t> </w:t>
      </w:r>
      <w:r>
        <w:rPr/>
        <w:t>novel instrument</w:t>
      </w:r>
      <w:r>
        <w:rPr>
          <w:spacing w:val="-12"/>
        </w:rPr>
        <w:t> </w:t>
      </w:r>
      <w:r>
        <w:rPr/>
        <w:t>for</w:t>
      </w:r>
      <w:r>
        <w:rPr>
          <w:spacing w:val="-11"/>
        </w:rPr>
        <w:t> </w:t>
      </w:r>
      <w:r>
        <w:rPr/>
        <w:t>rapidly</w:t>
      </w:r>
      <w:r>
        <w:rPr>
          <w:spacing w:val="-13"/>
        </w:rPr>
        <w:t> </w:t>
      </w:r>
      <w:r>
        <w:rPr/>
        <w:t>and</w:t>
      </w:r>
      <w:r>
        <w:rPr>
          <w:spacing w:val="-9"/>
        </w:rPr>
        <w:t> </w:t>
      </w:r>
      <w:r>
        <w:rPr/>
        <w:t>accurately</w:t>
      </w:r>
      <w:r>
        <w:rPr>
          <w:spacing w:val="-13"/>
        </w:rPr>
        <w:t> </w:t>
      </w:r>
      <w:r>
        <w:rPr/>
        <w:t>determining</w:t>
      </w:r>
      <w:r>
        <w:rPr>
          <w:spacing w:val="-12"/>
        </w:rPr>
        <w:t> </w:t>
      </w:r>
      <w:r>
        <w:rPr/>
        <w:t>the</w:t>
      </w:r>
      <w:r>
        <w:rPr>
          <w:spacing w:val="-9"/>
        </w:rPr>
        <w:t> </w:t>
      </w:r>
      <w:r>
        <w:rPr/>
        <w:t>clorophyll</w:t>
      </w:r>
      <w:r>
        <w:rPr>
          <w:spacing w:val="-11"/>
        </w:rPr>
        <w:t> </w:t>
      </w:r>
      <w:r>
        <w:rPr/>
        <w:t>concentration in seedling leaves. Maize genetics cooperation. </w:t>
      </w:r>
      <w:r>
        <w:rPr>
          <w:i/>
        </w:rPr>
        <w:t>News Letter</w:t>
      </w:r>
      <w:r>
        <w:rPr/>
        <w:t>, 68,</w:t>
      </w:r>
      <w:r>
        <w:rPr>
          <w:spacing w:val="-32"/>
        </w:rPr>
        <w:t> </w:t>
      </w:r>
      <w:r>
        <w:rPr/>
        <w:t>25-27.</w:t>
      </w:r>
    </w:p>
    <w:p>
      <w:pPr>
        <w:spacing w:after="0" w:line="480" w:lineRule="auto"/>
        <w:jc w:val="both"/>
        <w:sectPr>
          <w:pgSz w:w="12240" w:h="15840"/>
          <w:pgMar w:header="0" w:footer="1005" w:top="1360" w:bottom="1200" w:left="1600" w:right="1580"/>
        </w:sectPr>
      </w:pPr>
    </w:p>
    <w:p>
      <w:pPr>
        <w:spacing w:line="480" w:lineRule="auto" w:before="49"/>
        <w:ind w:left="809" w:right="116" w:hanging="708"/>
        <w:jc w:val="both"/>
        <w:rPr>
          <w:sz w:val="24"/>
        </w:rPr>
      </w:pPr>
      <w:r>
        <w:rPr>
          <w:sz w:val="24"/>
        </w:rPr>
        <w:t>Leguizamon,</w:t>
      </w:r>
      <w:r>
        <w:rPr>
          <w:spacing w:val="-18"/>
          <w:sz w:val="24"/>
        </w:rPr>
        <w:t> </w:t>
      </w:r>
      <w:r>
        <w:rPr>
          <w:sz w:val="24"/>
        </w:rPr>
        <w:t>G.</w:t>
      </w:r>
      <w:r>
        <w:rPr>
          <w:spacing w:val="-18"/>
          <w:sz w:val="24"/>
        </w:rPr>
        <w:t> </w:t>
      </w:r>
      <w:r>
        <w:rPr>
          <w:sz w:val="24"/>
        </w:rPr>
        <w:t>V.,</w:t>
      </w:r>
      <w:r>
        <w:rPr>
          <w:spacing w:val="-15"/>
          <w:sz w:val="24"/>
        </w:rPr>
        <w:t> </w:t>
      </w:r>
      <w:r>
        <w:rPr>
          <w:sz w:val="24"/>
        </w:rPr>
        <w:t>Gonzalez,</w:t>
      </w:r>
      <w:r>
        <w:rPr>
          <w:spacing w:val="-15"/>
          <w:sz w:val="24"/>
        </w:rPr>
        <w:t> </w:t>
      </w:r>
      <w:r>
        <w:rPr>
          <w:sz w:val="24"/>
        </w:rPr>
        <w:t>L.</w:t>
      </w:r>
      <w:r>
        <w:rPr>
          <w:spacing w:val="-15"/>
          <w:sz w:val="24"/>
        </w:rPr>
        <w:t> </w:t>
      </w:r>
      <w:r>
        <w:rPr>
          <w:sz w:val="24"/>
        </w:rPr>
        <w:t>A.,</w:t>
      </w:r>
      <w:r>
        <w:rPr>
          <w:spacing w:val="-15"/>
          <w:sz w:val="24"/>
        </w:rPr>
        <w:t> </w:t>
      </w:r>
      <w:r>
        <w:rPr>
          <w:sz w:val="24"/>
        </w:rPr>
        <w:t>&amp;</w:t>
      </w:r>
      <w:r>
        <w:rPr>
          <w:spacing w:val="-18"/>
          <w:sz w:val="24"/>
        </w:rPr>
        <w:t> </w:t>
      </w:r>
      <w:r>
        <w:rPr>
          <w:sz w:val="24"/>
        </w:rPr>
        <w:t>Baez,</w:t>
      </w:r>
      <w:r>
        <w:rPr>
          <w:spacing w:val="-18"/>
          <w:sz w:val="24"/>
        </w:rPr>
        <w:t> </w:t>
      </w:r>
      <w:r>
        <w:rPr>
          <w:sz w:val="24"/>
        </w:rPr>
        <w:t>S.</w:t>
      </w:r>
      <w:r>
        <w:rPr>
          <w:spacing w:val="-15"/>
          <w:sz w:val="24"/>
        </w:rPr>
        <w:t> </w:t>
      </w:r>
      <w:r>
        <w:rPr>
          <w:sz w:val="24"/>
        </w:rPr>
        <w:t>R.</w:t>
      </w:r>
      <w:r>
        <w:rPr>
          <w:spacing w:val="-18"/>
          <w:sz w:val="24"/>
        </w:rPr>
        <w:t> </w:t>
      </w:r>
      <w:r>
        <w:rPr>
          <w:sz w:val="24"/>
        </w:rPr>
        <w:t>(2005).</w:t>
      </w:r>
      <w:r>
        <w:rPr>
          <w:spacing w:val="-15"/>
          <w:sz w:val="24"/>
        </w:rPr>
        <w:t> </w:t>
      </w:r>
      <w:r>
        <w:rPr>
          <w:sz w:val="24"/>
        </w:rPr>
        <w:t>Grape</w:t>
      </w:r>
      <w:r>
        <w:rPr>
          <w:spacing w:val="-17"/>
          <w:sz w:val="24"/>
        </w:rPr>
        <w:t> </w:t>
      </w:r>
      <w:r>
        <w:rPr>
          <w:sz w:val="24"/>
        </w:rPr>
        <w:t>Anthocyanins</w:t>
      </w:r>
      <w:r>
        <w:rPr>
          <w:spacing w:val="-16"/>
          <w:sz w:val="24"/>
        </w:rPr>
        <w:t> </w:t>
      </w:r>
      <w:r>
        <w:rPr>
          <w:sz w:val="24"/>
        </w:rPr>
        <w:t>(</w:t>
      </w:r>
      <w:r>
        <w:rPr>
          <w:i/>
          <w:sz w:val="24"/>
        </w:rPr>
        <w:t>Vitis </w:t>
      </w:r>
      <w:r>
        <w:rPr>
          <w:i/>
          <w:sz w:val="24"/>
        </w:rPr>
        <w:t>vinifera</w:t>
      </w:r>
      <w:r>
        <w:rPr>
          <w:i/>
          <w:spacing w:val="-16"/>
          <w:sz w:val="24"/>
        </w:rPr>
        <w:t> </w:t>
      </w:r>
      <w:r>
        <w:rPr>
          <w:sz w:val="24"/>
        </w:rPr>
        <w:t>L.)</w:t>
      </w:r>
      <w:r>
        <w:rPr>
          <w:spacing w:val="-16"/>
          <w:sz w:val="24"/>
        </w:rPr>
        <w:t> </w:t>
      </w:r>
      <w:r>
        <w:rPr>
          <w:sz w:val="24"/>
        </w:rPr>
        <w:t>and</w:t>
      </w:r>
      <w:r>
        <w:rPr>
          <w:spacing w:val="-16"/>
          <w:sz w:val="24"/>
        </w:rPr>
        <w:t> </w:t>
      </w:r>
      <w:r>
        <w:rPr>
          <w:sz w:val="24"/>
        </w:rPr>
        <w:t>their</w:t>
      </w:r>
      <w:r>
        <w:rPr>
          <w:spacing w:val="-16"/>
          <w:sz w:val="24"/>
        </w:rPr>
        <w:t> </w:t>
      </w:r>
      <w:r>
        <w:rPr>
          <w:sz w:val="24"/>
        </w:rPr>
        <w:t>relation</w:t>
      </w:r>
      <w:r>
        <w:rPr>
          <w:spacing w:val="-16"/>
          <w:sz w:val="24"/>
        </w:rPr>
        <w:t> </w:t>
      </w:r>
      <w:r>
        <w:rPr>
          <w:sz w:val="24"/>
        </w:rPr>
        <w:t>to</w:t>
      </w:r>
      <w:r>
        <w:rPr>
          <w:spacing w:val="-16"/>
          <w:sz w:val="24"/>
        </w:rPr>
        <w:t> </w:t>
      </w:r>
      <w:r>
        <w:rPr>
          <w:sz w:val="24"/>
        </w:rPr>
        <w:t>color.</w:t>
      </w:r>
      <w:r>
        <w:rPr>
          <w:spacing w:val="-17"/>
          <w:sz w:val="24"/>
        </w:rPr>
        <w:t> </w:t>
      </w:r>
      <w:r>
        <w:rPr>
          <w:i/>
          <w:sz w:val="24"/>
        </w:rPr>
        <w:t>Revista</w:t>
      </w:r>
      <w:r>
        <w:rPr>
          <w:i/>
          <w:spacing w:val="-19"/>
          <w:sz w:val="24"/>
        </w:rPr>
        <w:t> </w:t>
      </w:r>
      <w:r>
        <w:rPr>
          <w:i/>
          <w:sz w:val="24"/>
        </w:rPr>
        <w:t>Fitotecnia</w:t>
      </w:r>
      <w:r>
        <w:rPr>
          <w:i/>
          <w:spacing w:val="-16"/>
          <w:sz w:val="24"/>
        </w:rPr>
        <w:t> </w:t>
      </w:r>
      <w:r>
        <w:rPr>
          <w:i/>
          <w:sz w:val="24"/>
        </w:rPr>
        <w:t>Mexicana</w:t>
      </w:r>
      <w:r>
        <w:rPr>
          <w:sz w:val="24"/>
        </w:rPr>
        <w:t>,</w:t>
      </w:r>
      <w:r>
        <w:rPr>
          <w:spacing w:val="-17"/>
          <w:sz w:val="24"/>
        </w:rPr>
        <w:t> </w:t>
      </w:r>
      <w:r>
        <w:rPr>
          <w:sz w:val="24"/>
        </w:rPr>
        <w:t>28(4),</w:t>
      </w:r>
      <w:r>
        <w:rPr>
          <w:spacing w:val="-14"/>
          <w:sz w:val="24"/>
        </w:rPr>
        <w:t> </w:t>
      </w:r>
      <w:r>
        <w:rPr>
          <w:sz w:val="24"/>
        </w:rPr>
        <w:t>359- 368.</w:t>
      </w:r>
    </w:p>
    <w:p>
      <w:pPr>
        <w:spacing w:line="362" w:lineRule="auto" w:before="8"/>
        <w:ind w:left="809" w:right="118" w:hanging="708"/>
        <w:jc w:val="both"/>
        <w:rPr>
          <w:sz w:val="24"/>
        </w:rPr>
      </w:pPr>
      <w:r>
        <w:rPr>
          <w:sz w:val="24"/>
        </w:rPr>
        <w:t>Mengel, K. &amp; Kirkby, E. A. (1982). </w:t>
      </w:r>
      <w:r>
        <w:rPr>
          <w:i/>
          <w:sz w:val="24"/>
        </w:rPr>
        <w:t>Principles of plant nutrition</w:t>
      </w:r>
      <w:r>
        <w:rPr>
          <w:sz w:val="24"/>
        </w:rPr>
        <w:t>. International Potash Institute. Bern, Zwitzerland. 655 p.</w:t>
      </w:r>
    </w:p>
    <w:p>
      <w:pPr>
        <w:spacing w:line="480" w:lineRule="auto" w:before="197"/>
        <w:ind w:left="809" w:right="117" w:hanging="708"/>
        <w:jc w:val="both"/>
        <w:rPr>
          <w:sz w:val="24"/>
        </w:rPr>
      </w:pPr>
      <w:r>
        <w:rPr>
          <w:sz w:val="24"/>
        </w:rPr>
        <w:t>Miller,</w:t>
      </w:r>
      <w:r>
        <w:rPr>
          <w:spacing w:val="-18"/>
          <w:sz w:val="24"/>
        </w:rPr>
        <w:t> </w:t>
      </w:r>
      <w:r>
        <w:rPr>
          <w:spacing w:val="4"/>
          <w:sz w:val="24"/>
        </w:rPr>
        <w:t>W.</w:t>
      </w:r>
      <w:r>
        <w:rPr>
          <w:spacing w:val="-15"/>
          <w:sz w:val="24"/>
        </w:rPr>
        <w:t> </w:t>
      </w:r>
      <w:r>
        <w:rPr>
          <w:sz w:val="24"/>
        </w:rPr>
        <w:t>(1993).</w:t>
      </w:r>
      <w:r>
        <w:rPr>
          <w:spacing w:val="-13"/>
          <w:sz w:val="24"/>
        </w:rPr>
        <w:t> </w:t>
      </w:r>
      <w:r>
        <w:rPr>
          <w:sz w:val="24"/>
        </w:rPr>
        <w:t>Lilium</w:t>
      </w:r>
      <w:r>
        <w:rPr>
          <w:spacing w:val="-12"/>
          <w:sz w:val="24"/>
        </w:rPr>
        <w:t> </w:t>
      </w:r>
      <w:r>
        <w:rPr>
          <w:sz w:val="24"/>
        </w:rPr>
        <w:t>Longiflorum.</w:t>
      </w:r>
      <w:r>
        <w:rPr>
          <w:spacing w:val="-13"/>
          <w:sz w:val="24"/>
        </w:rPr>
        <w:t> </w:t>
      </w:r>
      <w:r>
        <w:rPr>
          <w:i/>
          <w:sz w:val="24"/>
        </w:rPr>
        <w:t>In:</w:t>
      </w:r>
      <w:r>
        <w:rPr>
          <w:i/>
          <w:spacing w:val="-13"/>
          <w:sz w:val="24"/>
        </w:rPr>
        <w:t> </w:t>
      </w:r>
      <w:r>
        <w:rPr>
          <w:sz w:val="24"/>
        </w:rPr>
        <w:t>de</w:t>
      </w:r>
      <w:r>
        <w:rPr>
          <w:spacing w:val="-13"/>
          <w:sz w:val="24"/>
        </w:rPr>
        <w:t> </w:t>
      </w:r>
      <w:r>
        <w:rPr>
          <w:sz w:val="24"/>
        </w:rPr>
        <w:t>Hertogh</w:t>
      </w:r>
      <w:r>
        <w:rPr>
          <w:spacing w:val="-13"/>
          <w:sz w:val="24"/>
        </w:rPr>
        <w:t> </w:t>
      </w:r>
      <w:r>
        <w:rPr>
          <w:sz w:val="24"/>
        </w:rPr>
        <w:t>and</w:t>
      </w:r>
      <w:r>
        <w:rPr>
          <w:spacing w:val="-13"/>
          <w:sz w:val="24"/>
        </w:rPr>
        <w:t> </w:t>
      </w:r>
      <w:r>
        <w:rPr>
          <w:sz w:val="24"/>
        </w:rPr>
        <w:t>Le</w:t>
      </w:r>
      <w:r>
        <w:rPr>
          <w:spacing w:val="-13"/>
          <w:sz w:val="24"/>
        </w:rPr>
        <w:t> </w:t>
      </w:r>
      <w:r>
        <w:rPr>
          <w:sz w:val="24"/>
        </w:rPr>
        <w:t>Nard,</w:t>
      </w:r>
      <w:r>
        <w:rPr>
          <w:spacing w:val="-13"/>
          <w:sz w:val="24"/>
        </w:rPr>
        <w:t> </w:t>
      </w:r>
      <w:r>
        <w:rPr>
          <w:sz w:val="24"/>
        </w:rPr>
        <w:t>M.</w:t>
      </w:r>
      <w:r>
        <w:rPr>
          <w:spacing w:val="-15"/>
          <w:sz w:val="24"/>
        </w:rPr>
        <w:t> </w:t>
      </w:r>
      <w:r>
        <w:rPr>
          <w:i/>
          <w:sz w:val="24"/>
        </w:rPr>
        <w:t>The</w:t>
      </w:r>
      <w:r>
        <w:rPr>
          <w:i/>
          <w:spacing w:val="-15"/>
          <w:sz w:val="24"/>
        </w:rPr>
        <w:t> </w:t>
      </w:r>
      <w:r>
        <w:rPr>
          <w:i/>
          <w:sz w:val="24"/>
        </w:rPr>
        <w:t>physiology </w:t>
      </w:r>
      <w:r>
        <w:rPr>
          <w:i/>
          <w:sz w:val="24"/>
        </w:rPr>
        <w:t>of flower bulbs</w:t>
      </w:r>
      <w:r>
        <w:rPr>
          <w:sz w:val="24"/>
        </w:rPr>
        <w:t>. Amsterdan, Holanda: Elsevier Sciencie Publishers. 331-422 pp.</w:t>
      </w:r>
    </w:p>
    <w:p>
      <w:pPr>
        <w:pStyle w:val="BodyText"/>
        <w:spacing w:before="8"/>
        <w:ind w:left="101"/>
        <w:rPr>
          <w:i/>
        </w:rPr>
      </w:pPr>
      <w:r>
        <w:rPr/>
        <w:t>Miller W. B. (2014). Postharvest of Lilium: experiment to industria adaptation. </w:t>
      </w:r>
      <w:r>
        <w:rPr>
          <w:i/>
        </w:rPr>
        <w:t>In.</w:t>
      </w:r>
    </w:p>
    <w:p>
      <w:pPr>
        <w:pStyle w:val="BodyText"/>
        <w:spacing w:before="137"/>
        <w:ind w:left="809"/>
      </w:pPr>
      <w:r>
        <w:rPr/>
        <w:t>Abstracts of the Third International Symposium on the Genus </w:t>
      </w:r>
      <w:r>
        <w:rPr>
          <w:i/>
        </w:rPr>
        <w:t>Lilium</w:t>
      </w:r>
      <w:r>
        <w:rPr/>
        <w:t>. April 1-</w:t>
      </w:r>
    </w:p>
    <w:p>
      <w:pPr>
        <w:pStyle w:val="BodyText"/>
        <w:spacing w:before="141"/>
        <w:ind w:left="809"/>
      </w:pPr>
      <w:r>
        <w:rPr/>
        <w:t>3. Zhangzhou, China p 28.</w:t>
      </w:r>
    </w:p>
    <w:p>
      <w:pPr>
        <w:pStyle w:val="BodyText"/>
        <w:spacing w:line="477" w:lineRule="auto" w:before="134"/>
        <w:ind w:left="101"/>
        <w:rPr>
          <w:i/>
        </w:rPr>
      </w:pPr>
      <w:r>
        <w:rPr/>
        <w:t>Mol,</w:t>
      </w:r>
      <w:r>
        <w:rPr>
          <w:spacing w:val="-17"/>
        </w:rPr>
        <w:t> </w:t>
      </w:r>
      <w:r>
        <w:rPr/>
        <w:t>J.,</w:t>
      </w:r>
      <w:r>
        <w:rPr>
          <w:spacing w:val="-17"/>
        </w:rPr>
        <w:t> </w:t>
      </w:r>
      <w:r>
        <w:rPr/>
        <w:t>Jenkins,</w:t>
      </w:r>
      <w:r>
        <w:rPr>
          <w:spacing w:val="-17"/>
        </w:rPr>
        <w:t> </w:t>
      </w:r>
      <w:r>
        <w:rPr/>
        <w:t>G.,</w:t>
      </w:r>
      <w:r>
        <w:rPr>
          <w:spacing w:val="-17"/>
        </w:rPr>
        <w:t> </w:t>
      </w:r>
      <w:r>
        <w:rPr/>
        <w:t>Schafer,</w:t>
      </w:r>
      <w:r>
        <w:rPr>
          <w:spacing w:val="-19"/>
        </w:rPr>
        <w:t> </w:t>
      </w:r>
      <w:r>
        <w:rPr/>
        <w:t>E.,</w:t>
      </w:r>
      <w:r>
        <w:rPr>
          <w:spacing w:val="-17"/>
        </w:rPr>
        <w:t> </w:t>
      </w:r>
      <w:r>
        <w:rPr/>
        <w:t>&amp;</w:t>
      </w:r>
      <w:r>
        <w:rPr>
          <w:spacing w:val="-24"/>
        </w:rPr>
        <w:t> </w:t>
      </w:r>
      <w:r>
        <w:rPr/>
        <w:t>Weiss,</w:t>
      </w:r>
      <w:r>
        <w:rPr>
          <w:spacing w:val="-17"/>
        </w:rPr>
        <w:t> </w:t>
      </w:r>
      <w:r>
        <w:rPr/>
        <w:t>D.</w:t>
      </w:r>
      <w:r>
        <w:rPr>
          <w:spacing w:val="-17"/>
        </w:rPr>
        <w:t> </w:t>
      </w:r>
      <w:r>
        <w:rPr/>
        <w:t>(1996).</w:t>
      </w:r>
      <w:r>
        <w:rPr>
          <w:spacing w:val="-17"/>
        </w:rPr>
        <w:t> </w:t>
      </w:r>
      <w:r>
        <w:rPr/>
        <w:t>Signal</w:t>
      </w:r>
      <w:r>
        <w:rPr>
          <w:spacing w:val="-18"/>
        </w:rPr>
        <w:t> </w:t>
      </w:r>
      <w:r>
        <w:rPr/>
        <w:t>perception,</w:t>
      </w:r>
      <w:r>
        <w:rPr>
          <w:spacing w:val="-17"/>
        </w:rPr>
        <w:t> </w:t>
      </w:r>
      <w:r>
        <w:rPr/>
        <w:t>transduction, and gene expression involved in anthocyanin biosynthesis. </w:t>
      </w:r>
      <w:r>
        <w:rPr>
          <w:i/>
        </w:rPr>
        <w:t>Critical Review</w:t>
      </w:r>
      <w:r>
        <w:rPr>
          <w:i/>
          <w:spacing w:val="-38"/>
        </w:rPr>
        <w:t> </w:t>
      </w:r>
      <w:r>
        <w:rPr>
          <w:i/>
        </w:rPr>
        <w:t>Plant</w:t>
      </w:r>
    </w:p>
    <w:p>
      <w:pPr>
        <w:pStyle w:val="BodyText"/>
        <w:spacing w:line="360" w:lineRule="auto" w:before="13"/>
        <w:ind w:left="809" w:right="117" w:hanging="708"/>
        <w:jc w:val="both"/>
      </w:pPr>
      <w:r>
        <w:rPr>
          <w:i/>
        </w:rPr>
        <w:t>Science</w:t>
      </w:r>
      <w:r>
        <w:rPr/>
        <w:t>, 15, 525-557.Ortega-Blu, R., Correa-Benguria, M., &amp; Olate-Muñoz, E. (2006). Determinación de las curvas de acumulación de nutrientes en tres cultivares de </w:t>
      </w:r>
      <w:r>
        <w:rPr>
          <w:i/>
        </w:rPr>
        <w:t>Lilium </w:t>
      </w:r>
      <w:r>
        <w:rPr/>
        <w:t>spp. para flor de corte. </w:t>
      </w:r>
      <w:r>
        <w:rPr>
          <w:i/>
        </w:rPr>
        <w:t>Agrociencia</w:t>
      </w:r>
      <w:r>
        <w:rPr/>
        <w:t>, 40, 77-88.</w:t>
      </w:r>
    </w:p>
    <w:p>
      <w:pPr>
        <w:pStyle w:val="BodyText"/>
        <w:spacing w:line="360" w:lineRule="auto" w:before="206"/>
        <w:ind w:left="809" w:right="118" w:hanging="708"/>
        <w:jc w:val="both"/>
      </w:pPr>
      <w:r>
        <w:rPr/>
        <w:t>Pergola, G., &amp; Grassotti, A. (1984). Le tecnique di cultivazione dei Lilium per la produccione del fiore reciso. Atti. Conv. Lilium Giornatee di floricultura. Viareggio.</w:t>
      </w:r>
    </w:p>
    <w:p>
      <w:pPr>
        <w:pStyle w:val="BodyText"/>
        <w:spacing w:line="480" w:lineRule="auto" w:before="202"/>
        <w:ind w:left="809" w:right="120" w:hanging="708"/>
        <w:jc w:val="both"/>
      </w:pPr>
      <w:r>
        <w:rPr/>
        <w:t>Ranwala, A. P., &amp; Miller, W. B. (2005). Effects of cold storage on postharvest leaf and flower quality of potted Oriental-Asiatic- and LA-hybrid lily cultivars. </w:t>
      </w:r>
      <w:r>
        <w:rPr>
          <w:i/>
        </w:rPr>
        <w:t>Scientia Horticulturae</w:t>
      </w:r>
      <w:r>
        <w:rPr/>
        <w:t>, 105, 383–392.</w:t>
      </w:r>
    </w:p>
    <w:p>
      <w:pPr>
        <w:spacing w:before="10"/>
        <w:ind w:left="101" w:right="0" w:firstLine="0"/>
        <w:jc w:val="left"/>
        <w:rPr>
          <w:sz w:val="24"/>
        </w:rPr>
      </w:pPr>
      <w:r>
        <w:rPr>
          <w:sz w:val="24"/>
        </w:rPr>
        <w:t>Rees, A. R. (1992). </w:t>
      </w:r>
      <w:r>
        <w:rPr>
          <w:i/>
          <w:sz w:val="24"/>
        </w:rPr>
        <w:t>Ornamental bulbs corms and tubers</w:t>
      </w:r>
      <w:r>
        <w:rPr>
          <w:sz w:val="24"/>
        </w:rPr>
        <w:t>. UK: C.A.B   International.</w:t>
      </w:r>
    </w:p>
    <w:p>
      <w:pPr>
        <w:pStyle w:val="BodyText"/>
        <w:spacing w:before="139"/>
        <w:ind w:left="809"/>
      </w:pPr>
      <w:r>
        <w:rPr/>
        <w:t>Universidad de Nottingham, UK. 35 p.</w:t>
      </w:r>
    </w:p>
    <w:p>
      <w:pPr>
        <w:pStyle w:val="BodyText"/>
        <w:spacing w:before="4"/>
        <w:rPr>
          <w:sz w:val="29"/>
        </w:rPr>
      </w:pPr>
    </w:p>
    <w:p>
      <w:pPr>
        <w:pStyle w:val="BodyText"/>
        <w:spacing w:line="360" w:lineRule="auto" w:before="1"/>
        <w:ind w:left="809" w:right="118" w:hanging="708"/>
        <w:jc w:val="both"/>
      </w:pPr>
      <w:r>
        <w:rPr/>
        <w:t>Rodriguez-Landero, A. Del C., Franco-Mora, O., Morales-Rosales, E. J., Pérez- López, D. De J., &amp; Castañeda-Vildózola, A. (2012). Efecto del 1-MCP en   la</w:t>
      </w:r>
    </w:p>
    <w:p>
      <w:pPr>
        <w:spacing w:after="0" w:line="360" w:lineRule="auto"/>
        <w:jc w:val="both"/>
        <w:sectPr>
          <w:pgSz w:w="12240" w:h="15840"/>
          <w:pgMar w:header="0" w:footer="1005" w:top="1360" w:bottom="1200" w:left="1600" w:right="1580"/>
        </w:sectPr>
      </w:pPr>
    </w:p>
    <w:p>
      <w:pPr>
        <w:pStyle w:val="BodyText"/>
        <w:spacing w:before="51"/>
        <w:ind w:left="809"/>
        <w:jc w:val="both"/>
      </w:pPr>
      <w:r>
        <w:rPr/>
        <w:t>vida  poscosecha  de </w:t>
      </w:r>
      <w:r>
        <w:rPr>
          <w:i/>
        </w:rPr>
        <w:t>Lilium </w:t>
      </w:r>
      <w:r>
        <w:rPr/>
        <w:t>spp.  fertilizado foliarmente  con  calcio  y  boro.</w:t>
      </w:r>
    </w:p>
    <w:p>
      <w:pPr>
        <w:spacing w:before="139"/>
        <w:ind w:left="809" w:right="0" w:firstLine="0"/>
        <w:jc w:val="both"/>
        <w:rPr>
          <w:sz w:val="24"/>
        </w:rPr>
      </w:pPr>
      <w:r>
        <w:rPr>
          <w:i/>
          <w:sz w:val="24"/>
        </w:rPr>
        <w:t>Revista Mexicana de Ciencias Agrícolas</w:t>
      </w:r>
      <w:r>
        <w:rPr>
          <w:sz w:val="24"/>
        </w:rPr>
        <w:t>, 3, 1623-1628.</w:t>
      </w:r>
    </w:p>
    <w:p>
      <w:pPr>
        <w:pStyle w:val="BodyText"/>
        <w:spacing w:before="4"/>
        <w:rPr>
          <w:sz w:val="29"/>
        </w:rPr>
      </w:pPr>
    </w:p>
    <w:p>
      <w:pPr>
        <w:pStyle w:val="BodyText"/>
        <w:spacing w:before="1"/>
        <w:ind w:left="101"/>
      </w:pPr>
      <w:r>
        <w:rPr/>
        <w:t>Rodríguez, M. M. N., Alcántar, G. G., Aguilar, S. A., Etchevers, B, J. D., &amp; Santizó,</w:t>
      </w:r>
    </w:p>
    <w:p>
      <w:pPr>
        <w:pStyle w:val="BodyText"/>
      </w:pPr>
    </w:p>
    <w:p>
      <w:pPr>
        <w:pStyle w:val="BodyText"/>
        <w:spacing w:line="480" w:lineRule="auto"/>
        <w:ind w:left="809" w:right="118"/>
        <w:jc w:val="both"/>
      </w:pPr>
      <w:r>
        <w:rPr/>
        <w:t>R. J. A. (1998). Estimación de la concentración de nitrógeno y clorofila en tomate mediante un medidor portátil de clorofila. </w:t>
      </w:r>
      <w:r>
        <w:rPr>
          <w:i/>
        </w:rPr>
        <w:t>Terra Latinoamericana</w:t>
      </w:r>
      <w:r>
        <w:rPr/>
        <w:t>, 16(2), 135-141.</w:t>
      </w:r>
    </w:p>
    <w:p>
      <w:pPr>
        <w:pStyle w:val="BodyText"/>
        <w:spacing w:before="10"/>
        <w:ind w:left="101"/>
      </w:pPr>
      <w:r>
        <w:rPr/>
        <w:t>Rodríguez-Mendoza, M. N., Osorio-Rosales, B., Trejo-Téllez, L. I., Arévalo-Galarza,</w:t>
      </w:r>
    </w:p>
    <w:p>
      <w:pPr>
        <w:spacing w:line="360" w:lineRule="auto" w:before="137"/>
        <w:ind w:left="809" w:right="117" w:firstLine="0"/>
        <w:jc w:val="both"/>
        <w:rPr>
          <w:sz w:val="24"/>
        </w:rPr>
      </w:pPr>
      <w:r>
        <w:rPr>
          <w:sz w:val="24"/>
        </w:rPr>
        <w:t>M.</w:t>
      </w:r>
      <w:r>
        <w:rPr>
          <w:spacing w:val="-18"/>
          <w:sz w:val="24"/>
        </w:rPr>
        <w:t> </w:t>
      </w:r>
      <w:r>
        <w:rPr>
          <w:sz w:val="24"/>
        </w:rPr>
        <w:t>L.,</w:t>
      </w:r>
      <w:r>
        <w:rPr>
          <w:spacing w:val="-18"/>
          <w:sz w:val="24"/>
        </w:rPr>
        <w:t> </w:t>
      </w:r>
      <w:r>
        <w:rPr>
          <w:sz w:val="24"/>
        </w:rPr>
        <w:t>&amp;</w:t>
      </w:r>
      <w:r>
        <w:rPr>
          <w:spacing w:val="-18"/>
          <w:sz w:val="24"/>
        </w:rPr>
        <w:t> </w:t>
      </w:r>
      <w:r>
        <w:rPr>
          <w:sz w:val="24"/>
        </w:rPr>
        <w:t>Castillo-González,</w:t>
      </w:r>
      <w:r>
        <w:rPr>
          <w:spacing w:val="-18"/>
          <w:sz w:val="24"/>
        </w:rPr>
        <w:t> </w:t>
      </w:r>
      <w:r>
        <w:rPr>
          <w:sz w:val="24"/>
        </w:rPr>
        <w:t>A.</w:t>
      </w:r>
      <w:r>
        <w:rPr>
          <w:spacing w:val="-18"/>
          <w:sz w:val="24"/>
        </w:rPr>
        <w:t> </w:t>
      </w:r>
      <w:r>
        <w:rPr>
          <w:sz w:val="24"/>
        </w:rPr>
        <w:t>M.</w:t>
      </w:r>
      <w:r>
        <w:rPr>
          <w:spacing w:val="-18"/>
          <w:sz w:val="24"/>
        </w:rPr>
        <w:t> </w:t>
      </w:r>
      <w:r>
        <w:rPr>
          <w:sz w:val="24"/>
        </w:rPr>
        <w:t>(2011).</w:t>
      </w:r>
      <w:r>
        <w:rPr>
          <w:spacing w:val="-20"/>
          <w:sz w:val="24"/>
        </w:rPr>
        <w:t> </w:t>
      </w:r>
      <w:r>
        <w:rPr>
          <w:sz w:val="24"/>
        </w:rPr>
        <w:t>Producción</w:t>
      </w:r>
      <w:r>
        <w:rPr>
          <w:spacing w:val="-17"/>
          <w:sz w:val="24"/>
        </w:rPr>
        <w:t> </w:t>
      </w:r>
      <w:r>
        <w:rPr>
          <w:sz w:val="24"/>
        </w:rPr>
        <w:t>organomineral</w:t>
      </w:r>
      <w:r>
        <w:rPr>
          <w:spacing w:val="-21"/>
          <w:sz w:val="24"/>
        </w:rPr>
        <w:t> </w:t>
      </w:r>
      <w:r>
        <w:rPr>
          <w:sz w:val="24"/>
        </w:rPr>
        <w:t>de</w:t>
      </w:r>
      <w:r>
        <w:rPr>
          <w:spacing w:val="-17"/>
          <w:sz w:val="24"/>
        </w:rPr>
        <w:t> </w:t>
      </w:r>
      <w:r>
        <w:rPr>
          <w:sz w:val="24"/>
        </w:rPr>
        <w:t>tulipán (</w:t>
      </w:r>
      <w:r>
        <w:rPr>
          <w:i/>
          <w:sz w:val="24"/>
        </w:rPr>
        <w:t>Tulipa</w:t>
      </w:r>
      <w:r>
        <w:rPr>
          <w:i/>
          <w:spacing w:val="-13"/>
          <w:sz w:val="24"/>
        </w:rPr>
        <w:t> </w:t>
      </w:r>
      <w:r>
        <w:rPr>
          <w:i/>
          <w:sz w:val="24"/>
        </w:rPr>
        <w:t>gesneriana</w:t>
      </w:r>
      <w:r>
        <w:rPr>
          <w:i/>
          <w:spacing w:val="-15"/>
          <w:sz w:val="24"/>
        </w:rPr>
        <w:t> </w:t>
      </w:r>
      <w:r>
        <w:rPr>
          <w:sz w:val="24"/>
        </w:rPr>
        <w:t>L.)</w:t>
      </w:r>
      <w:r>
        <w:rPr>
          <w:spacing w:val="-17"/>
          <w:sz w:val="24"/>
        </w:rPr>
        <w:t> </w:t>
      </w:r>
      <w:r>
        <w:rPr>
          <w:sz w:val="24"/>
        </w:rPr>
        <w:t>para</w:t>
      </w:r>
      <w:r>
        <w:rPr>
          <w:spacing w:val="-15"/>
          <w:sz w:val="24"/>
        </w:rPr>
        <w:t> </w:t>
      </w:r>
      <w:r>
        <w:rPr>
          <w:sz w:val="24"/>
        </w:rPr>
        <w:t>flor</w:t>
      </w:r>
      <w:r>
        <w:rPr>
          <w:spacing w:val="-14"/>
          <w:sz w:val="24"/>
        </w:rPr>
        <w:t> </w:t>
      </w:r>
      <w:r>
        <w:rPr>
          <w:sz w:val="24"/>
        </w:rPr>
        <w:t>de</w:t>
      </w:r>
      <w:r>
        <w:rPr>
          <w:spacing w:val="-13"/>
          <w:sz w:val="24"/>
        </w:rPr>
        <w:t> </w:t>
      </w:r>
      <w:r>
        <w:rPr>
          <w:sz w:val="24"/>
        </w:rPr>
        <w:t>corte.</w:t>
      </w:r>
      <w:r>
        <w:rPr>
          <w:spacing w:val="-13"/>
          <w:sz w:val="24"/>
        </w:rPr>
        <w:t> </w:t>
      </w:r>
      <w:r>
        <w:rPr>
          <w:i/>
          <w:sz w:val="24"/>
        </w:rPr>
        <w:t>Revista</w:t>
      </w:r>
      <w:r>
        <w:rPr>
          <w:i/>
          <w:spacing w:val="-13"/>
          <w:sz w:val="24"/>
        </w:rPr>
        <w:t> </w:t>
      </w:r>
      <w:r>
        <w:rPr>
          <w:i/>
          <w:sz w:val="24"/>
        </w:rPr>
        <w:t>Chapingo</w:t>
      </w:r>
      <w:r>
        <w:rPr>
          <w:i/>
          <w:spacing w:val="-15"/>
          <w:sz w:val="24"/>
        </w:rPr>
        <w:t> </w:t>
      </w:r>
      <w:r>
        <w:rPr>
          <w:i/>
          <w:sz w:val="24"/>
        </w:rPr>
        <w:t>Serie</w:t>
      </w:r>
      <w:r>
        <w:rPr>
          <w:i/>
          <w:spacing w:val="-13"/>
          <w:sz w:val="24"/>
        </w:rPr>
        <w:t> </w:t>
      </w:r>
      <w:r>
        <w:rPr>
          <w:i/>
          <w:sz w:val="24"/>
        </w:rPr>
        <w:t>Horticultura</w:t>
      </w:r>
      <w:r>
        <w:rPr>
          <w:sz w:val="24"/>
        </w:rPr>
        <w:t>, 17(3),</w:t>
      </w:r>
      <w:r>
        <w:rPr>
          <w:spacing w:val="-7"/>
          <w:sz w:val="24"/>
        </w:rPr>
        <w:t> </w:t>
      </w:r>
      <w:r>
        <w:rPr>
          <w:sz w:val="24"/>
        </w:rPr>
        <w:t>117-127.</w:t>
      </w:r>
    </w:p>
    <w:p>
      <w:pPr>
        <w:spacing w:line="480" w:lineRule="auto" w:before="199"/>
        <w:ind w:left="809" w:right="117" w:hanging="708"/>
        <w:jc w:val="both"/>
        <w:rPr>
          <w:sz w:val="24"/>
        </w:rPr>
      </w:pPr>
      <w:r>
        <w:rPr>
          <w:sz w:val="24"/>
        </w:rPr>
        <w:t>Rodriguez, L. C. (2014). </w:t>
      </w:r>
      <w:r>
        <w:rPr>
          <w:i/>
          <w:sz w:val="24"/>
        </w:rPr>
        <w:t>Clorosis en hojas y tallos de Alstroemeria sp. En </w:t>
      </w:r>
      <w:r>
        <w:rPr>
          <w:i/>
          <w:sz w:val="24"/>
        </w:rPr>
        <w:t>Postcosecha. </w:t>
      </w:r>
      <w:r>
        <w:rPr>
          <w:sz w:val="24"/>
        </w:rPr>
        <w:t>Tesis de Maestría, Colegio de Postgraduados, Texcoco, Estado de México, México.</w:t>
      </w:r>
    </w:p>
    <w:p>
      <w:pPr>
        <w:spacing w:line="480" w:lineRule="auto" w:before="8"/>
        <w:ind w:left="809" w:right="117" w:hanging="708"/>
        <w:jc w:val="both"/>
        <w:rPr>
          <w:sz w:val="24"/>
        </w:rPr>
      </w:pPr>
      <w:r>
        <w:rPr>
          <w:sz w:val="24"/>
        </w:rPr>
        <w:t>Rubí, A. M., González, H, A., Castillo, G, A. M., Olalde, P. V., Reyes, R. B. G., &amp; Aguilera, G. L. l. (2009). Respuesta de </w:t>
      </w:r>
      <w:r>
        <w:rPr>
          <w:i/>
          <w:sz w:val="24"/>
        </w:rPr>
        <w:t>Lilium </w:t>
      </w:r>
      <w:r>
        <w:rPr>
          <w:sz w:val="24"/>
        </w:rPr>
        <w:t>sp. al fósforo y su relación con </w:t>
      </w:r>
      <w:r>
        <w:rPr>
          <w:i/>
          <w:sz w:val="24"/>
        </w:rPr>
        <w:t>Glomus fasciculatum </w:t>
      </w:r>
      <w:r>
        <w:rPr>
          <w:sz w:val="24"/>
        </w:rPr>
        <w:t>y  </w:t>
      </w:r>
      <w:r>
        <w:rPr>
          <w:i/>
          <w:sz w:val="24"/>
        </w:rPr>
        <w:t>Bacillus subtilis</w:t>
      </w:r>
      <w:r>
        <w:rPr>
          <w:sz w:val="24"/>
        </w:rPr>
        <w:t>. </w:t>
      </w:r>
      <w:r>
        <w:rPr>
          <w:i/>
          <w:sz w:val="24"/>
        </w:rPr>
        <w:t>OYTON</w:t>
      </w:r>
      <w:r>
        <w:rPr>
          <w:sz w:val="24"/>
        </w:rPr>
        <w:t>, 78, 91-100.</w:t>
      </w:r>
    </w:p>
    <w:p>
      <w:pPr>
        <w:pStyle w:val="BodyText"/>
        <w:spacing w:line="480" w:lineRule="auto" w:before="10"/>
        <w:ind w:left="809" w:right="118" w:hanging="708"/>
        <w:jc w:val="both"/>
      </w:pPr>
      <w:r>
        <w:rPr/>
        <w:t>Secretaría de Agricultura, Ganadería, Desarrollo Rural, Pesca y Alimentación (SAGARPA), (2012). Garantizada la disponibilidad de flores para cubrir la demanda</w:t>
      </w:r>
      <w:r>
        <w:rPr>
          <w:spacing w:val="-8"/>
        </w:rPr>
        <w:t> </w:t>
      </w:r>
      <w:r>
        <w:rPr/>
        <w:t>nacional.</w:t>
      </w:r>
      <w:r>
        <w:rPr>
          <w:spacing w:val="-8"/>
        </w:rPr>
        <w:t> </w:t>
      </w:r>
      <w:r>
        <w:rPr/>
        <w:t>Comunicado</w:t>
      </w:r>
      <w:r>
        <w:rPr>
          <w:spacing w:val="-10"/>
        </w:rPr>
        <w:t> </w:t>
      </w:r>
      <w:r>
        <w:rPr/>
        <w:t>de</w:t>
      </w:r>
      <w:r>
        <w:rPr>
          <w:spacing w:val="-8"/>
        </w:rPr>
        <w:t> </w:t>
      </w:r>
      <w:r>
        <w:rPr/>
        <w:t>prensa</w:t>
      </w:r>
      <w:r>
        <w:rPr>
          <w:spacing w:val="-8"/>
        </w:rPr>
        <w:t> </w:t>
      </w:r>
      <w:r>
        <w:rPr/>
        <w:t>Num.098/12.</w:t>
      </w:r>
      <w:r>
        <w:rPr>
          <w:spacing w:val="-8"/>
        </w:rPr>
        <w:t> </w:t>
      </w:r>
      <w:r>
        <w:rPr/>
        <w:t>México,</w:t>
      </w:r>
      <w:r>
        <w:rPr>
          <w:spacing w:val="-8"/>
        </w:rPr>
        <w:t> </w:t>
      </w:r>
      <w:r>
        <w:rPr/>
        <w:t>D.F.,</w:t>
      </w:r>
      <w:r>
        <w:rPr>
          <w:spacing w:val="-8"/>
        </w:rPr>
        <w:t> </w:t>
      </w:r>
      <w:r>
        <w:rPr/>
        <w:t>14</w:t>
      </w:r>
      <w:r>
        <w:rPr>
          <w:spacing w:val="-8"/>
        </w:rPr>
        <w:t> </w:t>
      </w:r>
      <w:r>
        <w:rPr/>
        <w:t>de febrero de</w:t>
      </w:r>
      <w:r>
        <w:rPr>
          <w:spacing w:val="-7"/>
        </w:rPr>
        <w:t> </w:t>
      </w:r>
      <w:r>
        <w:rPr/>
        <w:t>2012.</w:t>
      </w:r>
    </w:p>
    <w:p>
      <w:pPr>
        <w:spacing w:before="8"/>
        <w:ind w:left="101" w:right="0" w:firstLine="0"/>
        <w:jc w:val="left"/>
        <w:rPr>
          <w:sz w:val="24"/>
        </w:rPr>
      </w:pPr>
      <w:r>
        <w:rPr>
          <w:sz w:val="24"/>
        </w:rPr>
        <w:t>Salinger, J. P. (1991). </w:t>
      </w:r>
      <w:r>
        <w:rPr>
          <w:i/>
          <w:sz w:val="24"/>
        </w:rPr>
        <w:t>Producción comercial de flores</w:t>
      </w:r>
      <w:r>
        <w:rPr>
          <w:sz w:val="24"/>
        </w:rPr>
        <w:t>. Zaragoza, España:  Acribia.</w:t>
      </w:r>
    </w:p>
    <w:p>
      <w:pPr>
        <w:pStyle w:val="BodyText"/>
        <w:spacing w:before="139"/>
        <w:ind w:left="809"/>
        <w:jc w:val="both"/>
      </w:pPr>
      <w:r>
        <w:rPr/>
        <w:t>371 p.</w:t>
      </w:r>
    </w:p>
    <w:p>
      <w:pPr>
        <w:pStyle w:val="BodyText"/>
        <w:spacing w:before="2"/>
        <w:rPr>
          <w:sz w:val="29"/>
        </w:rPr>
      </w:pPr>
    </w:p>
    <w:p>
      <w:pPr>
        <w:spacing w:before="0"/>
        <w:ind w:left="101" w:right="0" w:firstLine="0"/>
        <w:jc w:val="left"/>
        <w:rPr>
          <w:sz w:val="24"/>
        </w:rPr>
      </w:pPr>
      <w:r>
        <w:rPr>
          <w:sz w:val="24"/>
        </w:rPr>
        <w:t>Sharma, C. P. (2006). </w:t>
      </w:r>
      <w:r>
        <w:rPr>
          <w:i/>
          <w:sz w:val="24"/>
        </w:rPr>
        <w:t>Plant micronutrients</w:t>
      </w:r>
      <w:r>
        <w:rPr>
          <w:sz w:val="24"/>
        </w:rPr>
        <w:t>. India: Science publishers. 136.137 pp.</w:t>
      </w:r>
    </w:p>
    <w:p>
      <w:pPr>
        <w:pStyle w:val="BodyText"/>
        <w:spacing w:before="7"/>
        <w:rPr>
          <w:sz w:val="29"/>
        </w:rPr>
      </w:pPr>
    </w:p>
    <w:p>
      <w:pPr>
        <w:pStyle w:val="BodyText"/>
        <w:spacing w:line="357" w:lineRule="auto"/>
        <w:ind w:left="809" w:right="118" w:hanging="708"/>
        <w:jc w:val="both"/>
      </w:pPr>
      <w:r>
        <w:rPr/>
        <w:t>Steiner,</w:t>
      </w:r>
      <w:r>
        <w:rPr>
          <w:spacing w:val="-12"/>
        </w:rPr>
        <w:t> </w:t>
      </w:r>
      <w:r>
        <w:rPr/>
        <w:t>A.</w:t>
      </w:r>
      <w:r>
        <w:rPr>
          <w:spacing w:val="-10"/>
        </w:rPr>
        <w:t> </w:t>
      </w:r>
      <w:r>
        <w:rPr/>
        <w:t>A.</w:t>
      </w:r>
      <w:r>
        <w:rPr>
          <w:spacing w:val="-10"/>
        </w:rPr>
        <w:t> </w:t>
      </w:r>
      <w:r>
        <w:rPr/>
        <w:t>(1961).</w:t>
      </w:r>
      <w:r>
        <w:rPr>
          <w:spacing w:val="-10"/>
        </w:rPr>
        <w:t> </w:t>
      </w:r>
      <w:r>
        <w:rPr/>
        <w:t>A</w:t>
      </w:r>
      <w:r>
        <w:rPr>
          <w:spacing w:val="-12"/>
        </w:rPr>
        <w:t> </w:t>
      </w:r>
      <w:r>
        <w:rPr/>
        <w:t>universal</w:t>
      </w:r>
      <w:r>
        <w:rPr>
          <w:spacing w:val="-11"/>
        </w:rPr>
        <w:t> </w:t>
      </w:r>
      <w:r>
        <w:rPr/>
        <w:t>method</w:t>
      </w:r>
      <w:r>
        <w:rPr>
          <w:spacing w:val="-12"/>
        </w:rPr>
        <w:t> </w:t>
      </w:r>
      <w:r>
        <w:rPr/>
        <w:t>for</w:t>
      </w:r>
      <w:r>
        <w:rPr>
          <w:spacing w:val="-11"/>
        </w:rPr>
        <w:t> </w:t>
      </w:r>
      <w:r>
        <w:rPr/>
        <w:t>preparing</w:t>
      </w:r>
      <w:r>
        <w:rPr>
          <w:spacing w:val="-12"/>
        </w:rPr>
        <w:t> </w:t>
      </w:r>
      <w:r>
        <w:rPr/>
        <w:t>nutrient</w:t>
      </w:r>
      <w:r>
        <w:rPr>
          <w:spacing w:val="-10"/>
        </w:rPr>
        <w:t> </w:t>
      </w:r>
      <w:r>
        <w:rPr/>
        <w:t>solutions</w:t>
      </w:r>
      <w:r>
        <w:rPr>
          <w:spacing w:val="-10"/>
        </w:rPr>
        <w:t> </w:t>
      </w:r>
      <w:r>
        <w:rPr/>
        <w:t>of</w:t>
      </w:r>
      <w:r>
        <w:rPr>
          <w:spacing w:val="-10"/>
        </w:rPr>
        <w:t> </w:t>
      </w:r>
      <w:r>
        <w:rPr/>
        <w:t>a</w:t>
      </w:r>
      <w:r>
        <w:rPr>
          <w:spacing w:val="-9"/>
        </w:rPr>
        <w:t> </w:t>
      </w:r>
      <w:r>
        <w:rPr/>
        <w:t>certain desired composition. </w:t>
      </w:r>
      <w:r>
        <w:rPr>
          <w:i/>
        </w:rPr>
        <w:t>Plant Soil</w:t>
      </w:r>
      <w:r>
        <w:rPr/>
        <w:t>, 15,</w:t>
      </w:r>
      <w:r>
        <w:rPr>
          <w:spacing w:val="-20"/>
        </w:rPr>
        <w:t> </w:t>
      </w:r>
      <w:r>
        <w:rPr/>
        <w:t>134-154.</w:t>
      </w:r>
    </w:p>
    <w:p>
      <w:pPr>
        <w:spacing w:after="0" w:line="357" w:lineRule="auto"/>
        <w:jc w:val="both"/>
        <w:sectPr>
          <w:pgSz w:w="12240" w:h="15840"/>
          <w:pgMar w:header="0" w:footer="1005" w:top="1360" w:bottom="1200" w:left="1600" w:right="1580"/>
        </w:sectPr>
      </w:pPr>
    </w:p>
    <w:p>
      <w:pPr>
        <w:pStyle w:val="BodyText"/>
        <w:spacing w:before="54"/>
        <w:ind w:left="101"/>
      </w:pPr>
      <w:r>
        <w:rPr/>
        <w:t>Treder, J. (2005). Growth and quality of oriental lilies at different fertilization</w:t>
      </w:r>
      <w:r>
        <w:rPr>
          <w:spacing w:val="53"/>
        </w:rPr>
        <w:t> </w:t>
      </w:r>
      <w:r>
        <w:rPr/>
        <w:t>levels.</w:t>
      </w:r>
    </w:p>
    <w:p>
      <w:pPr>
        <w:spacing w:before="137"/>
        <w:ind w:left="809" w:right="0" w:firstLine="0"/>
        <w:jc w:val="left"/>
        <w:rPr>
          <w:sz w:val="24"/>
        </w:rPr>
      </w:pPr>
      <w:r>
        <w:rPr>
          <w:i/>
          <w:sz w:val="24"/>
        </w:rPr>
        <w:t>Acta Horticulturae</w:t>
      </w:r>
      <w:r>
        <w:rPr>
          <w:sz w:val="24"/>
        </w:rPr>
        <w:t>, 673, 297-302.</w:t>
      </w:r>
    </w:p>
    <w:p>
      <w:pPr>
        <w:pStyle w:val="BodyText"/>
        <w:spacing w:line="477" w:lineRule="auto" w:before="137"/>
        <w:ind w:left="809" w:right="120" w:hanging="708"/>
        <w:jc w:val="both"/>
      </w:pPr>
      <w:r>
        <w:rPr/>
        <w:t>Van Alvorst, A. C. &amp; Bovy, A. G. (1995). The role of ethylene in the senescence of carnation flowers, a review. </w:t>
      </w:r>
      <w:r>
        <w:rPr>
          <w:i/>
        </w:rPr>
        <w:t>Plant Growth Regulation</w:t>
      </w:r>
      <w:r>
        <w:rPr/>
        <w:t>, 16, 43-53.</w:t>
      </w:r>
    </w:p>
    <w:p>
      <w:pPr>
        <w:pStyle w:val="BodyText"/>
        <w:spacing w:before="13"/>
        <w:ind w:left="101"/>
      </w:pPr>
      <w:r>
        <w:rPr/>
        <w:t>Van  Door,  W. G.  &amp;  Han  S.  S.  (2011).  Postharvest  quality  of  cut  Lily flowers.</w:t>
      </w:r>
    </w:p>
    <w:p>
      <w:pPr>
        <w:pStyle w:val="BodyText"/>
        <w:spacing w:before="9"/>
        <w:rPr>
          <w:sz w:val="23"/>
        </w:rPr>
      </w:pPr>
    </w:p>
    <w:p>
      <w:pPr>
        <w:spacing w:before="0"/>
        <w:ind w:left="809" w:right="0" w:firstLine="0"/>
        <w:jc w:val="left"/>
        <w:rPr>
          <w:sz w:val="24"/>
        </w:rPr>
      </w:pPr>
      <w:r>
        <w:rPr>
          <w:i/>
          <w:sz w:val="24"/>
        </w:rPr>
        <w:t>Postharvest Biology and Technology</w:t>
      </w:r>
      <w:r>
        <w:rPr>
          <w:sz w:val="24"/>
        </w:rPr>
        <w:t>, 62, 1-6</w:t>
      </w:r>
    </w:p>
    <w:p>
      <w:pPr>
        <w:pStyle w:val="BodyText"/>
        <w:spacing w:before="4"/>
      </w:pPr>
    </w:p>
    <w:p>
      <w:pPr>
        <w:pStyle w:val="BodyText"/>
        <w:spacing w:line="357" w:lineRule="auto" w:before="1"/>
        <w:ind w:left="809" w:right="116" w:hanging="708"/>
        <w:jc w:val="both"/>
      </w:pPr>
      <w:r>
        <w:rPr/>
        <w:t>Van Tuyl, J.M. &amp; Arens, P. (2010). Lilium: breeding history of the modern cultivar assortment</w:t>
      </w:r>
      <w:r>
        <w:rPr>
          <w:position w:val="8"/>
          <w:sz w:val="16"/>
        </w:rPr>
        <w:t>. </w:t>
      </w:r>
      <w:r>
        <w:rPr/>
        <w:t>In: 2nd International symposium on the genus Lilium, Pescia, Italy. In: </w:t>
      </w:r>
      <w:r>
        <w:rPr>
          <w:i/>
        </w:rPr>
        <w:t>Acta Horticulturae</w:t>
      </w:r>
      <w:r>
        <w:rPr/>
        <w:t>.</w:t>
      </w:r>
    </w:p>
    <w:p>
      <w:pPr>
        <w:pStyle w:val="BodyText"/>
        <w:spacing w:line="360" w:lineRule="auto" w:before="10"/>
        <w:ind w:left="809" w:right="118" w:hanging="708"/>
        <w:jc w:val="both"/>
      </w:pPr>
      <w:r>
        <w:rPr/>
        <w:t>Villaseca M., M. (2005). Postcosecha de la Alstroemeria var. “Irena”:</w:t>
      </w:r>
      <w:r>
        <w:rPr>
          <w:spacing w:val="-41"/>
        </w:rPr>
        <w:t> </w:t>
      </w:r>
      <w:r>
        <w:rPr/>
        <w:t>determinación de la tasa respiratoria y efecto de la aplicación de etileno. Universidad de Chile, Facultad de Ciencias</w:t>
      </w:r>
      <w:r>
        <w:rPr>
          <w:spacing w:val="-17"/>
        </w:rPr>
        <w:t> </w:t>
      </w:r>
      <w:r>
        <w:rPr/>
        <w:t>Agronómicas.</w:t>
      </w:r>
    </w:p>
    <w:p>
      <w:pPr>
        <w:pStyle w:val="BodyText"/>
        <w:spacing w:line="480" w:lineRule="auto"/>
        <w:ind w:left="809" w:right="118" w:hanging="708"/>
        <w:jc w:val="both"/>
      </w:pPr>
      <w:r>
        <w:rPr/>
        <w:t>Verdugo, G., M., Biggi, A., Montesinos, C., Soriano &amp; G. Chaín. 2006. Manual de postcosecha</w:t>
      </w:r>
      <w:r>
        <w:rPr>
          <w:spacing w:val="-20"/>
        </w:rPr>
        <w:t> </w:t>
      </w:r>
      <w:r>
        <w:rPr/>
        <w:t>de</w:t>
      </w:r>
      <w:r>
        <w:rPr>
          <w:spacing w:val="-22"/>
        </w:rPr>
        <w:t> </w:t>
      </w:r>
      <w:r>
        <w:rPr/>
        <w:t>flores</w:t>
      </w:r>
      <w:r>
        <w:rPr>
          <w:spacing w:val="-21"/>
        </w:rPr>
        <w:t> </w:t>
      </w:r>
      <w:r>
        <w:rPr/>
        <w:t>cortadas.</w:t>
      </w:r>
      <w:r>
        <w:rPr>
          <w:spacing w:val="-18"/>
        </w:rPr>
        <w:t> </w:t>
      </w:r>
      <w:r>
        <w:rPr/>
        <w:t>Pontificia</w:t>
      </w:r>
      <w:r>
        <w:rPr>
          <w:spacing w:val="-17"/>
        </w:rPr>
        <w:t> </w:t>
      </w:r>
      <w:r>
        <w:rPr/>
        <w:t>Universidad</w:t>
      </w:r>
      <w:r>
        <w:rPr>
          <w:spacing w:val="-17"/>
        </w:rPr>
        <w:t> </w:t>
      </w:r>
      <w:r>
        <w:rPr/>
        <w:t>Católica</w:t>
      </w:r>
      <w:r>
        <w:rPr>
          <w:spacing w:val="-20"/>
        </w:rPr>
        <w:t> </w:t>
      </w:r>
      <w:r>
        <w:rPr/>
        <w:t>de</w:t>
      </w:r>
      <w:r>
        <w:rPr>
          <w:spacing w:val="-17"/>
        </w:rPr>
        <w:t> </w:t>
      </w:r>
      <w:r>
        <w:rPr/>
        <w:t>Valparaíso Fundación para la Innovación Agraria. Chile. 74</w:t>
      </w:r>
      <w:r>
        <w:rPr>
          <w:spacing w:val="-25"/>
        </w:rPr>
        <w:t> </w:t>
      </w:r>
      <w:r>
        <w:rPr/>
        <w:t>p.</w:t>
      </w:r>
    </w:p>
    <w:p>
      <w:pPr>
        <w:pStyle w:val="BodyText"/>
        <w:spacing w:line="480" w:lineRule="auto" w:before="8"/>
        <w:ind w:left="809" w:right="117" w:hanging="708"/>
        <w:jc w:val="both"/>
      </w:pPr>
      <w:r>
        <w:rPr/>
        <w:t>Wang, Y., Xie, Z., Sun, J. &amp; Zhang, F. (2014). Impacts of salt and low temperature stresses on lily (</w:t>
      </w:r>
      <w:r>
        <w:rPr>
          <w:i/>
        </w:rPr>
        <w:t>Lilium </w:t>
      </w:r>
      <w:r>
        <w:rPr/>
        <w:t>‘Oriental Hybrid’ </w:t>
      </w:r>
      <w:r>
        <w:rPr>
          <w:i/>
        </w:rPr>
        <w:t>var. </w:t>
      </w:r>
      <w:r>
        <w:rPr/>
        <w:t>Siberia) photosynthesis incorporated with models In: Third International Symposium on the Genus </w:t>
      </w:r>
      <w:r>
        <w:rPr>
          <w:i/>
        </w:rPr>
        <w:t>Lilium</w:t>
      </w:r>
      <w:r>
        <w:rPr/>
        <w:t>, Zhangzhou, China,</w:t>
      </w:r>
    </w:p>
    <w:p>
      <w:pPr>
        <w:pStyle w:val="BodyText"/>
        <w:spacing w:line="480" w:lineRule="auto" w:before="10"/>
        <w:ind w:left="809" w:right="115" w:hanging="708"/>
        <w:jc w:val="both"/>
      </w:pPr>
      <w:r>
        <w:rPr/>
        <w:t>Weiss, D. 2000. Regulation of flower pigmentation and growth: Multiple signaling pathways control anthocyanin synthesis in expanding petals</w:t>
      </w:r>
      <w:r>
        <w:rPr>
          <w:i/>
        </w:rPr>
        <w:t>. Physiologia </w:t>
      </w:r>
      <w:r>
        <w:rPr>
          <w:i/>
        </w:rPr>
        <w:t>Plantarum, </w:t>
      </w:r>
      <w:r>
        <w:rPr/>
        <w:t>110, 152-157.</w:t>
      </w:r>
    </w:p>
    <w:p>
      <w:pPr>
        <w:spacing w:line="480" w:lineRule="auto" w:before="10"/>
        <w:ind w:left="809" w:right="117" w:hanging="708"/>
        <w:jc w:val="both"/>
        <w:rPr>
          <w:sz w:val="24"/>
        </w:rPr>
      </w:pPr>
      <w:r>
        <w:rPr>
          <w:position w:val="1"/>
          <w:sz w:val="24"/>
        </w:rPr>
        <w:t>Whitman, C. M., Heins. R. D., Moe, R., &amp; Funnell, K. A. (2001). GA</w:t>
      </w:r>
      <w:r>
        <w:rPr>
          <w:sz w:val="16"/>
        </w:rPr>
        <w:t>4+7 </w:t>
      </w:r>
      <w:r>
        <w:rPr>
          <w:position w:val="1"/>
          <w:sz w:val="24"/>
        </w:rPr>
        <w:t>plus </w:t>
      </w:r>
      <w:r>
        <w:rPr>
          <w:sz w:val="24"/>
        </w:rPr>
        <w:t>benzyladenine reduce foliar chlorosis of </w:t>
      </w:r>
      <w:r>
        <w:rPr>
          <w:i/>
          <w:sz w:val="24"/>
        </w:rPr>
        <w:t>Lilium longiflorum</w:t>
      </w:r>
      <w:r>
        <w:rPr>
          <w:sz w:val="24"/>
        </w:rPr>
        <w:t>. </w:t>
      </w:r>
      <w:r>
        <w:rPr>
          <w:i/>
          <w:sz w:val="24"/>
        </w:rPr>
        <w:t>Scientia </w:t>
      </w:r>
      <w:r>
        <w:rPr>
          <w:i/>
          <w:sz w:val="24"/>
        </w:rPr>
        <w:t>Horticulturae</w:t>
      </w:r>
      <w:r>
        <w:rPr>
          <w:sz w:val="24"/>
        </w:rPr>
        <w:t>, 89, 143-154.</w:t>
      </w:r>
    </w:p>
    <w:p>
      <w:pPr>
        <w:spacing w:after="0" w:line="480" w:lineRule="auto"/>
        <w:jc w:val="both"/>
        <w:rPr>
          <w:sz w:val="24"/>
        </w:rPr>
        <w:sectPr>
          <w:pgSz w:w="12240" w:h="15840"/>
          <w:pgMar w:header="0" w:footer="1005" w:top="1360" w:bottom="1200" w:left="1600" w:right="1580"/>
        </w:sectPr>
      </w:pPr>
    </w:p>
    <w:p>
      <w:pPr>
        <w:spacing w:line="480" w:lineRule="auto" w:before="49"/>
        <w:ind w:left="809" w:right="118" w:hanging="708"/>
        <w:jc w:val="both"/>
        <w:rPr>
          <w:sz w:val="24"/>
        </w:rPr>
      </w:pPr>
      <w:r>
        <w:rPr>
          <w:sz w:val="24"/>
        </w:rPr>
        <w:t>Wilkins, H. F., &amp; Dole, J. M. (1997). The physiology of flowering in </w:t>
      </w:r>
      <w:r>
        <w:rPr>
          <w:i/>
          <w:sz w:val="24"/>
        </w:rPr>
        <w:t>Lilium</w:t>
      </w:r>
      <w:r>
        <w:rPr>
          <w:sz w:val="24"/>
        </w:rPr>
        <w:t>. </w:t>
      </w:r>
      <w:r>
        <w:rPr>
          <w:i/>
          <w:sz w:val="24"/>
        </w:rPr>
        <w:t>Acta </w:t>
      </w:r>
      <w:r>
        <w:rPr>
          <w:i/>
          <w:sz w:val="24"/>
        </w:rPr>
        <w:t>Horticulturae</w:t>
      </w:r>
      <w:r>
        <w:rPr>
          <w:sz w:val="24"/>
        </w:rPr>
        <w:t>, 430, 183-188.</w:t>
      </w:r>
    </w:p>
    <w:p>
      <w:pPr>
        <w:pStyle w:val="BodyText"/>
        <w:spacing w:line="480" w:lineRule="auto" w:before="10"/>
        <w:ind w:left="809" w:right="117" w:hanging="708"/>
        <w:jc w:val="both"/>
      </w:pPr>
      <w:r>
        <w:rPr/>
        <w:t>Woltering,</w:t>
      </w:r>
      <w:r>
        <w:rPr>
          <w:spacing w:val="-14"/>
        </w:rPr>
        <w:t> </w:t>
      </w:r>
      <w:r>
        <w:rPr/>
        <w:t>E.</w:t>
      </w:r>
      <w:r>
        <w:rPr>
          <w:spacing w:val="-14"/>
        </w:rPr>
        <w:t> </w:t>
      </w:r>
      <w:r>
        <w:rPr/>
        <w:t>J.</w:t>
      </w:r>
      <w:r>
        <w:rPr>
          <w:spacing w:val="-14"/>
        </w:rPr>
        <w:t> </w:t>
      </w:r>
      <w:r>
        <w:rPr/>
        <w:t>&amp;</w:t>
      </w:r>
      <w:r>
        <w:rPr>
          <w:spacing w:val="-17"/>
        </w:rPr>
        <w:t> </w:t>
      </w:r>
      <w:r>
        <w:rPr/>
        <w:t>Van</w:t>
      </w:r>
      <w:r>
        <w:rPr>
          <w:spacing w:val="-16"/>
        </w:rPr>
        <w:t> </w:t>
      </w:r>
      <w:r>
        <w:rPr/>
        <w:t>Doorn,</w:t>
      </w:r>
      <w:r>
        <w:rPr>
          <w:spacing w:val="-21"/>
        </w:rPr>
        <w:t> </w:t>
      </w:r>
      <w:r>
        <w:rPr>
          <w:spacing w:val="4"/>
        </w:rPr>
        <w:t>W.</w:t>
      </w:r>
      <w:r>
        <w:rPr>
          <w:spacing w:val="-17"/>
        </w:rPr>
        <w:t> </w:t>
      </w:r>
      <w:r>
        <w:rPr/>
        <w:t>G.</w:t>
      </w:r>
      <w:r>
        <w:rPr>
          <w:spacing w:val="-17"/>
        </w:rPr>
        <w:t> </w:t>
      </w:r>
      <w:r>
        <w:rPr/>
        <w:t>(1988).</w:t>
      </w:r>
      <w:r>
        <w:rPr>
          <w:spacing w:val="-14"/>
        </w:rPr>
        <w:t> </w:t>
      </w:r>
      <w:r>
        <w:rPr/>
        <w:t>Role</w:t>
      </w:r>
      <w:r>
        <w:rPr>
          <w:spacing w:val="-14"/>
        </w:rPr>
        <w:t> </w:t>
      </w:r>
      <w:r>
        <w:rPr/>
        <w:t>of</w:t>
      </w:r>
      <w:r>
        <w:rPr>
          <w:spacing w:val="-14"/>
        </w:rPr>
        <w:t> </w:t>
      </w:r>
      <w:r>
        <w:rPr/>
        <w:t>ethylene</w:t>
      </w:r>
      <w:r>
        <w:rPr>
          <w:spacing w:val="-14"/>
        </w:rPr>
        <w:t> </w:t>
      </w:r>
      <w:r>
        <w:rPr/>
        <w:t>in</w:t>
      </w:r>
      <w:r>
        <w:rPr>
          <w:spacing w:val="-14"/>
        </w:rPr>
        <w:t> </w:t>
      </w:r>
      <w:r>
        <w:rPr/>
        <w:t>senescence</w:t>
      </w:r>
      <w:r>
        <w:rPr>
          <w:spacing w:val="-16"/>
        </w:rPr>
        <w:t> </w:t>
      </w:r>
      <w:r>
        <w:rPr/>
        <w:t>of</w:t>
      </w:r>
      <w:r>
        <w:rPr>
          <w:spacing w:val="-14"/>
        </w:rPr>
        <w:t> </w:t>
      </w:r>
      <w:r>
        <w:rPr/>
        <w:t>petals Morphological and taxonomical relationships. </w:t>
      </w:r>
      <w:r>
        <w:rPr>
          <w:i/>
        </w:rPr>
        <w:t>Journal Experimental </w:t>
      </w:r>
      <w:r>
        <w:rPr>
          <w:i/>
        </w:rPr>
        <w:t>Botanical</w:t>
      </w:r>
      <w:r>
        <w:rPr/>
        <w:t>, 39,</w:t>
      </w:r>
      <w:r>
        <w:rPr>
          <w:spacing w:val="-13"/>
        </w:rPr>
        <w:t> </w:t>
      </w:r>
      <w:r>
        <w:rPr/>
        <w:t>1605-1616.</w:t>
      </w:r>
    </w:p>
    <w:p>
      <w:pPr>
        <w:pStyle w:val="BodyText"/>
        <w:spacing w:line="480" w:lineRule="auto" w:before="10"/>
        <w:ind w:left="809" w:right="114" w:hanging="708"/>
        <w:jc w:val="both"/>
      </w:pPr>
      <w:r>
        <w:rPr/>
        <w:t>Xiao, J. X., Hu, C. Y., Chen, Y. Y., Yang, B., &amp; Hua, J. (2014). Effects of low magnesium</w:t>
      </w:r>
      <w:r>
        <w:rPr>
          <w:spacing w:val="-12"/>
        </w:rPr>
        <w:t> </w:t>
      </w:r>
      <w:r>
        <w:rPr/>
        <w:t>and</w:t>
      </w:r>
      <w:r>
        <w:rPr>
          <w:spacing w:val="-13"/>
        </w:rPr>
        <w:t> </w:t>
      </w:r>
      <w:r>
        <w:rPr/>
        <w:t>an</w:t>
      </w:r>
      <w:r>
        <w:rPr>
          <w:spacing w:val="-13"/>
        </w:rPr>
        <w:t> </w:t>
      </w:r>
      <w:r>
        <w:rPr/>
        <w:t>arbuscular</w:t>
      </w:r>
      <w:r>
        <w:rPr>
          <w:spacing w:val="-14"/>
        </w:rPr>
        <w:t> </w:t>
      </w:r>
      <w:r>
        <w:rPr/>
        <w:t>mycorrhizal</w:t>
      </w:r>
      <w:r>
        <w:rPr>
          <w:spacing w:val="-12"/>
        </w:rPr>
        <w:t> </w:t>
      </w:r>
      <w:r>
        <w:rPr/>
        <w:t>fungus</w:t>
      </w:r>
      <w:r>
        <w:rPr>
          <w:spacing w:val="-11"/>
        </w:rPr>
        <w:t> </w:t>
      </w:r>
      <w:r>
        <w:rPr/>
        <w:t>on</w:t>
      </w:r>
      <w:r>
        <w:rPr>
          <w:spacing w:val="-13"/>
        </w:rPr>
        <w:t> </w:t>
      </w:r>
      <w:r>
        <w:rPr/>
        <w:t>the</w:t>
      </w:r>
      <w:r>
        <w:rPr>
          <w:spacing w:val="-13"/>
        </w:rPr>
        <w:t> </w:t>
      </w:r>
      <w:r>
        <w:rPr/>
        <w:t>growth,</w:t>
      </w:r>
      <w:r>
        <w:rPr>
          <w:spacing w:val="-11"/>
        </w:rPr>
        <w:t> </w:t>
      </w:r>
      <w:r>
        <w:rPr/>
        <w:t>magnesium distribution and photosynthesis of two citrus cultivars. </w:t>
      </w:r>
      <w:r>
        <w:rPr>
          <w:i/>
        </w:rPr>
        <w:t>Scientia Horticulturae</w:t>
      </w:r>
      <w:r>
        <w:rPr/>
        <w:t>, 177,</w:t>
      </w:r>
      <w:r>
        <w:rPr>
          <w:spacing w:val="-6"/>
        </w:rPr>
        <w:t> </w:t>
      </w:r>
      <w:r>
        <w:rPr/>
        <w:t>14-20.</w:t>
      </w:r>
    </w:p>
    <w:sectPr>
      <w:pgSz w:w="12240" w:h="15840"/>
      <w:pgMar w:header="0" w:footer="1005"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39868pt;margin-top:730.76001pt;width:9.6pt;height:13.05pt;mso-position-horizontal-relative:page;mso-position-vertical-relative:page;z-index:-85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894pt;margin-top:730.76001pt;width:15.25pt;height:13.05pt;mso-position-horizontal-relative:page;mso-position-vertical-relative:page;z-index:-85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894pt;margin-top:730.76001pt;width:15.25pt;height:13.05pt;mso-position-horizontal-relative:page;mso-position-vertical-relative:page;z-index:-85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894pt;margin-top:730.76001pt;width:15.25pt;height:13.05pt;mso-position-horizontal-relative:page;mso-position-vertical-relative:page;z-index:-85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894pt;margin-top:730.76001pt;width:15.25pt;height:13.05pt;mso-position-horizontal-relative:page;mso-position-vertical-relative:page;z-index:-85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894pt;margin-top:730.76001pt;width:15.25pt;height:13.05pt;mso-position-horizontal-relative:page;mso-position-vertical-relative:page;z-index:-85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894pt;margin-top:730.76001pt;width:15.25pt;height:13.05pt;mso-position-horizontal-relative:page;mso-position-vertical-relative:page;z-index:-85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359894pt;margin-top:730.76001pt;width:15.25pt;height:13.05pt;mso-position-horizontal-relative:page;mso-position-vertical-relative:page;z-index:-85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54"/>
      <w:numFmt w:val="decimal"/>
      <w:lvlText w:val="%1"/>
      <w:lvlJc w:val="left"/>
      <w:pPr>
        <w:ind w:left="2425" w:hanging="536"/>
        <w:jc w:val="left"/>
      </w:pPr>
      <w:rPr>
        <w:rFonts w:hint="default"/>
      </w:rPr>
    </w:lvl>
    <w:lvl w:ilvl="1">
      <w:start w:val="3"/>
      <w:numFmt w:val="decimal"/>
      <w:lvlText w:val="%1.%2"/>
      <w:lvlJc w:val="left"/>
      <w:pPr>
        <w:ind w:left="2425" w:hanging="536"/>
        <w:jc w:val="left"/>
      </w:pPr>
      <w:rPr>
        <w:rFonts w:hint="default" w:ascii="Arial" w:hAnsi="Arial" w:eastAsia="Arial" w:cs="Arial"/>
        <w:w w:val="99"/>
        <w:sz w:val="24"/>
        <w:szCs w:val="24"/>
      </w:rPr>
    </w:lvl>
    <w:lvl w:ilvl="2">
      <w:start w:val="1"/>
      <w:numFmt w:val="bullet"/>
      <w:lvlText w:val="•"/>
      <w:lvlJc w:val="left"/>
      <w:pPr>
        <w:ind w:left="2697" w:hanging="536"/>
      </w:pPr>
      <w:rPr>
        <w:rFonts w:hint="default"/>
      </w:rPr>
    </w:lvl>
    <w:lvl w:ilvl="3">
      <w:start w:val="1"/>
      <w:numFmt w:val="bullet"/>
      <w:lvlText w:val="•"/>
      <w:lvlJc w:val="left"/>
      <w:pPr>
        <w:ind w:left="2836" w:hanging="536"/>
      </w:pPr>
      <w:rPr>
        <w:rFonts w:hint="default"/>
      </w:rPr>
    </w:lvl>
    <w:lvl w:ilvl="4">
      <w:start w:val="1"/>
      <w:numFmt w:val="bullet"/>
      <w:lvlText w:val="•"/>
      <w:lvlJc w:val="left"/>
      <w:pPr>
        <w:ind w:left="2975" w:hanging="536"/>
      </w:pPr>
      <w:rPr>
        <w:rFonts w:hint="default"/>
      </w:rPr>
    </w:lvl>
    <w:lvl w:ilvl="5">
      <w:start w:val="1"/>
      <w:numFmt w:val="bullet"/>
      <w:lvlText w:val="•"/>
      <w:lvlJc w:val="left"/>
      <w:pPr>
        <w:ind w:left="3114" w:hanging="536"/>
      </w:pPr>
      <w:rPr>
        <w:rFonts w:hint="default"/>
      </w:rPr>
    </w:lvl>
    <w:lvl w:ilvl="6">
      <w:start w:val="1"/>
      <w:numFmt w:val="bullet"/>
      <w:lvlText w:val="•"/>
      <w:lvlJc w:val="left"/>
      <w:pPr>
        <w:ind w:left="3253" w:hanging="536"/>
      </w:pPr>
      <w:rPr>
        <w:rFonts w:hint="default"/>
      </w:rPr>
    </w:lvl>
    <w:lvl w:ilvl="7">
      <w:start w:val="1"/>
      <w:numFmt w:val="bullet"/>
      <w:lvlText w:val="•"/>
      <w:lvlJc w:val="left"/>
      <w:pPr>
        <w:ind w:left="3392" w:hanging="536"/>
      </w:pPr>
      <w:rPr>
        <w:rFonts w:hint="default"/>
      </w:rPr>
    </w:lvl>
    <w:lvl w:ilvl="8">
      <w:start w:val="1"/>
      <w:numFmt w:val="bullet"/>
      <w:lvlText w:val="•"/>
      <w:lvlJc w:val="left"/>
      <w:pPr>
        <w:ind w:left="3531" w:hanging="536"/>
      </w:pPr>
      <w:rPr>
        <w:rFonts w:hint="default"/>
      </w:rPr>
    </w:lvl>
  </w:abstractNum>
  <w:abstractNum w:abstractNumId="10">
    <w:multiLevelType w:val="hybridMultilevel"/>
    <w:lvl w:ilvl="0">
      <w:start w:val="12"/>
      <w:numFmt w:val="decimal"/>
      <w:lvlText w:val="%1."/>
      <w:lvlJc w:val="left"/>
      <w:pPr>
        <w:ind w:left="809" w:hanging="1947"/>
        <w:jc w:val="left"/>
      </w:pPr>
      <w:rPr>
        <w:rFonts w:hint="default" w:ascii="Arial" w:hAnsi="Arial" w:eastAsia="Arial" w:cs="Arial"/>
        <w:w w:val="99"/>
        <w:sz w:val="24"/>
        <w:szCs w:val="24"/>
      </w:rPr>
    </w:lvl>
    <w:lvl w:ilvl="1">
      <w:start w:val="5"/>
      <w:numFmt w:val="decimal"/>
      <w:lvlText w:val="%2."/>
      <w:lvlJc w:val="left"/>
      <w:pPr>
        <w:ind w:left="2907" w:hanging="269"/>
        <w:jc w:val="right"/>
      </w:pPr>
      <w:rPr>
        <w:rFonts w:hint="default" w:ascii="Arial" w:hAnsi="Arial" w:eastAsia="Arial" w:cs="Arial"/>
        <w:b/>
        <w:bCs/>
        <w:w w:val="99"/>
        <w:sz w:val="24"/>
        <w:szCs w:val="24"/>
      </w:rPr>
    </w:lvl>
    <w:lvl w:ilvl="2">
      <w:start w:val="1"/>
      <w:numFmt w:val="bullet"/>
      <w:lvlText w:val="•"/>
      <w:lvlJc w:val="left"/>
      <w:pPr>
        <w:ind w:left="3584" w:hanging="269"/>
      </w:pPr>
      <w:rPr>
        <w:rFonts w:hint="default"/>
      </w:rPr>
    </w:lvl>
    <w:lvl w:ilvl="3">
      <w:start w:val="1"/>
      <w:numFmt w:val="bullet"/>
      <w:lvlText w:val="•"/>
      <w:lvlJc w:val="left"/>
      <w:pPr>
        <w:ind w:left="4268" w:hanging="269"/>
      </w:pPr>
      <w:rPr>
        <w:rFonts w:hint="default"/>
      </w:rPr>
    </w:lvl>
    <w:lvl w:ilvl="4">
      <w:start w:val="1"/>
      <w:numFmt w:val="bullet"/>
      <w:lvlText w:val="•"/>
      <w:lvlJc w:val="left"/>
      <w:pPr>
        <w:ind w:left="4953" w:hanging="269"/>
      </w:pPr>
      <w:rPr>
        <w:rFonts w:hint="default"/>
      </w:rPr>
    </w:lvl>
    <w:lvl w:ilvl="5">
      <w:start w:val="1"/>
      <w:numFmt w:val="bullet"/>
      <w:lvlText w:val="•"/>
      <w:lvlJc w:val="left"/>
      <w:pPr>
        <w:ind w:left="5637" w:hanging="269"/>
      </w:pPr>
      <w:rPr>
        <w:rFonts w:hint="default"/>
      </w:rPr>
    </w:lvl>
    <w:lvl w:ilvl="6">
      <w:start w:val="1"/>
      <w:numFmt w:val="bullet"/>
      <w:lvlText w:val="•"/>
      <w:lvlJc w:val="left"/>
      <w:pPr>
        <w:ind w:left="6322" w:hanging="269"/>
      </w:pPr>
      <w:rPr>
        <w:rFonts w:hint="default"/>
      </w:rPr>
    </w:lvl>
    <w:lvl w:ilvl="7">
      <w:start w:val="1"/>
      <w:numFmt w:val="bullet"/>
      <w:lvlText w:val="•"/>
      <w:lvlJc w:val="left"/>
      <w:pPr>
        <w:ind w:left="7006" w:hanging="269"/>
      </w:pPr>
      <w:rPr>
        <w:rFonts w:hint="default"/>
      </w:rPr>
    </w:lvl>
    <w:lvl w:ilvl="8">
      <w:start w:val="1"/>
      <w:numFmt w:val="bullet"/>
      <w:lvlText w:val="•"/>
      <w:lvlJc w:val="left"/>
      <w:pPr>
        <w:ind w:left="7691" w:hanging="269"/>
      </w:pPr>
      <w:rPr>
        <w:rFonts w:hint="default"/>
      </w:rPr>
    </w:lvl>
  </w:abstractNum>
  <w:abstractNum w:abstractNumId="9">
    <w:multiLevelType w:val="hybridMultilevel"/>
    <w:lvl w:ilvl="0">
      <w:start w:val="3"/>
      <w:numFmt w:val="decimal"/>
      <w:lvlText w:val="%1"/>
      <w:lvlJc w:val="left"/>
      <w:pPr>
        <w:ind w:left="101" w:hanging="200"/>
        <w:jc w:val="left"/>
      </w:pPr>
      <w:rPr>
        <w:rFonts w:hint="default" w:ascii="Arial" w:hAnsi="Arial" w:eastAsia="Arial" w:cs="Arial"/>
        <w:w w:val="99"/>
        <w:sz w:val="24"/>
        <w:szCs w:val="24"/>
      </w:rPr>
    </w:lvl>
    <w:lvl w:ilvl="1">
      <w:start w:val="1"/>
      <w:numFmt w:val="bullet"/>
      <w:lvlText w:val="•"/>
      <w:lvlJc w:val="left"/>
      <w:pPr>
        <w:ind w:left="1280" w:hanging="200"/>
      </w:pPr>
      <w:rPr>
        <w:rFonts w:hint="default"/>
      </w:rPr>
    </w:lvl>
    <w:lvl w:ilvl="2">
      <w:start w:val="1"/>
      <w:numFmt w:val="bullet"/>
      <w:lvlText w:val="•"/>
      <w:lvlJc w:val="left"/>
      <w:pPr>
        <w:ind w:left="2144" w:hanging="200"/>
      </w:pPr>
      <w:rPr>
        <w:rFonts w:hint="default"/>
      </w:rPr>
    </w:lvl>
    <w:lvl w:ilvl="3">
      <w:start w:val="1"/>
      <w:numFmt w:val="bullet"/>
      <w:lvlText w:val="•"/>
      <w:lvlJc w:val="left"/>
      <w:pPr>
        <w:ind w:left="3008" w:hanging="200"/>
      </w:pPr>
      <w:rPr>
        <w:rFonts w:hint="default"/>
      </w:rPr>
    </w:lvl>
    <w:lvl w:ilvl="4">
      <w:start w:val="1"/>
      <w:numFmt w:val="bullet"/>
      <w:lvlText w:val="•"/>
      <w:lvlJc w:val="left"/>
      <w:pPr>
        <w:ind w:left="3873" w:hanging="200"/>
      </w:pPr>
      <w:rPr>
        <w:rFonts w:hint="default"/>
      </w:rPr>
    </w:lvl>
    <w:lvl w:ilvl="5">
      <w:start w:val="1"/>
      <w:numFmt w:val="bullet"/>
      <w:lvlText w:val="•"/>
      <w:lvlJc w:val="left"/>
      <w:pPr>
        <w:ind w:left="4737" w:hanging="200"/>
      </w:pPr>
      <w:rPr>
        <w:rFonts w:hint="default"/>
      </w:rPr>
    </w:lvl>
    <w:lvl w:ilvl="6">
      <w:start w:val="1"/>
      <w:numFmt w:val="bullet"/>
      <w:lvlText w:val="•"/>
      <w:lvlJc w:val="left"/>
      <w:pPr>
        <w:ind w:left="5602" w:hanging="200"/>
      </w:pPr>
      <w:rPr>
        <w:rFonts w:hint="default"/>
      </w:rPr>
    </w:lvl>
    <w:lvl w:ilvl="7">
      <w:start w:val="1"/>
      <w:numFmt w:val="bullet"/>
      <w:lvlText w:val="•"/>
      <w:lvlJc w:val="left"/>
      <w:pPr>
        <w:ind w:left="6466" w:hanging="200"/>
      </w:pPr>
      <w:rPr>
        <w:rFonts w:hint="default"/>
      </w:rPr>
    </w:lvl>
    <w:lvl w:ilvl="8">
      <w:start w:val="1"/>
      <w:numFmt w:val="bullet"/>
      <w:lvlText w:val="•"/>
      <w:lvlJc w:val="left"/>
      <w:pPr>
        <w:ind w:left="7331" w:hanging="200"/>
      </w:pPr>
      <w:rPr>
        <w:rFonts w:hint="default"/>
      </w:rPr>
    </w:lvl>
  </w:abstractNum>
  <w:abstractNum w:abstractNumId="8">
    <w:multiLevelType w:val="hybridMultilevel"/>
    <w:lvl w:ilvl="0">
      <w:start w:val="4"/>
      <w:numFmt w:val="decimal"/>
      <w:lvlText w:val="%1)."/>
      <w:lvlJc w:val="left"/>
      <w:pPr>
        <w:ind w:left="101" w:hanging="353"/>
        <w:jc w:val="left"/>
      </w:pPr>
      <w:rPr>
        <w:rFonts w:hint="default" w:ascii="Arial" w:hAnsi="Arial" w:eastAsia="Arial" w:cs="Arial"/>
        <w:spacing w:val="-1"/>
        <w:w w:val="99"/>
        <w:sz w:val="24"/>
        <w:szCs w:val="24"/>
      </w:rPr>
    </w:lvl>
    <w:lvl w:ilvl="1">
      <w:start w:val="1"/>
      <w:numFmt w:val="decimal"/>
      <w:lvlText w:val="%1.%2."/>
      <w:lvlJc w:val="left"/>
      <w:pPr>
        <w:ind w:left="932" w:hanging="471"/>
        <w:jc w:val="right"/>
      </w:pPr>
      <w:rPr>
        <w:rFonts w:hint="default" w:ascii="Arial" w:hAnsi="Arial" w:eastAsia="Arial" w:cs="Arial"/>
        <w:b/>
        <w:bCs/>
        <w:w w:val="99"/>
        <w:sz w:val="24"/>
        <w:szCs w:val="24"/>
      </w:rPr>
    </w:lvl>
    <w:lvl w:ilvl="2">
      <w:start w:val="1"/>
      <w:numFmt w:val="decimal"/>
      <w:lvlText w:val="%1.%2.%3."/>
      <w:lvlJc w:val="left"/>
      <w:pPr>
        <w:ind w:left="1479" w:hanging="670"/>
        <w:jc w:val="left"/>
      </w:pPr>
      <w:rPr>
        <w:rFonts w:hint="default" w:ascii="Arial" w:hAnsi="Arial" w:eastAsia="Arial" w:cs="Arial"/>
        <w:spacing w:val="-2"/>
        <w:w w:val="99"/>
        <w:sz w:val="24"/>
        <w:szCs w:val="24"/>
      </w:rPr>
    </w:lvl>
    <w:lvl w:ilvl="3">
      <w:start w:val="1"/>
      <w:numFmt w:val="decimal"/>
      <w:lvlText w:val="%1.%2.%3.%4."/>
      <w:lvlJc w:val="left"/>
      <w:pPr>
        <w:ind w:left="2386" w:hanging="869"/>
        <w:jc w:val="left"/>
      </w:pPr>
      <w:rPr>
        <w:rFonts w:hint="default" w:ascii="Arial" w:hAnsi="Arial" w:eastAsia="Arial" w:cs="Arial"/>
        <w:b/>
        <w:bCs/>
        <w:spacing w:val="-2"/>
        <w:w w:val="99"/>
        <w:sz w:val="24"/>
        <w:szCs w:val="24"/>
      </w:rPr>
    </w:lvl>
    <w:lvl w:ilvl="4">
      <w:start w:val="1"/>
      <w:numFmt w:val="bullet"/>
      <w:lvlText w:val="•"/>
      <w:lvlJc w:val="left"/>
      <w:pPr>
        <w:ind w:left="3314" w:hanging="869"/>
      </w:pPr>
      <w:rPr>
        <w:rFonts w:hint="default"/>
      </w:rPr>
    </w:lvl>
    <w:lvl w:ilvl="5">
      <w:start w:val="1"/>
      <w:numFmt w:val="bullet"/>
      <w:lvlText w:val="•"/>
      <w:lvlJc w:val="left"/>
      <w:pPr>
        <w:ind w:left="4248" w:hanging="869"/>
      </w:pPr>
      <w:rPr>
        <w:rFonts w:hint="default"/>
      </w:rPr>
    </w:lvl>
    <w:lvl w:ilvl="6">
      <w:start w:val="1"/>
      <w:numFmt w:val="bullet"/>
      <w:lvlText w:val="•"/>
      <w:lvlJc w:val="left"/>
      <w:pPr>
        <w:ind w:left="5182" w:hanging="869"/>
      </w:pPr>
      <w:rPr>
        <w:rFonts w:hint="default"/>
      </w:rPr>
    </w:lvl>
    <w:lvl w:ilvl="7">
      <w:start w:val="1"/>
      <w:numFmt w:val="bullet"/>
      <w:lvlText w:val="•"/>
      <w:lvlJc w:val="left"/>
      <w:pPr>
        <w:ind w:left="6117" w:hanging="869"/>
      </w:pPr>
      <w:rPr>
        <w:rFonts w:hint="default"/>
      </w:rPr>
    </w:lvl>
    <w:lvl w:ilvl="8">
      <w:start w:val="1"/>
      <w:numFmt w:val="bullet"/>
      <w:lvlText w:val="•"/>
      <w:lvlJc w:val="left"/>
      <w:pPr>
        <w:ind w:left="7051" w:hanging="869"/>
      </w:pPr>
      <w:rPr>
        <w:rFonts w:hint="default"/>
      </w:rPr>
    </w:lvl>
  </w:abstractNum>
  <w:abstractNum w:abstractNumId="7">
    <w:multiLevelType w:val="hybridMultilevel"/>
    <w:lvl w:ilvl="0">
      <w:start w:val="3"/>
      <w:numFmt w:val="decimal"/>
      <w:lvlText w:val="%1"/>
      <w:lvlJc w:val="left"/>
      <w:pPr>
        <w:ind w:left="1499" w:hanging="670"/>
        <w:jc w:val="left"/>
      </w:pPr>
      <w:rPr>
        <w:rFonts w:hint="default"/>
      </w:rPr>
    </w:lvl>
    <w:lvl w:ilvl="1">
      <w:start w:val="1"/>
      <w:numFmt w:val="decimal"/>
      <w:lvlText w:val="%1.%2"/>
      <w:lvlJc w:val="left"/>
      <w:pPr>
        <w:ind w:left="1499" w:hanging="670"/>
        <w:jc w:val="left"/>
      </w:pPr>
      <w:rPr>
        <w:rFonts w:hint="default"/>
      </w:rPr>
    </w:lvl>
    <w:lvl w:ilvl="2">
      <w:start w:val="3"/>
      <w:numFmt w:val="decimal"/>
      <w:lvlText w:val="%1.%2.%3."/>
      <w:lvlJc w:val="left"/>
      <w:pPr>
        <w:ind w:left="1499" w:hanging="670"/>
        <w:jc w:val="left"/>
      </w:pPr>
      <w:rPr>
        <w:rFonts w:hint="default" w:ascii="Arial" w:hAnsi="Arial" w:eastAsia="Arial" w:cs="Arial"/>
        <w:b/>
        <w:bCs/>
        <w:spacing w:val="-2"/>
        <w:w w:val="99"/>
        <w:sz w:val="24"/>
        <w:szCs w:val="24"/>
      </w:rPr>
    </w:lvl>
    <w:lvl w:ilvl="3">
      <w:start w:val="1"/>
      <w:numFmt w:val="bullet"/>
      <w:lvlText w:val="•"/>
      <w:lvlJc w:val="left"/>
      <w:pPr>
        <w:ind w:left="3774" w:hanging="670"/>
      </w:pPr>
      <w:rPr>
        <w:rFonts w:hint="default"/>
      </w:rPr>
    </w:lvl>
    <w:lvl w:ilvl="4">
      <w:start w:val="1"/>
      <w:numFmt w:val="bullet"/>
      <w:lvlText w:val="•"/>
      <w:lvlJc w:val="left"/>
      <w:pPr>
        <w:ind w:left="4532" w:hanging="670"/>
      </w:pPr>
      <w:rPr>
        <w:rFonts w:hint="default"/>
      </w:rPr>
    </w:lvl>
    <w:lvl w:ilvl="5">
      <w:start w:val="1"/>
      <w:numFmt w:val="bullet"/>
      <w:lvlText w:val="•"/>
      <w:lvlJc w:val="left"/>
      <w:pPr>
        <w:ind w:left="5290" w:hanging="670"/>
      </w:pPr>
      <w:rPr>
        <w:rFonts w:hint="default"/>
      </w:rPr>
    </w:lvl>
    <w:lvl w:ilvl="6">
      <w:start w:val="1"/>
      <w:numFmt w:val="bullet"/>
      <w:lvlText w:val="•"/>
      <w:lvlJc w:val="left"/>
      <w:pPr>
        <w:ind w:left="6048" w:hanging="670"/>
      </w:pPr>
      <w:rPr>
        <w:rFonts w:hint="default"/>
      </w:rPr>
    </w:lvl>
    <w:lvl w:ilvl="7">
      <w:start w:val="1"/>
      <w:numFmt w:val="bullet"/>
      <w:lvlText w:val="•"/>
      <w:lvlJc w:val="left"/>
      <w:pPr>
        <w:ind w:left="6806" w:hanging="670"/>
      </w:pPr>
      <w:rPr>
        <w:rFonts w:hint="default"/>
      </w:rPr>
    </w:lvl>
    <w:lvl w:ilvl="8">
      <w:start w:val="1"/>
      <w:numFmt w:val="bullet"/>
      <w:lvlText w:val="•"/>
      <w:lvlJc w:val="left"/>
      <w:pPr>
        <w:ind w:left="7564" w:hanging="670"/>
      </w:pPr>
      <w:rPr>
        <w:rFonts w:hint="default"/>
      </w:rPr>
    </w:lvl>
  </w:abstractNum>
  <w:abstractNum w:abstractNumId="6">
    <w:multiLevelType w:val="hybridMultilevel"/>
    <w:lvl w:ilvl="0">
      <w:start w:val="3"/>
      <w:numFmt w:val="decimal"/>
      <w:lvlText w:val="%1"/>
      <w:lvlJc w:val="left"/>
      <w:pPr>
        <w:ind w:left="771" w:hanging="468"/>
        <w:jc w:val="left"/>
      </w:pPr>
      <w:rPr>
        <w:rFonts w:hint="default"/>
      </w:rPr>
    </w:lvl>
    <w:lvl w:ilvl="1">
      <w:start w:val="1"/>
      <w:numFmt w:val="decimal"/>
      <w:lvlText w:val="%1.%2."/>
      <w:lvlJc w:val="left"/>
      <w:pPr>
        <w:ind w:left="771" w:hanging="468"/>
        <w:jc w:val="right"/>
      </w:pPr>
      <w:rPr>
        <w:rFonts w:hint="default" w:ascii="Arial" w:hAnsi="Arial" w:eastAsia="Arial" w:cs="Arial"/>
        <w:b/>
        <w:bCs/>
        <w:spacing w:val="-2"/>
        <w:w w:val="99"/>
        <w:sz w:val="24"/>
        <w:szCs w:val="24"/>
      </w:rPr>
    </w:lvl>
    <w:lvl w:ilvl="2">
      <w:start w:val="1"/>
      <w:numFmt w:val="decimal"/>
      <w:lvlText w:val="%1.%2.%3."/>
      <w:lvlJc w:val="left"/>
      <w:pPr>
        <w:ind w:left="1479" w:hanging="670"/>
        <w:jc w:val="left"/>
      </w:pPr>
      <w:rPr>
        <w:rFonts w:hint="default" w:ascii="Arial" w:hAnsi="Arial" w:eastAsia="Arial" w:cs="Arial"/>
        <w:b/>
        <w:bCs/>
        <w:spacing w:val="-2"/>
        <w:w w:val="99"/>
        <w:sz w:val="24"/>
        <w:szCs w:val="24"/>
      </w:rPr>
    </w:lvl>
    <w:lvl w:ilvl="3">
      <w:start w:val="1"/>
      <w:numFmt w:val="bullet"/>
      <w:lvlText w:val="•"/>
      <w:lvlJc w:val="left"/>
      <w:pPr>
        <w:ind w:left="3164" w:hanging="670"/>
      </w:pPr>
      <w:rPr>
        <w:rFonts w:hint="default"/>
      </w:rPr>
    </w:lvl>
    <w:lvl w:ilvl="4">
      <w:start w:val="1"/>
      <w:numFmt w:val="bullet"/>
      <w:lvlText w:val="•"/>
      <w:lvlJc w:val="left"/>
      <w:pPr>
        <w:ind w:left="4006" w:hanging="670"/>
      </w:pPr>
      <w:rPr>
        <w:rFonts w:hint="default"/>
      </w:rPr>
    </w:lvl>
    <w:lvl w:ilvl="5">
      <w:start w:val="1"/>
      <w:numFmt w:val="bullet"/>
      <w:lvlText w:val="•"/>
      <w:lvlJc w:val="left"/>
      <w:pPr>
        <w:ind w:left="4848" w:hanging="670"/>
      </w:pPr>
      <w:rPr>
        <w:rFonts w:hint="default"/>
      </w:rPr>
    </w:lvl>
    <w:lvl w:ilvl="6">
      <w:start w:val="1"/>
      <w:numFmt w:val="bullet"/>
      <w:lvlText w:val="•"/>
      <w:lvlJc w:val="left"/>
      <w:pPr>
        <w:ind w:left="5691" w:hanging="670"/>
      </w:pPr>
      <w:rPr>
        <w:rFonts w:hint="default"/>
      </w:rPr>
    </w:lvl>
    <w:lvl w:ilvl="7">
      <w:start w:val="1"/>
      <w:numFmt w:val="bullet"/>
      <w:lvlText w:val="•"/>
      <w:lvlJc w:val="left"/>
      <w:pPr>
        <w:ind w:left="6533" w:hanging="670"/>
      </w:pPr>
      <w:rPr>
        <w:rFonts w:hint="default"/>
      </w:rPr>
    </w:lvl>
    <w:lvl w:ilvl="8">
      <w:start w:val="1"/>
      <w:numFmt w:val="bullet"/>
      <w:lvlText w:val="•"/>
      <w:lvlJc w:val="left"/>
      <w:pPr>
        <w:ind w:left="7375" w:hanging="670"/>
      </w:pPr>
      <w:rPr>
        <w:rFonts w:hint="default"/>
      </w:rPr>
    </w:lvl>
  </w:abstractNum>
  <w:abstractNum w:abstractNumId="5">
    <w:multiLevelType w:val="hybridMultilevel"/>
    <w:lvl w:ilvl="0">
      <w:start w:val="2"/>
      <w:numFmt w:val="decimal"/>
      <w:lvlText w:val="%1"/>
      <w:lvlJc w:val="left"/>
      <w:pPr>
        <w:ind w:left="771" w:hanging="468"/>
        <w:jc w:val="left"/>
      </w:pPr>
      <w:rPr>
        <w:rFonts w:hint="default"/>
      </w:rPr>
    </w:lvl>
    <w:lvl w:ilvl="1">
      <w:start w:val="2"/>
      <w:numFmt w:val="decimal"/>
      <w:lvlText w:val="%1.%2."/>
      <w:lvlJc w:val="left"/>
      <w:pPr>
        <w:ind w:left="771" w:hanging="468"/>
        <w:jc w:val="right"/>
      </w:pPr>
      <w:rPr>
        <w:rFonts w:hint="default" w:ascii="Arial" w:hAnsi="Arial" w:eastAsia="Arial" w:cs="Arial"/>
        <w:b/>
        <w:bCs/>
        <w:spacing w:val="-2"/>
        <w:w w:val="99"/>
        <w:sz w:val="24"/>
        <w:szCs w:val="24"/>
      </w:rPr>
    </w:lvl>
    <w:lvl w:ilvl="2">
      <w:start w:val="1"/>
      <w:numFmt w:val="decimal"/>
      <w:lvlText w:val="%1.%2.%3."/>
      <w:lvlJc w:val="left"/>
      <w:pPr>
        <w:ind w:left="1479" w:hanging="670"/>
        <w:jc w:val="left"/>
      </w:pPr>
      <w:rPr>
        <w:rFonts w:hint="default" w:ascii="Arial" w:hAnsi="Arial" w:eastAsia="Arial" w:cs="Arial"/>
        <w:b/>
        <w:bCs/>
        <w:spacing w:val="-2"/>
        <w:w w:val="99"/>
        <w:sz w:val="24"/>
        <w:szCs w:val="24"/>
      </w:rPr>
    </w:lvl>
    <w:lvl w:ilvl="3">
      <w:start w:val="1"/>
      <w:numFmt w:val="decimal"/>
      <w:lvlText w:val="%1.%2.%3.%4."/>
      <w:lvlJc w:val="left"/>
      <w:pPr>
        <w:ind w:left="2386" w:hanging="869"/>
        <w:jc w:val="left"/>
      </w:pPr>
      <w:rPr>
        <w:rFonts w:hint="default" w:ascii="Arial" w:hAnsi="Arial" w:eastAsia="Arial" w:cs="Arial"/>
        <w:b/>
        <w:bCs/>
        <w:spacing w:val="-2"/>
        <w:w w:val="99"/>
        <w:sz w:val="24"/>
        <w:szCs w:val="24"/>
      </w:rPr>
    </w:lvl>
    <w:lvl w:ilvl="4">
      <w:start w:val="1"/>
      <w:numFmt w:val="bullet"/>
      <w:lvlText w:val="•"/>
      <w:lvlJc w:val="left"/>
      <w:pPr>
        <w:ind w:left="4050" w:hanging="869"/>
      </w:pPr>
      <w:rPr>
        <w:rFonts w:hint="default"/>
      </w:rPr>
    </w:lvl>
    <w:lvl w:ilvl="5">
      <w:start w:val="1"/>
      <w:numFmt w:val="bullet"/>
      <w:lvlText w:val="•"/>
      <w:lvlJc w:val="left"/>
      <w:pPr>
        <w:ind w:left="4885" w:hanging="869"/>
      </w:pPr>
      <w:rPr>
        <w:rFonts w:hint="default"/>
      </w:rPr>
    </w:lvl>
    <w:lvl w:ilvl="6">
      <w:start w:val="1"/>
      <w:numFmt w:val="bullet"/>
      <w:lvlText w:val="•"/>
      <w:lvlJc w:val="left"/>
      <w:pPr>
        <w:ind w:left="5720" w:hanging="869"/>
      </w:pPr>
      <w:rPr>
        <w:rFonts w:hint="default"/>
      </w:rPr>
    </w:lvl>
    <w:lvl w:ilvl="7">
      <w:start w:val="1"/>
      <w:numFmt w:val="bullet"/>
      <w:lvlText w:val="•"/>
      <w:lvlJc w:val="left"/>
      <w:pPr>
        <w:ind w:left="6555" w:hanging="869"/>
      </w:pPr>
      <w:rPr>
        <w:rFonts w:hint="default"/>
      </w:rPr>
    </w:lvl>
    <w:lvl w:ilvl="8">
      <w:start w:val="1"/>
      <w:numFmt w:val="bullet"/>
      <w:lvlText w:val="•"/>
      <w:lvlJc w:val="left"/>
      <w:pPr>
        <w:ind w:left="7390" w:hanging="869"/>
      </w:pPr>
      <w:rPr>
        <w:rFonts w:hint="default"/>
      </w:rPr>
    </w:lvl>
  </w:abstractNum>
  <w:abstractNum w:abstractNumId="4">
    <w:multiLevelType w:val="hybridMultilevel"/>
    <w:lvl w:ilvl="0">
      <w:start w:val="1"/>
      <w:numFmt w:val="decimal"/>
      <w:lvlText w:val="%1."/>
      <w:lvlJc w:val="left"/>
      <w:pPr>
        <w:ind w:left="3946" w:hanging="360"/>
        <w:jc w:val="right"/>
      </w:pPr>
      <w:rPr>
        <w:rFonts w:hint="default" w:ascii="Arial" w:hAnsi="Arial" w:eastAsia="Arial" w:cs="Arial"/>
        <w:b/>
        <w:bCs/>
        <w:w w:val="99"/>
        <w:sz w:val="24"/>
        <w:szCs w:val="24"/>
      </w:rPr>
    </w:lvl>
    <w:lvl w:ilvl="1">
      <w:start w:val="1"/>
      <w:numFmt w:val="bullet"/>
      <w:lvlText w:val="•"/>
      <w:lvlJc w:val="left"/>
      <w:pPr>
        <w:ind w:left="4452" w:hanging="360"/>
      </w:pPr>
      <w:rPr>
        <w:rFonts w:hint="default"/>
      </w:rPr>
    </w:lvl>
    <w:lvl w:ilvl="2">
      <w:start w:val="1"/>
      <w:numFmt w:val="bullet"/>
      <w:lvlText w:val="•"/>
      <w:lvlJc w:val="left"/>
      <w:pPr>
        <w:ind w:left="4964" w:hanging="360"/>
      </w:pPr>
      <w:rPr>
        <w:rFonts w:hint="default"/>
      </w:rPr>
    </w:lvl>
    <w:lvl w:ilvl="3">
      <w:start w:val="1"/>
      <w:numFmt w:val="bullet"/>
      <w:lvlText w:val="•"/>
      <w:lvlJc w:val="left"/>
      <w:pPr>
        <w:ind w:left="5476" w:hanging="360"/>
      </w:pPr>
      <w:rPr>
        <w:rFonts w:hint="default"/>
      </w:rPr>
    </w:lvl>
    <w:lvl w:ilvl="4">
      <w:start w:val="1"/>
      <w:numFmt w:val="bullet"/>
      <w:lvlText w:val="•"/>
      <w:lvlJc w:val="left"/>
      <w:pPr>
        <w:ind w:left="5988" w:hanging="360"/>
      </w:pPr>
      <w:rPr>
        <w:rFonts w:hint="default"/>
      </w:rPr>
    </w:lvl>
    <w:lvl w:ilvl="5">
      <w:start w:val="1"/>
      <w:numFmt w:val="bullet"/>
      <w:lvlText w:val="•"/>
      <w:lvlJc w:val="left"/>
      <w:pPr>
        <w:ind w:left="6500" w:hanging="360"/>
      </w:pPr>
      <w:rPr>
        <w:rFonts w:hint="default"/>
      </w:rPr>
    </w:lvl>
    <w:lvl w:ilvl="6">
      <w:start w:val="1"/>
      <w:numFmt w:val="bullet"/>
      <w:lvlText w:val="•"/>
      <w:lvlJc w:val="left"/>
      <w:pPr>
        <w:ind w:left="7012" w:hanging="360"/>
      </w:pPr>
      <w:rPr>
        <w:rFonts w:hint="default"/>
      </w:rPr>
    </w:lvl>
    <w:lvl w:ilvl="7">
      <w:start w:val="1"/>
      <w:numFmt w:val="bullet"/>
      <w:lvlText w:val="•"/>
      <w:lvlJc w:val="left"/>
      <w:pPr>
        <w:ind w:left="7524" w:hanging="360"/>
      </w:pPr>
      <w:rPr>
        <w:rFonts w:hint="default"/>
      </w:rPr>
    </w:lvl>
    <w:lvl w:ilvl="8">
      <w:start w:val="1"/>
      <w:numFmt w:val="bullet"/>
      <w:lvlText w:val="•"/>
      <w:lvlJc w:val="left"/>
      <w:pPr>
        <w:ind w:left="8036" w:hanging="360"/>
      </w:pPr>
      <w:rPr>
        <w:rFonts w:hint="default"/>
      </w:rPr>
    </w:lvl>
  </w:abstractNum>
  <w:abstractNum w:abstractNumId="3">
    <w:multiLevelType w:val="hybridMultilevel"/>
    <w:lvl w:ilvl="0">
      <w:start w:val="4"/>
      <w:numFmt w:val="decimal"/>
      <w:lvlText w:val="%1"/>
      <w:lvlJc w:val="left"/>
      <w:pPr>
        <w:ind w:left="1678" w:hanging="869"/>
        <w:jc w:val="left"/>
      </w:pPr>
      <w:rPr>
        <w:rFonts w:hint="default"/>
      </w:rPr>
    </w:lvl>
    <w:lvl w:ilvl="1">
      <w:start w:val="2"/>
      <w:numFmt w:val="decimal"/>
      <w:lvlText w:val="%1.%2"/>
      <w:lvlJc w:val="left"/>
      <w:pPr>
        <w:ind w:left="1678" w:hanging="869"/>
        <w:jc w:val="left"/>
      </w:pPr>
      <w:rPr>
        <w:rFonts w:hint="default"/>
      </w:rPr>
    </w:lvl>
    <w:lvl w:ilvl="2">
      <w:start w:val="1"/>
      <w:numFmt w:val="decimal"/>
      <w:lvlText w:val="%1.%2.%3"/>
      <w:lvlJc w:val="left"/>
      <w:pPr>
        <w:ind w:left="1678" w:hanging="869"/>
        <w:jc w:val="left"/>
      </w:pPr>
      <w:rPr>
        <w:rFonts w:hint="default"/>
      </w:rPr>
    </w:lvl>
    <w:lvl w:ilvl="3">
      <w:start w:val="2"/>
      <w:numFmt w:val="decimal"/>
      <w:lvlText w:val="%1.%2.%3.%4."/>
      <w:lvlJc w:val="left"/>
      <w:pPr>
        <w:ind w:left="1678" w:hanging="869"/>
        <w:jc w:val="left"/>
      </w:pPr>
      <w:rPr>
        <w:rFonts w:hint="default" w:ascii="Arial" w:hAnsi="Arial" w:eastAsia="Arial" w:cs="Arial"/>
        <w:spacing w:val="-2"/>
        <w:w w:val="99"/>
        <w:sz w:val="24"/>
        <w:szCs w:val="24"/>
      </w:rPr>
    </w:lvl>
    <w:lvl w:ilvl="4">
      <w:start w:val="1"/>
      <w:numFmt w:val="bullet"/>
      <w:lvlText w:val="•"/>
      <w:lvlJc w:val="left"/>
      <w:pPr>
        <w:ind w:left="4624" w:hanging="869"/>
      </w:pPr>
      <w:rPr>
        <w:rFonts w:hint="default"/>
      </w:rPr>
    </w:lvl>
    <w:lvl w:ilvl="5">
      <w:start w:val="1"/>
      <w:numFmt w:val="bullet"/>
      <w:lvlText w:val="•"/>
      <w:lvlJc w:val="left"/>
      <w:pPr>
        <w:ind w:left="5360" w:hanging="869"/>
      </w:pPr>
      <w:rPr>
        <w:rFonts w:hint="default"/>
      </w:rPr>
    </w:lvl>
    <w:lvl w:ilvl="6">
      <w:start w:val="1"/>
      <w:numFmt w:val="bullet"/>
      <w:lvlText w:val="•"/>
      <w:lvlJc w:val="left"/>
      <w:pPr>
        <w:ind w:left="6096" w:hanging="869"/>
      </w:pPr>
      <w:rPr>
        <w:rFonts w:hint="default"/>
      </w:rPr>
    </w:lvl>
    <w:lvl w:ilvl="7">
      <w:start w:val="1"/>
      <w:numFmt w:val="bullet"/>
      <w:lvlText w:val="•"/>
      <w:lvlJc w:val="left"/>
      <w:pPr>
        <w:ind w:left="6832" w:hanging="869"/>
      </w:pPr>
      <w:rPr>
        <w:rFonts w:hint="default"/>
      </w:rPr>
    </w:lvl>
    <w:lvl w:ilvl="8">
      <w:start w:val="1"/>
      <w:numFmt w:val="bullet"/>
      <w:lvlText w:val="•"/>
      <w:lvlJc w:val="left"/>
      <w:pPr>
        <w:ind w:left="7568" w:hanging="869"/>
      </w:pPr>
      <w:rPr>
        <w:rFonts w:hint="default"/>
      </w:rPr>
    </w:lvl>
  </w:abstractNum>
  <w:abstractNum w:abstractNumId="2">
    <w:multiLevelType w:val="hybridMultilevel"/>
    <w:lvl w:ilvl="0">
      <w:start w:val="2"/>
      <w:numFmt w:val="decimal"/>
      <w:lvlText w:val="%1"/>
      <w:lvlJc w:val="left"/>
      <w:pPr>
        <w:ind w:left="1236" w:hanging="668"/>
        <w:jc w:val="left"/>
      </w:pPr>
      <w:rPr>
        <w:rFonts w:hint="default"/>
      </w:rPr>
    </w:lvl>
    <w:lvl w:ilvl="1">
      <w:start w:val="5"/>
      <w:numFmt w:val="decimal"/>
      <w:lvlText w:val="%1.%2"/>
      <w:lvlJc w:val="left"/>
      <w:pPr>
        <w:ind w:left="1236" w:hanging="668"/>
        <w:jc w:val="left"/>
      </w:pPr>
      <w:rPr>
        <w:rFonts w:hint="default"/>
      </w:rPr>
    </w:lvl>
    <w:lvl w:ilvl="2">
      <w:start w:val="2"/>
      <w:numFmt w:val="decimal"/>
      <w:lvlText w:val="%1.%2.%3."/>
      <w:lvlJc w:val="left"/>
      <w:pPr>
        <w:ind w:left="1236" w:hanging="668"/>
        <w:jc w:val="left"/>
      </w:pPr>
      <w:rPr>
        <w:rFonts w:hint="default" w:ascii="Arial" w:hAnsi="Arial" w:eastAsia="Arial" w:cs="Arial"/>
        <w:spacing w:val="-2"/>
        <w:w w:val="99"/>
        <w:sz w:val="24"/>
        <w:szCs w:val="24"/>
      </w:rPr>
    </w:lvl>
    <w:lvl w:ilvl="3">
      <w:start w:val="1"/>
      <w:numFmt w:val="decimal"/>
      <w:lvlText w:val="%1.%2.%3.%4."/>
      <w:lvlJc w:val="left"/>
      <w:pPr>
        <w:ind w:left="1678" w:hanging="869"/>
        <w:jc w:val="left"/>
      </w:pPr>
      <w:rPr>
        <w:rFonts w:hint="default" w:ascii="Arial" w:hAnsi="Arial" w:eastAsia="Arial" w:cs="Arial"/>
        <w:spacing w:val="-2"/>
        <w:w w:val="99"/>
        <w:sz w:val="24"/>
        <w:szCs w:val="24"/>
      </w:rPr>
    </w:lvl>
    <w:lvl w:ilvl="4">
      <w:start w:val="1"/>
      <w:numFmt w:val="bullet"/>
      <w:lvlText w:val="•"/>
      <w:lvlJc w:val="left"/>
      <w:pPr>
        <w:ind w:left="4133" w:hanging="869"/>
      </w:pPr>
      <w:rPr>
        <w:rFonts w:hint="default"/>
      </w:rPr>
    </w:lvl>
    <w:lvl w:ilvl="5">
      <w:start w:val="1"/>
      <w:numFmt w:val="bullet"/>
      <w:lvlText w:val="•"/>
      <w:lvlJc w:val="left"/>
      <w:pPr>
        <w:ind w:left="4951" w:hanging="869"/>
      </w:pPr>
      <w:rPr>
        <w:rFonts w:hint="default"/>
      </w:rPr>
    </w:lvl>
    <w:lvl w:ilvl="6">
      <w:start w:val="1"/>
      <w:numFmt w:val="bullet"/>
      <w:lvlText w:val="•"/>
      <w:lvlJc w:val="left"/>
      <w:pPr>
        <w:ind w:left="5768" w:hanging="869"/>
      </w:pPr>
      <w:rPr>
        <w:rFonts w:hint="default"/>
      </w:rPr>
    </w:lvl>
    <w:lvl w:ilvl="7">
      <w:start w:val="1"/>
      <w:numFmt w:val="bullet"/>
      <w:lvlText w:val="•"/>
      <w:lvlJc w:val="left"/>
      <w:pPr>
        <w:ind w:left="6586" w:hanging="869"/>
      </w:pPr>
      <w:rPr>
        <w:rFonts w:hint="default"/>
      </w:rPr>
    </w:lvl>
    <w:lvl w:ilvl="8">
      <w:start w:val="1"/>
      <w:numFmt w:val="bullet"/>
      <w:lvlText w:val="•"/>
      <w:lvlJc w:val="left"/>
      <w:pPr>
        <w:ind w:left="7404" w:hanging="869"/>
      </w:pPr>
      <w:rPr>
        <w:rFonts w:hint="default"/>
      </w:rPr>
    </w:lvl>
  </w:abstractNum>
  <w:abstractNum w:abstractNumId="1">
    <w:multiLevelType w:val="hybridMultilevel"/>
    <w:lvl w:ilvl="0">
      <w:start w:val="2"/>
      <w:numFmt w:val="decimal"/>
      <w:lvlText w:val="%1"/>
      <w:lvlJc w:val="left"/>
      <w:pPr>
        <w:ind w:left="1236" w:hanging="668"/>
        <w:jc w:val="left"/>
      </w:pPr>
      <w:rPr>
        <w:rFonts w:hint="default"/>
      </w:rPr>
    </w:lvl>
    <w:lvl w:ilvl="1">
      <w:start w:val="2"/>
      <w:numFmt w:val="decimal"/>
      <w:lvlText w:val="%1.%2"/>
      <w:lvlJc w:val="left"/>
      <w:pPr>
        <w:ind w:left="1236" w:hanging="668"/>
        <w:jc w:val="left"/>
      </w:pPr>
      <w:rPr>
        <w:rFonts w:hint="default"/>
      </w:rPr>
    </w:lvl>
    <w:lvl w:ilvl="2">
      <w:start w:val="3"/>
      <w:numFmt w:val="decimal"/>
      <w:lvlText w:val="%1.%2.%3."/>
      <w:lvlJc w:val="left"/>
      <w:pPr>
        <w:ind w:left="1236" w:hanging="668"/>
        <w:jc w:val="left"/>
      </w:pPr>
      <w:rPr>
        <w:rFonts w:hint="default" w:ascii="Arial" w:hAnsi="Arial" w:eastAsia="Arial" w:cs="Arial"/>
        <w:spacing w:val="-2"/>
        <w:w w:val="99"/>
        <w:sz w:val="24"/>
        <w:szCs w:val="24"/>
      </w:rPr>
    </w:lvl>
    <w:lvl w:ilvl="3">
      <w:start w:val="1"/>
      <w:numFmt w:val="bullet"/>
      <w:lvlText w:val="•"/>
      <w:lvlJc w:val="left"/>
      <w:pPr>
        <w:ind w:left="3580" w:hanging="668"/>
      </w:pPr>
      <w:rPr>
        <w:rFonts w:hint="default"/>
      </w:rPr>
    </w:lvl>
    <w:lvl w:ilvl="4">
      <w:start w:val="1"/>
      <w:numFmt w:val="bullet"/>
      <w:lvlText w:val="•"/>
      <w:lvlJc w:val="left"/>
      <w:pPr>
        <w:ind w:left="4360" w:hanging="668"/>
      </w:pPr>
      <w:rPr>
        <w:rFonts w:hint="default"/>
      </w:rPr>
    </w:lvl>
    <w:lvl w:ilvl="5">
      <w:start w:val="1"/>
      <w:numFmt w:val="bullet"/>
      <w:lvlText w:val="•"/>
      <w:lvlJc w:val="left"/>
      <w:pPr>
        <w:ind w:left="5140" w:hanging="668"/>
      </w:pPr>
      <w:rPr>
        <w:rFonts w:hint="default"/>
      </w:rPr>
    </w:lvl>
    <w:lvl w:ilvl="6">
      <w:start w:val="1"/>
      <w:numFmt w:val="bullet"/>
      <w:lvlText w:val="•"/>
      <w:lvlJc w:val="left"/>
      <w:pPr>
        <w:ind w:left="5920" w:hanging="668"/>
      </w:pPr>
      <w:rPr>
        <w:rFonts w:hint="default"/>
      </w:rPr>
    </w:lvl>
    <w:lvl w:ilvl="7">
      <w:start w:val="1"/>
      <w:numFmt w:val="bullet"/>
      <w:lvlText w:val="•"/>
      <w:lvlJc w:val="left"/>
      <w:pPr>
        <w:ind w:left="6700" w:hanging="668"/>
      </w:pPr>
      <w:rPr>
        <w:rFonts w:hint="default"/>
      </w:rPr>
    </w:lvl>
    <w:lvl w:ilvl="8">
      <w:start w:val="1"/>
      <w:numFmt w:val="bullet"/>
      <w:lvlText w:val="•"/>
      <w:lvlJc w:val="left"/>
      <w:pPr>
        <w:ind w:left="7480" w:hanging="668"/>
      </w:pPr>
      <w:rPr>
        <w:rFonts w:hint="default"/>
      </w:rPr>
    </w:lvl>
  </w:abstractNum>
  <w:abstractNum w:abstractNumId="0">
    <w:multiLevelType w:val="hybridMultilevel"/>
    <w:lvl w:ilvl="0">
      <w:start w:val="1"/>
      <w:numFmt w:val="decimal"/>
      <w:lvlText w:val="%1."/>
      <w:lvlJc w:val="left"/>
      <w:pPr>
        <w:ind w:left="370" w:hanging="269"/>
        <w:jc w:val="left"/>
      </w:pPr>
      <w:rPr>
        <w:rFonts w:hint="default" w:ascii="Arial" w:hAnsi="Arial" w:eastAsia="Arial" w:cs="Arial"/>
        <w:b/>
        <w:bCs/>
        <w:w w:val="99"/>
        <w:sz w:val="24"/>
        <w:szCs w:val="24"/>
      </w:rPr>
    </w:lvl>
    <w:lvl w:ilvl="1">
      <w:start w:val="1"/>
      <w:numFmt w:val="decimal"/>
      <w:lvlText w:val="%1.%2."/>
      <w:lvlJc w:val="left"/>
      <w:pPr>
        <w:ind w:left="838" w:hanging="468"/>
        <w:jc w:val="left"/>
      </w:pPr>
      <w:rPr>
        <w:rFonts w:hint="default" w:ascii="Arial" w:hAnsi="Arial" w:eastAsia="Arial" w:cs="Arial"/>
        <w:spacing w:val="-2"/>
        <w:w w:val="99"/>
        <w:sz w:val="24"/>
        <w:szCs w:val="24"/>
      </w:rPr>
    </w:lvl>
    <w:lvl w:ilvl="2">
      <w:start w:val="1"/>
      <w:numFmt w:val="decimal"/>
      <w:lvlText w:val="%1.%2.%3."/>
      <w:lvlJc w:val="left"/>
      <w:pPr>
        <w:ind w:left="1236" w:hanging="668"/>
        <w:jc w:val="left"/>
      </w:pPr>
      <w:rPr>
        <w:rFonts w:hint="default" w:ascii="Arial" w:hAnsi="Arial" w:eastAsia="Arial" w:cs="Arial"/>
        <w:spacing w:val="-2"/>
        <w:w w:val="99"/>
        <w:sz w:val="24"/>
        <w:szCs w:val="24"/>
      </w:rPr>
    </w:lvl>
    <w:lvl w:ilvl="3">
      <w:start w:val="1"/>
      <w:numFmt w:val="decimal"/>
      <w:lvlText w:val="%1.%2.%3.%4."/>
      <w:lvlJc w:val="left"/>
      <w:pPr>
        <w:ind w:left="1678" w:hanging="869"/>
        <w:jc w:val="left"/>
      </w:pPr>
      <w:rPr>
        <w:rFonts w:hint="default" w:ascii="Arial" w:hAnsi="Arial" w:eastAsia="Arial" w:cs="Arial"/>
        <w:spacing w:val="-2"/>
        <w:w w:val="99"/>
        <w:sz w:val="24"/>
        <w:szCs w:val="24"/>
      </w:rPr>
    </w:lvl>
    <w:lvl w:ilvl="4">
      <w:start w:val="1"/>
      <w:numFmt w:val="bullet"/>
      <w:lvlText w:val="•"/>
      <w:lvlJc w:val="left"/>
      <w:pPr>
        <w:ind w:left="2731" w:hanging="869"/>
      </w:pPr>
      <w:rPr>
        <w:rFonts w:hint="default"/>
      </w:rPr>
    </w:lvl>
    <w:lvl w:ilvl="5">
      <w:start w:val="1"/>
      <w:numFmt w:val="bullet"/>
      <w:lvlText w:val="•"/>
      <w:lvlJc w:val="left"/>
      <w:pPr>
        <w:ind w:left="3782" w:hanging="869"/>
      </w:pPr>
      <w:rPr>
        <w:rFonts w:hint="default"/>
      </w:rPr>
    </w:lvl>
    <w:lvl w:ilvl="6">
      <w:start w:val="1"/>
      <w:numFmt w:val="bullet"/>
      <w:lvlText w:val="•"/>
      <w:lvlJc w:val="left"/>
      <w:pPr>
        <w:ind w:left="4834" w:hanging="869"/>
      </w:pPr>
      <w:rPr>
        <w:rFonts w:hint="default"/>
      </w:rPr>
    </w:lvl>
    <w:lvl w:ilvl="7">
      <w:start w:val="1"/>
      <w:numFmt w:val="bullet"/>
      <w:lvlText w:val="•"/>
      <w:lvlJc w:val="left"/>
      <w:pPr>
        <w:ind w:left="5885" w:hanging="869"/>
      </w:pPr>
      <w:rPr>
        <w:rFonts w:hint="default"/>
      </w:rPr>
    </w:lvl>
    <w:lvl w:ilvl="8">
      <w:start w:val="1"/>
      <w:numFmt w:val="bullet"/>
      <w:lvlText w:val="•"/>
      <w:lvlJc w:val="left"/>
      <w:pPr>
        <w:ind w:left="6937" w:hanging="869"/>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38"/>
      <w:ind w:left="370" w:hanging="269"/>
    </w:pPr>
    <w:rPr>
      <w:rFonts w:ascii="Arial" w:hAnsi="Arial" w:eastAsia="Arial" w:cs="Arial"/>
      <w:b/>
      <w:bCs/>
      <w:sz w:val="24"/>
      <w:szCs w:val="24"/>
    </w:rPr>
  </w:style>
  <w:style w:styleId="TOC2" w:type="paragraph">
    <w:name w:val="TOC 2"/>
    <w:basedOn w:val="Normal"/>
    <w:uiPriority w:val="1"/>
    <w:qFormat/>
    <w:pPr>
      <w:spacing w:before="338"/>
      <w:ind w:left="101" w:right="100"/>
    </w:pPr>
    <w:rPr>
      <w:rFonts w:ascii="Arial" w:hAnsi="Arial" w:eastAsia="Arial" w:cs="Arial"/>
      <w:b/>
      <w:bCs/>
      <w:i/>
    </w:rPr>
  </w:style>
  <w:style w:styleId="TOC3" w:type="paragraph">
    <w:name w:val="TOC 3"/>
    <w:basedOn w:val="Normal"/>
    <w:uiPriority w:val="1"/>
    <w:qFormat/>
    <w:pPr>
      <w:spacing w:before="338"/>
      <w:ind w:left="838" w:hanging="468"/>
      <w:jc w:val="center"/>
    </w:pPr>
    <w:rPr>
      <w:rFonts w:ascii="Arial" w:hAnsi="Arial" w:eastAsia="Arial" w:cs="Arial"/>
      <w:sz w:val="24"/>
      <w:szCs w:val="24"/>
    </w:rPr>
  </w:style>
  <w:style w:styleId="TOC4" w:type="paragraph">
    <w:name w:val="TOC 4"/>
    <w:basedOn w:val="Normal"/>
    <w:uiPriority w:val="1"/>
    <w:qFormat/>
    <w:pPr>
      <w:spacing w:before="336"/>
      <w:ind w:left="838" w:hanging="468"/>
      <w:jc w:val="center"/>
    </w:pPr>
    <w:rPr>
      <w:rFonts w:ascii="Arial" w:hAnsi="Arial" w:eastAsia="Arial" w:cs="Arial"/>
      <w:b/>
      <w:bCs/>
      <w:i/>
    </w:rPr>
  </w:style>
  <w:style w:styleId="TOC5" w:type="paragraph">
    <w:name w:val="TOC 5"/>
    <w:basedOn w:val="Normal"/>
    <w:uiPriority w:val="1"/>
    <w:qFormat/>
    <w:pPr>
      <w:spacing w:before="338"/>
      <w:ind w:left="407"/>
      <w:jc w:val="center"/>
    </w:pPr>
    <w:rPr>
      <w:rFonts w:ascii="Arial" w:hAnsi="Arial" w:eastAsia="Arial" w:cs="Arial"/>
      <w:sz w:val="24"/>
      <w:szCs w:val="24"/>
    </w:rPr>
  </w:style>
  <w:style w:styleId="TOC6" w:type="paragraph">
    <w:name w:val="TOC 6"/>
    <w:basedOn w:val="Normal"/>
    <w:uiPriority w:val="1"/>
    <w:qFormat/>
    <w:pPr>
      <w:spacing w:before="338"/>
      <w:ind w:left="1236" w:hanging="667"/>
    </w:pPr>
    <w:rPr>
      <w:rFonts w:ascii="Arial" w:hAnsi="Arial" w:eastAsia="Arial" w:cs="Arial"/>
      <w:sz w:val="24"/>
      <w:szCs w:val="24"/>
    </w:rPr>
  </w:style>
  <w:style w:styleId="TOC7" w:type="paragraph">
    <w:name w:val="TOC 7"/>
    <w:basedOn w:val="Normal"/>
    <w:uiPriority w:val="1"/>
    <w:qFormat/>
    <w:pPr>
      <w:spacing w:before="338"/>
      <w:ind w:left="1678" w:hanging="869"/>
    </w:pPr>
    <w:rPr>
      <w:rFonts w:ascii="Arial" w:hAnsi="Arial" w:eastAsia="Arial" w:cs="Arial"/>
      <w:sz w:val="24"/>
      <w:szCs w:val="24"/>
    </w:rPr>
  </w:style>
  <w:style w:styleId="TOC8" w:type="paragraph">
    <w:name w:val="TOC 8"/>
    <w:basedOn w:val="Normal"/>
    <w:uiPriority w:val="1"/>
    <w:qFormat/>
    <w:pPr>
      <w:spacing w:before="54"/>
      <w:ind w:left="569" w:right="100" w:firstLine="7634"/>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479"/>
      <w:outlineLvl w:val="1"/>
    </w:pPr>
    <w:rPr>
      <w:rFonts w:ascii="Arial" w:hAnsi="Arial" w:eastAsia="Arial" w:cs="Arial"/>
      <w:b/>
      <w:bCs/>
      <w:sz w:val="24"/>
      <w:szCs w:val="24"/>
    </w:rPr>
  </w:style>
  <w:style w:styleId="ListParagraph" w:type="paragraph">
    <w:name w:val="List Paragraph"/>
    <w:basedOn w:val="Normal"/>
    <w:uiPriority w:val="1"/>
    <w:qFormat/>
    <w:pPr>
      <w:spacing w:before="338"/>
      <w:ind w:left="1236" w:hanging="869"/>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footer" Target="footer4.xml"/><Relationship Id="rId11" Type="http://schemas.openxmlformats.org/officeDocument/2006/relationships/image" Target="media/image3.jpeg"/><Relationship Id="rId12" Type="http://schemas.openxmlformats.org/officeDocument/2006/relationships/footer" Target="footer5.xml"/><Relationship Id="rId13" Type="http://schemas.openxmlformats.org/officeDocument/2006/relationships/hyperlink" Target="http://www.colpos.mx/agrocien/Bimestral/2008/ene-feb/art-5.pdf" TargetMode="External"/><Relationship Id="rId14" Type="http://schemas.openxmlformats.org/officeDocument/2006/relationships/hyperlink" Target="http://www.researchgate.net/publication/262729404_Vida_en_florero_de_L" TargetMode="External"/><Relationship Id="rId15" Type="http://schemas.openxmlformats.org/officeDocument/2006/relationships/hyperlink" Target="http://www.redalyc.org/articulo.oa?id=57324412" TargetMode="External"/><Relationship Id="rId16" Type="http://schemas.openxmlformats.org/officeDocument/2006/relationships/hyperlink" Target="http://www.academia.edu/2663692/Effect_of_pre-" TargetMode="External"/><Relationship Id="rId17" Type="http://schemas.openxmlformats.org/officeDocument/2006/relationships/hyperlink" Target="http://www.researchgate.net/publication/266033621_Growth_and_Flowerin" TargetMode="External"/><Relationship Id="rId18" Type="http://schemas.openxmlformats.org/officeDocument/2006/relationships/hyperlink" Target="http://www.indianjournals.com/ijor.aspx?target=ijor%3Ajoh&amp;amp;volume=6&amp;amp;issue=2" TargetMode="External"/><Relationship Id="rId19" Type="http://schemas.openxmlformats.org/officeDocument/2006/relationships/hyperlink" Target="http://www.idosi.org/mejsr/mejsr8(5)11/3.pdf" TargetMode="External"/><Relationship Id="rId20" Type="http://schemas.openxmlformats.org/officeDocument/2006/relationships/hyperlink" Target="http://www.colpos.mx/agrocien/Bimestral/2006/ene-feb/art-8.pdf" TargetMode="External"/><Relationship Id="rId21" Type="http://schemas.openxmlformats.org/officeDocument/2006/relationships/hyperlink" Target="http://www.inifap.gob.mx/Documents/revistas/rmca/vol3_num8_2012.pdf" TargetMode="External"/><Relationship Id="rId22" Type="http://schemas.openxmlformats.org/officeDocument/2006/relationships/hyperlink" Target="http://www.aida-itea.org/aida-" TargetMode="External"/><Relationship Id="rId23" Type="http://schemas.openxmlformats.org/officeDocument/2006/relationships/hyperlink" Target="http://www.researchgate.net/publication/233421670_Impact_of_integrated_" TargetMode="External"/><Relationship Id="rId24" Type="http://schemas.openxmlformats.org/officeDocument/2006/relationships/hyperlink" Target="http://link.springer.com/article/10.1007%2FBF01347224" TargetMode="External"/><Relationship Id="rId25" Type="http://schemas.openxmlformats.org/officeDocument/2006/relationships/hyperlink" Target="http://www.ishs.org/ishs-" TargetMode="External"/><Relationship Id="rId26" Type="http://schemas.openxmlformats.org/officeDocument/2006/relationships/hyperlink" Target="http://www.redalyc.org/articulo.oa?id=57317309" TargetMode="External"/><Relationship Id="rId27" Type="http://schemas.openxmlformats.org/officeDocument/2006/relationships/footer" Target="footer6.xml"/><Relationship Id="rId28" Type="http://schemas.openxmlformats.org/officeDocument/2006/relationships/hyperlink" Target="http://www.ishs.org/ishs-article/1027_8" TargetMode="External"/><Relationship Id="rId29" Type="http://schemas.openxmlformats.org/officeDocument/2006/relationships/image" Target="media/image4.png"/><Relationship Id="rId30" Type="http://schemas.openxmlformats.org/officeDocument/2006/relationships/image" Target="media/image5.png"/><Relationship Id="rId31" Type="http://schemas.openxmlformats.org/officeDocument/2006/relationships/image" Target="media/image6.png"/><Relationship Id="rId32" Type="http://schemas.openxmlformats.org/officeDocument/2006/relationships/image" Target="media/image7.png"/><Relationship Id="rId33" Type="http://schemas.openxmlformats.org/officeDocument/2006/relationships/image" Target="media/image8.png"/><Relationship Id="rId34" Type="http://schemas.openxmlformats.org/officeDocument/2006/relationships/footer" Target="footer7.xml"/><Relationship Id="rId35" Type="http://schemas.openxmlformats.org/officeDocument/2006/relationships/footer" Target="footer8.xml"/><Relationship Id="rId3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2017-05-26T18:14:09Z</dcterms:created>
  <dcterms:modified xsi:type="dcterms:W3CDTF">2017-05-26T18:14:09Z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